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8898B" w14:textId="7AD61964" w:rsidR="00266EC5" w:rsidRPr="00266EC5" w:rsidRDefault="00266EC5" w:rsidP="00266EC5">
      <w:pPr>
        <w:pStyle w:val="Title"/>
        <w:jc w:val="center"/>
        <w:rPr>
          <w:rFonts w:cstheme="majorHAnsi"/>
          <w:caps w:val="0"/>
          <w:sz w:val="28"/>
          <w:szCs w:val="28"/>
        </w:rPr>
      </w:pPr>
      <w:r w:rsidRPr="00266EC5">
        <w:rPr>
          <w:rFonts w:cstheme="majorHAnsi"/>
          <w:caps w:val="0"/>
          <w:sz w:val="28"/>
          <w:szCs w:val="28"/>
        </w:rPr>
        <w:t>DFAT management response</w:t>
      </w:r>
      <w:r w:rsidR="00CE7784">
        <w:rPr>
          <w:rFonts w:cstheme="majorHAnsi"/>
          <w:caps w:val="0"/>
          <w:sz w:val="28"/>
          <w:szCs w:val="28"/>
        </w:rPr>
        <w:t xml:space="preserve"> </w:t>
      </w:r>
    </w:p>
    <w:p w14:paraId="202CB5DA" w14:textId="27D4D235" w:rsidR="00707DF5" w:rsidRPr="00266EC5" w:rsidRDefault="00266EC5" w:rsidP="00707DF5">
      <w:pPr>
        <w:pStyle w:val="Title"/>
        <w:jc w:val="center"/>
        <w:rPr>
          <w:rFonts w:cstheme="majorHAnsi"/>
          <w:caps w:val="0"/>
          <w:sz w:val="28"/>
          <w:szCs w:val="28"/>
        </w:rPr>
      </w:pPr>
      <w:r w:rsidRPr="00266EC5">
        <w:rPr>
          <w:rFonts w:cstheme="majorHAnsi"/>
          <w:caps w:val="0"/>
          <w:sz w:val="28"/>
          <w:szCs w:val="28"/>
        </w:rPr>
        <w:t>Mid-term review of the ASEAN-</w:t>
      </w:r>
      <w:r>
        <w:rPr>
          <w:rFonts w:cstheme="majorHAnsi"/>
          <w:caps w:val="0"/>
          <w:sz w:val="28"/>
          <w:szCs w:val="28"/>
        </w:rPr>
        <w:t>A</w:t>
      </w:r>
      <w:r w:rsidRPr="00266EC5">
        <w:rPr>
          <w:rFonts w:cstheme="majorHAnsi"/>
          <w:caps w:val="0"/>
          <w:sz w:val="28"/>
          <w:szCs w:val="28"/>
        </w:rPr>
        <w:t xml:space="preserve">ustralia </w:t>
      </w:r>
      <w:r>
        <w:rPr>
          <w:rFonts w:cstheme="majorHAnsi"/>
          <w:caps w:val="0"/>
          <w:sz w:val="28"/>
          <w:szCs w:val="28"/>
        </w:rPr>
        <w:t>S</w:t>
      </w:r>
      <w:r w:rsidRPr="00266EC5">
        <w:rPr>
          <w:rFonts w:cstheme="majorHAnsi"/>
          <w:caps w:val="0"/>
          <w:sz w:val="28"/>
          <w:szCs w:val="28"/>
        </w:rPr>
        <w:t xml:space="preserve">mart </w:t>
      </w:r>
      <w:r>
        <w:rPr>
          <w:rFonts w:cstheme="majorHAnsi"/>
          <w:caps w:val="0"/>
          <w:sz w:val="28"/>
          <w:szCs w:val="28"/>
        </w:rPr>
        <w:t>C</w:t>
      </w:r>
      <w:r w:rsidRPr="00266EC5">
        <w:rPr>
          <w:rFonts w:cstheme="majorHAnsi"/>
          <w:caps w:val="0"/>
          <w:sz w:val="28"/>
          <w:szCs w:val="28"/>
        </w:rPr>
        <w:t xml:space="preserve">ities </w:t>
      </w:r>
      <w:r>
        <w:rPr>
          <w:rFonts w:cstheme="majorHAnsi"/>
          <w:caps w:val="0"/>
          <w:sz w:val="28"/>
          <w:szCs w:val="28"/>
        </w:rPr>
        <w:t>T</w:t>
      </w:r>
      <w:r w:rsidRPr="00266EC5">
        <w:rPr>
          <w:rFonts w:cstheme="majorHAnsi"/>
          <w:caps w:val="0"/>
          <w:sz w:val="28"/>
          <w:szCs w:val="28"/>
        </w:rPr>
        <w:t xml:space="preserve">rust </w:t>
      </w:r>
      <w:r>
        <w:rPr>
          <w:rFonts w:cstheme="majorHAnsi"/>
          <w:caps w:val="0"/>
          <w:sz w:val="28"/>
          <w:szCs w:val="28"/>
        </w:rPr>
        <w:t>F</w:t>
      </w:r>
      <w:r w:rsidRPr="00266EC5">
        <w:rPr>
          <w:rFonts w:cstheme="majorHAnsi"/>
          <w:caps w:val="0"/>
          <w:sz w:val="28"/>
          <w:szCs w:val="28"/>
        </w:rPr>
        <w:t xml:space="preserve">und </w:t>
      </w:r>
    </w:p>
    <w:p w14:paraId="66A3B2FD" w14:textId="7F2416C3" w:rsidR="00707DF5" w:rsidRPr="003E4972" w:rsidRDefault="00707DF5" w:rsidP="00D346FE">
      <w:pPr>
        <w:rPr>
          <w:rFonts w:asciiTheme="majorHAnsi" w:hAnsiTheme="majorHAnsi" w:cstheme="majorHAnsi"/>
        </w:rPr>
      </w:pPr>
    </w:p>
    <w:p w14:paraId="4A58DAEF" w14:textId="77777777" w:rsidR="00707DF5" w:rsidRPr="003E4972" w:rsidRDefault="00707DF5" w:rsidP="00707DF5">
      <w:pPr>
        <w:rPr>
          <w:rFonts w:asciiTheme="majorHAnsi" w:hAnsiTheme="majorHAnsi" w:cstheme="majorHAnsi"/>
          <w:color w:val="000000"/>
          <w:sz w:val="22"/>
          <w:szCs w:val="22"/>
          <w:shd w:val="clear" w:color="auto" w:fill="FFFFFF"/>
        </w:rPr>
      </w:pPr>
      <w:r w:rsidRPr="003E4972">
        <w:rPr>
          <w:rFonts w:asciiTheme="majorHAnsi" w:hAnsiTheme="majorHAnsi" w:cstheme="majorHAnsi"/>
          <w:color w:val="000000"/>
          <w:sz w:val="22"/>
          <w:szCs w:val="22"/>
          <w:shd w:val="clear" w:color="auto" w:fill="FFFFFF"/>
        </w:rPr>
        <w:t xml:space="preserve">The ASEAN Australia Smart Cities Trust Fund (AASCTF) is a five-year, AUD20 million initiative, funded by the Australian Government and implemented by the Asian Development Bank (ADB). </w:t>
      </w:r>
    </w:p>
    <w:p w14:paraId="62030E60" w14:textId="2D09F4AB" w:rsidR="00707DF5" w:rsidRPr="003E4972" w:rsidRDefault="00707DF5" w:rsidP="00707DF5">
      <w:pPr>
        <w:rPr>
          <w:rFonts w:asciiTheme="majorHAnsi" w:hAnsiTheme="majorHAnsi" w:cstheme="majorHAnsi"/>
          <w:color w:val="000000"/>
          <w:sz w:val="22"/>
          <w:szCs w:val="22"/>
          <w:shd w:val="clear" w:color="auto" w:fill="FFFFFF"/>
          <w:lang w:val="en-AU"/>
        </w:rPr>
      </w:pPr>
      <w:r w:rsidRPr="003E4972">
        <w:rPr>
          <w:rFonts w:asciiTheme="majorHAnsi" w:hAnsiTheme="majorHAnsi" w:cstheme="majorHAnsi"/>
          <w:color w:val="000000"/>
          <w:sz w:val="22"/>
          <w:szCs w:val="22"/>
          <w:shd w:val="clear" w:color="auto" w:fill="FFFFFF"/>
        </w:rPr>
        <w:t xml:space="preserve">The overarching goal of the AASCTF is to improve systems and governance </w:t>
      </w:r>
      <w:proofErr w:type="gramStart"/>
      <w:r w:rsidRPr="003E4972">
        <w:rPr>
          <w:rFonts w:asciiTheme="majorHAnsi" w:hAnsiTheme="majorHAnsi" w:cstheme="majorHAnsi"/>
          <w:color w:val="000000"/>
          <w:sz w:val="22"/>
          <w:szCs w:val="22"/>
          <w:shd w:val="clear" w:color="auto" w:fill="FFFFFF"/>
        </w:rPr>
        <w:t>through the use of</w:t>
      </w:r>
      <w:proofErr w:type="gramEnd"/>
      <w:r w:rsidRPr="003E4972">
        <w:rPr>
          <w:rFonts w:asciiTheme="majorHAnsi" w:hAnsiTheme="majorHAnsi" w:cstheme="majorHAnsi"/>
          <w:color w:val="000000"/>
          <w:sz w:val="22"/>
          <w:szCs w:val="22"/>
          <w:shd w:val="clear" w:color="auto" w:fill="FFFFFF"/>
        </w:rPr>
        <w:t xml:space="preserve"> digital solutions in ASEAN Member States. The ADB has engaged Ramboll, a global engineering consultancy, as the main implementing partner</w:t>
      </w:r>
      <w:r w:rsidR="0002592B">
        <w:rPr>
          <w:rFonts w:asciiTheme="majorHAnsi" w:hAnsiTheme="majorHAnsi" w:cstheme="majorHAnsi"/>
          <w:color w:val="000000"/>
          <w:sz w:val="22"/>
          <w:szCs w:val="22"/>
          <w:shd w:val="clear" w:color="auto" w:fill="FFFFFF"/>
        </w:rPr>
        <w:t>. O</w:t>
      </w:r>
      <w:r w:rsidRPr="003E4972">
        <w:rPr>
          <w:rFonts w:asciiTheme="majorHAnsi" w:hAnsiTheme="majorHAnsi" w:cstheme="majorHAnsi"/>
          <w:color w:val="000000"/>
          <w:sz w:val="22"/>
          <w:szCs w:val="22"/>
          <w:shd w:val="clear" w:color="auto" w:fill="FFFFFF"/>
        </w:rPr>
        <w:t>ther individuals and firms are engaged directly to implement smaller components of the program.</w:t>
      </w:r>
    </w:p>
    <w:p w14:paraId="2A4B6765" w14:textId="43CE4D97" w:rsidR="00707DF5" w:rsidRPr="003E4972" w:rsidRDefault="00707DF5" w:rsidP="00707DF5">
      <w:pPr>
        <w:rPr>
          <w:rFonts w:asciiTheme="majorHAnsi" w:hAnsiTheme="majorHAnsi" w:cstheme="majorHAnsi"/>
          <w:color w:val="000000"/>
          <w:sz w:val="22"/>
          <w:szCs w:val="22"/>
          <w:shd w:val="clear" w:color="auto" w:fill="FFFFFF"/>
        </w:rPr>
      </w:pPr>
      <w:r w:rsidRPr="003E4972">
        <w:rPr>
          <w:rFonts w:asciiTheme="majorHAnsi" w:hAnsiTheme="majorHAnsi" w:cstheme="majorHAnsi"/>
          <w:color w:val="000000"/>
          <w:sz w:val="22"/>
          <w:szCs w:val="22"/>
          <w:shd w:val="clear" w:color="auto" w:fill="FFFFFF"/>
        </w:rPr>
        <w:t xml:space="preserve">The aim of the AASCTF is to build </w:t>
      </w:r>
      <w:r w:rsidR="003E4972" w:rsidRPr="003E4972">
        <w:rPr>
          <w:rFonts w:asciiTheme="majorHAnsi" w:hAnsiTheme="majorHAnsi" w:cstheme="majorHAnsi"/>
          <w:color w:val="000000"/>
          <w:sz w:val="22"/>
          <w:szCs w:val="22"/>
          <w:shd w:val="clear" w:color="auto" w:fill="FFFFFF"/>
        </w:rPr>
        <w:t>liveable</w:t>
      </w:r>
      <w:r w:rsidRPr="003E4972">
        <w:rPr>
          <w:rFonts w:asciiTheme="majorHAnsi" w:hAnsiTheme="majorHAnsi" w:cstheme="majorHAnsi"/>
          <w:color w:val="000000"/>
          <w:sz w:val="22"/>
          <w:szCs w:val="22"/>
          <w:shd w:val="clear" w:color="auto" w:fill="FFFFFF"/>
        </w:rPr>
        <w:t xml:space="preserve"> cities that are green, competitive, inclusive, and resilient, while promoting high quality of life, competitive </w:t>
      </w:r>
      <w:proofErr w:type="gramStart"/>
      <w:r w:rsidRPr="003E4972">
        <w:rPr>
          <w:rFonts w:asciiTheme="majorHAnsi" w:hAnsiTheme="majorHAnsi" w:cstheme="majorHAnsi"/>
          <w:color w:val="000000"/>
          <w:sz w:val="22"/>
          <w:szCs w:val="22"/>
          <w:shd w:val="clear" w:color="auto" w:fill="FFFFFF"/>
        </w:rPr>
        <w:t>economies</w:t>
      </w:r>
      <w:proofErr w:type="gramEnd"/>
      <w:r w:rsidRPr="003E4972">
        <w:rPr>
          <w:rFonts w:asciiTheme="majorHAnsi" w:hAnsiTheme="majorHAnsi" w:cstheme="majorHAnsi"/>
          <w:color w:val="000000"/>
          <w:sz w:val="22"/>
          <w:szCs w:val="22"/>
          <w:shd w:val="clear" w:color="auto" w:fill="FFFFFF"/>
        </w:rPr>
        <w:t xml:space="preserve"> and sustainable environments. The key output areas are 1) improved planning systems, 2) improved service delivery, and 3) improved financial management. The program achieves this through three different levels of interventions with participating ASEAN cities. Bronze cities can participate in regional knowledge sharing and capacity building events, </w:t>
      </w:r>
      <w:proofErr w:type="gramStart"/>
      <w:r w:rsidR="0004342D">
        <w:rPr>
          <w:rFonts w:asciiTheme="majorHAnsi" w:hAnsiTheme="majorHAnsi" w:cstheme="majorHAnsi"/>
          <w:color w:val="000000"/>
          <w:sz w:val="22"/>
          <w:szCs w:val="22"/>
          <w:shd w:val="clear" w:color="auto" w:fill="FFFFFF"/>
        </w:rPr>
        <w:t>S</w:t>
      </w:r>
      <w:r w:rsidRPr="003E4972">
        <w:rPr>
          <w:rFonts w:asciiTheme="majorHAnsi" w:hAnsiTheme="majorHAnsi" w:cstheme="majorHAnsi"/>
          <w:color w:val="000000"/>
          <w:sz w:val="22"/>
          <w:szCs w:val="22"/>
          <w:shd w:val="clear" w:color="auto" w:fill="FFFFFF"/>
        </w:rPr>
        <w:t>ilver</w:t>
      </w:r>
      <w:proofErr w:type="gramEnd"/>
      <w:r w:rsidRPr="003E4972">
        <w:rPr>
          <w:rFonts w:asciiTheme="majorHAnsi" w:hAnsiTheme="majorHAnsi" w:cstheme="majorHAnsi"/>
          <w:color w:val="000000"/>
          <w:sz w:val="22"/>
          <w:szCs w:val="22"/>
          <w:shd w:val="clear" w:color="auto" w:fill="FFFFFF"/>
        </w:rPr>
        <w:t xml:space="preserve"> cities are able to receive technical assistance and</w:t>
      </w:r>
      <w:r w:rsidR="00D46004">
        <w:rPr>
          <w:rFonts w:asciiTheme="majorHAnsi" w:hAnsiTheme="majorHAnsi" w:cstheme="majorHAnsi"/>
          <w:color w:val="000000"/>
          <w:sz w:val="22"/>
          <w:szCs w:val="22"/>
          <w:shd w:val="clear" w:color="auto" w:fill="FFFFFF"/>
        </w:rPr>
        <w:t xml:space="preserve"> implement</w:t>
      </w:r>
      <w:r w:rsidRPr="003E4972">
        <w:rPr>
          <w:rFonts w:asciiTheme="majorHAnsi" w:hAnsiTheme="majorHAnsi" w:cstheme="majorHAnsi"/>
          <w:color w:val="000000"/>
          <w:sz w:val="22"/>
          <w:szCs w:val="22"/>
          <w:shd w:val="clear" w:color="auto" w:fill="FFFFFF"/>
        </w:rPr>
        <w:t xml:space="preserve"> pilot pro</w:t>
      </w:r>
      <w:r w:rsidR="00B20394">
        <w:rPr>
          <w:rFonts w:asciiTheme="majorHAnsi" w:hAnsiTheme="majorHAnsi" w:cstheme="majorHAnsi"/>
          <w:color w:val="000000"/>
          <w:sz w:val="22"/>
          <w:szCs w:val="22"/>
          <w:shd w:val="clear" w:color="auto" w:fill="FFFFFF"/>
        </w:rPr>
        <w:t>jects</w:t>
      </w:r>
      <w:r w:rsidRPr="003E4972">
        <w:rPr>
          <w:rFonts w:asciiTheme="majorHAnsi" w:hAnsiTheme="majorHAnsi" w:cstheme="majorHAnsi"/>
          <w:color w:val="000000"/>
          <w:sz w:val="22"/>
          <w:szCs w:val="22"/>
          <w:shd w:val="clear" w:color="auto" w:fill="FFFFFF"/>
        </w:rPr>
        <w:t xml:space="preserve">, and </w:t>
      </w:r>
      <w:r w:rsidR="0004342D">
        <w:rPr>
          <w:rFonts w:asciiTheme="majorHAnsi" w:hAnsiTheme="majorHAnsi" w:cstheme="majorHAnsi"/>
          <w:color w:val="000000"/>
          <w:sz w:val="22"/>
          <w:szCs w:val="22"/>
          <w:shd w:val="clear" w:color="auto" w:fill="FFFFFF"/>
        </w:rPr>
        <w:t>G</w:t>
      </w:r>
      <w:r w:rsidRPr="003E4972">
        <w:rPr>
          <w:rFonts w:asciiTheme="majorHAnsi" w:hAnsiTheme="majorHAnsi" w:cstheme="majorHAnsi"/>
          <w:color w:val="000000"/>
          <w:sz w:val="22"/>
          <w:szCs w:val="22"/>
          <w:shd w:val="clear" w:color="auto" w:fill="FFFFFF"/>
        </w:rPr>
        <w:t>old cities are eligible for investment grants (standalone or as part of an ADB partnership or lending program) to support demonstration projects.</w:t>
      </w:r>
    </w:p>
    <w:p w14:paraId="6170FB95" w14:textId="0A726106" w:rsidR="00707DF5" w:rsidRPr="003E4972" w:rsidRDefault="00397DA5" w:rsidP="00707DF5">
      <w:pPr>
        <w:rPr>
          <w:rFonts w:asciiTheme="majorHAnsi" w:hAnsiTheme="majorHAnsi" w:cstheme="majorHAnsi"/>
          <w:color w:val="000000"/>
          <w:sz w:val="22"/>
          <w:szCs w:val="22"/>
          <w:shd w:val="clear" w:color="auto" w:fill="FFFFFF"/>
        </w:rPr>
      </w:pPr>
      <w:r>
        <w:rPr>
          <w:rFonts w:asciiTheme="majorHAnsi" w:hAnsiTheme="majorHAnsi" w:cstheme="majorHAnsi"/>
          <w:color w:val="000000"/>
          <w:sz w:val="22"/>
          <w:szCs w:val="22"/>
          <w:shd w:val="clear" w:color="auto" w:fill="FFFFFF"/>
        </w:rPr>
        <w:t xml:space="preserve">The </w:t>
      </w:r>
      <w:r w:rsidR="00707DF5" w:rsidRPr="003E4972">
        <w:rPr>
          <w:rFonts w:asciiTheme="majorHAnsi" w:hAnsiTheme="majorHAnsi" w:cstheme="majorHAnsi"/>
          <w:color w:val="000000"/>
          <w:sz w:val="22"/>
          <w:szCs w:val="22"/>
          <w:shd w:val="clear" w:color="auto" w:fill="FFFFFF"/>
        </w:rPr>
        <w:t xml:space="preserve">ASEAN countries included in the program are Cambodia, Indonesia, Laos, Malaysia, Myanmar (on hold), Philippines, Thailand, and Vietnam. Twenty-four cities have been selected as </w:t>
      </w:r>
      <w:proofErr w:type="gramStart"/>
      <w:r w:rsidR="00212E41">
        <w:rPr>
          <w:rFonts w:asciiTheme="majorHAnsi" w:hAnsiTheme="majorHAnsi" w:cstheme="majorHAnsi"/>
          <w:color w:val="000000"/>
          <w:sz w:val="22"/>
          <w:szCs w:val="22"/>
          <w:shd w:val="clear" w:color="auto" w:fill="FFFFFF"/>
        </w:rPr>
        <w:t>B</w:t>
      </w:r>
      <w:r w:rsidR="00707DF5" w:rsidRPr="003E4972">
        <w:rPr>
          <w:rFonts w:asciiTheme="majorHAnsi" w:hAnsiTheme="majorHAnsi" w:cstheme="majorHAnsi"/>
          <w:color w:val="000000"/>
          <w:sz w:val="22"/>
          <w:szCs w:val="22"/>
          <w:shd w:val="clear" w:color="auto" w:fill="FFFFFF"/>
        </w:rPr>
        <w:t>ronze</w:t>
      </w:r>
      <w:proofErr w:type="gramEnd"/>
      <w:r w:rsidR="00707DF5" w:rsidRPr="003E4972">
        <w:rPr>
          <w:rFonts w:asciiTheme="majorHAnsi" w:hAnsiTheme="majorHAnsi" w:cstheme="majorHAnsi"/>
          <w:color w:val="000000"/>
          <w:sz w:val="22"/>
          <w:szCs w:val="22"/>
          <w:shd w:val="clear" w:color="auto" w:fill="FFFFFF"/>
        </w:rPr>
        <w:t xml:space="preserve"> cities, there are eleven </w:t>
      </w:r>
      <w:r w:rsidR="00212E41">
        <w:rPr>
          <w:rFonts w:asciiTheme="majorHAnsi" w:hAnsiTheme="majorHAnsi" w:cstheme="majorHAnsi"/>
          <w:color w:val="000000"/>
          <w:sz w:val="22"/>
          <w:szCs w:val="22"/>
          <w:shd w:val="clear" w:color="auto" w:fill="FFFFFF"/>
        </w:rPr>
        <w:t>S</w:t>
      </w:r>
      <w:r w:rsidR="00707DF5" w:rsidRPr="003E4972">
        <w:rPr>
          <w:rFonts w:asciiTheme="majorHAnsi" w:hAnsiTheme="majorHAnsi" w:cstheme="majorHAnsi"/>
          <w:color w:val="000000"/>
          <w:sz w:val="22"/>
          <w:szCs w:val="22"/>
          <w:shd w:val="clear" w:color="auto" w:fill="FFFFFF"/>
        </w:rPr>
        <w:t xml:space="preserve">ilver cities, and it is envisaged that three cities </w:t>
      </w:r>
      <w:r w:rsidR="00367E00" w:rsidRPr="003E4972">
        <w:rPr>
          <w:rFonts w:asciiTheme="majorHAnsi" w:hAnsiTheme="majorHAnsi" w:cstheme="majorHAnsi"/>
          <w:color w:val="000000"/>
          <w:sz w:val="22"/>
          <w:szCs w:val="22"/>
          <w:shd w:val="clear" w:color="auto" w:fill="FFFFFF"/>
        </w:rPr>
        <w:t xml:space="preserve">will </w:t>
      </w:r>
      <w:r w:rsidR="00707DF5" w:rsidRPr="003E4972">
        <w:rPr>
          <w:rFonts w:asciiTheme="majorHAnsi" w:hAnsiTheme="majorHAnsi" w:cstheme="majorHAnsi"/>
          <w:color w:val="000000"/>
          <w:sz w:val="22"/>
          <w:szCs w:val="22"/>
          <w:shd w:val="clear" w:color="auto" w:fill="FFFFFF"/>
        </w:rPr>
        <w:t xml:space="preserve">become </w:t>
      </w:r>
      <w:r w:rsidR="00212E41">
        <w:rPr>
          <w:rFonts w:asciiTheme="majorHAnsi" w:hAnsiTheme="majorHAnsi" w:cstheme="majorHAnsi"/>
          <w:color w:val="000000"/>
          <w:sz w:val="22"/>
          <w:szCs w:val="22"/>
          <w:shd w:val="clear" w:color="auto" w:fill="FFFFFF"/>
        </w:rPr>
        <w:t>G</w:t>
      </w:r>
      <w:r w:rsidR="00707DF5" w:rsidRPr="003E4972">
        <w:rPr>
          <w:rFonts w:asciiTheme="majorHAnsi" w:hAnsiTheme="majorHAnsi" w:cstheme="majorHAnsi"/>
          <w:color w:val="000000"/>
          <w:sz w:val="22"/>
          <w:szCs w:val="22"/>
          <w:shd w:val="clear" w:color="auto" w:fill="FFFFFF"/>
        </w:rPr>
        <w:t>old cities.</w:t>
      </w:r>
    </w:p>
    <w:p w14:paraId="7414B44D" w14:textId="47258297" w:rsidR="00950931" w:rsidRPr="003E4972" w:rsidRDefault="00707DF5" w:rsidP="00950931">
      <w:pPr>
        <w:pStyle w:val="NormalWeb"/>
        <w:shd w:val="clear" w:color="auto" w:fill="FFFFFF"/>
        <w:spacing w:before="120" w:beforeAutospacing="0" w:after="120" w:afterAutospacing="0"/>
        <w:rPr>
          <w:rFonts w:asciiTheme="majorHAnsi" w:hAnsiTheme="majorHAnsi" w:cstheme="majorHAnsi"/>
          <w:color w:val="262626" w:themeColor="text1" w:themeTint="D9"/>
          <w:sz w:val="20"/>
          <w:szCs w:val="20"/>
          <w:shd w:val="clear" w:color="auto" w:fill="FFFFFF"/>
        </w:rPr>
      </w:pPr>
      <w:r w:rsidRPr="003E4972">
        <w:rPr>
          <w:rFonts w:asciiTheme="majorHAnsi" w:hAnsiTheme="majorHAnsi" w:cstheme="majorHAnsi"/>
          <w:color w:val="000000"/>
          <w:sz w:val="22"/>
          <w:szCs w:val="22"/>
          <w:shd w:val="clear" w:color="auto" w:fill="FFFFFF"/>
        </w:rPr>
        <w:t xml:space="preserve">DFAT commissioned a mid-term review </w:t>
      </w:r>
      <w:r w:rsidR="0068372A">
        <w:rPr>
          <w:rFonts w:asciiTheme="majorHAnsi" w:hAnsiTheme="majorHAnsi" w:cstheme="majorHAnsi"/>
          <w:color w:val="000000"/>
          <w:sz w:val="22"/>
          <w:szCs w:val="22"/>
          <w:shd w:val="clear" w:color="auto" w:fill="FFFFFF"/>
        </w:rPr>
        <w:t xml:space="preserve">(MTR) </w:t>
      </w:r>
      <w:r w:rsidRPr="003E4972">
        <w:rPr>
          <w:rFonts w:asciiTheme="majorHAnsi" w:hAnsiTheme="majorHAnsi" w:cstheme="majorHAnsi"/>
          <w:color w:val="000000"/>
          <w:sz w:val="22"/>
          <w:szCs w:val="22"/>
          <w:shd w:val="clear" w:color="auto" w:fill="FFFFFF"/>
        </w:rPr>
        <w:t xml:space="preserve">of AASCTF in 2022. The purpose of the review was to </w:t>
      </w:r>
      <w:r w:rsidR="00536F16">
        <w:rPr>
          <w:rFonts w:asciiTheme="majorHAnsi" w:hAnsiTheme="majorHAnsi" w:cstheme="majorHAnsi"/>
          <w:color w:val="000000"/>
          <w:sz w:val="22"/>
          <w:szCs w:val="22"/>
          <w:shd w:val="clear" w:color="auto" w:fill="FFFFFF"/>
        </w:rPr>
        <w:t>identify improvements to the program</w:t>
      </w:r>
      <w:r w:rsidRPr="003E4972">
        <w:rPr>
          <w:rFonts w:asciiTheme="majorHAnsi" w:hAnsiTheme="majorHAnsi" w:cstheme="majorHAnsi"/>
          <w:color w:val="000000"/>
          <w:sz w:val="22"/>
          <w:szCs w:val="22"/>
          <w:shd w:val="clear" w:color="auto" w:fill="FFFFFF"/>
        </w:rPr>
        <w:t xml:space="preserve">, including </w:t>
      </w:r>
      <w:r w:rsidR="00D61470">
        <w:rPr>
          <w:rFonts w:asciiTheme="majorHAnsi" w:hAnsiTheme="majorHAnsi" w:cstheme="majorHAnsi"/>
          <w:color w:val="000000"/>
          <w:sz w:val="22"/>
          <w:szCs w:val="22"/>
          <w:shd w:val="clear" w:color="auto" w:fill="FFFFFF"/>
        </w:rPr>
        <w:t xml:space="preserve">by reviewing </w:t>
      </w:r>
      <w:r w:rsidR="00210208">
        <w:rPr>
          <w:rFonts w:asciiTheme="majorHAnsi" w:hAnsiTheme="majorHAnsi" w:cstheme="majorHAnsi"/>
          <w:color w:val="000000"/>
          <w:sz w:val="22"/>
          <w:szCs w:val="22"/>
          <w:shd w:val="clear" w:color="auto" w:fill="FFFFFF"/>
        </w:rPr>
        <w:t>the</w:t>
      </w:r>
      <w:r w:rsidRPr="003E4972">
        <w:rPr>
          <w:rFonts w:asciiTheme="majorHAnsi" w:hAnsiTheme="majorHAnsi" w:cstheme="majorHAnsi"/>
          <w:color w:val="000000"/>
          <w:sz w:val="22"/>
          <w:szCs w:val="22"/>
          <w:shd w:val="clear" w:color="auto" w:fill="FFFFFF"/>
        </w:rPr>
        <w:t xml:space="preserve"> effectiveness and efficiency of program management arrangements</w:t>
      </w:r>
      <w:r w:rsidR="00172F42" w:rsidRPr="003E4972">
        <w:rPr>
          <w:rFonts w:asciiTheme="majorHAnsi" w:hAnsiTheme="majorHAnsi" w:cstheme="majorHAnsi"/>
          <w:color w:val="000000"/>
          <w:sz w:val="22"/>
          <w:szCs w:val="22"/>
          <w:shd w:val="clear" w:color="auto" w:fill="FFFFFF"/>
        </w:rPr>
        <w:t>,</w:t>
      </w:r>
      <w:r w:rsidRPr="003E4972">
        <w:rPr>
          <w:rFonts w:asciiTheme="majorHAnsi" w:hAnsiTheme="majorHAnsi" w:cstheme="majorHAnsi"/>
          <w:color w:val="000000"/>
          <w:sz w:val="22"/>
          <w:szCs w:val="22"/>
          <w:shd w:val="clear" w:color="auto" w:fill="FFFFFF"/>
        </w:rPr>
        <w:t xml:space="preserve"> and </w:t>
      </w:r>
      <w:r w:rsidR="00D61470">
        <w:rPr>
          <w:rFonts w:asciiTheme="majorHAnsi" w:hAnsiTheme="majorHAnsi" w:cstheme="majorHAnsi"/>
          <w:color w:val="000000"/>
          <w:sz w:val="22"/>
          <w:szCs w:val="22"/>
          <w:shd w:val="clear" w:color="auto" w:fill="FFFFFF"/>
        </w:rPr>
        <w:t xml:space="preserve">to </w:t>
      </w:r>
      <w:r w:rsidR="00DF0703" w:rsidRPr="003E4972">
        <w:rPr>
          <w:rFonts w:asciiTheme="majorHAnsi" w:hAnsiTheme="majorHAnsi" w:cstheme="majorHAnsi"/>
          <w:color w:val="000000"/>
          <w:sz w:val="22"/>
          <w:szCs w:val="22"/>
          <w:shd w:val="clear" w:color="auto" w:fill="FFFFFF"/>
        </w:rPr>
        <w:t>inform</w:t>
      </w:r>
      <w:r w:rsidR="007738BB" w:rsidRPr="003E4972">
        <w:rPr>
          <w:rFonts w:asciiTheme="majorHAnsi" w:hAnsiTheme="majorHAnsi" w:cstheme="majorHAnsi"/>
          <w:color w:val="000000"/>
          <w:sz w:val="22"/>
          <w:szCs w:val="22"/>
          <w:shd w:val="clear" w:color="auto" w:fill="FFFFFF"/>
        </w:rPr>
        <w:t xml:space="preserve"> </w:t>
      </w:r>
      <w:r w:rsidR="00950931" w:rsidRPr="003E4972">
        <w:rPr>
          <w:rFonts w:asciiTheme="majorHAnsi" w:hAnsiTheme="majorHAnsi" w:cstheme="majorHAnsi"/>
          <w:color w:val="000000"/>
          <w:sz w:val="22"/>
          <w:szCs w:val="22"/>
          <w:shd w:val="clear" w:color="auto" w:fill="FFFFFF"/>
        </w:rPr>
        <w:t>a decision on future funding</w:t>
      </w:r>
      <w:r w:rsidR="00950931" w:rsidRPr="003E4972">
        <w:rPr>
          <w:rFonts w:asciiTheme="majorHAnsi" w:hAnsiTheme="majorHAnsi" w:cstheme="majorHAnsi"/>
          <w:color w:val="262626" w:themeColor="text1" w:themeTint="D9"/>
          <w:sz w:val="20"/>
          <w:szCs w:val="20"/>
          <w:shd w:val="clear" w:color="auto" w:fill="FFFFFF"/>
        </w:rPr>
        <w:t>.</w:t>
      </w:r>
    </w:p>
    <w:p w14:paraId="2EC3D9A2" w14:textId="29707D3E" w:rsidR="00950931" w:rsidRPr="003E4972" w:rsidRDefault="00950931" w:rsidP="00950931">
      <w:pPr>
        <w:pStyle w:val="NormalWeb"/>
        <w:shd w:val="clear" w:color="auto" w:fill="FFFFFF"/>
        <w:spacing w:before="120" w:beforeAutospacing="0" w:after="120" w:afterAutospacing="0"/>
        <w:rPr>
          <w:rFonts w:asciiTheme="majorHAnsi" w:hAnsiTheme="majorHAnsi" w:cstheme="majorHAnsi"/>
          <w:color w:val="000000"/>
          <w:sz w:val="22"/>
          <w:szCs w:val="22"/>
          <w:shd w:val="clear" w:color="auto" w:fill="FFFFFF"/>
        </w:rPr>
      </w:pPr>
      <w:r w:rsidRPr="003E4972">
        <w:rPr>
          <w:rFonts w:asciiTheme="majorHAnsi" w:hAnsiTheme="majorHAnsi" w:cstheme="majorHAnsi"/>
          <w:color w:val="000000"/>
          <w:sz w:val="22"/>
          <w:szCs w:val="22"/>
          <w:shd w:val="clear" w:color="auto" w:fill="FFFFFF"/>
        </w:rPr>
        <w:t>The review found that AASCTF is implementing innovative smart city solutions that meet the need</w:t>
      </w:r>
      <w:r w:rsidR="00DF0703" w:rsidRPr="003E4972">
        <w:rPr>
          <w:rFonts w:asciiTheme="majorHAnsi" w:hAnsiTheme="majorHAnsi" w:cstheme="majorHAnsi"/>
          <w:color w:val="000000"/>
          <w:sz w:val="22"/>
          <w:szCs w:val="22"/>
          <w:shd w:val="clear" w:color="auto" w:fill="FFFFFF"/>
        </w:rPr>
        <w:t>s</w:t>
      </w:r>
      <w:r w:rsidRPr="003E4972">
        <w:rPr>
          <w:rFonts w:asciiTheme="majorHAnsi" w:hAnsiTheme="majorHAnsi" w:cstheme="majorHAnsi"/>
          <w:color w:val="000000"/>
          <w:sz w:val="22"/>
          <w:szCs w:val="22"/>
          <w:shd w:val="clear" w:color="auto" w:fill="FFFFFF"/>
        </w:rPr>
        <w:t xml:space="preserve"> of governments in the selected ASEAN cities. The review identified several areas for improvement. The review’s recommendations </w:t>
      </w:r>
      <w:r w:rsidR="003F3EEF">
        <w:rPr>
          <w:rFonts w:asciiTheme="majorHAnsi" w:hAnsiTheme="majorHAnsi" w:cstheme="majorHAnsi"/>
          <w:color w:val="000000"/>
          <w:sz w:val="22"/>
          <w:szCs w:val="22"/>
          <w:shd w:val="clear" w:color="auto" w:fill="FFFFFF"/>
        </w:rPr>
        <w:t xml:space="preserve">and </w:t>
      </w:r>
      <w:r w:rsidRPr="003E4972">
        <w:rPr>
          <w:rFonts w:asciiTheme="majorHAnsi" w:hAnsiTheme="majorHAnsi" w:cstheme="majorHAnsi"/>
          <w:color w:val="000000"/>
          <w:sz w:val="22"/>
          <w:szCs w:val="22"/>
          <w:shd w:val="clear" w:color="auto" w:fill="FFFFFF"/>
        </w:rPr>
        <w:t>DFAT’s responses</w:t>
      </w:r>
      <w:r w:rsidR="003F3EEF" w:rsidRPr="003F3EEF">
        <w:rPr>
          <w:rFonts w:asciiTheme="majorHAnsi" w:hAnsiTheme="majorHAnsi" w:cstheme="majorHAnsi"/>
          <w:color w:val="000000"/>
          <w:sz w:val="22"/>
          <w:szCs w:val="22"/>
          <w:shd w:val="clear" w:color="auto" w:fill="FFFFFF"/>
        </w:rPr>
        <w:t xml:space="preserve"> </w:t>
      </w:r>
      <w:r w:rsidR="003F3EEF" w:rsidRPr="003E4972">
        <w:rPr>
          <w:rFonts w:asciiTheme="majorHAnsi" w:hAnsiTheme="majorHAnsi" w:cstheme="majorHAnsi"/>
          <w:color w:val="000000"/>
          <w:sz w:val="22"/>
          <w:szCs w:val="22"/>
          <w:shd w:val="clear" w:color="auto" w:fill="FFFFFF"/>
        </w:rPr>
        <w:t>are listed below</w:t>
      </w:r>
      <w:r w:rsidRPr="003E4972">
        <w:rPr>
          <w:rFonts w:asciiTheme="majorHAnsi" w:hAnsiTheme="majorHAnsi" w:cstheme="majorHAnsi"/>
          <w:color w:val="000000"/>
          <w:sz w:val="22"/>
          <w:szCs w:val="22"/>
          <w:shd w:val="clear" w:color="auto" w:fill="FFFFFF"/>
        </w:rPr>
        <w:t xml:space="preserve">. </w:t>
      </w:r>
      <w:r w:rsidR="001E347F">
        <w:rPr>
          <w:rFonts w:asciiTheme="majorHAnsi" w:hAnsiTheme="majorHAnsi" w:cstheme="majorHAnsi"/>
          <w:color w:val="000000"/>
          <w:sz w:val="22"/>
          <w:szCs w:val="22"/>
          <w:shd w:val="clear" w:color="auto" w:fill="FFFFFF"/>
        </w:rPr>
        <w:t xml:space="preserve">DFAT has agreed to all the recommendations. </w:t>
      </w:r>
    </w:p>
    <w:p w14:paraId="052D0D12" w14:textId="2B7D076C" w:rsidR="00BC5AD4" w:rsidRPr="003E4972" w:rsidRDefault="00BC5AD4" w:rsidP="00950931">
      <w:pPr>
        <w:pStyle w:val="NormalWeb"/>
        <w:shd w:val="clear" w:color="auto" w:fill="FFFFFF"/>
        <w:spacing w:before="120" w:beforeAutospacing="0" w:after="120" w:afterAutospacing="0"/>
        <w:rPr>
          <w:rFonts w:asciiTheme="majorHAnsi" w:hAnsiTheme="majorHAnsi" w:cstheme="majorHAnsi"/>
          <w:color w:val="000000"/>
          <w:sz w:val="22"/>
          <w:szCs w:val="22"/>
          <w:shd w:val="clear" w:color="auto" w:fill="FFFFFF"/>
        </w:rPr>
      </w:pPr>
      <w:r w:rsidRPr="003E4972">
        <w:rPr>
          <w:rFonts w:asciiTheme="majorHAnsi" w:hAnsiTheme="majorHAnsi" w:cstheme="majorHAnsi"/>
          <w:color w:val="000000"/>
          <w:sz w:val="22"/>
          <w:szCs w:val="22"/>
          <w:shd w:val="clear" w:color="auto" w:fill="FFFFFF"/>
        </w:rPr>
        <w:t>In response to the MTR,</w:t>
      </w:r>
      <w:r w:rsidR="008D0A72" w:rsidRPr="003E4972">
        <w:rPr>
          <w:rFonts w:asciiTheme="majorHAnsi" w:hAnsiTheme="majorHAnsi" w:cstheme="majorHAnsi"/>
          <w:color w:val="000000"/>
          <w:sz w:val="22"/>
          <w:szCs w:val="22"/>
          <w:shd w:val="clear" w:color="auto" w:fill="FFFFFF"/>
        </w:rPr>
        <w:t xml:space="preserve"> </w:t>
      </w:r>
      <w:r w:rsidR="001A1916" w:rsidRPr="003E4972">
        <w:rPr>
          <w:rFonts w:asciiTheme="majorHAnsi" w:hAnsiTheme="majorHAnsi" w:cstheme="majorHAnsi"/>
          <w:color w:val="000000"/>
          <w:sz w:val="22"/>
          <w:szCs w:val="22"/>
          <w:shd w:val="clear" w:color="auto" w:fill="FFFFFF"/>
        </w:rPr>
        <w:t xml:space="preserve">Ramboll </w:t>
      </w:r>
      <w:r w:rsidR="00A70ED9" w:rsidRPr="003E4972">
        <w:rPr>
          <w:rFonts w:asciiTheme="majorHAnsi" w:hAnsiTheme="majorHAnsi" w:cstheme="majorHAnsi"/>
          <w:color w:val="000000"/>
          <w:sz w:val="22"/>
          <w:szCs w:val="22"/>
          <w:shd w:val="clear" w:color="auto" w:fill="FFFFFF"/>
        </w:rPr>
        <w:t>is</w:t>
      </w:r>
      <w:r w:rsidR="001A1916" w:rsidRPr="003E4972">
        <w:rPr>
          <w:rFonts w:asciiTheme="majorHAnsi" w:hAnsiTheme="majorHAnsi" w:cstheme="majorHAnsi"/>
          <w:color w:val="000000"/>
          <w:sz w:val="22"/>
          <w:szCs w:val="22"/>
          <w:shd w:val="clear" w:color="auto" w:fill="FFFFFF"/>
        </w:rPr>
        <w:t xml:space="preserve"> developing a</w:t>
      </w:r>
      <w:r w:rsidR="00DC5FBA" w:rsidRPr="003E4972">
        <w:rPr>
          <w:rFonts w:asciiTheme="majorHAnsi" w:hAnsiTheme="majorHAnsi" w:cstheme="majorHAnsi"/>
          <w:color w:val="000000"/>
          <w:sz w:val="22"/>
          <w:szCs w:val="22"/>
          <w:shd w:val="clear" w:color="auto" w:fill="FFFFFF"/>
        </w:rPr>
        <w:t>n</w:t>
      </w:r>
      <w:r w:rsidR="001A1916" w:rsidRPr="003E4972">
        <w:rPr>
          <w:rFonts w:asciiTheme="majorHAnsi" w:hAnsiTheme="majorHAnsi" w:cstheme="majorHAnsi"/>
          <w:color w:val="000000"/>
          <w:sz w:val="22"/>
          <w:szCs w:val="22"/>
          <w:shd w:val="clear" w:color="auto" w:fill="FFFFFF"/>
        </w:rPr>
        <w:t xml:space="preserve"> </w:t>
      </w:r>
      <w:r w:rsidR="00143C8F">
        <w:rPr>
          <w:rFonts w:asciiTheme="majorHAnsi" w:hAnsiTheme="majorHAnsi" w:cstheme="majorHAnsi"/>
          <w:color w:val="000000"/>
          <w:sz w:val="22"/>
          <w:szCs w:val="22"/>
          <w:shd w:val="clear" w:color="auto" w:fill="FFFFFF"/>
        </w:rPr>
        <w:t>A</w:t>
      </w:r>
      <w:r w:rsidR="001A1916" w:rsidRPr="003E4972">
        <w:rPr>
          <w:rFonts w:asciiTheme="majorHAnsi" w:hAnsiTheme="majorHAnsi" w:cstheme="majorHAnsi"/>
          <w:color w:val="000000"/>
          <w:sz w:val="22"/>
          <w:szCs w:val="22"/>
          <w:shd w:val="clear" w:color="auto" w:fill="FFFFFF"/>
        </w:rPr>
        <w:t xml:space="preserve">ASCTF Beyond 2022 Strategy which </w:t>
      </w:r>
      <w:r w:rsidR="005C5A63" w:rsidRPr="003E4972">
        <w:rPr>
          <w:rFonts w:asciiTheme="majorHAnsi" w:hAnsiTheme="majorHAnsi" w:cstheme="majorHAnsi"/>
          <w:color w:val="000000"/>
          <w:sz w:val="22"/>
          <w:szCs w:val="22"/>
          <w:shd w:val="clear" w:color="auto" w:fill="FFFFFF"/>
        </w:rPr>
        <w:t xml:space="preserve">will </w:t>
      </w:r>
      <w:r w:rsidR="00227A65" w:rsidRPr="003E4972">
        <w:rPr>
          <w:rFonts w:asciiTheme="majorHAnsi" w:hAnsiTheme="majorHAnsi" w:cstheme="majorHAnsi"/>
          <w:color w:val="000000"/>
          <w:sz w:val="22"/>
          <w:szCs w:val="22"/>
          <w:shd w:val="clear" w:color="auto" w:fill="FFFFFF"/>
        </w:rPr>
        <w:t xml:space="preserve">be </w:t>
      </w:r>
      <w:r w:rsidR="00B068D4">
        <w:rPr>
          <w:rFonts w:asciiTheme="majorHAnsi" w:hAnsiTheme="majorHAnsi" w:cstheme="majorHAnsi"/>
          <w:color w:val="000000"/>
          <w:sz w:val="22"/>
          <w:szCs w:val="22"/>
          <w:shd w:val="clear" w:color="auto" w:fill="FFFFFF"/>
        </w:rPr>
        <w:t xml:space="preserve">finalised </w:t>
      </w:r>
      <w:r w:rsidR="00A10028">
        <w:rPr>
          <w:rFonts w:asciiTheme="majorHAnsi" w:hAnsiTheme="majorHAnsi" w:cstheme="majorHAnsi"/>
          <w:color w:val="000000"/>
          <w:sz w:val="22"/>
          <w:szCs w:val="22"/>
          <w:shd w:val="clear" w:color="auto" w:fill="FFFFFF"/>
        </w:rPr>
        <w:t xml:space="preserve">in consultation </w:t>
      </w:r>
      <w:r w:rsidR="00B068D4">
        <w:rPr>
          <w:rFonts w:asciiTheme="majorHAnsi" w:hAnsiTheme="majorHAnsi" w:cstheme="majorHAnsi"/>
          <w:color w:val="000000"/>
          <w:sz w:val="22"/>
          <w:szCs w:val="22"/>
          <w:shd w:val="clear" w:color="auto" w:fill="FFFFFF"/>
        </w:rPr>
        <w:t>with, and</w:t>
      </w:r>
      <w:r w:rsidR="00227A65" w:rsidRPr="003E4972">
        <w:rPr>
          <w:rFonts w:asciiTheme="majorHAnsi" w:hAnsiTheme="majorHAnsi" w:cstheme="majorHAnsi"/>
          <w:color w:val="000000"/>
          <w:sz w:val="22"/>
          <w:szCs w:val="22"/>
          <w:shd w:val="clear" w:color="auto" w:fill="FFFFFF"/>
        </w:rPr>
        <w:t xml:space="preserve"> endorsed by</w:t>
      </w:r>
      <w:r w:rsidR="00770B14" w:rsidRPr="003E4972">
        <w:rPr>
          <w:rFonts w:asciiTheme="majorHAnsi" w:hAnsiTheme="majorHAnsi" w:cstheme="majorHAnsi"/>
          <w:color w:val="000000"/>
          <w:sz w:val="22"/>
          <w:szCs w:val="22"/>
          <w:shd w:val="clear" w:color="auto" w:fill="FFFFFF"/>
        </w:rPr>
        <w:t>,</w:t>
      </w:r>
      <w:r w:rsidR="00834B1C" w:rsidRPr="003E4972">
        <w:rPr>
          <w:rFonts w:asciiTheme="majorHAnsi" w:hAnsiTheme="majorHAnsi" w:cstheme="majorHAnsi"/>
          <w:color w:val="000000"/>
          <w:sz w:val="22"/>
          <w:szCs w:val="22"/>
          <w:shd w:val="clear" w:color="auto" w:fill="FFFFFF"/>
        </w:rPr>
        <w:t xml:space="preserve"> </w:t>
      </w:r>
      <w:r w:rsidR="005223A6" w:rsidRPr="003E4972">
        <w:rPr>
          <w:rFonts w:asciiTheme="majorHAnsi" w:hAnsiTheme="majorHAnsi" w:cstheme="majorHAnsi"/>
          <w:color w:val="000000"/>
          <w:sz w:val="22"/>
          <w:szCs w:val="22"/>
          <w:shd w:val="clear" w:color="auto" w:fill="FFFFFF"/>
        </w:rPr>
        <w:t xml:space="preserve">ADB and </w:t>
      </w:r>
      <w:r w:rsidR="00CE5884" w:rsidRPr="003E4972">
        <w:rPr>
          <w:rFonts w:asciiTheme="majorHAnsi" w:hAnsiTheme="majorHAnsi" w:cstheme="majorHAnsi"/>
          <w:color w:val="000000"/>
          <w:sz w:val="22"/>
          <w:szCs w:val="22"/>
          <w:shd w:val="clear" w:color="auto" w:fill="FFFFFF"/>
        </w:rPr>
        <w:t>DFAT</w:t>
      </w:r>
      <w:r w:rsidR="000D6E46" w:rsidRPr="003E4972">
        <w:rPr>
          <w:rFonts w:asciiTheme="majorHAnsi" w:hAnsiTheme="majorHAnsi" w:cstheme="majorHAnsi"/>
          <w:color w:val="000000"/>
          <w:sz w:val="22"/>
          <w:szCs w:val="22"/>
          <w:shd w:val="clear" w:color="auto" w:fill="FFFFFF"/>
        </w:rPr>
        <w:t xml:space="preserve"> </w:t>
      </w:r>
      <w:r w:rsidRPr="003E4972">
        <w:rPr>
          <w:rFonts w:asciiTheme="majorHAnsi" w:hAnsiTheme="majorHAnsi" w:cstheme="majorHAnsi"/>
          <w:color w:val="000000"/>
          <w:sz w:val="22"/>
          <w:szCs w:val="22"/>
          <w:shd w:val="clear" w:color="auto" w:fill="FFFFFF"/>
        </w:rPr>
        <w:t>in Q1 2023</w:t>
      </w:r>
      <w:r w:rsidR="00DC5FBA" w:rsidRPr="003E4972">
        <w:rPr>
          <w:rFonts w:asciiTheme="majorHAnsi" w:hAnsiTheme="majorHAnsi" w:cstheme="majorHAnsi"/>
          <w:color w:val="000000"/>
          <w:sz w:val="22"/>
          <w:szCs w:val="22"/>
          <w:shd w:val="clear" w:color="auto" w:fill="FFFFFF"/>
        </w:rPr>
        <w:t xml:space="preserve">. </w:t>
      </w:r>
      <w:r w:rsidR="00C02088" w:rsidRPr="003E4972">
        <w:rPr>
          <w:rFonts w:asciiTheme="majorHAnsi" w:hAnsiTheme="majorHAnsi" w:cstheme="majorHAnsi"/>
          <w:color w:val="000000"/>
          <w:sz w:val="22"/>
          <w:szCs w:val="22"/>
          <w:shd w:val="clear" w:color="auto" w:fill="FFFFFF"/>
        </w:rPr>
        <w:t xml:space="preserve">In addition to framing the </w:t>
      </w:r>
      <w:r w:rsidR="005223A6" w:rsidRPr="003E4972">
        <w:rPr>
          <w:rFonts w:asciiTheme="majorHAnsi" w:hAnsiTheme="majorHAnsi" w:cstheme="majorHAnsi"/>
          <w:color w:val="000000"/>
          <w:sz w:val="22"/>
          <w:szCs w:val="22"/>
          <w:shd w:val="clear" w:color="auto" w:fill="FFFFFF"/>
        </w:rPr>
        <w:t>next stages of the program,</w:t>
      </w:r>
      <w:r w:rsidR="00770B14" w:rsidRPr="003E4972">
        <w:rPr>
          <w:rFonts w:asciiTheme="majorHAnsi" w:hAnsiTheme="majorHAnsi" w:cstheme="majorHAnsi"/>
          <w:color w:val="000000"/>
          <w:sz w:val="22"/>
          <w:szCs w:val="22"/>
          <w:shd w:val="clear" w:color="auto" w:fill="FFFFFF"/>
        </w:rPr>
        <w:t xml:space="preserve"> </w:t>
      </w:r>
      <w:r w:rsidR="005223A6" w:rsidRPr="003E4972">
        <w:rPr>
          <w:rFonts w:asciiTheme="majorHAnsi" w:hAnsiTheme="majorHAnsi" w:cstheme="majorHAnsi"/>
          <w:color w:val="000000"/>
          <w:sz w:val="22"/>
          <w:szCs w:val="22"/>
          <w:shd w:val="clear" w:color="auto" w:fill="FFFFFF"/>
        </w:rPr>
        <w:t xml:space="preserve">the </w:t>
      </w:r>
      <w:r w:rsidR="00A10D28" w:rsidRPr="003E4972">
        <w:rPr>
          <w:rFonts w:asciiTheme="majorHAnsi" w:hAnsiTheme="majorHAnsi" w:cstheme="majorHAnsi"/>
          <w:color w:val="000000"/>
          <w:sz w:val="22"/>
          <w:szCs w:val="22"/>
          <w:shd w:val="clear" w:color="auto" w:fill="FFFFFF"/>
        </w:rPr>
        <w:t xml:space="preserve">AASCTF </w:t>
      </w:r>
      <w:r w:rsidR="005223A6" w:rsidRPr="003E4972">
        <w:rPr>
          <w:rFonts w:asciiTheme="majorHAnsi" w:hAnsiTheme="majorHAnsi" w:cstheme="majorHAnsi"/>
          <w:color w:val="000000"/>
          <w:sz w:val="22"/>
          <w:szCs w:val="22"/>
          <w:shd w:val="clear" w:color="auto" w:fill="FFFFFF"/>
        </w:rPr>
        <w:t xml:space="preserve">Beyond 2022 </w:t>
      </w:r>
      <w:r w:rsidR="00DC5FBA" w:rsidRPr="003E4972">
        <w:rPr>
          <w:rFonts w:asciiTheme="majorHAnsi" w:hAnsiTheme="majorHAnsi" w:cstheme="majorHAnsi"/>
          <w:color w:val="000000"/>
          <w:sz w:val="22"/>
          <w:szCs w:val="22"/>
          <w:shd w:val="clear" w:color="auto" w:fill="FFFFFF"/>
        </w:rPr>
        <w:t>Strategy</w:t>
      </w:r>
      <w:r w:rsidR="005A2D31" w:rsidRPr="003E4972">
        <w:rPr>
          <w:rFonts w:asciiTheme="majorHAnsi" w:hAnsiTheme="majorHAnsi" w:cstheme="majorHAnsi"/>
          <w:color w:val="000000"/>
          <w:sz w:val="22"/>
          <w:szCs w:val="22"/>
          <w:shd w:val="clear" w:color="auto" w:fill="FFFFFF"/>
        </w:rPr>
        <w:t xml:space="preserve"> </w:t>
      </w:r>
      <w:r w:rsidR="003C5C54">
        <w:rPr>
          <w:rFonts w:asciiTheme="majorHAnsi" w:hAnsiTheme="majorHAnsi" w:cstheme="majorHAnsi"/>
          <w:color w:val="000000"/>
          <w:sz w:val="22"/>
          <w:szCs w:val="22"/>
          <w:shd w:val="clear" w:color="auto" w:fill="FFFFFF"/>
        </w:rPr>
        <w:t xml:space="preserve">will </w:t>
      </w:r>
      <w:r w:rsidR="005223A6" w:rsidRPr="003E4972">
        <w:rPr>
          <w:rFonts w:asciiTheme="majorHAnsi" w:hAnsiTheme="majorHAnsi" w:cstheme="majorHAnsi"/>
          <w:color w:val="000000"/>
          <w:sz w:val="22"/>
          <w:szCs w:val="22"/>
          <w:shd w:val="clear" w:color="auto" w:fill="FFFFFF"/>
        </w:rPr>
        <w:t xml:space="preserve">include the following </w:t>
      </w:r>
      <w:r w:rsidR="005A2D31" w:rsidRPr="003E4972">
        <w:rPr>
          <w:rFonts w:asciiTheme="majorHAnsi" w:hAnsiTheme="majorHAnsi" w:cstheme="majorHAnsi"/>
          <w:color w:val="000000"/>
          <w:sz w:val="22"/>
          <w:szCs w:val="22"/>
          <w:shd w:val="clear" w:color="auto" w:fill="FFFFFF"/>
        </w:rPr>
        <w:t>targeted sub</w:t>
      </w:r>
      <w:r w:rsidR="00945725" w:rsidRPr="003E4972">
        <w:rPr>
          <w:rFonts w:asciiTheme="majorHAnsi" w:hAnsiTheme="majorHAnsi" w:cstheme="majorHAnsi"/>
          <w:color w:val="000000"/>
          <w:sz w:val="22"/>
          <w:szCs w:val="22"/>
          <w:shd w:val="clear" w:color="auto" w:fill="FFFFFF"/>
        </w:rPr>
        <w:t>-strategies</w:t>
      </w:r>
      <w:r w:rsidRPr="003E4972">
        <w:rPr>
          <w:rFonts w:asciiTheme="majorHAnsi" w:hAnsiTheme="majorHAnsi" w:cstheme="majorHAnsi"/>
          <w:color w:val="000000"/>
          <w:sz w:val="22"/>
          <w:szCs w:val="22"/>
          <w:shd w:val="clear" w:color="auto" w:fill="FFFFFF"/>
        </w:rPr>
        <w:t xml:space="preserve">: </w:t>
      </w:r>
    </w:p>
    <w:p w14:paraId="72C77F76" w14:textId="6F2C30A5" w:rsidR="00BC5AD4" w:rsidRPr="003E4972" w:rsidRDefault="00BC5AD4" w:rsidP="00BC5AD4">
      <w:pPr>
        <w:pStyle w:val="NormalWeb"/>
        <w:numPr>
          <w:ilvl w:val="0"/>
          <w:numId w:val="1"/>
        </w:numPr>
        <w:shd w:val="clear" w:color="auto" w:fill="FFFFFF"/>
        <w:spacing w:before="120" w:beforeAutospacing="0" w:after="120" w:afterAutospacing="0"/>
        <w:rPr>
          <w:rFonts w:asciiTheme="majorHAnsi" w:hAnsiTheme="majorHAnsi" w:cstheme="majorHAnsi"/>
          <w:color w:val="000000"/>
          <w:sz w:val="22"/>
          <w:szCs w:val="22"/>
          <w:shd w:val="clear" w:color="auto" w:fill="FFFFFF"/>
        </w:rPr>
      </w:pPr>
      <w:r w:rsidRPr="003E4972">
        <w:rPr>
          <w:rFonts w:asciiTheme="majorHAnsi" w:hAnsiTheme="majorHAnsi" w:cstheme="majorHAnsi"/>
          <w:sz w:val="22"/>
          <w:szCs w:val="22"/>
        </w:rPr>
        <w:t>AASCTF Graduation Strategy</w:t>
      </w:r>
    </w:p>
    <w:p w14:paraId="0330E366" w14:textId="4CFFC789" w:rsidR="00541794" w:rsidRPr="003E4972" w:rsidRDefault="00733516" w:rsidP="00E6379A">
      <w:pPr>
        <w:pStyle w:val="NormalWeb"/>
        <w:numPr>
          <w:ilvl w:val="0"/>
          <w:numId w:val="1"/>
        </w:numPr>
        <w:shd w:val="clear" w:color="auto" w:fill="FFFFFF"/>
        <w:spacing w:before="120" w:beforeAutospacing="0" w:after="120" w:afterAutospacing="0"/>
        <w:rPr>
          <w:rFonts w:asciiTheme="majorHAnsi" w:hAnsiTheme="majorHAnsi" w:cstheme="majorHAnsi"/>
          <w:color w:val="000000"/>
          <w:sz w:val="22"/>
          <w:szCs w:val="22"/>
          <w:shd w:val="clear" w:color="auto" w:fill="FFFFFF"/>
        </w:rPr>
      </w:pPr>
      <w:r w:rsidRPr="003E4972">
        <w:rPr>
          <w:rFonts w:asciiTheme="majorHAnsi" w:hAnsiTheme="majorHAnsi" w:cstheme="majorHAnsi"/>
          <w:sz w:val="22"/>
          <w:szCs w:val="22"/>
        </w:rPr>
        <w:t xml:space="preserve">AASCTF </w:t>
      </w:r>
      <w:r w:rsidR="00150327" w:rsidRPr="003E4972">
        <w:rPr>
          <w:rFonts w:asciiTheme="majorHAnsi" w:hAnsiTheme="majorHAnsi" w:cstheme="majorHAnsi"/>
          <w:sz w:val="22"/>
          <w:szCs w:val="22"/>
        </w:rPr>
        <w:t>Engagement Strategy</w:t>
      </w:r>
    </w:p>
    <w:p w14:paraId="15C245F6" w14:textId="257198E7" w:rsidR="00BC5AD4" w:rsidRPr="003E4972" w:rsidRDefault="00BC5AD4">
      <w:pPr>
        <w:pStyle w:val="NormalWeb"/>
        <w:numPr>
          <w:ilvl w:val="0"/>
          <w:numId w:val="1"/>
        </w:numPr>
        <w:shd w:val="clear" w:color="auto" w:fill="FFFFFF"/>
        <w:spacing w:before="120" w:beforeAutospacing="0" w:after="120" w:afterAutospacing="0"/>
        <w:rPr>
          <w:rFonts w:asciiTheme="majorHAnsi" w:hAnsiTheme="majorHAnsi" w:cstheme="majorHAnsi"/>
          <w:color w:val="000000"/>
          <w:sz w:val="22"/>
          <w:szCs w:val="22"/>
          <w:shd w:val="clear" w:color="auto" w:fill="FFFFFF"/>
        </w:rPr>
      </w:pPr>
      <w:r w:rsidRPr="003E4972">
        <w:rPr>
          <w:rFonts w:asciiTheme="majorHAnsi" w:hAnsiTheme="majorHAnsi" w:cstheme="majorHAnsi"/>
          <w:sz w:val="22"/>
          <w:szCs w:val="22"/>
        </w:rPr>
        <w:t>AASCTF Strategy for Raising the Bar on G</w:t>
      </w:r>
      <w:r w:rsidR="00877B08">
        <w:rPr>
          <w:rFonts w:asciiTheme="majorHAnsi" w:hAnsiTheme="majorHAnsi" w:cstheme="majorHAnsi"/>
          <w:sz w:val="22"/>
          <w:szCs w:val="22"/>
        </w:rPr>
        <w:t xml:space="preserve">ender </w:t>
      </w:r>
      <w:r w:rsidRPr="003E4972">
        <w:rPr>
          <w:rFonts w:asciiTheme="majorHAnsi" w:hAnsiTheme="majorHAnsi" w:cstheme="majorHAnsi"/>
          <w:sz w:val="22"/>
          <w:szCs w:val="22"/>
        </w:rPr>
        <w:t>E</w:t>
      </w:r>
      <w:r w:rsidR="00877B08">
        <w:rPr>
          <w:rFonts w:asciiTheme="majorHAnsi" w:hAnsiTheme="majorHAnsi" w:cstheme="majorHAnsi"/>
          <w:sz w:val="22"/>
          <w:szCs w:val="22"/>
        </w:rPr>
        <w:t xml:space="preserve">quality and </w:t>
      </w:r>
      <w:r w:rsidRPr="003E4972">
        <w:rPr>
          <w:rFonts w:asciiTheme="majorHAnsi" w:hAnsiTheme="majorHAnsi" w:cstheme="majorHAnsi"/>
          <w:sz w:val="22"/>
          <w:szCs w:val="22"/>
        </w:rPr>
        <w:t>S</w:t>
      </w:r>
      <w:r w:rsidR="00877B08">
        <w:rPr>
          <w:rFonts w:asciiTheme="majorHAnsi" w:hAnsiTheme="majorHAnsi" w:cstheme="majorHAnsi"/>
          <w:sz w:val="22"/>
          <w:szCs w:val="22"/>
        </w:rPr>
        <w:t xml:space="preserve">ocial </w:t>
      </w:r>
      <w:r w:rsidRPr="003E4972">
        <w:rPr>
          <w:rFonts w:asciiTheme="majorHAnsi" w:hAnsiTheme="majorHAnsi" w:cstheme="majorHAnsi"/>
          <w:sz w:val="22"/>
          <w:szCs w:val="22"/>
        </w:rPr>
        <w:t>I</w:t>
      </w:r>
      <w:r w:rsidR="00877B08">
        <w:rPr>
          <w:rFonts w:asciiTheme="majorHAnsi" w:hAnsiTheme="majorHAnsi" w:cstheme="majorHAnsi"/>
          <w:sz w:val="22"/>
          <w:szCs w:val="22"/>
        </w:rPr>
        <w:t>nclusion (GESI)</w:t>
      </w:r>
      <w:r w:rsidR="003E4972">
        <w:rPr>
          <w:rFonts w:asciiTheme="majorHAnsi" w:hAnsiTheme="majorHAnsi" w:cstheme="majorHAnsi"/>
          <w:sz w:val="22"/>
          <w:szCs w:val="22"/>
        </w:rPr>
        <w:t xml:space="preserve">. </w:t>
      </w:r>
    </w:p>
    <w:p w14:paraId="685B72CA" w14:textId="77777777" w:rsidR="00696594" w:rsidRPr="003E4972" w:rsidRDefault="00696594" w:rsidP="00935AD5">
      <w:pPr>
        <w:jc w:val="both"/>
        <w:rPr>
          <w:rStyle w:val="BookTitle"/>
          <w:rFonts w:asciiTheme="majorHAnsi" w:hAnsiTheme="majorHAnsi" w:cstheme="majorHAnsi"/>
          <w:sz w:val="22"/>
          <w:szCs w:val="22"/>
        </w:rPr>
      </w:pPr>
    </w:p>
    <w:p w14:paraId="702684DF" w14:textId="77777777" w:rsidR="003E4972" w:rsidRDefault="003E4972">
      <w:pPr>
        <w:spacing w:after="160" w:line="259" w:lineRule="auto"/>
        <w:rPr>
          <w:rStyle w:val="BookTitle"/>
          <w:rFonts w:asciiTheme="majorHAnsi" w:hAnsiTheme="majorHAnsi" w:cstheme="majorHAnsi"/>
          <w:color w:val="auto"/>
          <w:sz w:val="22"/>
          <w:szCs w:val="22"/>
        </w:rPr>
      </w:pPr>
      <w:r>
        <w:rPr>
          <w:rStyle w:val="BookTitle"/>
          <w:rFonts w:asciiTheme="majorHAnsi" w:hAnsiTheme="majorHAnsi" w:cstheme="majorHAnsi"/>
          <w:color w:val="auto"/>
          <w:sz w:val="22"/>
          <w:szCs w:val="22"/>
        </w:rPr>
        <w:br w:type="page"/>
      </w:r>
    </w:p>
    <w:p w14:paraId="779EDDB9" w14:textId="639052FB" w:rsidR="00935AD5" w:rsidRPr="003E4972" w:rsidRDefault="00935AD5" w:rsidP="00935AD5">
      <w:pPr>
        <w:jc w:val="both"/>
        <w:rPr>
          <w:rStyle w:val="BookTitle"/>
          <w:rFonts w:asciiTheme="majorHAnsi" w:hAnsiTheme="majorHAnsi" w:cstheme="majorHAnsi"/>
          <w:color w:val="auto"/>
          <w:sz w:val="22"/>
          <w:szCs w:val="22"/>
        </w:rPr>
      </w:pPr>
      <w:r w:rsidRPr="003E4972">
        <w:rPr>
          <w:rStyle w:val="BookTitle"/>
          <w:rFonts w:asciiTheme="majorHAnsi" w:hAnsiTheme="majorHAnsi" w:cstheme="majorHAnsi"/>
          <w:color w:val="auto"/>
          <w:sz w:val="22"/>
          <w:szCs w:val="22"/>
        </w:rPr>
        <w:lastRenderedPageBreak/>
        <w:t xml:space="preserve">Recommendations to </w:t>
      </w:r>
      <w:r w:rsidR="003C5C54">
        <w:rPr>
          <w:rStyle w:val="BookTitle"/>
          <w:rFonts w:asciiTheme="majorHAnsi" w:hAnsiTheme="majorHAnsi" w:cstheme="majorHAnsi"/>
          <w:color w:val="auto"/>
          <w:sz w:val="22"/>
          <w:szCs w:val="22"/>
        </w:rPr>
        <w:t>I</w:t>
      </w:r>
      <w:r w:rsidRPr="003E4972">
        <w:rPr>
          <w:rStyle w:val="BookTitle"/>
          <w:rFonts w:asciiTheme="majorHAnsi" w:hAnsiTheme="majorHAnsi" w:cstheme="majorHAnsi"/>
          <w:color w:val="auto"/>
          <w:sz w:val="22"/>
          <w:szCs w:val="22"/>
        </w:rPr>
        <w:t>mprove Effectiveness</w:t>
      </w:r>
    </w:p>
    <w:tbl>
      <w:tblPr>
        <w:tblStyle w:val="TableGrid"/>
        <w:tblW w:w="5000" w:type="pct"/>
        <w:tblLook w:val="04A0" w:firstRow="1" w:lastRow="0" w:firstColumn="1" w:lastColumn="0" w:noHBand="0" w:noVBand="1"/>
      </w:tblPr>
      <w:tblGrid>
        <w:gridCol w:w="4508"/>
        <w:gridCol w:w="4508"/>
      </w:tblGrid>
      <w:tr w:rsidR="00935AD5" w:rsidRPr="003E4972" w14:paraId="7E8F9918" w14:textId="77777777" w:rsidTr="00CE7784">
        <w:trPr>
          <w:tblHeader/>
        </w:trPr>
        <w:tc>
          <w:tcPr>
            <w:tcW w:w="2500" w:type="pct"/>
            <w:shd w:val="clear" w:color="auto" w:fill="C5E0B3" w:themeFill="accent6" w:themeFillTint="66"/>
          </w:tcPr>
          <w:p w14:paraId="1A765C96" w14:textId="77777777" w:rsidR="00935AD5" w:rsidRPr="003E4972" w:rsidRDefault="00935AD5" w:rsidP="00E6379A">
            <w:pPr>
              <w:jc w:val="center"/>
              <w:rPr>
                <w:rFonts w:asciiTheme="majorHAnsi" w:hAnsiTheme="majorHAnsi" w:cstheme="majorHAnsi"/>
                <w:b/>
                <w:bCs/>
                <w:sz w:val="22"/>
                <w:szCs w:val="22"/>
                <w:lang w:val="en-AU"/>
              </w:rPr>
            </w:pPr>
            <w:r w:rsidRPr="003E4972">
              <w:rPr>
                <w:rFonts w:asciiTheme="majorHAnsi" w:hAnsiTheme="majorHAnsi" w:cstheme="majorHAnsi"/>
                <w:b/>
                <w:bCs/>
                <w:sz w:val="22"/>
                <w:szCs w:val="22"/>
                <w:lang w:val="en-AU"/>
              </w:rPr>
              <w:t>Recommendation</w:t>
            </w:r>
          </w:p>
        </w:tc>
        <w:tc>
          <w:tcPr>
            <w:tcW w:w="2500" w:type="pct"/>
            <w:shd w:val="clear" w:color="auto" w:fill="C5E0B3" w:themeFill="accent6" w:themeFillTint="66"/>
          </w:tcPr>
          <w:p w14:paraId="49CAA7AE" w14:textId="77777777" w:rsidR="00935AD5" w:rsidRPr="003E4972" w:rsidRDefault="00935AD5" w:rsidP="00E6379A">
            <w:pPr>
              <w:jc w:val="center"/>
              <w:rPr>
                <w:rFonts w:asciiTheme="majorHAnsi" w:hAnsiTheme="majorHAnsi" w:cstheme="majorHAnsi"/>
                <w:b/>
                <w:bCs/>
                <w:sz w:val="22"/>
                <w:szCs w:val="22"/>
                <w:lang w:val="en-AU"/>
              </w:rPr>
            </w:pPr>
            <w:r w:rsidRPr="003E4972">
              <w:rPr>
                <w:rFonts w:asciiTheme="majorHAnsi" w:hAnsiTheme="majorHAnsi" w:cstheme="majorHAnsi"/>
                <w:b/>
                <w:bCs/>
                <w:sz w:val="22"/>
                <w:szCs w:val="22"/>
                <w:lang w:val="en-AU"/>
              </w:rPr>
              <w:t>DFAT response</w:t>
            </w:r>
          </w:p>
        </w:tc>
      </w:tr>
      <w:tr w:rsidR="00935AD5" w:rsidRPr="003E4972" w14:paraId="1AA8BEB2" w14:textId="77777777" w:rsidTr="7D125D77">
        <w:tc>
          <w:tcPr>
            <w:tcW w:w="2500" w:type="pct"/>
          </w:tcPr>
          <w:p w14:paraId="187F9D15" w14:textId="4B841E1A" w:rsidR="00935AD5" w:rsidRDefault="00F92F05" w:rsidP="00E6379A">
            <w:pPr>
              <w:spacing w:line="276" w:lineRule="auto"/>
              <w:rPr>
                <w:rFonts w:asciiTheme="majorHAnsi" w:hAnsiTheme="majorHAnsi" w:cstheme="majorHAnsi"/>
                <w:sz w:val="22"/>
                <w:szCs w:val="22"/>
              </w:rPr>
            </w:pPr>
            <w:r>
              <w:rPr>
                <w:rFonts w:asciiTheme="majorHAnsi" w:hAnsiTheme="majorHAnsi" w:cstheme="majorHAnsi"/>
                <w:sz w:val="22"/>
                <w:szCs w:val="22"/>
              </w:rPr>
              <w:t xml:space="preserve">1. </w:t>
            </w:r>
            <w:r w:rsidR="00935AD5" w:rsidRPr="003E4972">
              <w:rPr>
                <w:rFonts w:asciiTheme="majorHAnsi" w:hAnsiTheme="majorHAnsi" w:cstheme="majorHAnsi"/>
                <w:sz w:val="22"/>
                <w:szCs w:val="22"/>
              </w:rPr>
              <w:t xml:space="preserve">Bearing in mind that this is part of the original Design and Monitoring Framework (DMF) targets, review program strategy and results framework relating to delivery of integrated financial management information systems, either putting in place measures to increase the program focus on financial management </w:t>
            </w:r>
            <w:proofErr w:type="gramStart"/>
            <w:r w:rsidR="00935AD5" w:rsidRPr="003E4972">
              <w:rPr>
                <w:rFonts w:asciiTheme="majorHAnsi" w:hAnsiTheme="majorHAnsi" w:cstheme="majorHAnsi"/>
                <w:sz w:val="22"/>
                <w:szCs w:val="22"/>
              </w:rPr>
              <w:t>in order to</w:t>
            </w:r>
            <w:proofErr w:type="gramEnd"/>
            <w:r w:rsidR="00935AD5" w:rsidRPr="003E4972">
              <w:rPr>
                <w:rFonts w:asciiTheme="majorHAnsi" w:hAnsiTheme="majorHAnsi" w:cstheme="majorHAnsi"/>
                <w:sz w:val="22"/>
                <w:szCs w:val="22"/>
              </w:rPr>
              <w:t xml:space="preserve"> meet the DMF targets, or a re-framing of the DMF targets in collaboration with DFAT to reflect a greater focus on the first two pillars</w:t>
            </w:r>
            <w:r w:rsidR="00CE7265">
              <w:rPr>
                <w:rFonts w:asciiTheme="majorHAnsi" w:hAnsiTheme="majorHAnsi" w:cstheme="majorHAnsi"/>
                <w:sz w:val="22"/>
                <w:szCs w:val="22"/>
              </w:rPr>
              <w:t>.</w:t>
            </w:r>
          </w:p>
          <w:p w14:paraId="65F13A95" w14:textId="3356802A" w:rsidR="00F92F05" w:rsidRPr="003E4972" w:rsidRDefault="00F92F05" w:rsidP="00E6379A">
            <w:pPr>
              <w:spacing w:line="276" w:lineRule="auto"/>
              <w:rPr>
                <w:rFonts w:asciiTheme="majorHAnsi" w:hAnsiTheme="majorHAnsi" w:cstheme="majorHAnsi"/>
                <w:sz w:val="22"/>
                <w:szCs w:val="22"/>
              </w:rPr>
            </w:pPr>
          </w:p>
        </w:tc>
        <w:tc>
          <w:tcPr>
            <w:tcW w:w="2500" w:type="pct"/>
          </w:tcPr>
          <w:p w14:paraId="7261528C" w14:textId="010E3A70" w:rsidR="00935AD5" w:rsidRPr="003E4972" w:rsidRDefault="00D6290D" w:rsidP="7D125D77">
            <w:pPr>
              <w:rPr>
                <w:rFonts w:asciiTheme="majorHAnsi" w:hAnsiTheme="majorHAnsi" w:cstheme="majorHAnsi"/>
                <w:sz w:val="22"/>
                <w:szCs w:val="22"/>
              </w:rPr>
            </w:pPr>
            <w:r w:rsidRPr="003E4972">
              <w:rPr>
                <w:rFonts w:asciiTheme="majorHAnsi" w:hAnsiTheme="majorHAnsi" w:cstheme="majorHAnsi"/>
                <w:sz w:val="22"/>
                <w:szCs w:val="22"/>
              </w:rPr>
              <w:t>Agreed</w:t>
            </w:r>
            <w:r w:rsidR="00E75C65">
              <w:rPr>
                <w:rFonts w:asciiTheme="majorHAnsi" w:hAnsiTheme="majorHAnsi" w:cstheme="majorHAnsi"/>
                <w:sz w:val="22"/>
                <w:szCs w:val="22"/>
              </w:rPr>
              <w:t>.</w:t>
            </w:r>
            <w:r w:rsidRPr="003E4972">
              <w:rPr>
                <w:rFonts w:asciiTheme="majorHAnsi" w:hAnsiTheme="majorHAnsi" w:cstheme="majorHAnsi"/>
                <w:sz w:val="22"/>
                <w:szCs w:val="22"/>
              </w:rPr>
              <w:t xml:space="preserve"> The AASCTF Beyond 2022 Strategy will </w:t>
            </w:r>
            <w:r w:rsidR="00E754A9">
              <w:rPr>
                <w:rFonts w:asciiTheme="majorHAnsi" w:hAnsiTheme="majorHAnsi" w:cstheme="majorHAnsi"/>
                <w:sz w:val="22"/>
                <w:szCs w:val="22"/>
              </w:rPr>
              <w:t>include an increased focus on</w:t>
            </w:r>
            <w:r w:rsidRPr="003E4972">
              <w:rPr>
                <w:rFonts w:asciiTheme="majorHAnsi" w:hAnsiTheme="majorHAnsi" w:cstheme="majorHAnsi"/>
                <w:sz w:val="22"/>
                <w:szCs w:val="22"/>
              </w:rPr>
              <w:t xml:space="preserve"> financial management </w:t>
            </w:r>
            <w:r w:rsidR="00E754A9">
              <w:rPr>
                <w:rFonts w:asciiTheme="majorHAnsi" w:hAnsiTheme="majorHAnsi" w:cstheme="majorHAnsi"/>
                <w:sz w:val="22"/>
                <w:szCs w:val="22"/>
              </w:rPr>
              <w:t>and consider</w:t>
            </w:r>
            <w:r w:rsidRPr="003E4972">
              <w:rPr>
                <w:rFonts w:asciiTheme="majorHAnsi" w:hAnsiTheme="majorHAnsi" w:cstheme="majorHAnsi"/>
                <w:sz w:val="22"/>
                <w:szCs w:val="22"/>
              </w:rPr>
              <w:t xml:space="preserve"> options for a more targeted and strategic focus </w:t>
            </w:r>
            <w:r w:rsidR="00E9245F">
              <w:rPr>
                <w:rFonts w:asciiTheme="majorHAnsi" w:hAnsiTheme="majorHAnsi" w:cstheme="majorHAnsi"/>
                <w:sz w:val="22"/>
                <w:szCs w:val="22"/>
              </w:rPr>
              <w:t>for</w:t>
            </w:r>
            <w:r w:rsidRPr="003E4972">
              <w:rPr>
                <w:rFonts w:asciiTheme="majorHAnsi" w:hAnsiTheme="majorHAnsi" w:cstheme="majorHAnsi"/>
                <w:sz w:val="22"/>
                <w:szCs w:val="22"/>
              </w:rPr>
              <w:t xml:space="preserve"> AASCTF activitie</w:t>
            </w:r>
            <w:r w:rsidR="00E9245F">
              <w:rPr>
                <w:rFonts w:asciiTheme="majorHAnsi" w:hAnsiTheme="majorHAnsi" w:cstheme="majorHAnsi"/>
                <w:sz w:val="22"/>
                <w:szCs w:val="22"/>
              </w:rPr>
              <w:t>s</w:t>
            </w:r>
            <w:r w:rsidRPr="003E4972">
              <w:rPr>
                <w:rFonts w:asciiTheme="majorHAnsi" w:hAnsiTheme="majorHAnsi" w:cstheme="majorHAnsi"/>
                <w:sz w:val="22"/>
                <w:szCs w:val="22"/>
              </w:rPr>
              <w:t>.</w:t>
            </w:r>
            <w:r w:rsidR="006532F4" w:rsidRPr="003E4972">
              <w:rPr>
                <w:rFonts w:asciiTheme="majorHAnsi" w:hAnsiTheme="majorHAnsi" w:cstheme="majorHAnsi"/>
                <w:sz w:val="22"/>
                <w:szCs w:val="22"/>
              </w:rPr>
              <w:t xml:space="preserve"> </w:t>
            </w:r>
            <w:r w:rsidR="00E9245F">
              <w:rPr>
                <w:rFonts w:asciiTheme="majorHAnsi" w:hAnsiTheme="majorHAnsi" w:cstheme="majorHAnsi"/>
                <w:sz w:val="22"/>
                <w:szCs w:val="22"/>
              </w:rPr>
              <w:t>S</w:t>
            </w:r>
            <w:r w:rsidR="00E9245F" w:rsidRPr="003E4972">
              <w:rPr>
                <w:rFonts w:asciiTheme="majorHAnsi" w:hAnsiTheme="majorHAnsi" w:cstheme="majorHAnsi"/>
                <w:sz w:val="22"/>
                <w:szCs w:val="22"/>
              </w:rPr>
              <w:t>trategy workshops in Q1 2023</w:t>
            </w:r>
            <w:r w:rsidR="00E9245F">
              <w:rPr>
                <w:rFonts w:asciiTheme="majorHAnsi" w:hAnsiTheme="majorHAnsi" w:cstheme="majorHAnsi"/>
                <w:sz w:val="22"/>
                <w:szCs w:val="22"/>
              </w:rPr>
              <w:t xml:space="preserve"> will refine</w:t>
            </w:r>
            <w:r w:rsidR="00126EC0">
              <w:rPr>
                <w:rFonts w:asciiTheme="majorHAnsi" w:hAnsiTheme="majorHAnsi" w:cstheme="majorHAnsi"/>
                <w:sz w:val="22"/>
                <w:szCs w:val="22"/>
              </w:rPr>
              <w:t xml:space="preserve"> t</w:t>
            </w:r>
            <w:r w:rsidR="006532F4" w:rsidRPr="003E4972">
              <w:rPr>
                <w:rFonts w:asciiTheme="majorHAnsi" w:hAnsiTheme="majorHAnsi" w:cstheme="majorHAnsi"/>
                <w:sz w:val="22"/>
                <w:szCs w:val="22"/>
              </w:rPr>
              <w:t>he current overall DMF targets</w:t>
            </w:r>
            <w:r w:rsidR="00126EC0">
              <w:rPr>
                <w:rFonts w:asciiTheme="majorHAnsi" w:hAnsiTheme="majorHAnsi" w:cstheme="majorHAnsi"/>
                <w:sz w:val="22"/>
                <w:szCs w:val="22"/>
              </w:rPr>
              <w:t xml:space="preserve"> so they </w:t>
            </w:r>
            <w:r w:rsidR="006532F4" w:rsidRPr="003E4972">
              <w:rPr>
                <w:rFonts w:asciiTheme="majorHAnsi" w:hAnsiTheme="majorHAnsi" w:cstheme="majorHAnsi"/>
                <w:sz w:val="22"/>
                <w:szCs w:val="22"/>
              </w:rPr>
              <w:t>better align with the</w:t>
            </w:r>
            <w:r w:rsidR="00CE7265">
              <w:rPr>
                <w:rFonts w:asciiTheme="majorHAnsi" w:hAnsiTheme="majorHAnsi" w:cstheme="majorHAnsi"/>
                <w:sz w:val="22"/>
                <w:szCs w:val="22"/>
              </w:rPr>
              <w:t xml:space="preserve"> AASCTF</w:t>
            </w:r>
            <w:r w:rsidR="006532F4" w:rsidRPr="003E4972">
              <w:rPr>
                <w:rFonts w:asciiTheme="majorHAnsi" w:hAnsiTheme="majorHAnsi" w:cstheme="majorHAnsi"/>
                <w:sz w:val="22"/>
                <w:szCs w:val="22"/>
              </w:rPr>
              <w:t xml:space="preserve"> Beyond 2022 Strategy and revised</w:t>
            </w:r>
            <w:r w:rsidR="00CE7265">
              <w:rPr>
                <w:rFonts w:asciiTheme="majorHAnsi" w:hAnsiTheme="majorHAnsi" w:cstheme="majorHAnsi"/>
                <w:sz w:val="22"/>
                <w:szCs w:val="22"/>
              </w:rPr>
              <w:t xml:space="preserve"> </w:t>
            </w:r>
            <w:r w:rsidR="006532F4" w:rsidRPr="003E4972">
              <w:rPr>
                <w:rFonts w:asciiTheme="majorHAnsi" w:hAnsiTheme="majorHAnsi" w:cstheme="majorHAnsi"/>
                <w:sz w:val="22"/>
                <w:szCs w:val="22"/>
              </w:rPr>
              <w:t>outcome</w:t>
            </w:r>
            <w:r w:rsidR="00CE7265">
              <w:rPr>
                <w:rFonts w:asciiTheme="majorHAnsi" w:hAnsiTheme="majorHAnsi" w:cstheme="majorHAnsi"/>
                <w:sz w:val="22"/>
                <w:szCs w:val="22"/>
              </w:rPr>
              <w:t>-</w:t>
            </w:r>
            <w:r w:rsidR="006532F4" w:rsidRPr="003E4972">
              <w:rPr>
                <w:rFonts w:asciiTheme="majorHAnsi" w:hAnsiTheme="majorHAnsi" w:cstheme="majorHAnsi"/>
                <w:sz w:val="22"/>
                <w:szCs w:val="22"/>
              </w:rPr>
              <w:t xml:space="preserve">level </w:t>
            </w:r>
            <w:r w:rsidR="00E75C65">
              <w:rPr>
                <w:rFonts w:asciiTheme="majorHAnsi" w:hAnsiTheme="majorHAnsi" w:cstheme="majorHAnsi"/>
                <w:sz w:val="22"/>
                <w:szCs w:val="22"/>
              </w:rPr>
              <w:t>key performance indicators</w:t>
            </w:r>
            <w:r w:rsidR="00126EC0">
              <w:rPr>
                <w:rFonts w:asciiTheme="majorHAnsi" w:hAnsiTheme="majorHAnsi" w:cstheme="majorHAnsi"/>
                <w:sz w:val="22"/>
                <w:szCs w:val="22"/>
              </w:rPr>
              <w:t>.</w:t>
            </w:r>
          </w:p>
        </w:tc>
      </w:tr>
      <w:tr w:rsidR="00935AD5" w:rsidRPr="003E4972" w14:paraId="4897BECD" w14:textId="77777777" w:rsidTr="7D125D77">
        <w:tc>
          <w:tcPr>
            <w:tcW w:w="2500" w:type="pct"/>
          </w:tcPr>
          <w:p w14:paraId="3158B64D" w14:textId="0D3E669B" w:rsidR="00935AD5" w:rsidRDefault="00F92F05" w:rsidP="00F92F05">
            <w:pPr>
              <w:spacing w:line="276" w:lineRule="auto"/>
              <w:rPr>
                <w:rFonts w:asciiTheme="majorHAnsi" w:hAnsiTheme="majorHAnsi" w:cstheme="majorHAnsi"/>
                <w:sz w:val="22"/>
                <w:szCs w:val="22"/>
              </w:rPr>
            </w:pPr>
            <w:r>
              <w:rPr>
                <w:rFonts w:asciiTheme="majorHAnsi" w:hAnsiTheme="majorHAnsi" w:cstheme="majorHAnsi"/>
                <w:sz w:val="22"/>
                <w:szCs w:val="22"/>
              </w:rPr>
              <w:t xml:space="preserve">2. </w:t>
            </w:r>
            <w:r w:rsidR="00935AD5" w:rsidRPr="003E4972">
              <w:rPr>
                <w:rFonts w:asciiTheme="majorHAnsi" w:hAnsiTheme="majorHAnsi" w:cstheme="majorHAnsi"/>
                <w:sz w:val="22"/>
                <w:szCs w:val="22"/>
              </w:rPr>
              <w:t xml:space="preserve">ADB and Ramboll should clarify the linkages and ‘graduation process’ from Bronze to Silver to Gold tiers in the program and communicate this to city government counterparts. </w:t>
            </w:r>
          </w:p>
          <w:p w14:paraId="1768AD79" w14:textId="4CE2BC25" w:rsidR="00F92F05" w:rsidRPr="003E4972" w:rsidRDefault="00F92F05" w:rsidP="00F92F05">
            <w:pPr>
              <w:spacing w:line="276" w:lineRule="auto"/>
              <w:rPr>
                <w:rFonts w:asciiTheme="majorHAnsi" w:hAnsiTheme="majorHAnsi" w:cstheme="majorHAnsi"/>
                <w:sz w:val="22"/>
                <w:szCs w:val="22"/>
              </w:rPr>
            </w:pPr>
          </w:p>
        </w:tc>
        <w:tc>
          <w:tcPr>
            <w:tcW w:w="2500" w:type="pct"/>
          </w:tcPr>
          <w:p w14:paraId="25D3C776" w14:textId="000F09D9" w:rsidR="00935AD5" w:rsidRPr="003E4972" w:rsidRDefault="00D6290D" w:rsidP="00F92F05">
            <w:pPr>
              <w:spacing w:line="276" w:lineRule="auto"/>
              <w:rPr>
                <w:rFonts w:asciiTheme="majorHAnsi" w:hAnsiTheme="majorHAnsi" w:cstheme="majorHAnsi"/>
                <w:sz w:val="22"/>
                <w:szCs w:val="22"/>
              </w:rPr>
            </w:pPr>
            <w:r w:rsidRPr="003E4972">
              <w:rPr>
                <w:rFonts w:asciiTheme="majorHAnsi" w:hAnsiTheme="majorHAnsi" w:cstheme="majorHAnsi"/>
                <w:sz w:val="22"/>
                <w:szCs w:val="22"/>
              </w:rPr>
              <w:t>Agreed. An AASCTF Graduation Strategy is currently under development</w:t>
            </w:r>
            <w:r w:rsidR="00E75C65">
              <w:rPr>
                <w:rFonts w:asciiTheme="majorHAnsi" w:hAnsiTheme="majorHAnsi" w:cstheme="majorHAnsi"/>
                <w:sz w:val="22"/>
                <w:szCs w:val="22"/>
              </w:rPr>
              <w:t xml:space="preserve">. It will be </w:t>
            </w:r>
            <w:r w:rsidRPr="003E4972">
              <w:rPr>
                <w:rFonts w:asciiTheme="majorHAnsi" w:hAnsiTheme="majorHAnsi" w:cstheme="majorHAnsi"/>
                <w:sz w:val="22"/>
                <w:szCs w:val="22"/>
              </w:rPr>
              <w:t xml:space="preserve">finalised in Q1 2023 and </w:t>
            </w:r>
            <w:r w:rsidR="00770B14" w:rsidRPr="003E4972">
              <w:rPr>
                <w:rFonts w:asciiTheme="majorHAnsi" w:hAnsiTheme="majorHAnsi" w:cstheme="majorHAnsi"/>
                <w:sz w:val="22"/>
                <w:szCs w:val="22"/>
              </w:rPr>
              <w:t>will be</w:t>
            </w:r>
            <w:r w:rsidRPr="003E4972">
              <w:rPr>
                <w:rFonts w:asciiTheme="majorHAnsi" w:hAnsiTheme="majorHAnsi" w:cstheme="majorHAnsi"/>
                <w:sz w:val="22"/>
                <w:szCs w:val="22"/>
              </w:rPr>
              <w:t xml:space="preserve"> </w:t>
            </w:r>
            <w:r w:rsidR="00CD647C" w:rsidRPr="003E4972">
              <w:rPr>
                <w:rFonts w:asciiTheme="majorHAnsi" w:hAnsiTheme="majorHAnsi" w:cstheme="majorHAnsi"/>
                <w:sz w:val="22"/>
                <w:szCs w:val="22"/>
              </w:rPr>
              <w:t>s</w:t>
            </w:r>
            <w:r w:rsidR="00CD647C">
              <w:rPr>
                <w:rFonts w:asciiTheme="majorHAnsi" w:hAnsiTheme="majorHAnsi" w:cstheme="majorHAnsi"/>
                <w:sz w:val="22"/>
                <w:szCs w:val="22"/>
              </w:rPr>
              <w:t>hared</w:t>
            </w:r>
            <w:r w:rsidR="00CD647C" w:rsidRPr="003E4972">
              <w:rPr>
                <w:rFonts w:asciiTheme="majorHAnsi" w:hAnsiTheme="majorHAnsi" w:cstheme="majorHAnsi"/>
                <w:sz w:val="22"/>
                <w:szCs w:val="22"/>
              </w:rPr>
              <w:t xml:space="preserve"> </w:t>
            </w:r>
            <w:r w:rsidRPr="003E4972">
              <w:rPr>
                <w:rFonts w:asciiTheme="majorHAnsi" w:hAnsiTheme="majorHAnsi" w:cstheme="majorHAnsi"/>
                <w:sz w:val="22"/>
                <w:szCs w:val="22"/>
              </w:rPr>
              <w:t xml:space="preserve">with city government counterparts. </w:t>
            </w:r>
          </w:p>
        </w:tc>
      </w:tr>
      <w:tr w:rsidR="00935AD5" w:rsidRPr="003E4972" w14:paraId="0A4B4BFC" w14:textId="77777777" w:rsidTr="7D125D77">
        <w:tc>
          <w:tcPr>
            <w:tcW w:w="2500" w:type="pct"/>
          </w:tcPr>
          <w:p w14:paraId="33728EF3" w14:textId="42AA7D71" w:rsidR="00935AD5" w:rsidRDefault="00F92F05" w:rsidP="00F92F05">
            <w:pPr>
              <w:spacing w:line="276" w:lineRule="auto"/>
              <w:rPr>
                <w:rFonts w:asciiTheme="majorHAnsi" w:hAnsiTheme="majorHAnsi" w:cstheme="majorHAnsi"/>
                <w:sz w:val="22"/>
                <w:szCs w:val="22"/>
              </w:rPr>
            </w:pPr>
            <w:r>
              <w:rPr>
                <w:rFonts w:asciiTheme="majorHAnsi" w:hAnsiTheme="majorHAnsi" w:cstheme="majorHAnsi"/>
                <w:sz w:val="22"/>
                <w:szCs w:val="22"/>
              </w:rPr>
              <w:t xml:space="preserve">3. </w:t>
            </w:r>
            <w:r w:rsidR="00935AD5" w:rsidRPr="003E4972">
              <w:rPr>
                <w:rFonts w:asciiTheme="majorHAnsi" w:hAnsiTheme="majorHAnsi" w:cstheme="majorHAnsi"/>
                <w:sz w:val="22"/>
                <w:szCs w:val="22"/>
              </w:rPr>
              <w:t xml:space="preserve">ADB should clarify the possible options and time frames for </w:t>
            </w:r>
            <w:proofErr w:type="gramStart"/>
            <w:r w:rsidR="00935AD5" w:rsidRPr="003E4972">
              <w:rPr>
                <w:rFonts w:asciiTheme="majorHAnsi" w:hAnsiTheme="majorHAnsi" w:cstheme="majorHAnsi"/>
                <w:sz w:val="22"/>
                <w:szCs w:val="22"/>
              </w:rPr>
              <w:t>Gold</w:t>
            </w:r>
            <w:proofErr w:type="gramEnd"/>
            <w:r w:rsidR="00935AD5" w:rsidRPr="003E4972">
              <w:rPr>
                <w:rFonts w:asciiTheme="majorHAnsi" w:hAnsiTheme="majorHAnsi" w:cstheme="majorHAnsi"/>
                <w:sz w:val="22"/>
                <w:szCs w:val="22"/>
              </w:rPr>
              <w:t xml:space="preserve"> level investments of the AASCTF with DFAT. A framework for planning and assessing the alignment with program objectives and the impact of </w:t>
            </w:r>
            <w:proofErr w:type="gramStart"/>
            <w:r w:rsidR="00935AD5" w:rsidRPr="003E4972">
              <w:rPr>
                <w:rFonts w:asciiTheme="majorHAnsi" w:hAnsiTheme="majorHAnsi" w:cstheme="majorHAnsi"/>
                <w:sz w:val="22"/>
                <w:szCs w:val="22"/>
              </w:rPr>
              <w:t>Gold</w:t>
            </w:r>
            <w:proofErr w:type="gramEnd"/>
            <w:r w:rsidR="00935AD5" w:rsidRPr="003E4972">
              <w:rPr>
                <w:rFonts w:asciiTheme="majorHAnsi" w:hAnsiTheme="majorHAnsi" w:cstheme="majorHAnsi"/>
                <w:sz w:val="22"/>
                <w:szCs w:val="22"/>
              </w:rPr>
              <w:t xml:space="preserve"> investments should also be developed. This is an important program component and there is limited time remaining in the current program to finance and implement tangible assets that can result from Gold-level investments. </w:t>
            </w:r>
          </w:p>
          <w:p w14:paraId="3AA3FF7E" w14:textId="6F9EA025" w:rsidR="00F92F05" w:rsidRPr="003E4972" w:rsidRDefault="00F92F05" w:rsidP="00F92F05">
            <w:pPr>
              <w:spacing w:line="276" w:lineRule="auto"/>
              <w:rPr>
                <w:rFonts w:asciiTheme="majorHAnsi" w:hAnsiTheme="majorHAnsi" w:cstheme="majorHAnsi"/>
                <w:sz w:val="22"/>
                <w:szCs w:val="22"/>
              </w:rPr>
            </w:pPr>
          </w:p>
        </w:tc>
        <w:tc>
          <w:tcPr>
            <w:tcW w:w="2500" w:type="pct"/>
          </w:tcPr>
          <w:p w14:paraId="408D5D91" w14:textId="6CAA1CEF" w:rsidR="00935AD5" w:rsidRPr="003E4972" w:rsidRDefault="00935AD5" w:rsidP="00E6379A">
            <w:pPr>
              <w:spacing w:line="276" w:lineRule="auto"/>
              <w:rPr>
                <w:rFonts w:asciiTheme="majorHAnsi" w:hAnsiTheme="majorHAnsi" w:cstheme="majorHAnsi"/>
                <w:sz w:val="22"/>
                <w:szCs w:val="22"/>
              </w:rPr>
            </w:pPr>
            <w:r w:rsidRPr="003E4972">
              <w:rPr>
                <w:rFonts w:asciiTheme="majorHAnsi" w:hAnsiTheme="majorHAnsi" w:cstheme="majorHAnsi"/>
                <w:sz w:val="22"/>
                <w:szCs w:val="22"/>
              </w:rPr>
              <w:t xml:space="preserve">Agreed. </w:t>
            </w:r>
            <w:r w:rsidR="00CE5D55" w:rsidRPr="003E4972">
              <w:rPr>
                <w:rFonts w:asciiTheme="majorHAnsi" w:hAnsiTheme="majorHAnsi" w:cstheme="majorHAnsi"/>
                <w:sz w:val="22"/>
                <w:szCs w:val="22"/>
              </w:rPr>
              <w:t>ADB</w:t>
            </w:r>
            <w:r w:rsidRPr="003E4972">
              <w:rPr>
                <w:rFonts w:asciiTheme="majorHAnsi" w:hAnsiTheme="majorHAnsi" w:cstheme="majorHAnsi"/>
                <w:sz w:val="22"/>
                <w:szCs w:val="22"/>
              </w:rPr>
              <w:t xml:space="preserve"> has established a new Technical Assistance Window to implement the Gold City Projects. A </w:t>
            </w:r>
            <w:r w:rsidR="00C627A6" w:rsidRPr="003E4972">
              <w:rPr>
                <w:rFonts w:asciiTheme="majorHAnsi" w:hAnsiTheme="majorHAnsi" w:cstheme="majorHAnsi"/>
                <w:sz w:val="22"/>
                <w:szCs w:val="22"/>
              </w:rPr>
              <w:t>framework for</w:t>
            </w:r>
            <w:r w:rsidRPr="003E4972">
              <w:rPr>
                <w:rFonts w:asciiTheme="majorHAnsi" w:hAnsiTheme="majorHAnsi" w:cstheme="majorHAnsi"/>
                <w:sz w:val="22"/>
                <w:szCs w:val="22"/>
              </w:rPr>
              <w:t xml:space="preserve"> delivering the </w:t>
            </w:r>
            <w:r w:rsidR="00BC5AD4" w:rsidRPr="003E4972">
              <w:rPr>
                <w:rFonts w:asciiTheme="majorHAnsi" w:hAnsiTheme="majorHAnsi" w:cstheme="majorHAnsi"/>
                <w:sz w:val="22"/>
                <w:szCs w:val="22"/>
              </w:rPr>
              <w:t xml:space="preserve">Gold City Projects </w:t>
            </w:r>
            <w:r w:rsidRPr="003E4972">
              <w:rPr>
                <w:rFonts w:asciiTheme="majorHAnsi" w:hAnsiTheme="majorHAnsi" w:cstheme="majorHAnsi"/>
                <w:sz w:val="22"/>
                <w:szCs w:val="22"/>
              </w:rPr>
              <w:t>investments will be incorporated into the A</w:t>
            </w:r>
            <w:r w:rsidR="00F3200D" w:rsidRPr="003E4972">
              <w:rPr>
                <w:rFonts w:asciiTheme="majorHAnsi" w:hAnsiTheme="majorHAnsi" w:cstheme="majorHAnsi"/>
                <w:sz w:val="22"/>
                <w:szCs w:val="22"/>
              </w:rPr>
              <w:t>A</w:t>
            </w:r>
            <w:r w:rsidRPr="003E4972">
              <w:rPr>
                <w:rFonts w:asciiTheme="majorHAnsi" w:hAnsiTheme="majorHAnsi" w:cstheme="majorHAnsi"/>
                <w:sz w:val="22"/>
                <w:szCs w:val="22"/>
              </w:rPr>
              <w:t xml:space="preserve">SCTF Beyond 2022 Strategy in Q1 2023. </w:t>
            </w:r>
          </w:p>
        </w:tc>
      </w:tr>
      <w:tr w:rsidR="00935AD5" w:rsidRPr="003E4972" w14:paraId="1DF6E71F" w14:textId="77777777" w:rsidTr="7D125D77">
        <w:tc>
          <w:tcPr>
            <w:tcW w:w="2500" w:type="pct"/>
          </w:tcPr>
          <w:p w14:paraId="05AEC0E4" w14:textId="21B545BF" w:rsidR="00935AD5" w:rsidRPr="003E4972" w:rsidRDefault="00F92F05" w:rsidP="00E6379A">
            <w:pPr>
              <w:spacing w:line="276" w:lineRule="auto"/>
              <w:rPr>
                <w:rFonts w:asciiTheme="majorHAnsi" w:hAnsiTheme="majorHAnsi" w:cstheme="majorHAnsi"/>
                <w:sz w:val="22"/>
                <w:szCs w:val="22"/>
              </w:rPr>
            </w:pPr>
            <w:r>
              <w:rPr>
                <w:rFonts w:asciiTheme="majorHAnsi" w:hAnsiTheme="majorHAnsi" w:cstheme="majorHAnsi"/>
                <w:sz w:val="22"/>
                <w:szCs w:val="22"/>
              </w:rPr>
              <w:t xml:space="preserve">4. </w:t>
            </w:r>
            <w:r w:rsidR="00935AD5" w:rsidRPr="003E4972">
              <w:rPr>
                <w:rFonts w:asciiTheme="majorHAnsi" w:hAnsiTheme="majorHAnsi" w:cstheme="majorHAnsi"/>
                <w:sz w:val="22"/>
                <w:szCs w:val="22"/>
              </w:rPr>
              <w:t>Ramboll T</w:t>
            </w:r>
            <w:r w:rsidR="0071626E">
              <w:rPr>
                <w:rFonts w:asciiTheme="majorHAnsi" w:hAnsiTheme="majorHAnsi" w:cstheme="majorHAnsi"/>
                <w:sz w:val="22"/>
                <w:szCs w:val="22"/>
              </w:rPr>
              <w:t xml:space="preserve">ask </w:t>
            </w:r>
            <w:r w:rsidR="00935AD5" w:rsidRPr="003E4972">
              <w:rPr>
                <w:rFonts w:asciiTheme="majorHAnsi" w:hAnsiTheme="majorHAnsi" w:cstheme="majorHAnsi"/>
                <w:sz w:val="22"/>
                <w:szCs w:val="22"/>
              </w:rPr>
              <w:t>O</w:t>
            </w:r>
            <w:r w:rsidR="0071626E">
              <w:rPr>
                <w:rFonts w:asciiTheme="majorHAnsi" w:hAnsiTheme="majorHAnsi" w:cstheme="majorHAnsi"/>
                <w:sz w:val="22"/>
                <w:szCs w:val="22"/>
              </w:rPr>
              <w:t>rder</w:t>
            </w:r>
            <w:r w:rsidR="00935AD5" w:rsidRPr="003E4972">
              <w:rPr>
                <w:rFonts w:asciiTheme="majorHAnsi" w:hAnsiTheme="majorHAnsi" w:cstheme="majorHAnsi"/>
                <w:sz w:val="22"/>
                <w:szCs w:val="22"/>
              </w:rPr>
              <w:t xml:space="preserve"> </w:t>
            </w:r>
            <w:r w:rsidR="00CC05BB">
              <w:rPr>
                <w:rFonts w:asciiTheme="majorHAnsi" w:hAnsiTheme="majorHAnsi" w:cstheme="majorHAnsi"/>
                <w:sz w:val="22"/>
                <w:szCs w:val="22"/>
              </w:rPr>
              <w:t xml:space="preserve">(TO) </w:t>
            </w:r>
            <w:r w:rsidR="00935AD5" w:rsidRPr="003E4972">
              <w:rPr>
                <w:rFonts w:asciiTheme="majorHAnsi" w:hAnsiTheme="majorHAnsi" w:cstheme="majorHAnsi"/>
                <w:sz w:val="22"/>
                <w:szCs w:val="22"/>
              </w:rPr>
              <w:t xml:space="preserve">teams should increase focus on capacity development to reduce knowledge gaps between Ramboll experts and city government staff during the process of working together, enabling government staff to provide more effective steering and feedback, as well as to maximise chances of success as tools and services developed by TOs are handed over to city governments. </w:t>
            </w:r>
          </w:p>
          <w:p w14:paraId="1C2AA31A" w14:textId="77777777" w:rsidR="00935AD5" w:rsidRPr="003E4972" w:rsidRDefault="00935AD5" w:rsidP="00E6379A">
            <w:pPr>
              <w:rPr>
                <w:rFonts w:asciiTheme="majorHAnsi" w:hAnsiTheme="majorHAnsi" w:cstheme="majorHAnsi"/>
                <w:sz w:val="22"/>
                <w:szCs w:val="22"/>
              </w:rPr>
            </w:pPr>
          </w:p>
        </w:tc>
        <w:tc>
          <w:tcPr>
            <w:tcW w:w="2500" w:type="pct"/>
          </w:tcPr>
          <w:p w14:paraId="2ABFDFBC" w14:textId="42417938" w:rsidR="00935AD5" w:rsidRPr="003E4972" w:rsidRDefault="00935AD5" w:rsidP="00E6379A">
            <w:pPr>
              <w:rPr>
                <w:rFonts w:asciiTheme="majorHAnsi" w:hAnsiTheme="majorHAnsi" w:cstheme="majorHAnsi"/>
                <w:sz w:val="22"/>
                <w:szCs w:val="22"/>
              </w:rPr>
            </w:pPr>
            <w:r w:rsidRPr="003E4972">
              <w:rPr>
                <w:rFonts w:asciiTheme="majorHAnsi" w:hAnsiTheme="majorHAnsi" w:cstheme="majorHAnsi"/>
                <w:sz w:val="22"/>
                <w:szCs w:val="22"/>
              </w:rPr>
              <w:t>Agreed.</w:t>
            </w:r>
            <w:r w:rsidR="00F61A1D" w:rsidRPr="003E4972">
              <w:rPr>
                <w:rFonts w:asciiTheme="majorHAnsi" w:hAnsiTheme="majorHAnsi" w:cstheme="majorHAnsi"/>
                <w:sz w:val="22"/>
                <w:szCs w:val="22"/>
              </w:rPr>
              <w:t xml:space="preserve"> </w:t>
            </w:r>
            <w:r w:rsidR="00A10614">
              <w:rPr>
                <w:rFonts w:asciiTheme="majorHAnsi" w:hAnsiTheme="majorHAnsi" w:cstheme="majorHAnsi"/>
                <w:sz w:val="22"/>
                <w:szCs w:val="22"/>
              </w:rPr>
              <w:t>C</w:t>
            </w:r>
            <w:r w:rsidR="00770B14" w:rsidRPr="003E4972">
              <w:rPr>
                <w:rFonts w:asciiTheme="majorHAnsi" w:hAnsiTheme="majorHAnsi" w:cstheme="majorHAnsi"/>
                <w:sz w:val="22"/>
                <w:szCs w:val="22"/>
              </w:rPr>
              <w:t xml:space="preserve">urrent </w:t>
            </w:r>
            <w:r w:rsidR="00D6290D" w:rsidRPr="003E4972">
              <w:rPr>
                <w:rFonts w:asciiTheme="majorHAnsi" w:hAnsiTheme="majorHAnsi" w:cstheme="majorHAnsi"/>
                <w:sz w:val="22"/>
                <w:szCs w:val="22"/>
              </w:rPr>
              <w:t xml:space="preserve">pilot projects </w:t>
            </w:r>
            <w:r w:rsidR="00D039A2">
              <w:rPr>
                <w:rFonts w:asciiTheme="majorHAnsi" w:hAnsiTheme="majorHAnsi" w:cstheme="majorHAnsi"/>
                <w:sz w:val="22"/>
                <w:szCs w:val="22"/>
              </w:rPr>
              <w:t xml:space="preserve">have an </w:t>
            </w:r>
            <w:r w:rsidR="00A10614">
              <w:rPr>
                <w:rFonts w:asciiTheme="majorHAnsi" w:hAnsiTheme="majorHAnsi" w:cstheme="majorHAnsi"/>
                <w:sz w:val="22"/>
                <w:szCs w:val="22"/>
              </w:rPr>
              <w:t>e</w:t>
            </w:r>
            <w:r w:rsidR="00A10614" w:rsidRPr="003E4972">
              <w:rPr>
                <w:rFonts w:asciiTheme="majorHAnsi" w:hAnsiTheme="majorHAnsi" w:cstheme="majorHAnsi"/>
                <w:sz w:val="22"/>
                <w:szCs w:val="22"/>
              </w:rPr>
              <w:t xml:space="preserve">nhanced focus on </w:t>
            </w:r>
            <w:r w:rsidR="00A10614">
              <w:rPr>
                <w:rFonts w:asciiTheme="majorHAnsi" w:hAnsiTheme="majorHAnsi" w:cstheme="majorHAnsi"/>
                <w:sz w:val="22"/>
                <w:szCs w:val="22"/>
              </w:rPr>
              <w:t>c</w:t>
            </w:r>
            <w:r w:rsidR="00A10614" w:rsidRPr="003E4972">
              <w:rPr>
                <w:rFonts w:asciiTheme="majorHAnsi" w:hAnsiTheme="majorHAnsi" w:cstheme="majorHAnsi"/>
                <w:sz w:val="22"/>
                <w:szCs w:val="22"/>
              </w:rPr>
              <w:t xml:space="preserve">apacity </w:t>
            </w:r>
            <w:r w:rsidR="00A10614">
              <w:rPr>
                <w:rFonts w:asciiTheme="majorHAnsi" w:hAnsiTheme="majorHAnsi" w:cstheme="majorHAnsi"/>
                <w:sz w:val="22"/>
                <w:szCs w:val="22"/>
              </w:rPr>
              <w:t>b</w:t>
            </w:r>
            <w:r w:rsidR="00A10614" w:rsidRPr="003E4972">
              <w:rPr>
                <w:rFonts w:asciiTheme="majorHAnsi" w:hAnsiTheme="majorHAnsi" w:cstheme="majorHAnsi"/>
                <w:sz w:val="22"/>
                <w:szCs w:val="22"/>
              </w:rPr>
              <w:t>uilding</w:t>
            </w:r>
            <w:r w:rsidR="00D039A2">
              <w:rPr>
                <w:rFonts w:asciiTheme="majorHAnsi" w:hAnsiTheme="majorHAnsi" w:cstheme="majorHAnsi"/>
                <w:sz w:val="22"/>
                <w:szCs w:val="22"/>
              </w:rPr>
              <w:t xml:space="preserve">, which </w:t>
            </w:r>
            <w:proofErr w:type="gramStart"/>
            <w:r w:rsidR="00D039A2">
              <w:rPr>
                <w:rFonts w:asciiTheme="majorHAnsi" w:hAnsiTheme="majorHAnsi" w:cstheme="majorHAnsi"/>
                <w:sz w:val="22"/>
                <w:szCs w:val="22"/>
              </w:rPr>
              <w:t xml:space="preserve">will </w:t>
            </w:r>
            <w:r w:rsidR="00F61A1D" w:rsidRPr="003E4972">
              <w:rPr>
                <w:rFonts w:asciiTheme="majorHAnsi" w:hAnsiTheme="majorHAnsi" w:cstheme="majorHAnsi"/>
                <w:sz w:val="22"/>
                <w:szCs w:val="22"/>
              </w:rPr>
              <w:t xml:space="preserve"> be</w:t>
            </w:r>
            <w:proofErr w:type="gramEnd"/>
            <w:r w:rsidR="00F61A1D" w:rsidRPr="003E4972">
              <w:rPr>
                <w:rFonts w:asciiTheme="majorHAnsi" w:hAnsiTheme="majorHAnsi" w:cstheme="majorHAnsi"/>
                <w:sz w:val="22"/>
                <w:szCs w:val="22"/>
              </w:rPr>
              <w:t xml:space="preserve"> </w:t>
            </w:r>
            <w:r w:rsidR="00E75C65">
              <w:rPr>
                <w:rFonts w:asciiTheme="majorHAnsi" w:hAnsiTheme="majorHAnsi" w:cstheme="majorHAnsi"/>
                <w:sz w:val="22"/>
                <w:szCs w:val="22"/>
              </w:rPr>
              <w:t>closely</w:t>
            </w:r>
            <w:r w:rsidR="00F61A1D" w:rsidRPr="003E4972">
              <w:rPr>
                <w:rFonts w:asciiTheme="majorHAnsi" w:hAnsiTheme="majorHAnsi" w:cstheme="majorHAnsi"/>
                <w:sz w:val="22"/>
                <w:szCs w:val="22"/>
              </w:rPr>
              <w:t xml:space="preserve"> monitored.</w:t>
            </w:r>
            <w:r w:rsidRPr="003E4972">
              <w:rPr>
                <w:rFonts w:asciiTheme="majorHAnsi" w:hAnsiTheme="majorHAnsi" w:cstheme="majorHAnsi"/>
                <w:sz w:val="22"/>
                <w:szCs w:val="22"/>
              </w:rPr>
              <w:t xml:space="preserve"> </w:t>
            </w:r>
            <w:r w:rsidR="00D039A2">
              <w:rPr>
                <w:rFonts w:asciiTheme="majorHAnsi" w:hAnsiTheme="majorHAnsi" w:cstheme="majorHAnsi"/>
                <w:sz w:val="22"/>
                <w:szCs w:val="22"/>
              </w:rPr>
              <w:t>Decisions on f</w:t>
            </w:r>
            <w:r w:rsidR="00F61A1D" w:rsidRPr="003E4972">
              <w:rPr>
                <w:rFonts w:asciiTheme="majorHAnsi" w:hAnsiTheme="majorHAnsi" w:cstheme="majorHAnsi"/>
                <w:sz w:val="22"/>
                <w:szCs w:val="22"/>
              </w:rPr>
              <w:t xml:space="preserve">uture </w:t>
            </w:r>
            <w:r w:rsidR="00D6290D" w:rsidRPr="003E4972">
              <w:rPr>
                <w:rFonts w:asciiTheme="majorHAnsi" w:hAnsiTheme="majorHAnsi" w:cstheme="majorHAnsi"/>
                <w:sz w:val="22"/>
                <w:szCs w:val="22"/>
              </w:rPr>
              <w:t>pilot project</w:t>
            </w:r>
            <w:r w:rsidR="00CC05BB">
              <w:rPr>
                <w:rFonts w:asciiTheme="majorHAnsi" w:hAnsiTheme="majorHAnsi" w:cstheme="majorHAnsi"/>
                <w:sz w:val="22"/>
                <w:szCs w:val="22"/>
              </w:rPr>
              <w:t>s</w:t>
            </w:r>
            <w:r w:rsidR="00D6290D" w:rsidRPr="003E4972">
              <w:rPr>
                <w:rFonts w:asciiTheme="majorHAnsi" w:hAnsiTheme="majorHAnsi" w:cstheme="majorHAnsi"/>
                <w:sz w:val="22"/>
                <w:szCs w:val="22"/>
              </w:rPr>
              <w:t>, inclu</w:t>
            </w:r>
            <w:r w:rsidR="00E75C65">
              <w:rPr>
                <w:rFonts w:asciiTheme="majorHAnsi" w:hAnsiTheme="majorHAnsi" w:cstheme="majorHAnsi"/>
                <w:sz w:val="22"/>
                <w:szCs w:val="22"/>
              </w:rPr>
              <w:t xml:space="preserve">ding </w:t>
            </w:r>
            <w:r w:rsidR="00D6290D" w:rsidRPr="003E4972">
              <w:rPr>
                <w:rFonts w:asciiTheme="majorHAnsi" w:hAnsiTheme="majorHAnsi" w:cstheme="majorHAnsi"/>
                <w:sz w:val="22"/>
                <w:szCs w:val="22"/>
              </w:rPr>
              <w:t xml:space="preserve">capacity building efforts, </w:t>
            </w:r>
            <w:r w:rsidR="00F61A1D" w:rsidRPr="003E4972">
              <w:rPr>
                <w:rFonts w:asciiTheme="majorHAnsi" w:hAnsiTheme="majorHAnsi" w:cstheme="majorHAnsi"/>
                <w:sz w:val="22"/>
                <w:szCs w:val="22"/>
              </w:rPr>
              <w:t>will be informed by</w:t>
            </w:r>
            <w:r w:rsidRPr="003E4972">
              <w:rPr>
                <w:rFonts w:asciiTheme="majorHAnsi" w:hAnsiTheme="majorHAnsi" w:cstheme="majorHAnsi"/>
                <w:sz w:val="22"/>
                <w:szCs w:val="22"/>
              </w:rPr>
              <w:t xml:space="preserve"> the A</w:t>
            </w:r>
            <w:r w:rsidR="00C3320F" w:rsidRPr="003E4972">
              <w:rPr>
                <w:rFonts w:asciiTheme="majorHAnsi" w:hAnsiTheme="majorHAnsi" w:cstheme="majorHAnsi"/>
                <w:sz w:val="22"/>
                <w:szCs w:val="22"/>
              </w:rPr>
              <w:t>A</w:t>
            </w:r>
            <w:r w:rsidRPr="003E4972">
              <w:rPr>
                <w:rFonts w:asciiTheme="majorHAnsi" w:hAnsiTheme="majorHAnsi" w:cstheme="majorHAnsi"/>
                <w:sz w:val="22"/>
                <w:szCs w:val="22"/>
              </w:rPr>
              <w:t>SCTF Beyond 2022 Strategy.</w:t>
            </w:r>
            <w:r w:rsidR="00263D20" w:rsidRPr="003E4972">
              <w:rPr>
                <w:rFonts w:asciiTheme="majorHAnsi" w:hAnsiTheme="majorHAnsi" w:cstheme="majorHAnsi"/>
                <w:sz w:val="22"/>
                <w:szCs w:val="22"/>
              </w:rPr>
              <w:t xml:space="preserve"> AASCTF will put in place sustainability</w:t>
            </w:r>
            <w:r w:rsidR="00D6290D" w:rsidRPr="003E4972">
              <w:rPr>
                <w:rFonts w:asciiTheme="majorHAnsi" w:hAnsiTheme="majorHAnsi" w:cstheme="majorHAnsi"/>
                <w:sz w:val="22"/>
                <w:szCs w:val="22"/>
              </w:rPr>
              <w:t xml:space="preserve"> </w:t>
            </w:r>
            <w:r w:rsidR="00263D20" w:rsidRPr="003E4972">
              <w:rPr>
                <w:rFonts w:asciiTheme="majorHAnsi" w:hAnsiTheme="majorHAnsi" w:cstheme="majorHAnsi"/>
                <w:sz w:val="22"/>
                <w:szCs w:val="22"/>
              </w:rPr>
              <w:t xml:space="preserve">plans for all </w:t>
            </w:r>
            <w:r w:rsidR="00D6290D" w:rsidRPr="003E4972">
              <w:rPr>
                <w:rFonts w:asciiTheme="majorHAnsi" w:hAnsiTheme="majorHAnsi" w:cstheme="majorHAnsi"/>
                <w:sz w:val="22"/>
                <w:szCs w:val="22"/>
              </w:rPr>
              <w:t xml:space="preserve">pilot </w:t>
            </w:r>
            <w:r w:rsidR="00263D20" w:rsidRPr="003E4972">
              <w:rPr>
                <w:rFonts w:asciiTheme="majorHAnsi" w:hAnsiTheme="majorHAnsi" w:cstheme="majorHAnsi"/>
                <w:sz w:val="22"/>
                <w:szCs w:val="22"/>
              </w:rPr>
              <w:t>projects</w:t>
            </w:r>
            <w:r w:rsidR="007E7185">
              <w:rPr>
                <w:rFonts w:asciiTheme="majorHAnsi" w:hAnsiTheme="majorHAnsi" w:cstheme="majorHAnsi"/>
                <w:sz w:val="22"/>
                <w:szCs w:val="22"/>
              </w:rPr>
              <w:t>.</w:t>
            </w:r>
          </w:p>
        </w:tc>
      </w:tr>
      <w:tr w:rsidR="00935AD5" w:rsidRPr="003E4972" w14:paraId="3851E7C0" w14:textId="77777777" w:rsidTr="7D125D77">
        <w:tc>
          <w:tcPr>
            <w:tcW w:w="2500" w:type="pct"/>
          </w:tcPr>
          <w:p w14:paraId="240D501A" w14:textId="4998CC21" w:rsidR="00935AD5" w:rsidRPr="003E4972" w:rsidRDefault="00F92F05" w:rsidP="00E6379A">
            <w:pPr>
              <w:spacing w:line="276" w:lineRule="auto"/>
              <w:rPr>
                <w:rFonts w:asciiTheme="majorHAnsi" w:hAnsiTheme="majorHAnsi" w:cstheme="majorHAnsi"/>
                <w:sz w:val="22"/>
                <w:szCs w:val="22"/>
              </w:rPr>
            </w:pPr>
            <w:r>
              <w:rPr>
                <w:rFonts w:asciiTheme="majorHAnsi" w:hAnsiTheme="majorHAnsi" w:cstheme="majorHAnsi"/>
                <w:sz w:val="22"/>
                <w:szCs w:val="22"/>
              </w:rPr>
              <w:lastRenderedPageBreak/>
              <w:t xml:space="preserve">5. </w:t>
            </w:r>
            <w:r w:rsidR="00935AD5" w:rsidRPr="003E4972">
              <w:rPr>
                <w:rFonts w:asciiTheme="majorHAnsi" w:hAnsiTheme="majorHAnsi" w:cstheme="majorHAnsi"/>
                <w:sz w:val="22"/>
                <w:szCs w:val="22"/>
              </w:rPr>
              <w:t xml:space="preserve">Further extend the reach and resonance of influencing activities, such that networks of participants and access to learning material will be available beyond the end of AASCTF, building on ongoing efforts such as the development of materials to be hosted on </w:t>
            </w:r>
            <w:proofErr w:type="spellStart"/>
            <w:r w:rsidR="00935AD5" w:rsidRPr="003E4972">
              <w:rPr>
                <w:rFonts w:asciiTheme="majorHAnsi" w:hAnsiTheme="majorHAnsi" w:cstheme="majorHAnsi"/>
                <w:sz w:val="22"/>
                <w:szCs w:val="22"/>
              </w:rPr>
              <w:t>eLEARN</w:t>
            </w:r>
            <w:proofErr w:type="spellEnd"/>
            <w:r w:rsidR="00935AD5" w:rsidRPr="003E4972">
              <w:rPr>
                <w:rFonts w:asciiTheme="majorHAnsi" w:hAnsiTheme="majorHAnsi" w:cstheme="majorHAnsi"/>
                <w:sz w:val="22"/>
                <w:szCs w:val="22"/>
              </w:rPr>
              <w:t xml:space="preserve"> and ADB’s initiative under TO-08 to support existing smart city networks and key institutions at a national level in Indonesia. </w:t>
            </w:r>
          </w:p>
          <w:p w14:paraId="2DC6C5FF" w14:textId="77777777" w:rsidR="00935AD5" w:rsidRPr="003E4972" w:rsidRDefault="00935AD5" w:rsidP="00E6379A">
            <w:pPr>
              <w:rPr>
                <w:rFonts w:asciiTheme="majorHAnsi" w:hAnsiTheme="majorHAnsi" w:cstheme="majorHAnsi"/>
                <w:sz w:val="22"/>
                <w:szCs w:val="22"/>
              </w:rPr>
            </w:pPr>
          </w:p>
        </w:tc>
        <w:tc>
          <w:tcPr>
            <w:tcW w:w="2500" w:type="pct"/>
          </w:tcPr>
          <w:p w14:paraId="3DA6853A" w14:textId="758519E4" w:rsidR="00935AD5" w:rsidRPr="003E4972" w:rsidRDefault="00935AD5" w:rsidP="00E6379A">
            <w:pPr>
              <w:rPr>
                <w:rFonts w:asciiTheme="majorHAnsi" w:hAnsiTheme="majorHAnsi" w:cstheme="majorHAnsi"/>
                <w:sz w:val="22"/>
                <w:szCs w:val="22"/>
              </w:rPr>
            </w:pPr>
            <w:r w:rsidRPr="003E4972">
              <w:rPr>
                <w:rFonts w:asciiTheme="majorHAnsi" w:hAnsiTheme="majorHAnsi" w:cstheme="majorHAnsi"/>
                <w:sz w:val="22"/>
                <w:szCs w:val="22"/>
              </w:rPr>
              <w:t>Agreed. This will be incorporated into the A</w:t>
            </w:r>
            <w:r w:rsidR="007E5088" w:rsidRPr="003E4972">
              <w:rPr>
                <w:rFonts w:asciiTheme="majorHAnsi" w:hAnsiTheme="majorHAnsi" w:cstheme="majorHAnsi"/>
                <w:sz w:val="22"/>
                <w:szCs w:val="22"/>
              </w:rPr>
              <w:t>A</w:t>
            </w:r>
            <w:r w:rsidRPr="003E4972">
              <w:rPr>
                <w:rFonts w:asciiTheme="majorHAnsi" w:hAnsiTheme="majorHAnsi" w:cstheme="majorHAnsi"/>
                <w:sz w:val="22"/>
                <w:szCs w:val="22"/>
              </w:rPr>
              <w:t>SCTF Beyond 2022 Strategy in Q1 2023</w:t>
            </w:r>
            <w:r w:rsidR="00263D20" w:rsidRPr="003E4972">
              <w:rPr>
                <w:rFonts w:asciiTheme="majorHAnsi" w:hAnsiTheme="majorHAnsi" w:cstheme="majorHAnsi"/>
                <w:sz w:val="22"/>
                <w:szCs w:val="22"/>
              </w:rPr>
              <w:t xml:space="preserve">. The program will </w:t>
            </w:r>
            <w:r w:rsidR="003C2C6D">
              <w:rPr>
                <w:rFonts w:asciiTheme="majorHAnsi" w:hAnsiTheme="majorHAnsi" w:cstheme="majorHAnsi"/>
                <w:sz w:val="22"/>
                <w:szCs w:val="22"/>
              </w:rPr>
              <w:t>consider establishing</w:t>
            </w:r>
            <w:r w:rsidR="00263D20" w:rsidRPr="003E4972">
              <w:rPr>
                <w:rFonts w:asciiTheme="majorHAnsi" w:hAnsiTheme="majorHAnsi" w:cstheme="majorHAnsi"/>
                <w:sz w:val="22"/>
                <w:szCs w:val="22"/>
              </w:rPr>
              <w:t xml:space="preserve"> an AASCTF </w:t>
            </w:r>
            <w:r w:rsidR="00BC5AD4" w:rsidRPr="003E4972">
              <w:rPr>
                <w:rFonts w:asciiTheme="majorHAnsi" w:hAnsiTheme="majorHAnsi" w:cstheme="majorHAnsi"/>
                <w:sz w:val="22"/>
                <w:szCs w:val="22"/>
              </w:rPr>
              <w:t xml:space="preserve">online </w:t>
            </w:r>
            <w:r w:rsidR="00263D20" w:rsidRPr="003E4972">
              <w:rPr>
                <w:rFonts w:asciiTheme="majorHAnsi" w:hAnsiTheme="majorHAnsi" w:cstheme="majorHAnsi"/>
                <w:sz w:val="22"/>
                <w:szCs w:val="22"/>
              </w:rPr>
              <w:t>information repository and</w:t>
            </w:r>
            <w:r w:rsidR="00D91DCE">
              <w:rPr>
                <w:rFonts w:asciiTheme="majorHAnsi" w:hAnsiTheme="majorHAnsi" w:cstheme="majorHAnsi"/>
                <w:sz w:val="22"/>
                <w:szCs w:val="22"/>
              </w:rPr>
              <w:t xml:space="preserve"> a</w:t>
            </w:r>
            <w:r w:rsidR="00263D20" w:rsidRPr="003E4972">
              <w:rPr>
                <w:rFonts w:asciiTheme="majorHAnsi" w:hAnsiTheme="majorHAnsi" w:cstheme="majorHAnsi"/>
                <w:sz w:val="22"/>
                <w:szCs w:val="22"/>
              </w:rPr>
              <w:t xml:space="preserve"> mechanism for sustaining networks of program participants. </w:t>
            </w:r>
          </w:p>
        </w:tc>
      </w:tr>
      <w:tr w:rsidR="00935AD5" w:rsidRPr="003E4972" w14:paraId="6B888338" w14:textId="77777777" w:rsidTr="7D125D77">
        <w:tc>
          <w:tcPr>
            <w:tcW w:w="2500" w:type="pct"/>
          </w:tcPr>
          <w:p w14:paraId="393476E2" w14:textId="0DD9D1A2" w:rsidR="00935AD5" w:rsidRPr="003E4972" w:rsidRDefault="00F92F05" w:rsidP="00E6379A">
            <w:pPr>
              <w:spacing w:line="276" w:lineRule="auto"/>
              <w:rPr>
                <w:rFonts w:asciiTheme="majorHAnsi" w:hAnsiTheme="majorHAnsi" w:cstheme="majorHAnsi"/>
                <w:sz w:val="22"/>
                <w:szCs w:val="22"/>
              </w:rPr>
            </w:pPr>
            <w:r>
              <w:rPr>
                <w:rFonts w:asciiTheme="majorHAnsi" w:hAnsiTheme="majorHAnsi" w:cstheme="majorHAnsi"/>
                <w:sz w:val="22"/>
                <w:szCs w:val="22"/>
              </w:rPr>
              <w:t xml:space="preserve">6. </w:t>
            </w:r>
            <w:r w:rsidR="00935AD5" w:rsidRPr="003E4972">
              <w:rPr>
                <w:rFonts w:asciiTheme="majorHAnsi" w:hAnsiTheme="majorHAnsi" w:cstheme="majorHAnsi"/>
                <w:sz w:val="22"/>
                <w:szCs w:val="22"/>
              </w:rPr>
              <w:t xml:space="preserve">DFAT, ADB and Ramboll could improve the visibility of </w:t>
            </w:r>
            <w:proofErr w:type="gramStart"/>
            <w:r w:rsidR="00935AD5" w:rsidRPr="003E4972">
              <w:rPr>
                <w:rFonts w:asciiTheme="majorHAnsi" w:hAnsiTheme="majorHAnsi" w:cstheme="majorHAnsi"/>
                <w:sz w:val="22"/>
                <w:szCs w:val="22"/>
              </w:rPr>
              <w:t>Bronze and Silver</w:t>
            </w:r>
            <w:proofErr w:type="gramEnd"/>
            <w:r w:rsidR="00935AD5" w:rsidRPr="003E4972">
              <w:rPr>
                <w:rFonts w:asciiTheme="majorHAnsi" w:hAnsiTheme="majorHAnsi" w:cstheme="majorHAnsi"/>
                <w:sz w:val="22"/>
                <w:szCs w:val="22"/>
              </w:rPr>
              <w:t xml:space="preserve"> level activities to a wider audience. One suggestion is to make greater use of DFAT social media for example, on the Australian Ambassador’s Twitter feed in the program countries, which has an influential following, connecting with different Ambassadors and Ministers.  </w:t>
            </w:r>
          </w:p>
          <w:p w14:paraId="2CC1968B" w14:textId="77777777" w:rsidR="00935AD5" w:rsidRPr="003E4972" w:rsidRDefault="00935AD5" w:rsidP="00E6379A">
            <w:pPr>
              <w:rPr>
                <w:rFonts w:asciiTheme="majorHAnsi" w:hAnsiTheme="majorHAnsi" w:cstheme="majorHAnsi"/>
                <w:sz w:val="22"/>
                <w:szCs w:val="22"/>
              </w:rPr>
            </w:pPr>
          </w:p>
        </w:tc>
        <w:tc>
          <w:tcPr>
            <w:tcW w:w="2500" w:type="pct"/>
          </w:tcPr>
          <w:p w14:paraId="19B90F31" w14:textId="7C2DD484" w:rsidR="00935AD5" w:rsidRPr="003E4972" w:rsidRDefault="00935AD5" w:rsidP="7D125D77">
            <w:pPr>
              <w:rPr>
                <w:rFonts w:asciiTheme="majorHAnsi" w:hAnsiTheme="majorHAnsi" w:cstheme="majorHAnsi"/>
                <w:sz w:val="22"/>
                <w:szCs w:val="22"/>
              </w:rPr>
            </w:pPr>
            <w:r w:rsidRPr="003E4972">
              <w:rPr>
                <w:rFonts w:asciiTheme="majorHAnsi" w:hAnsiTheme="majorHAnsi" w:cstheme="majorHAnsi"/>
                <w:sz w:val="22"/>
                <w:szCs w:val="22"/>
              </w:rPr>
              <w:t>Agreed</w:t>
            </w:r>
            <w:r w:rsidR="00115D41" w:rsidRPr="003E4972">
              <w:rPr>
                <w:rFonts w:asciiTheme="majorHAnsi" w:hAnsiTheme="majorHAnsi" w:cstheme="majorHAnsi"/>
                <w:sz w:val="22"/>
                <w:szCs w:val="22"/>
              </w:rPr>
              <w:t>. The AASCTF Beyond 2022 Strategy, esp</w:t>
            </w:r>
            <w:r w:rsidR="0005435E" w:rsidRPr="003E4972">
              <w:rPr>
                <w:rFonts w:asciiTheme="majorHAnsi" w:hAnsiTheme="majorHAnsi" w:cstheme="majorHAnsi"/>
                <w:sz w:val="22"/>
                <w:szCs w:val="22"/>
              </w:rPr>
              <w:t>ecially</w:t>
            </w:r>
            <w:r w:rsidR="00115D41" w:rsidRPr="003E4972">
              <w:rPr>
                <w:rFonts w:asciiTheme="majorHAnsi" w:hAnsiTheme="majorHAnsi" w:cstheme="majorHAnsi"/>
                <w:sz w:val="22"/>
                <w:szCs w:val="22"/>
              </w:rPr>
              <w:t xml:space="preserve"> the Engagement Strategy, will </w:t>
            </w:r>
            <w:r w:rsidR="00041E45">
              <w:rPr>
                <w:rFonts w:asciiTheme="majorHAnsi" w:hAnsiTheme="majorHAnsi" w:cstheme="majorHAnsi"/>
                <w:sz w:val="22"/>
                <w:szCs w:val="22"/>
              </w:rPr>
              <w:t xml:space="preserve">develop </w:t>
            </w:r>
            <w:r w:rsidR="00115D41" w:rsidRPr="003E4972">
              <w:rPr>
                <w:rFonts w:asciiTheme="majorHAnsi" w:hAnsiTheme="majorHAnsi" w:cstheme="majorHAnsi"/>
                <w:sz w:val="22"/>
                <w:szCs w:val="22"/>
              </w:rPr>
              <w:t>actions</w:t>
            </w:r>
            <w:r w:rsidR="00E75C65">
              <w:rPr>
                <w:rFonts w:asciiTheme="majorHAnsi" w:hAnsiTheme="majorHAnsi" w:cstheme="majorHAnsi"/>
                <w:sz w:val="22"/>
                <w:szCs w:val="22"/>
              </w:rPr>
              <w:t xml:space="preserve">, </w:t>
            </w:r>
            <w:proofErr w:type="gramStart"/>
            <w:r w:rsidR="00115D41" w:rsidRPr="003E4972">
              <w:rPr>
                <w:rFonts w:asciiTheme="majorHAnsi" w:hAnsiTheme="majorHAnsi" w:cstheme="majorHAnsi"/>
                <w:sz w:val="22"/>
                <w:szCs w:val="22"/>
              </w:rPr>
              <w:t>tools</w:t>
            </w:r>
            <w:proofErr w:type="gramEnd"/>
            <w:r w:rsidR="00E75C65">
              <w:rPr>
                <w:rFonts w:asciiTheme="majorHAnsi" w:hAnsiTheme="majorHAnsi" w:cstheme="majorHAnsi"/>
                <w:sz w:val="22"/>
                <w:szCs w:val="22"/>
              </w:rPr>
              <w:t xml:space="preserve"> and </w:t>
            </w:r>
            <w:r w:rsidR="00115D41" w:rsidRPr="003E4972">
              <w:rPr>
                <w:rFonts w:asciiTheme="majorHAnsi" w:hAnsiTheme="majorHAnsi" w:cstheme="majorHAnsi"/>
                <w:sz w:val="22"/>
                <w:szCs w:val="22"/>
              </w:rPr>
              <w:t xml:space="preserve">approaches to build and strengthen partnerships, leverage existing communication channels, and amplify social media messaging across all partner networks, </w:t>
            </w:r>
            <w:r w:rsidR="00F51529" w:rsidRPr="003E4972">
              <w:rPr>
                <w:rFonts w:asciiTheme="majorHAnsi" w:hAnsiTheme="majorHAnsi" w:cstheme="majorHAnsi"/>
                <w:sz w:val="22"/>
                <w:szCs w:val="22"/>
              </w:rPr>
              <w:t xml:space="preserve">including </w:t>
            </w:r>
            <w:r w:rsidR="00115D41" w:rsidRPr="003E4972">
              <w:rPr>
                <w:rFonts w:asciiTheme="majorHAnsi" w:hAnsiTheme="majorHAnsi" w:cstheme="majorHAnsi"/>
                <w:sz w:val="22"/>
                <w:szCs w:val="22"/>
              </w:rPr>
              <w:t>DFAT</w:t>
            </w:r>
            <w:r w:rsidR="00F51529" w:rsidRPr="003E4972">
              <w:rPr>
                <w:rFonts w:asciiTheme="majorHAnsi" w:hAnsiTheme="majorHAnsi" w:cstheme="majorHAnsi"/>
                <w:sz w:val="22"/>
                <w:szCs w:val="22"/>
              </w:rPr>
              <w:t xml:space="preserve"> social media accounts</w:t>
            </w:r>
            <w:r w:rsidR="00115D41" w:rsidRPr="003E4972">
              <w:rPr>
                <w:rFonts w:asciiTheme="majorHAnsi" w:hAnsiTheme="majorHAnsi" w:cstheme="majorHAnsi"/>
                <w:sz w:val="22"/>
                <w:szCs w:val="22"/>
              </w:rPr>
              <w:t xml:space="preserve">. </w:t>
            </w:r>
          </w:p>
        </w:tc>
      </w:tr>
      <w:tr w:rsidR="00935AD5" w:rsidRPr="003E4972" w14:paraId="1F6C5DE4" w14:textId="77777777" w:rsidTr="7D125D77">
        <w:tc>
          <w:tcPr>
            <w:tcW w:w="2500" w:type="pct"/>
          </w:tcPr>
          <w:p w14:paraId="6F1EF2ED" w14:textId="0A97F56D" w:rsidR="00935AD5" w:rsidRPr="003E4972" w:rsidRDefault="00F92F05" w:rsidP="00E6379A">
            <w:pPr>
              <w:spacing w:line="276" w:lineRule="auto"/>
              <w:rPr>
                <w:rFonts w:asciiTheme="majorHAnsi" w:hAnsiTheme="majorHAnsi" w:cstheme="majorHAnsi"/>
                <w:sz w:val="22"/>
                <w:szCs w:val="22"/>
              </w:rPr>
            </w:pPr>
            <w:r>
              <w:rPr>
                <w:rFonts w:asciiTheme="majorHAnsi" w:hAnsiTheme="majorHAnsi" w:cstheme="majorHAnsi"/>
                <w:sz w:val="22"/>
                <w:szCs w:val="22"/>
              </w:rPr>
              <w:t xml:space="preserve">7. </w:t>
            </w:r>
            <w:r w:rsidR="00935AD5" w:rsidRPr="003E4972">
              <w:rPr>
                <w:rFonts w:asciiTheme="majorHAnsi" w:hAnsiTheme="majorHAnsi" w:cstheme="majorHAnsi"/>
                <w:sz w:val="22"/>
                <w:szCs w:val="22"/>
              </w:rPr>
              <w:t xml:space="preserve">DFAT and the program implementation partners should consider how to increase engagement and synergies with ASEAN institutions such as the Connectivity Division in the Secretariat and the ASEAN Smart Cities Network. Synergies could cover regional knowledge sharing. </w:t>
            </w:r>
          </w:p>
          <w:p w14:paraId="115A6A68" w14:textId="77777777" w:rsidR="00935AD5" w:rsidRPr="003E4972" w:rsidRDefault="00935AD5" w:rsidP="00E6379A">
            <w:pPr>
              <w:rPr>
                <w:rFonts w:asciiTheme="majorHAnsi" w:hAnsiTheme="majorHAnsi" w:cstheme="majorHAnsi"/>
                <w:sz w:val="22"/>
                <w:szCs w:val="22"/>
              </w:rPr>
            </w:pPr>
          </w:p>
        </w:tc>
        <w:tc>
          <w:tcPr>
            <w:tcW w:w="2500" w:type="pct"/>
          </w:tcPr>
          <w:p w14:paraId="54B0D872" w14:textId="053ED00E" w:rsidR="00935AD5" w:rsidRPr="003E4972" w:rsidRDefault="00935AD5" w:rsidP="00E6379A">
            <w:pPr>
              <w:rPr>
                <w:rFonts w:asciiTheme="majorHAnsi" w:hAnsiTheme="majorHAnsi" w:cstheme="majorHAnsi"/>
                <w:sz w:val="22"/>
                <w:szCs w:val="22"/>
              </w:rPr>
            </w:pPr>
            <w:r w:rsidRPr="003E4972">
              <w:rPr>
                <w:rFonts w:asciiTheme="majorHAnsi" w:hAnsiTheme="majorHAnsi" w:cstheme="majorHAnsi"/>
                <w:sz w:val="22"/>
                <w:szCs w:val="22"/>
              </w:rPr>
              <w:t>Agreed. This will be incorporated into the A</w:t>
            </w:r>
            <w:r w:rsidR="00B161F2" w:rsidRPr="003E4972">
              <w:rPr>
                <w:rFonts w:asciiTheme="majorHAnsi" w:hAnsiTheme="majorHAnsi" w:cstheme="majorHAnsi"/>
                <w:sz w:val="22"/>
                <w:szCs w:val="22"/>
              </w:rPr>
              <w:t>A</w:t>
            </w:r>
            <w:r w:rsidRPr="003E4972">
              <w:rPr>
                <w:rFonts w:asciiTheme="majorHAnsi" w:hAnsiTheme="majorHAnsi" w:cstheme="majorHAnsi"/>
                <w:sz w:val="22"/>
                <w:szCs w:val="22"/>
              </w:rPr>
              <w:t>SCTF Beyond 2022 Strategy in Q1 2023.</w:t>
            </w:r>
            <w:r w:rsidR="00965361">
              <w:rPr>
                <w:rFonts w:asciiTheme="majorHAnsi" w:hAnsiTheme="majorHAnsi" w:cstheme="majorHAnsi"/>
                <w:sz w:val="22"/>
                <w:szCs w:val="22"/>
              </w:rPr>
              <w:t xml:space="preserve"> The Australian Mission to ASEAN will work with ADB and </w:t>
            </w:r>
            <w:r w:rsidR="0071626E">
              <w:rPr>
                <w:rFonts w:asciiTheme="majorHAnsi" w:hAnsiTheme="majorHAnsi" w:cstheme="majorHAnsi"/>
                <w:sz w:val="22"/>
                <w:szCs w:val="22"/>
              </w:rPr>
              <w:t>t</w:t>
            </w:r>
            <w:r w:rsidR="00965361">
              <w:rPr>
                <w:rFonts w:asciiTheme="majorHAnsi" w:hAnsiTheme="majorHAnsi" w:cstheme="majorHAnsi"/>
                <w:sz w:val="22"/>
                <w:szCs w:val="22"/>
              </w:rPr>
              <w:t xml:space="preserve">he ASEAN Secretariat to </w:t>
            </w:r>
            <w:r w:rsidR="002F7D77">
              <w:rPr>
                <w:rFonts w:asciiTheme="majorHAnsi" w:hAnsiTheme="majorHAnsi" w:cstheme="majorHAnsi"/>
                <w:sz w:val="22"/>
                <w:szCs w:val="22"/>
              </w:rPr>
              <w:t xml:space="preserve">increase engagement. </w:t>
            </w:r>
          </w:p>
        </w:tc>
      </w:tr>
      <w:tr w:rsidR="00935AD5" w:rsidRPr="003E4972" w14:paraId="497698A4" w14:textId="77777777" w:rsidTr="7D125D77">
        <w:tc>
          <w:tcPr>
            <w:tcW w:w="2500" w:type="pct"/>
          </w:tcPr>
          <w:p w14:paraId="0049E795" w14:textId="748058A8" w:rsidR="00935AD5" w:rsidRPr="003E4972" w:rsidRDefault="00F92F05" w:rsidP="00CE7784">
            <w:pPr>
              <w:spacing w:line="276" w:lineRule="auto"/>
              <w:rPr>
                <w:rFonts w:asciiTheme="majorHAnsi" w:hAnsiTheme="majorHAnsi" w:cstheme="majorHAnsi"/>
                <w:sz w:val="22"/>
                <w:szCs w:val="22"/>
              </w:rPr>
            </w:pPr>
            <w:r>
              <w:rPr>
                <w:rFonts w:asciiTheme="majorHAnsi" w:hAnsiTheme="majorHAnsi" w:cstheme="majorHAnsi"/>
                <w:sz w:val="22"/>
                <w:szCs w:val="22"/>
              </w:rPr>
              <w:t xml:space="preserve">8. </w:t>
            </w:r>
            <w:r w:rsidR="00935AD5" w:rsidRPr="003E4972">
              <w:rPr>
                <w:rFonts w:asciiTheme="majorHAnsi" w:hAnsiTheme="majorHAnsi" w:cstheme="majorHAnsi"/>
                <w:sz w:val="22"/>
                <w:szCs w:val="22"/>
              </w:rPr>
              <w:t xml:space="preserve">DFAT should explore opportunities for greater synergies and amplification opportunities between AASCTF and other significant DFAT investments focused on sustainable cities and infrastructure in ASEAN, such as Partnerships for Infrastructure (P4I). This is particularly relevant for </w:t>
            </w:r>
            <w:proofErr w:type="gramStart"/>
            <w:r w:rsidR="00935AD5" w:rsidRPr="003E4972">
              <w:rPr>
                <w:rFonts w:asciiTheme="majorHAnsi" w:hAnsiTheme="majorHAnsi" w:cstheme="majorHAnsi"/>
                <w:sz w:val="22"/>
                <w:szCs w:val="22"/>
              </w:rPr>
              <w:t>Gold</w:t>
            </w:r>
            <w:proofErr w:type="gramEnd"/>
            <w:r w:rsidR="00935AD5" w:rsidRPr="003E4972">
              <w:rPr>
                <w:rFonts w:asciiTheme="majorHAnsi" w:hAnsiTheme="majorHAnsi" w:cstheme="majorHAnsi"/>
                <w:sz w:val="22"/>
                <w:szCs w:val="22"/>
              </w:rPr>
              <w:t xml:space="preserve"> level investments, as P4I is focused on enabling greater infrastructure financing, transport, and energy, and spans a range of AASCTF-relevant crosscutting themes, including disaster reduction/climate resilience, and GESI, with a particular emphasis on indigenous participation. </w:t>
            </w:r>
          </w:p>
        </w:tc>
        <w:tc>
          <w:tcPr>
            <w:tcW w:w="2500" w:type="pct"/>
          </w:tcPr>
          <w:p w14:paraId="2E45DE86" w14:textId="4D835B90" w:rsidR="00935AD5" w:rsidRPr="003E4972" w:rsidRDefault="00935AD5" w:rsidP="00E6379A">
            <w:pPr>
              <w:rPr>
                <w:rFonts w:asciiTheme="majorHAnsi" w:hAnsiTheme="majorHAnsi" w:cstheme="majorHAnsi"/>
                <w:sz w:val="22"/>
                <w:szCs w:val="22"/>
              </w:rPr>
            </w:pPr>
            <w:r w:rsidRPr="003E4972">
              <w:rPr>
                <w:rFonts w:asciiTheme="majorHAnsi" w:hAnsiTheme="majorHAnsi" w:cstheme="majorHAnsi"/>
                <w:sz w:val="22"/>
                <w:szCs w:val="22"/>
              </w:rPr>
              <w:t>Agreed. This will be incorporated into the A</w:t>
            </w:r>
            <w:r w:rsidR="004D614A" w:rsidRPr="003E4972">
              <w:rPr>
                <w:rFonts w:asciiTheme="majorHAnsi" w:hAnsiTheme="majorHAnsi" w:cstheme="majorHAnsi"/>
                <w:sz w:val="22"/>
                <w:szCs w:val="22"/>
              </w:rPr>
              <w:t>A</w:t>
            </w:r>
            <w:r w:rsidRPr="003E4972">
              <w:rPr>
                <w:rFonts w:asciiTheme="majorHAnsi" w:hAnsiTheme="majorHAnsi" w:cstheme="majorHAnsi"/>
                <w:sz w:val="22"/>
                <w:szCs w:val="22"/>
              </w:rPr>
              <w:t>SCTF Beyond 2022 Strategy in Q1 2023.</w:t>
            </w:r>
          </w:p>
        </w:tc>
      </w:tr>
    </w:tbl>
    <w:p w14:paraId="7959B05B" w14:textId="77777777" w:rsidR="00935AD5" w:rsidRPr="003E4972" w:rsidRDefault="00935AD5" w:rsidP="00935AD5">
      <w:pPr>
        <w:rPr>
          <w:rFonts w:asciiTheme="majorHAnsi" w:hAnsiTheme="majorHAnsi" w:cstheme="majorHAnsi"/>
          <w:sz w:val="22"/>
          <w:szCs w:val="22"/>
        </w:rPr>
      </w:pPr>
    </w:p>
    <w:p w14:paraId="00CF7E83" w14:textId="44E0D900" w:rsidR="00935AD5" w:rsidRPr="003E4972" w:rsidRDefault="00935AD5" w:rsidP="00263D20">
      <w:pPr>
        <w:jc w:val="both"/>
        <w:rPr>
          <w:rStyle w:val="BookTitle"/>
          <w:rFonts w:asciiTheme="majorHAnsi" w:hAnsiTheme="majorHAnsi" w:cstheme="majorHAnsi"/>
          <w:color w:val="auto"/>
          <w:sz w:val="22"/>
          <w:szCs w:val="22"/>
        </w:rPr>
      </w:pPr>
      <w:r w:rsidRPr="003E4972">
        <w:rPr>
          <w:rStyle w:val="BookTitle"/>
          <w:rFonts w:asciiTheme="majorHAnsi" w:hAnsiTheme="majorHAnsi" w:cstheme="majorHAnsi"/>
          <w:color w:val="auto"/>
          <w:sz w:val="22"/>
          <w:szCs w:val="22"/>
        </w:rPr>
        <w:lastRenderedPageBreak/>
        <w:t xml:space="preserve">Recommendations to </w:t>
      </w:r>
      <w:r w:rsidR="003C5C54">
        <w:rPr>
          <w:rStyle w:val="BookTitle"/>
          <w:rFonts w:asciiTheme="majorHAnsi" w:hAnsiTheme="majorHAnsi" w:cstheme="majorHAnsi"/>
          <w:color w:val="auto"/>
          <w:sz w:val="22"/>
          <w:szCs w:val="22"/>
        </w:rPr>
        <w:t>I</w:t>
      </w:r>
      <w:r w:rsidRPr="003E4972">
        <w:rPr>
          <w:rStyle w:val="BookTitle"/>
          <w:rFonts w:asciiTheme="majorHAnsi" w:hAnsiTheme="majorHAnsi" w:cstheme="majorHAnsi"/>
          <w:color w:val="auto"/>
          <w:sz w:val="22"/>
          <w:szCs w:val="22"/>
        </w:rPr>
        <w:t>mprove Efficiency</w:t>
      </w:r>
    </w:p>
    <w:tbl>
      <w:tblPr>
        <w:tblStyle w:val="TableGrid"/>
        <w:tblW w:w="5000" w:type="pct"/>
        <w:tblLook w:val="04A0" w:firstRow="1" w:lastRow="0" w:firstColumn="1" w:lastColumn="0" w:noHBand="0" w:noVBand="1"/>
      </w:tblPr>
      <w:tblGrid>
        <w:gridCol w:w="4508"/>
        <w:gridCol w:w="4508"/>
      </w:tblGrid>
      <w:tr w:rsidR="00935AD5" w:rsidRPr="003E4972" w14:paraId="547A8B06" w14:textId="77777777" w:rsidTr="00CE7784">
        <w:trPr>
          <w:tblHeader/>
        </w:trPr>
        <w:tc>
          <w:tcPr>
            <w:tcW w:w="2500" w:type="pct"/>
            <w:shd w:val="clear" w:color="auto" w:fill="C5E0B3" w:themeFill="accent6" w:themeFillTint="66"/>
          </w:tcPr>
          <w:p w14:paraId="333506FC" w14:textId="77777777" w:rsidR="00935AD5" w:rsidRPr="003E4972" w:rsidRDefault="00935AD5" w:rsidP="00E6379A">
            <w:pPr>
              <w:jc w:val="center"/>
              <w:rPr>
                <w:rFonts w:asciiTheme="majorHAnsi" w:hAnsiTheme="majorHAnsi" w:cstheme="majorHAnsi"/>
                <w:b/>
                <w:bCs/>
                <w:sz w:val="22"/>
                <w:szCs w:val="22"/>
                <w:lang w:val="en-AU"/>
              </w:rPr>
            </w:pPr>
            <w:r w:rsidRPr="003E4972">
              <w:rPr>
                <w:rFonts w:asciiTheme="majorHAnsi" w:hAnsiTheme="majorHAnsi" w:cstheme="majorHAnsi"/>
                <w:b/>
                <w:bCs/>
                <w:sz w:val="22"/>
                <w:szCs w:val="22"/>
                <w:lang w:val="en-AU"/>
              </w:rPr>
              <w:t>Recommendation</w:t>
            </w:r>
          </w:p>
        </w:tc>
        <w:tc>
          <w:tcPr>
            <w:tcW w:w="2500" w:type="pct"/>
            <w:shd w:val="clear" w:color="auto" w:fill="C5E0B3" w:themeFill="accent6" w:themeFillTint="66"/>
          </w:tcPr>
          <w:p w14:paraId="1459CF83" w14:textId="77777777" w:rsidR="00935AD5" w:rsidRPr="003E4972" w:rsidRDefault="00935AD5" w:rsidP="00E6379A">
            <w:pPr>
              <w:jc w:val="center"/>
              <w:rPr>
                <w:rFonts w:asciiTheme="majorHAnsi" w:hAnsiTheme="majorHAnsi" w:cstheme="majorHAnsi"/>
                <w:b/>
                <w:bCs/>
                <w:sz w:val="22"/>
                <w:szCs w:val="22"/>
                <w:lang w:val="en-AU"/>
              </w:rPr>
            </w:pPr>
            <w:r w:rsidRPr="003E4972">
              <w:rPr>
                <w:rFonts w:asciiTheme="majorHAnsi" w:hAnsiTheme="majorHAnsi" w:cstheme="majorHAnsi"/>
                <w:b/>
                <w:bCs/>
                <w:sz w:val="22"/>
                <w:szCs w:val="22"/>
                <w:lang w:val="en-AU"/>
              </w:rPr>
              <w:t>DFAT response</w:t>
            </w:r>
          </w:p>
        </w:tc>
      </w:tr>
      <w:tr w:rsidR="00935AD5" w:rsidRPr="003E4972" w14:paraId="566A41C8" w14:textId="77777777" w:rsidTr="7D125D77">
        <w:tc>
          <w:tcPr>
            <w:tcW w:w="2500" w:type="pct"/>
          </w:tcPr>
          <w:p w14:paraId="7C3450BC" w14:textId="51FD5EFC" w:rsidR="00935AD5" w:rsidRPr="003E4972" w:rsidRDefault="00F92F05" w:rsidP="00E6379A">
            <w:pPr>
              <w:spacing w:line="276" w:lineRule="auto"/>
              <w:rPr>
                <w:rFonts w:asciiTheme="majorHAnsi" w:hAnsiTheme="majorHAnsi" w:cstheme="majorHAnsi"/>
                <w:sz w:val="22"/>
                <w:szCs w:val="22"/>
              </w:rPr>
            </w:pPr>
            <w:r>
              <w:rPr>
                <w:rFonts w:asciiTheme="majorHAnsi" w:hAnsiTheme="majorHAnsi" w:cstheme="majorHAnsi"/>
                <w:sz w:val="22"/>
                <w:szCs w:val="22"/>
              </w:rPr>
              <w:t xml:space="preserve">9. </w:t>
            </w:r>
            <w:r w:rsidR="00935AD5" w:rsidRPr="003E4972">
              <w:rPr>
                <w:rFonts w:asciiTheme="majorHAnsi" w:hAnsiTheme="majorHAnsi" w:cstheme="majorHAnsi"/>
                <w:sz w:val="22"/>
                <w:szCs w:val="22"/>
              </w:rPr>
              <w:t xml:space="preserve">Ramboll should ensure that the rationale for reporting and M&amp;E processes are clearly understood and appreciated by all team members, including at the TO level. In addition, M&amp;E processes could be improved to </w:t>
            </w:r>
            <w:proofErr w:type="gramStart"/>
            <w:r w:rsidR="00935AD5" w:rsidRPr="003E4972">
              <w:rPr>
                <w:rFonts w:asciiTheme="majorHAnsi" w:hAnsiTheme="majorHAnsi" w:cstheme="majorHAnsi"/>
                <w:sz w:val="22"/>
                <w:szCs w:val="22"/>
              </w:rPr>
              <w:t>more accurately assess the outcomes of AASCTF’s adaptive programming (sandbox) approach</w:t>
            </w:r>
            <w:proofErr w:type="gramEnd"/>
            <w:r w:rsidR="00935AD5" w:rsidRPr="003E4972">
              <w:rPr>
                <w:rFonts w:asciiTheme="majorHAnsi" w:hAnsiTheme="majorHAnsi" w:cstheme="majorHAnsi"/>
                <w:sz w:val="22"/>
                <w:szCs w:val="22"/>
              </w:rPr>
              <w:t xml:space="preserve">. The AASCTF should discuss possible ideas with The Asia Foundation (TO-09 partner), who are experienced in MEL for adaptive programming, to develop innovative and practical MEL processes. </w:t>
            </w:r>
          </w:p>
          <w:p w14:paraId="7E0A45DD" w14:textId="77777777" w:rsidR="00935AD5" w:rsidRPr="003E4972" w:rsidRDefault="00935AD5" w:rsidP="00E6379A">
            <w:pPr>
              <w:spacing w:line="276" w:lineRule="auto"/>
              <w:jc w:val="both"/>
              <w:rPr>
                <w:rFonts w:asciiTheme="majorHAnsi" w:hAnsiTheme="majorHAnsi" w:cstheme="majorHAnsi"/>
                <w:sz w:val="22"/>
                <w:szCs w:val="22"/>
              </w:rPr>
            </w:pPr>
          </w:p>
        </w:tc>
        <w:tc>
          <w:tcPr>
            <w:tcW w:w="2500" w:type="pct"/>
          </w:tcPr>
          <w:p w14:paraId="6B271C01" w14:textId="72E68D7B" w:rsidR="00935AD5" w:rsidRPr="003E4972" w:rsidRDefault="00935AD5" w:rsidP="00E6379A">
            <w:pPr>
              <w:rPr>
                <w:rFonts w:asciiTheme="majorHAnsi" w:hAnsiTheme="majorHAnsi" w:cstheme="majorHAnsi"/>
                <w:sz w:val="22"/>
                <w:szCs w:val="22"/>
              </w:rPr>
            </w:pPr>
            <w:r w:rsidRPr="003E4972">
              <w:rPr>
                <w:rFonts w:asciiTheme="majorHAnsi" w:hAnsiTheme="majorHAnsi" w:cstheme="majorHAnsi"/>
                <w:sz w:val="22"/>
                <w:szCs w:val="22"/>
              </w:rPr>
              <w:t>Agreed.</w:t>
            </w:r>
            <w:r w:rsidR="00115D41" w:rsidRPr="003E4972">
              <w:rPr>
                <w:rFonts w:asciiTheme="majorHAnsi" w:hAnsiTheme="majorHAnsi" w:cstheme="majorHAnsi"/>
                <w:sz w:val="22"/>
                <w:szCs w:val="22"/>
              </w:rPr>
              <w:t xml:space="preserve"> The Activity Level Performance Assessment, which is </w:t>
            </w:r>
            <w:r w:rsidR="00370B2C">
              <w:rPr>
                <w:rFonts w:asciiTheme="majorHAnsi" w:hAnsiTheme="majorHAnsi" w:cstheme="majorHAnsi"/>
                <w:sz w:val="22"/>
                <w:szCs w:val="22"/>
              </w:rPr>
              <w:t>used</w:t>
            </w:r>
            <w:r w:rsidR="00115D41" w:rsidRPr="003E4972">
              <w:rPr>
                <w:rFonts w:asciiTheme="majorHAnsi" w:hAnsiTheme="majorHAnsi" w:cstheme="majorHAnsi"/>
                <w:sz w:val="22"/>
                <w:szCs w:val="22"/>
              </w:rPr>
              <w:t xml:space="preserve"> by the pilot project teams as a quarterly progress reporting document, is currently being updated to better align with </w:t>
            </w:r>
            <w:r w:rsidR="00E871CE" w:rsidRPr="003E4972">
              <w:rPr>
                <w:rFonts w:asciiTheme="majorHAnsi" w:hAnsiTheme="majorHAnsi" w:cstheme="majorHAnsi"/>
                <w:sz w:val="22"/>
                <w:szCs w:val="22"/>
              </w:rPr>
              <w:t xml:space="preserve">the </w:t>
            </w:r>
            <w:r w:rsidR="0071626E" w:rsidRPr="003E4972">
              <w:rPr>
                <w:rFonts w:asciiTheme="majorHAnsi" w:hAnsiTheme="majorHAnsi" w:cstheme="majorHAnsi"/>
                <w:color w:val="000000"/>
                <w:sz w:val="22"/>
                <w:szCs w:val="22"/>
                <w:shd w:val="clear" w:color="auto" w:fill="FFFFFF"/>
              </w:rPr>
              <w:t xml:space="preserve">AASCTF Beyond 2022 Strategy </w:t>
            </w:r>
            <w:r w:rsidR="00E871CE" w:rsidRPr="003E4972">
              <w:rPr>
                <w:rFonts w:asciiTheme="majorHAnsi" w:hAnsiTheme="majorHAnsi" w:cstheme="majorHAnsi"/>
                <w:sz w:val="22"/>
                <w:szCs w:val="22"/>
              </w:rPr>
              <w:t>and revised outcome</w:t>
            </w:r>
            <w:r w:rsidR="0024033B">
              <w:rPr>
                <w:rFonts w:asciiTheme="majorHAnsi" w:hAnsiTheme="majorHAnsi" w:cstheme="majorHAnsi"/>
                <w:sz w:val="22"/>
                <w:szCs w:val="22"/>
              </w:rPr>
              <w:t>-</w:t>
            </w:r>
            <w:r w:rsidR="00E871CE" w:rsidRPr="003E4972">
              <w:rPr>
                <w:rFonts w:asciiTheme="majorHAnsi" w:hAnsiTheme="majorHAnsi" w:cstheme="majorHAnsi"/>
                <w:sz w:val="22"/>
                <w:szCs w:val="22"/>
              </w:rPr>
              <w:t xml:space="preserve">level </w:t>
            </w:r>
            <w:r w:rsidR="00FE042B">
              <w:rPr>
                <w:rFonts w:asciiTheme="majorHAnsi" w:hAnsiTheme="majorHAnsi" w:cstheme="majorHAnsi"/>
                <w:sz w:val="22"/>
                <w:szCs w:val="22"/>
              </w:rPr>
              <w:t>key performance indicators</w:t>
            </w:r>
            <w:r w:rsidR="00E871CE" w:rsidRPr="003E4972">
              <w:rPr>
                <w:rFonts w:asciiTheme="majorHAnsi" w:hAnsiTheme="majorHAnsi" w:cstheme="majorHAnsi"/>
                <w:sz w:val="22"/>
                <w:szCs w:val="22"/>
              </w:rPr>
              <w:t xml:space="preserve">. The new </w:t>
            </w:r>
            <w:r w:rsidR="00FE042B" w:rsidRPr="003E4972">
              <w:rPr>
                <w:rFonts w:asciiTheme="majorHAnsi" w:hAnsiTheme="majorHAnsi" w:cstheme="majorHAnsi"/>
                <w:sz w:val="22"/>
                <w:szCs w:val="22"/>
              </w:rPr>
              <w:t xml:space="preserve">Activity Level Performance Assessment </w:t>
            </w:r>
            <w:r w:rsidR="00E871CE" w:rsidRPr="003E4972">
              <w:rPr>
                <w:rFonts w:asciiTheme="majorHAnsi" w:hAnsiTheme="majorHAnsi" w:cstheme="majorHAnsi"/>
                <w:sz w:val="22"/>
                <w:szCs w:val="22"/>
              </w:rPr>
              <w:t xml:space="preserve">format will be </w:t>
            </w:r>
            <w:r w:rsidR="004B4025">
              <w:rPr>
                <w:rFonts w:asciiTheme="majorHAnsi" w:hAnsiTheme="majorHAnsi" w:cstheme="majorHAnsi"/>
                <w:sz w:val="22"/>
                <w:szCs w:val="22"/>
              </w:rPr>
              <w:t>implemented</w:t>
            </w:r>
            <w:r w:rsidR="00E871CE" w:rsidRPr="003E4972">
              <w:rPr>
                <w:rFonts w:asciiTheme="majorHAnsi" w:hAnsiTheme="majorHAnsi" w:cstheme="majorHAnsi"/>
                <w:sz w:val="22"/>
                <w:szCs w:val="22"/>
              </w:rPr>
              <w:t xml:space="preserve"> from January 2023</w:t>
            </w:r>
            <w:r w:rsidR="00B47388">
              <w:rPr>
                <w:rFonts w:asciiTheme="majorHAnsi" w:hAnsiTheme="majorHAnsi" w:cstheme="majorHAnsi"/>
                <w:sz w:val="22"/>
                <w:szCs w:val="22"/>
              </w:rPr>
              <w:t xml:space="preserve"> </w:t>
            </w:r>
            <w:r w:rsidR="00B47388" w:rsidRPr="007E7185">
              <w:rPr>
                <w:rFonts w:asciiTheme="majorHAnsi" w:hAnsiTheme="majorHAnsi" w:cstheme="majorHAnsi"/>
                <w:sz w:val="22"/>
                <w:szCs w:val="22"/>
              </w:rPr>
              <w:t>and AASCTF team members will be provided with training on their use</w:t>
            </w:r>
            <w:r w:rsidR="00B47388">
              <w:rPr>
                <w:rFonts w:asciiTheme="majorHAnsi" w:hAnsiTheme="majorHAnsi" w:cstheme="majorHAnsi"/>
                <w:sz w:val="22"/>
                <w:szCs w:val="22"/>
              </w:rPr>
              <w:t>.</w:t>
            </w:r>
            <w:r w:rsidR="00E871CE" w:rsidRPr="003E4972">
              <w:rPr>
                <w:rFonts w:asciiTheme="majorHAnsi" w:hAnsiTheme="majorHAnsi" w:cstheme="majorHAnsi"/>
                <w:sz w:val="22"/>
                <w:szCs w:val="22"/>
              </w:rPr>
              <w:t xml:space="preserve"> Further actions, if needed, will be identified as part of the </w:t>
            </w:r>
            <w:r w:rsidR="00FE042B" w:rsidRPr="003E4972">
              <w:rPr>
                <w:rFonts w:asciiTheme="majorHAnsi" w:hAnsiTheme="majorHAnsi" w:cstheme="majorHAnsi"/>
                <w:sz w:val="22"/>
                <w:szCs w:val="22"/>
              </w:rPr>
              <w:t>AASCTF Beyond 2022 Strategy</w:t>
            </w:r>
            <w:r w:rsidR="00FE042B">
              <w:rPr>
                <w:rFonts w:asciiTheme="majorHAnsi" w:hAnsiTheme="majorHAnsi" w:cstheme="majorHAnsi"/>
                <w:sz w:val="22"/>
                <w:szCs w:val="22"/>
              </w:rPr>
              <w:t>.</w:t>
            </w:r>
            <w:r w:rsidR="0071626E">
              <w:rPr>
                <w:rFonts w:asciiTheme="majorHAnsi" w:hAnsiTheme="majorHAnsi" w:cstheme="majorHAnsi"/>
                <w:sz w:val="22"/>
                <w:szCs w:val="22"/>
              </w:rPr>
              <w:t xml:space="preserve"> AASCTF will discuss </w:t>
            </w:r>
            <w:r w:rsidR="0047189C">
              <w:rPr>
                <w:rFonts w:asciiTheme="majorHAnsi" w:hAnsiTheme="majorHAnsi" w:cstheme="majorHAnsi"/>
                <w:sz w:val="22"/>
                <w:szCs w:val="22"/>
              </w:rPr>
              <w:t xml:space="preserve">ideas for monitoring and evaluation of </w:t>
            </w:r>
            <w:r w:rsidR="0071626E">
              <w:rPr>
                <w:rFonts w:asciiTheme="majorHAnsi" w:hAnsiTheme="majorHAnsi" w:cstheme="majorHAnsi"/>
                <w:sz w:val="22"/>
                <w:szCs w:val="22"/>
              </w:rPr>
              <w:t>adaptive programming w</w:t>
            </w:r>
            <w:r w:rsidR="00B47388">
              <w:rPr>
                <w:rFonts w:asciiTheme="majorHAnsi" w:hAnsiTheme="majorHAnsi" w:cstheme="majorHAnsi"/>
                <w:sz w:val="22"/>
                <w:szCs w:val="22"/>
              </w:rPr>
              <w:t xml:space="preserve">ith </w:t>
            </w:r>
            <w:r w:rsidR="00B47388" w:rsidRPr="003E4972">
              <w:rPr>
                <w:rFonts w:asciiTheme="majorHAnsi" w:hAnsiTheme="majorHAnsi" w:cstheme="majorHAnsi"/>
                <w:sz w:val="22"/>
                <w:szCs w:val="22"/>
              </w:rPr>
              <w:t>The Asia Foundation</w:t>
            </w:r>
            <w:r w:rsidR="00B47388">
              <w:rPr>
                <w:rFonts w:asciiTheme="majorHAnsi" w:hAnsiTheme="majorHAnsi" w:cstheme="majorHAnsi"/>
                <w:sz w:val="22"/>
                <w:szCs w:val="22"/>
              </w:rPr>
              <w:t xml:space="preserve">. </w:t>
            </w:r>
          </w:p>
        </w:tc>
      </w:tr>
      <w:tr w:rsidR="00935AD5" w:rsidRPr="003E4972" w14:paraId="5D89EB9F" w14:textId="77777777" w:rsidTr="7D125D77">
        <w:tc>
          <w:tcPr>
            <w:tcW w:w="2500" w:type="pct"/>
          </w:tcPr>
          <w:p w14:paraId="456A7364" w14:textId="5103B08B" w:rsidR="00935AD5" w:rsidRPr="003E4972" w:rsidRDefault="00F92F05" w:rsidP="00E6379A">
            <w:pPr>
              <w:spacing w:line="276" w:lineRule="auto"/>
              <w:rPr>
                <w:rFonts w:asciiTheme="majorHAnsi" w:hAnsiTheme="majorHAnsi" w:cstheme="majorHAnsi"/>
                <w:sz w:val="22"/>
                <w:szCs w:val="22"/>
              </w:rPr>
            </w:pPr>
            <w:r>
              <w:rPr>
                <w:rFonts w:asciiTheme="majorHAnsi" w:hAnsiTheme="majorHAnsi" w:cstheme="majorHAnsi"/>
                <w:sz w:val="22"/>
                <w:szCs w:val="22"/>
              </w:rPr>
              <w:t xml:space="preserve">10. </w:t>
            </w:r>
            <w:r w:rsidR="00935AD5" w:rsidRPr="003E4972">
              <w:rPr>
                <w:rFonts w:asciiTheme="majorHAnsi" w:hAnsiTheme="majorHAnsi" w:cstheme="majorHAnsi"/>
                <w:sz w:val="22"/>
                <w:szCs w:val="22"/>
              </w:rPr>
              <w:t xml:space="preserve">ADB and Ramboll could consider implementing a more systematic internal learning database or knowledge hub for program learning points that can, for example, help team members navigate common challenges or access useful resources. This could also be expanded externally to a wide range of stakeholders who are involved across the components of the program. </w:t>
            </w:r>
          </w:p>
          <w:p w14:paraId="1FD9A616" w14:textId="77777777" w:rsidR="00935AD5" w:rsidRPr="003E4972" w:rsidRDefault="00935AD5" w:rsidP="00E6379A">
            <w:pPr>
              <w:spacing w:line="276" w:lineRule="auto"/>
              <w:jc w:val="both"/>
              <w:rPr>
                <w:rFonts w:asciiTheme="majorHAnsi" w:hAnsiTheme="majorHAnsi" w:cstheme="majorHAnsi"/>
                <w:sz w:val="22"/>
                <w:szCs w:val="22"/>
              </w:rPr>
            </w:pPr>
          </w:p>
        </w:tc>
        <w:tc>
          <w:tcPr>
            <w:tcW w:w="2500" w:type="pct"/>
          </w:tcPr>
          <w:p w14:paraId="7BC55CE6" w14:textId="3FE7D17A" w:rsidR="00935AD5" w:rsidRPr="003E4972" w:rsidRDefault="00935AD5" w:rsidP="7D125D77">
            <w:pPr>
              <w:rPr>
                <w:rFonts w:asciiTheme="majorHAnsi" w:hAnsiTheme="majorHAnsi" w:cstheme="majorHAnsi"/>
                <w:sz w:val="22"/>
                <w:szCs w:val="22"/>
              </w:rPr>
            </w:pPr>
            <w:r w:rsidRPr="003E4972">
              <w:rPr>
                <w:rFonts w:asciiTheme="majorHAnsi" w:hAnsiTheme="majorHAnsi" w:cstheme="majorHAnsi"/>
                <w:sz w:val="22"/>
                <w:szCs w:val="22"/>
              </w:rPr>
              <w:t>Agreed. ADB and Ramboll</w:t>
            </w:r>
            <w:r w:rsidR="003B7E46" w:rsidRPr="003E4972">
              <w:rPr>
                <w:rFonts w:asciiTheme="majorHAnsi" w:hAnsiTheme="majorHAnsi" w:cstheme="majorHAnsi"/>
                <w:sz w:val="22"/>
                <w:szCs w:val="22"/>
              </w:rPr>
              <w:t xml:space="preserve"> are piloting an online program management tool which will support </w:t>
            </w:r>
            <w:r w:rsidR="004B4025">
              <w:rPr>
                <w:rFonts w:asciiTheme="majorHAnsi" w:hAnsiTheme="majorHAnsi" w:cstheme="majorHAnsi"/>
                <w:sz w:val="22"/>
                <w:szCs w:val="22"/>
              </w:rPr>
              <w:t>implementation</w:t>
            </w:r>
            <w:r w:rsidR="003B7E46" w:rsidRPr="003E4972">
              <w:rPr>
                <w:rFonts w:asciiTheme="majorHAnsi" w:hAnsiTheme="majorHAnsi" w:cstheme="majorHAnsi"/>
                <w:sz w:val="22"/>
                <w:szCs w:val="22"/>
              </w:rPr>
              <w:t xml:space="preserve"> of the AASCTF Beyond 2022 Strategy. This tool (together with other mechanisms and approaches employed by Ramboll and ADB) </w:t>
            </w:r>
            <w:r w:rsidR="008B16B4">
              <w:rPr>
                <w:rFonts w:asciiTheme="majorHAnsi" w:hAnsiTheme="majorHAnsi" w:cstheme="majorHAnsi"/>
                <w:sz w:val="22"/>
                <w:szCs w:val="22"/>
              </w:rPr>
              <w:t xml:space="preserve">will </w:t>
            </w:r>
            <w:r w:rsidR="00F51529" w:rsidRPr="003E4972">
              <w:rPr>
                <w:rFonts w:asciiTheme="majorHAnsi" w:hAnsiTheme="majorHAnsi" w:cstheme="majorHAnsi"/>
                <w:sz w:val="22"/>
                <w:szCs w:val="22"/>
              </w:rPr>
              <w:t>better</w:t>
            </w:r>
            <w:r w:rsidR="003B7E46" w:rsidRPr="003E4972">
              <w:rPr>
                <w:rFonts w:asciiTheme="majorHAnsi" w:hAnsiTheme="majorHAnsi" w:cstheme="majorHAnsi"/>
                <w:sz w:val="22"/>
                <w:szCs w:val="22"/>
              </w:rPr>
              <w:t xml:space="preserve"> frame, capture and share lessons</w:t>
            </w:r>
            <w:r w:rsidR="00AE735F" w:rsidRPr="003E4972">
              <w:rPr>
                <w:rFonts w:asciiTheme="majorHAnsi" w:hAnsiTheme="majorHAnsi" w:cstheme="majorHAnsi"/>
                <w:sz w:val="22"/>
                <w:szCs w:val="22"/>
              </w:rPr>
              <w:t>/ knowledge</w:t>
            </w:r>
            <w:r w:rsidR="003B7E46" w:rsidRPr="003E4972">
              <w:rPr>
                <w:rFonts w:asciiTheme="majorHAnsi" w:hAnsiTheme="majorHAnsi" w:cstheme="majorHAnsi"/>
                <w:sz w:val="22"/>
                <w:szCs w:val="22"/>
              </w:rPr>
              <w:t xml:space="preserve"> in</w:t>
            </w:r>
            <w:r w:rsidR="00AE735F" w:rsidRPr="003E4972">
              <w:rPr>
                <w:rFonts w:asciiTheme="majorHAnsi" w:hAnsiTheme="majorHAnsi" w:cstheme="majorHAnsi"/>
                <w:sz w:val="22"/>
                <w:szCs w:val="22"/>
              </w:rPr>
              <w:t xml:space="preserve"> a</w:t>
            </w:r>
            <w:r w:rsidR="003B7E46" w:rsidRPr="003E4972">
              <w:rPr>
                <w:rFonts w:asciiTheme="majorHAnsi" w:hAnsiTheme="majorHAnsi" w:cstheme="majorHAnsi"/>
                <w:sz w:val="22"/>
                <w:szCs w:val="22"/>
              </w:rPr>
              <w:t xml:space="preserve"> structured and transferrable manner</w:t>
            </w:r>
            <w:r w:rsidR="00AE735F" w:rsidRPr="003E4972">
              <w:rPr>
                <w:rFonts w:asciiTheme="majorHAnsi" w:hAnsiTheme="majorHAnsi" w:cstheme="majorHAnsi"/>
                <w:sz w:val="22"/>
                <w:szCs w:val="22"/>
              </w:rPr>
              <w:t xml:space="preserve">. </w:t>
            </w:r>
            <w:r w:rsidR="00646300">
              <w:rPr>
                <w:rFonts w:asciiTheme="majorHAnsi" w:hAnsiTheme="majorHAnsi" w:cstheme="majorHAnsi"/>
                <w:sz w:val="22"/>
                <w:szCs w:val="22"/>
              </w:rPr>
              <w:t xml:space="preserve">ADB and Ramboll intend to </w:t>
            </w:r>
            <w:r w:rsidR="003E00D7">
              <w:rPr>
                <w:rFonts w:asciiTheme="majorHAnsi" w:hAnsiTheme="majorHAnsi" w:cstheme="majorHAnsi"/>
                <w:sz w:val="22"/>
                <w:szCs w:val="22"/>
              </w:rPr>
              <w:t>refine this tool</w:t>
            </w:r>
            <w:r w:rsidR="00CC4B47">
              <w:rPr>
                <w:rFonts w:asciiTheme="majorHAnsi" w:hAnsiTheme="majorHAnsi" w:cstheme="majorHAnsi"/>
                <w:sz w:val="22"/>
                <w:szCs w:val="22"/>
              </w:rPr>
              <w:t xml:space="preserve">, which will become an </w:t>
            </w:r>
            <w:r w:rsidR="00AE735F" w:rsidRPr="003E4972">
              <w:rPr>
                <w:rFonts w:asciiTheme="majorHAnsi" w:hAnsiTheme="majorHAnsi" w:cstheme="majorHAnsi"/>
                <w:sz w:val="22"/>
                <w:szCs w:val="22"/>
              </w:rPr>
              <w:t xml:space="preserve">internal learning database or knowledge hub. </w:t>
            </w:r>
          </w:p>
        </w:tc>
      </w:tr>
      <w:tr w:rsidR="00935AD5" w:rsidRPr="003E4972" w14:paraId="39C2A3D3" w14:textId="77777777" w:rsidTr="00C7333D">
        <w:trPr>
          <w:trHeight w:val="3013"/>
        </w:trPr>
        <w:tc>
          <w:tcPr>
            <w:tcW w:w="2500" w:type="pct"/>
          </w:tcPr>
          <w:p w14:paraId="0F212D93" w14:textId="403A7F35" w:rsidR="00935AD5" w:rsidRPr="003E4972" w:rsidRDefault="00F92F05" w:rsidP="00E6379A">
            <w:pPr>
              <w:spacing w:line="276" w:lineRule="auto"/>
              <w:rPr>
                <w:rFonts w:asciiTheme="majorHAnsi" w:hAnsiTheme="majorHAnsi" w:cstheme="majorHAnsi"/>
                <w:sz w:val="22"/>
                <w:szCs w:val="22"/>
              </w:rPr>
            </w:pPr>
            <w:r>
              <w:rPr>
                <w:rFonts w:asciiTheme="majorHAnsi" w:hAnsiTheme="majorHAnsi" w:cstheme="majorHAnsi"/>
                <w:sz w:val="22"/>
                <w:szCs w:val="22"/>
              </w:rPr>
              <w:t xml:space="preserve">11. </w:t>
            </w:r>
            <w:r w:rsidR="00935AD5" w:rsidRPr="003E4972">
              <w:rPr>
                <w:rFonts w:asciiTheme="majorHAnsi" w:hAnsiTheme="majorHAnsi" w:cstheme="majorHAnsi"/>
                <w:sz w:val="22"/>
                <w:szCs w:val="22"/>
              </w:rPr>
              <w:t xml:space="preserve">DFAT and the implementation partners should drive more proactive interaction with DFAT posts, particularly the ASEAN mission in Indonesia, where there is potential to tie in with related smart city work and learning from each other’s experience. Quarterly or 6-montly regional updates with ADB are recommended, to share progress updates and knowledge exchange. </w:t>
            </w:r>
          </w:p>
          <w:p w14:paraId="06DE08B8" w14:textId="77777777" w:rsidR="00935AD5" w:rsidRPr="003E4972" w:rsidRDefault="00935AD5" w:rsidP="00E6379A">
            <w:pPr>
              <w:spacing w:line="276" w:lineRule="auto"/>
              <w:jc w:val="both"/>
              <w:rPr>
                <w:rFonts w:asciiTheme="majorHAnsi" w:hAnsiTheme="majorHAnsi" w:cstheme="majorHAnsi"/>
                <w:sz w:val="22"/>
                <w:szCs w:val="22"/>
              </w:rPr>
            </w:pPr>
          </w:p>
        </w:tc>
        <w:tc>
          <w:tcPr>
            <w:tcW w:w="2500" w:type="pct"/>
          </w:tcPr>
          <w:p w14:paraId="0F0123AF" w14:textId="03C5239D" w:rsidR="00935AD5" w:rsidRPr="003E4972" w:rsidRDefault="00935AD5" w:rsidP="00E6379A">
            <w:pPr>
              <w:rPr>
                <w:rFonts w:asciiTheme="majorHAnsi" w:hAnsiTheme="majorHAnsi" w:cstheme="majorHAnsi"/>
                <w:sz w:val="22"/>
                <w:szCs w:val="22"/>
              </w:rPr>
            </w:pPr>
            <w:r w:rsidRPr="003E4972">
              <w:rPr>
                <w:rFonts w:asciiTheme="majorHAnsi" w:hAnsiTheme="majorHAnsi" w:cstheme="majorHAnsi"/>
                <w:sz w:val="22"/>
                <w:szCs w:val="22"/>
              </w:rPr>
              <w:t>Agreed</w:t>
            </w:r>
            <w:r w:rsidR="00137346" w:rsidRPr="003E4972">
              <w:rPr>
                <w:rFonts w:asciiTheme="majorHAnsi" w:hAnsiTheme="majorHAnsi" w:cstheme="majorHAnsi"/>
                <w:sz w:val="22"/>
                <w:szCs w:val="22"/>
              </w:rPr>
              <w:t>.</w:t>
            </w:r>
            <w:r w:rsidRPr="003E4972">
              <w:rPr>
                <w:rFonts w:asciiTheme="majorHAnsi" w:hAnsiTheme="majorHAnsi" w:cstheme="majorHAnsi"/>
                <w:sz w:val="22"/>
                <w:szCs w:val="22"/>
              </w:rPr>
              <w:t xml:space="preserve"> Quarterly regional updates</w:t>
            </w:r>
            <w:r w:rsidR="00387084">
              <w:rPr>
                <w:rFonts w:asciiTheme="majorHAnsi" w:hAnsiTheme="majorHAnsi" w:cstheme="majorHAnsi"/>
                <w:sz w:val="22"/>
                <w:szCs w:val="22"/>
              </w:rPr>
              <w:t xml:space="preserve">, </w:t>
            </w:r>
            <w:r w:rsidR="00150511">
              <w:rPr>
                <w:rFonts w:asciiTheme="majorHAnsi" w:hAnsiTheme="majorHAnsi" w:cstheme="majorHAnsi"/>
                <w:sz w:val="22"/>
                <w:szCs w:val="22"/>
              </w:rPr>
              <w:t>with</w:t>
            </w:r>
            <w:r w:rsidR="00387084">
              <w:rPr>
                <w:rFonts w:asciiTheme="majorHAnsi" w:hAnsiTheme="majorHAnsi" w:cstheme="majorHAnsi"/>
                <w:sz w:val="22"/>
                <w:szCs w:val="22"/>
              </w:rPr>
              <w:t xml:space="preserve"> </w:t>
            </w:r>
            <w:r w:rsidR="001442AB">
              <w:rPr>
                <w:rFonts w:asciiTheme="majorHAnsi" w:hAnsiTheme="majorHAnsi" w:cstheme="majorHAnsi"/>
                <w:sz w:val="22"/>
                <w:szCs w:val="22"/>
              </w:rPr>
              <w:t xml:space="preserve">representatives from Canberra, </w:t>
            </w:r>
            <w:r w:rsidR="00387084">
              <w:rPr>
                <w:rFonts w:asciiTheme="majorHAnsi" w:hAnsiTheme="majorHAnsi" w:cstheme="majorHAnsi"/>
                <w:sz w:val="22"/>
                <w:szCs w:val="22"/>
              </w:rPr>
              <w:t>the Australian Mission to ASEAN</w:t>
            </w:r>
            <w:r w:rsidR="001442AB">
              <w:rPr>
                <w:rFonts w:asciiTheme="majorHAnsi" w:hAnsiTheme="majorHAnsi" w:cstheme="majorHAnsi"/>
                <w:sz w:val="22"/>
                <w:szCs w:val="22"/>
              </w:rPr>
              <w:t xml:space="preserve"> and other DFAT posts as appropriate,</w:t>
            </w:r>
            <w:r w:rsidRPr="003E4972">
              <w:rPr>
                <w:rFonts w:asciiTheme="majorHAnsi" w:hAnsiTheme="majorHAnsi" w:cstheme="majorHAnsi"/>
                <w:sz w:val="22"/>
                <w:szCs w:val="22"/>
              </w:rPr>
              <w:t xml:space="preserve"> will commence in Q1 2023. </w:t>
            </w:r>
          </w:p>
        </w:tc>
      </w:tr>
      <w:tr w:rsidR="00935AD5" w:rsidRPr="003E4972" w14:paraId="4480B1F2" w14:textId="77777777" w:rsidTr="7D125D77">
        <w:tc>
          <w:tcPr>
            <w:tcW w:w="2500" w:type="pct"/>
          </w:tcPr>
          <w:p w14:paraId="3EA4B669" w14:textId="2241D513" w:rsidR="00935AD5" w:rsidRPr="003E4972" w:rsidRDefault="00F92F05" w:rsidP="00FE042B">
            <w:pPr>
              <w:spacing w:line="276" w:lineRule="auto"/>
              <w:rPr>
                <w:rFonts w:asciiTheme="majorHAnsi" w:hAnsiTheme="majorHAnsi" w:cstheme="majorHAnsi"/>
                <w:sz w:val="22"/>
                <w:szCs w:val="22"/>
              </w:rPr>
            </w:pPr>
            <w:r>
              <w:rPr>
                <w:rFonts w:asciiTheme="majorHAnsi" w:hAnsiTheme="majorHAnsi" w:cstheme="majorHAnsi"/>
                <w:sz w:val="22"/>
                <w:szCs w:val="22"/>
              </w:rPr>
              <w:t xml:space="preserve">12. </w:t>
            </w:r>
            <w:r w:rsidR="00935AD5" w:rsidRPr="003E4972">
              <w:rPr>
                <w:rFonts w:asciiTheme="majorHAnsi" w:hAnsiTheme="majorHAnsi" w:cstheme="majorHAnsi"/>
                <w:sz w:val="22"/>
                <w:szCs w:val="22"/>
              </w:rPr>
              <w:t xml:space="preserve">DFAT should ask program implementing partners to ensure that DFAT branding is made clear to external audiences and stakeholders on all relevant communications and materials. </w:t>
            </w:r>
          </w:p>
        </w:tc>
        <w:tc>
          <w:tcPr>
            <w:tcW w:w="2500" w:type="pct"/>
          </w:tcPr>
          <w:p w14:paraId="4FF6A765" w14:textId="5C54C0C8" w:rsidR="00935AD5" w:rsidRPr="003E4972" w:rsidRDefault="00935AD5" w:rsidP="00E6379A">
            <w:pPr>
              <w:rPr>
                <w:rFonts w:asciiTheme="majorHAnsi" w:hAnsiTheme="majorHAnsi" w:cstheme="majorHAnsi"/>
                <w:sz w:val="22"/>
                <w:szCs w:val="22"/>
              </w:rPr>
            </w:pPr>
            <w:r w:rsidRPr="003E4972">
              <w:rPr>
                <w:rFonts w:asciiTheme="majorHAnsi" w:hAnsiTheme="majorHAnsi" w:cstheme="majorHAnsi"/>
                <w:sz w:val="22"/>
                <w:szCs w:val="22"/>
              </w:rPr>
              <w:t xml:space="preserve">Agreed. This recommendation has been </w:t>
            </w:r>
            <w:r w:rsidR="001C4183" w:rsidRPr="003E4972">
              <w:rPr>
                <w:rFonts w:asciiTheme="majorHAnsi" w:hAnsiTheme="majorHAnsi" w:cstheme="majorHAnsi"/>
                <w:sz w:val="22"/>
                <w:szCs w:val="22"/>
              </w:rPr>
              <w:t>implemented</w:t>
            </w:r>
            <w:r w:rsidRPr="003E4972">
              <w:rPr>
                <w:rFonts w:asciiTheme="majorHAnsi" w:hAnsiTheme="majorHAnsi" w:cstheme="majorHAnsi"/>
                <w:sz w:val="22"/>
                <w:szCs w:val="22"/>
              </w:rPr>
              <w:t xml:space="preserve">. </w:t>
            </w:r>
          </w:p>
        </w:tc>
      </w:tr>
      <w:tr w:rsidR="00935AD5" w:rsidRPr="003E4972" w14:paraId="5F19BD05" w14:textId="77777777" w:rsidTr="7D125D77">
        <w:tc>
          <w:tcPr>
            <w:tcW w:w="2500" w:type="pct"/>
          </w:tcPr>
          <w:p w14:paraId="18376C1B" w14:textId="5A993FD1" w:rsidR="00935AD5" w:rsidRPr="003E4972" w:rsidRDefault="005E1C6B" w:rsidP="00E6379A">
            <w:pPr>
              <w:spacing w:line="276" w:lineRule="auto"/>
              <w:rPr>
                <w:rFonts w:asciiTheme="majorHAnsi" w:hAnsiTheme="majorHAnsi" w:cstheme="majorHAnsi"/>
                <w:sz w:val="22"/>
                <w:szCs w:val="22"/>
              </w:rPr>
            </w:pPr>
            <w:r>
              <w:rPr>
                <w:rFonts w:asciiTheme="majorHAnsi" w:hAnsiTheme="majorHAnsi" w:cstheme="majorHAnsi"/>
                <w:sz w:val="22"/>
                <w:szCs w:val="22"/>
              </w:rPr>
              <w:lastRenderedPageBreak/>
              <w:t xml:space="preserve">13. </w:t>
            </w:r>
            <w:r w:rsidR="00935AD5" w:rsidRPr="003E4972">
              <w:rPr>
                <w:rFonts w:asciiTheme="majorHAnsi" w:hAnsiTheme="majorHAnsi" w:cstheme="majorHAnsi"/>
                <w:sz w:val="22"/>
                <w:szCs w:val="22"/>
              </w:rPr>
              <w:t>Ramboll and ADB should carefully consider how best to interact with city staff to avoid over-burdening them, while maintaining close collaboration. This includes reducing the impact of a city specific and a regional TO coinciding in a particular city, such as in George Town and Baguio.</w:t>
            </w:r>
          </w:p>
          <w:p w14:paraId="213AFD76" w14:textId="77777777" w:rsidR="00935AD5" w:rsidRPr="003E4972" w:rsidRDefault="00935AD5" w:rsidP="00E6379A">
            <w:pPr>
              <w:spacing w:line="276" w:lineRule="auto"/>
              <w:jc w:val="both"/>
              <w:rPr>
                <w:rFonts w:asciiTheme="majorHAnsi" w:hAnsiTheme="majorHAnsi" w:cstheme="majorHAnsi"/>
                <w:sz w:val="22"/>
                <w:szCs w:val="22"/>
              </w:rPr>
            </w:pPr>
          </w:p>
        </w:tc>
        <w:tc>
          <w:tcPr>
            <w:tcW w:w="2500" w:type="pct"/>
          </w:tcPr>
          <w:p w14:paraId="6F1A4D70" w14:textId="4C195658" w:rsidR="00935AD5" w:rsidRPr="003E4972" w:rsidRDefault="00935AD5" w:rsidP="00E6379A">
            <w:pPr>
              <w:rPr>
                <w:rFonts w:asciiTheme="majorHAnsi" w:hAnsiTheme="majorHAnsi" w:cstheme="majorHAnsi"/>
                <w:sz w:val="22"/>
                <w:szCs w:val="22"/>
              </w:rPr>
            </w:pPr>
            <w:r w:rsidRPr="003E4972">
              <w:rPr>
                <w:rFonts w:asciiTheme="majorHAnsi" w:hAnsiTheme="majorHAnsi" w:cstheme="majorHAnsi"/>
                <w:sz w:val="22"/>
                <w:szCs w:val="22"/>
              </w:rPr>
              <w:t xml:space="preserve">Agreed. </w:t>
            </w:r>
            <w:r w:rsidR="00927E47" w:rsidRPr="003E4972">
              <w:rPr>
                <w:rFonts w:asciiTheme="majorHAnsi" w:hAnsiTheme="majorHAnsi" w:cstheme="majorHAnsi"/>
                <w:sz w:val="22"/>
                <w:szCs w:val="22"/>
              </w:rPr>
              <w:t>The Graduation Strategy</w:t>
            </w:r>
            <w:r w:rsidR="005E2D57" w:rsidRPr="003E4972">
              <w:rPr>
                <w:rFonts w:asciiTheme="majorHAnsi" w:hAnsiTheme="majorHAnsi" w:cstheme="majorHAnsi"/>
                <w:sz w:val="22"/>
                <w:szCs w:val="22"/>
              </w:rPr>
              <w:t>, to be finali</w:t>
            </w:r>
            <w:r w:rsidR="003C5C54">
              <w:rPr>
                <w:rFonts w:asciiTheme="majorHAnsi" w:hAnsiTheme="majorHAnsi" w:cstheme="majorHAnsi"/>
                <w:sz w:val="22"/>
                <w:szCs w:val="22"/>
              </w:rPr>
              <w:t>s</w:t>
            </w:r>
            <w:r w:rsidR="005E2D57" w:rsidRPr="003E4972">
              <w:rPr>
                <w:rFonts w:asciiTheme="majorHAnsi" w:hAnsiTheme="majorHAnsi" w:cstheme="majorHAnsi"/>
                <w:sz w:val="22"/>
                <w:szCs w:val="22"/>
              </w:rPr>
              <w:t>ed in Q1 2023,</w:t>
            </w:r>
            <w:r w:rsidR="00927E47" w:rsidRPr="003E4972">
              <w:rPr>
                <w:rFonts w:asciiTheme="majorHAnsi" w:hAnsiTheme="majorHAnsi" w:cstheme="majorHAnsi"/>
                <w:sz w:val="22"/>
                <w:szCs w:val="22"/>
              </w:rPr>
              <w:t xml:space="preserve"> will aid in</w:t>
            </w:r>
            <w:r w:rsidR="00FE042B">
              <w:rPr>
                <w:rFonts w:asciiTheme="majorHAnsi" w:hAnsiTheme="majorHAnsi" w:cstheme="majorHAnsi"/>
                <w:sz w:val="22"/>
                <w:szCs w:val="22"/>
              </w:rPr>
              <w:t xml:space="preserve"> setting the </w:t>
            </w:r>
            <w:r w:rsidR="00927E47" w:rsidRPr="003E4972">
              <w:rPr>
                <w:rFonts w:asciiTheme="majorHAnsi" w:hAnsiTheme="majorHAnsi" w:cstheme="majorHAnsi"/>
                <w:sz w:val="22"/>
                <w:szCs w:val="22"/>
              </w:rPr>
              <w:t>expectation</w:t>
            </w:r>
            <w:r w:rsidR="00FE042B">
              <w:rPr>
                <w:rFonts w:asciiTheme="majorHAnsi" w:hAnsiTheme="majorHAnsi" w:cstheme="majorHAnsi"/>
                <w:sz w:val="22"/>
                <w:szCs w:val="22"/>
              </w:rPr>
              <w:t>s</w:t>
            </w:r>
            <w:r w:rsidR="00927E47" w:rsidRPr="003E4972">
              <w:rPr>
                <w:rFonts w:asciiTheme="majorHAnsi" w:hAnsiTheme="majorHAnsi" w:cstheme="majorHAnsi"/>
                <w:sz w:val="22"/>
                <w:szCs w:val="22"/>
              </w:rPr>
              <w:t xml:space="preserve"> and resource commitment</w:t>
            </w:r>
            <w:r w:rsidR="00FE042B">
              <w:rPr>
                <w:rFonts w:asciiTheme="majorHAnsi" w:hAnsiTheme="majorHAnsi" w:cstheme="majorHAnsi"/>
                <w:sz w:val="22"/>
                <w:szCs w:val="22"/>
              </w:rPr>
              <w:t>s</w:t>
            </w:r>
            <w:r w:rsidR="00927E47" w:rsidRPr="003E4972">
              <w:rPr>
                <w:rFonts w:asciiTheme="majorHAnsi" w:hAnsiTheme="majorHAnsi" w:cstheme="majorHAnsi"/>
                <w:sz w:val="22"/>
                <w:szCs w:val="22"/>
              </w:rPr>
              <w:t xml:space="preserve"> of city government </w:t>
            </w:r>
            <w:r w:rsidR="00FE042B">
              <w:rPr>
                <w:rFonts w:asciiTheme="majorHAnsi" w:hAnsiTheme="majorHAnsi" w:cstheme="majorHAnsi"/>
                <w:sz w:val="22"/>
                <w:szCs w:val="22"/>
              </w:rPr>
              <w:t>partners</w:t>
            </w:r>
            <w:r w:rsidR="00927E47" w:rsidRPr="003E4972">
              <w:rPr>
                <w:rFonts w:asciiTheme="majorHAnsi" w:hAnsiTheme="majorHAnsi" w:cstheme="majorHAnsi"/>
                <w:sz w:val="22"/>
                <w:szCs w:val="22"/>
              </w:rPr>
              <w:t xml:space="preserve">. </w:t>
            </w:r>
            <w:r w:rsidR="00D7261F">
              <w:rPr>
                <w:rFonts w:asciiTheme="majorHAnsi" w:hAnsiTheme="majorHAnsi" w:cstheme="majorHAnsi"/>
                <w:sz w:val="22"/>
                <w:szCs w:val="22"/>
              </w:rPr>
              <w:t>The program will develop c</w:t>
            </w:r>
            <w:r w:rsidR="00927E47" w:rsidRPr="003E4972">
              <w:rPr>
                <w:rFonts w:asciiTheme="majorHAnsi" w:hAnsiTheme="majorHAnsi" w:cstheme="majorHAnsi"/>
                <w:sz w:val="22"/>
                <w:szCs w:val="22"/>
              </w:rPr>
              <w:t>ity level report cards</w:t>
            </w:r>
            <w:r w:rsidR="00FE042B">
              <w:rPr>
                <w:rFonts w:asciiTheme="majorHAnsi" w:hAnsiTheme="majorHAnsi" w:cstheme="majorHAnsi"/>
                <w:sz w:val="22"/>
                <w:szCs w:val="22"/>
              </w:rPr>
              <w:t xml:space="preserve"> to track</w:t>
            </w:r>
            <w:r w:rsidR="005E2D57" w:rsidRPr="003E4972">
              <w:rPr>
                <w:rFonts w:asciiTheme="majorHAnsi" w:hAnsiTheme="majorHAnsi" w:cstheme="majorHAnsi"/>
                <w:sz w:val="22"/>
                <w:szCs w:val="22"/>
              </w:rPr>
              <w:t xml:space="preserve"> progress against the established graduation criteria</w:t>
            </w:r>
            <w:r w:rsidR="00D7261F">
              <w:rPr>
                <w:rFonts w:asciiTheme="majorHAnsi" w:hAnsiTheme="majorHAnsi" w:cstheme="majorHAnsi"/>
                <w:sz w:val="22"/>
                <w:szCs w:val="22"/>
              </w:rPr>
              <w:t xml:space="preserve">. These will be </w:t>
            </w:r>
            <w:r w:rsidR="00C50EF4">
              <w:rPr>
                <w:rFonts w:asciiTheme="majorHAnsi" w:hAnsiTheme="majorHAnsi" w:cstheme="majorHAnsi"/>
                <w:sz w:val="22"/>
                <w:szCs w:val="22"/>
              </w:rPr>
              <w:t>linked</w:t>
            </w:r>
            <w:r w:rsidR="00927E47" w:rsidRPr="003E4972">
              <w:rPr>
                <w:rFonts w:asciiTheme="majorHAnsi" w:hAnsiTheme="majorHAnsi" w:cstheme="majorHAnsi"/>
                <w:sz w:val="22"/>
                <w:szCs w:val="22"/>
              </w:rPr>
              <w:t xml:space="preserve"> to the </w:t>
            </w:r>
            <w:r w:rsidR="00FE042B" w:rsidRPr="003E4972">
              <w:rPr>
                <w:rFonts w:asciiTheme="majorHAnsi" w:hAnsiTheme="majorHAnsi" w:cstheme="majorHAnsi"/>
                <w:sz w:val="22"/>
                <w:szCs w:val="22"/>
              </w:rPr>
              <w:t>Activity Level Performance Assessment</w:t>
            </w:r>
            <w:r w:rsidR="00FE042B">
              <w:rPr>
                <w:rFonts w:asciiTheme="majorHAnsi" w:hAnsiTheme="majorHAnsi" w:cstheme="majorHAnsi"/>
                <w:sz w:val="22"/>
                <w:szCs w:val="22"/>
              </w:rPr>
              <w:t>s</w:t>
            </w:r>
            <w:r w:rsidR="00FE042B" w:rsidRPr="003E4972">
              <w:rPr>
                <w:rFonts w:asciiTheme="majorHAnsi" w:hAnsiTheme="majorHAnsi" w:cstheme="majorHAnsi"/>
                <w:sz w:val="22"/>
                <w:szCs w:val="22"/>
              </w:rPr>
              <w:t xml:space="preserve"> </w:t>
            </w:r>
            <w:r w:rsidR="00FE042B">
              <w:rPr>
                <w:rFonts w:asciiTheme="majorHAnsi" w:hAnsiTheme="majorHAnsi" w:cstheme="majorHAnsi"/>
                <w:sz w:val="22"/>
                <w:szCs w:val="22"/>
              </w:rPr>
              <w:t>to</w:t>
            </w:r>
            <w:r w:rsidR="00927E47" w:rsidRPr="003E4972">
              <w:rPr>
                <w:rFonts w:asciiTheme="majorHAnsi" w:hAnsiTheme="majorHAnsi" w:cstheme="majorHAnsi"/>
                <w:sz w:val="22"/>
                <w:szCs w:val="22"/>
              </w:rPr>
              <w:t xml:space="preserve"> enable a more </w:t>
            </w:r>
            <w:r w:rsidR="005E2D57" w:rsidRPr="003E4972">
              <w:rPr>
                <w:rFonts w:asciiTheme="majorHAnsi" w:hAnsiTheme="majorHAnsi" w:cstheme="majorHAnsi"/>
                <w:sz w:val="22"/>
                <w:szCs w:val="22"/>
              </w:rPr>
              <w:t>continuous</w:t>
            </w:r>
            <w:r w:rsidR="00927E47" w:rsidRPr="003E4972">
              <w:rPr>
                <w:rFonts w:asciiTheme="majorHAnsi" w:hAnsiTheme="majorHAnsi" w:cstheme="majorHAnsi"/>
                <w:sz w:val="22"/>
                <w:szCs w:val="22"/>
              </w:rPr>
              <w:t xml:space="preserve"> assessment of bottlenecks and</w:t>
            </w:r>
            <w:r w:rsidR="003C5C54">
              <w:rPr>
                <w:rFonts w:asciiTheme="majorHAnsi" w:hAnsiTheme="majorHAnsi" w:cstheme="majorHAnsi"/>
                <w:sz w:val="22"/>
                <w:szCs w:val="22"/>
              </w:rPr>
              <w:t xml:space="preserve"> </w:t>
            </w:r>
            <w:proofErr w:type="gramStart"/>
            <w:r w:rsidR="003C5C54" w:rsidRPr="00B47388">
              <w:rPr>
                <w:rFonts w:asciiTheme="majorHAnsi" w:hAnsiTheme="majorHAnsi" w:cstheme="majorHAnsi"/>
                <w:sz w:val="22"/>
                <w:szCs w:val="22"/>
              </w:rPr>
              <w:t>a</w:t>
            </w:r>
            <w:r w:rsidR="00846FA3" w:rsidRPr="00B47388">
              <w:rPr>
                <w:rFonts w:asciiTheme="majorHAnsi" w:hAnsiTheme="majorHAnsi" w:cstheme="majorHAnsi"/>
                <w:sz w:val="22"/>
                <w:szCs w:val="22"/>
              </w:rPr>
              <w:t>s a</w:t>
            </w:r>
            <w:r w:rsidR="00927E47" w:rsidRPr="003E4972">
              <w:rPr>
                <w:rFonts w:asciiTheme="majorHAnsi" w:hAnsiTheme="majorHAnsi" w:cstheme="majorHAnsi"/>
                <w:sz w:val="22"/>
                <w:szCs w:val="22"/>
              </w:rPr>
              <w:t xml:space="preserve"> means to</w:t>
            </w:r>
            <w:proofErr w:type="gramEnd"/>
            <w:r w:rsidR="00927E47" w:rsidRPr="003E4972">
              <w:rPr>
                <w:rFonts w:asciiTheme="majorHAnsi" w:hAnsiTheme="majorHAnsi" w:cstheme="majorHAnsi"/>
                <w:sz w:val="22"/>
                <w:szCs w:val="22"/>
              </w:rPr>
              <w:t xml:space="preserve"> resolve</w:t>
            </w:r>
            <w:r w:rsidR="00FE042B">
              <w:rPr>
                <w:rFonts w:asciiTheme="majorHAnsi" w:hAnsiTheme="majorHAnsi" w:cstheme="majorHAnsi"/>
                <w:sz w:val="22"/>
                <w:szCs w:val="22"/>
              </w:rPr>
              <w:t xml:space="preserve"> issues</w:t>
            </w:r>
            <w:r w:rsidR="005E2D57" w:rsidRPr="003E4972">
              <w:rPr>
                <w:rFonts w:asciiTheme="majorHAnsi" w:hAnsiTheme="majorHAnsi" w:cstheme="majorHAnsi"/>
                <w:sz w:val="22"/>
                <w:szCs w:val="22"/>
              </w:rPr>
              <w:t>.</w:t>
            </w:r>
            <w:r w:rsidR="000C38B6" w:rsidRPr="003E4972">
              <w:rPr>
                <w:rFonts w:asciiTheme="majorHAnsi" w:hAnsiTheme="majorHAnsi" w:cstheme="majorHAnsi"/>
                <w:sz w:val="22"/>
                <w:szCs w:val="22"/>
              </w:rPr>
              <w:t xml:space="preserve"> </w:t>
            </w:r>
            <w:r w:rsidR="00846FA3">
              <w:rPr>
                <w:rFonts w:asciiTheme="majorHAnsi" w:hAnsiTheme="majorHAnsi" w:cstheme="majorHAnsi"/>
                <w:sz w:val="22"/>
                <w:szCs w:val="22"/>
              </w:rPr>
              <w:t>When developing r</w:t>
            </w:r>
            <w:r w:rsidR="007E1DD6" w:rsidRPr="003E4972">
              <w:rPr>
                <w:rFonts w:asciiTheme="majorHAnsi" w:hAnsiTheme="majorHAnsi" w:cstheme="majorHAnsi"/>
                <w:sz w:val="22"/>
                <w:szCs w:val="22"/>
              </w:rPr>
              <w:t>egional</w:t>
            </w:r>
            <w:r w:rsidR="00931697">
              <w:rPr>
                <w:rFonts w:asciiTheme="majorHAnsi" w:hAnsiTheme="majorHAnsi" w:cstheme="majorHAnsi"/>
                <w:sz w:val="22"/>
                <w:szCs w:val="22"/>
              </w:rPr>
              <w:t>-</w:t>
            </w:r>
            <w:r w:rsidR="007E1DD6" w:rsidRPr="003E4972">
              <w:rPr>
                <w:rFonts w:asciiTheme="majorHAnsi" w:hAnsiTheme="majorHAnsi" w:cstheme="majorHAnsi"/>
                <w:sz w:val="22"/>
                <w:szCs w:val="22"/>
              </w:rPr>
              <w:t>level task orders</w:t>
            </w:r>
            <w:r w:rsidR="00846FA3">
              <w:rPr>
                <w:rFonts w:asciiTheme="majorHAnsi" w:hAnsiTheme="majorHAnsi" w:cstheme="majorHAnsi"/>
                <w:sz w:val="22"/>
                <w:szCs w:val="22"/>
              </w:rPr>
              <w:t xml:space="preserve">, </w:t>
            </w:r>
            <w:r w:rsidR="004D07F1">
              <w:rPr>
                <w:rFonts w:asciiTheme="majorHAnsi" w:hAnsiTheme="majorHAnsi" w:cstheme="majorHAnsi"/>
                <w:sz w:val="22"/>
                <w:szCs w:val="22"/>
              </w:rPr>
              <w:t>program staff</w:t>
            </w:r>
            <w:r w:rsidR="000C38B6" w:rsidRPr="003E4972">
              <w:rPr>
                <w:rFonts w:asciiTheme="majorHAnsi" w:hAnsiTheme="majorHAnsi" w:cstheme="majorHAnsi"/>
                <w:sz w:val="22"/>
                <w:szCs w:val="22"/>
              </w:rPr>
              <w:t xml:space="preserve"> </w:t>
            </w:r>
            <w:proofErr w:type="gramStart"/>
            <w:r w:rsidR="00C50EF4">
              <w:rPr>
                <w:rFonts w:asciiTheme="majorHAnsi" w:hAnsiTheme="majorHAnsi" w:cstheme="majorHAnsi"/>
                <w:sz w:val="22"/>
                <w:szCs w:val="22"/>
              </w:rPr>
              <w:t xml:space="preserve">will </w:t>
            </w:r>
            <w:r w:rsidR="004D07F1">
              <w:rPr>
                <w:rFonts w:asciiTheme="majorHAnsi" w:hAnsiTheme="majorHAnsi" w:cstheme="majorHAnsi"/>
                <w:sz w:val="22"/>
                <w:szCs w:val="22"/>
              </w:rPr>
              <w:t xml:space="preserve"> discuss</w:t>
            </w:r>
            <w:proofErr w:type="gramEnd"/>
            <w:r w:rsidR="004D07F1">
              <w:rPr>
                <w:rFonts w:asciiTheme="majorHAnsi" w:hAnsiTheme="majorHAnsi" w:cstheme="majorHAnsi"/>
                <w:sz w:val="22"/>
                <w:szCs w:val="22"/>
              </w:rPr>
              <w:t xml:space="preserve"> </w:t>
            </w:r>
            <w:r w:rsidR="00DE2665" w:rsidRPr="003E4972">
              <w:rPr>
                <w:rFonts w:asciiTheme="majorHAnsi" w:hAnsiTheme="majorHAnsi" w:cstheme="majorHAnsi"/>
                <w:sz w:val="22"/>
                <w:szCs w:val="22"/>
              </w:rPr>
              <w:t xml:space="preserve">timing of webinars and knowledge sharing exchanges </w:t>
            </w:r>
            <w:r w:rsidR="004D07F1">
              <w:rPr>
                <w:rFonts w:asciiTheme="majorHAnsi" w:hAnsiTheme="majorHAnsi" w:cstheme="majorHAnsi"/>
                <w:sz w:val="22"/>
                <w:szCs w:val="22"/>
              </w:rPr>
              <w:t xml:space="preserve">with city partners, </w:t>
            </w:r>
            <w:r w:rsidR="00DE2665" w:rsidRPr="003E4972">
              <w:rPr>
                <w:rFonts w:asciiTheme="majorHAnsi" w:hAnsiTheme="majorHAnsi" w:cstheme="majorHAnsi"/>
                <w:sz w:val="22"/>
                <w:szCs w:val="22"/>
              </w:rPr>
              <w:t xml:space="preserve">to minimise </w:t>
            </w:r>
            <w:r w:rsidR="00BA5FA4" w:rsidRPr="003E4972">
              <w:rPr>
                <w:rFonts w:asciiTheme="majorHAnsi" w:hAnsiTheme="majorHAnsi" w:cstheme="majorHAnsi"/>
                <w:sz w:val="22"/>
                <w:szCs w:val="22"/>
              </w:rPr>
              <w:t xml:space="preserve">pressure on cities. </w:t>
            </w:r>
            <w:r w:rsidR="005E2D57" w:rsidRPr="003E4972">
              <w:rPr>
                <w:rFonts w:asciiTheme="majorHAnsi" w:hAnsiTheme="majorHAnsi" w:cstheme="majorHAnsi"/>
                <w:sz w:val="22"/>
                <w:szCs w:val="22"/>
              </w:rPr>
              <w:t xml:space="preserve"> </w:t>
            </w:r>
          </w:p>
        </w:tc>
      </w:tr>
      <w:tr w:rsidR="00935AD5" w:rsidRPr="003E4972" w14:paraId="07A60701" w14:textId="77777777" w:rsidTr="7D125D77">
        <w:tc>
          <w:tcPr>
            <w:tcW w:w="2500" w:type="pct"/>
          </w:tcPr>
          <w:p w14:paraId="7975420E" w14:textId="03125A52" w:rsidR="00935AD5" w:rsidRPr="003E4972" w:rsidRDefault="00F92F05" w:rsidP="00E6379A">
            <w:pPr>
              <w:spacing w:line="276" w:lineRule="auto"/>
              <w:rPr>
                <w:rFonts w:asciiTheme="majorHAnsi" w:hAnsiTheme="majorHAnsi" w:cstheme="majorHAnsi"/>
                <w:sz w:val="22"/>
                <w:szCs w:val="22"/>
              </w:rPr>
            </w:pPr>
            <w:r>
              <w:rPr>
                <w:rFonts w:asciiTheme="majorHAnsi" w:hAnsiTheme="majorHAnsi" w:cstheme="majorHAnsi"/>
                <w:sz w:val="22"/>
                <w:szCs w:val="22"/>
              </w:rPr>
              <w:t>1</w:t>
            </w:r>
            <w:r w:rsidR="006509EE">
              <w:rPr>
                <w:rFonts w:asciiTheme="majorHAnsi" w:hAnsiTheme="majorHAnsi" w:cstheme="majorHAnsi"/>
                <w:sz w:val="22"/>
                <w:szCs w:val="22"/>
              </w:rPr>
              <w:t>4</w:t>
            </w:r>
            <w:r>
              <w:rPr>
                <w:rFonts w:asciiTheme="majorHAnsi" w:hAnsiTheme="majorHAnsi" w:cstheme="majorHAnsi"/>
                <w:sz w:val="22"/>
                <w:szCs w:val="22"/>
              </w:rPr>
              <w:t xml:space="preserve">. </w:t>
            </w:r>
            <w:r w:rsidR="00935AD5" w:rsidRPr="003E4972">
              <w:rPr>
                <w:rFonts w:asciiTheme="majorHAnsi" w:hAnsiTheme="majorHAnsi" w:cstheme="majorHAnsi"/>
                <w:sz w:val="22"/>
                <w:szCs w:val="22"/>
              </w:rPr>
              <w:t xml:space="preserve">Ramboll should clarify the role of their Country Focal Points and maximise their visibility to stakeholders associated with </w:t>
            </w:r>
            <w:proofErr w:type="gramStart"/>
            <w:r w:rsidR="00935AD5" w:rsidRPr="003E4972">
              <w:rPr>
                <w:rFonts w:asciiTheme="majorHAnsi" w:hAnsiTheme="majorHAnsi" w:cstheme="majorHAnsi"/>
                <w:sz w:val="22"/>
                <w:szCs w:val="22"/>
              </w:rPr>
              <w:t>Bronze and Silver</w:t>
            </w:r>
            <w:proofErr w:type="gramEnd"/>
            <w:r w:rsidR="00935AD5" w:rsidRPr="003E4972">
              <w:rPr>
                <w:rFonts w:asciiTheme="majorHAnsi" w:hAnsiTheme="majorHAnsi" w:cstheme="majorHAnsi"/>
                <w:sz w:val="22"/>
                <w:szCs w:val="22"/>
              </w:rPr>
              <w:t xml:space="preserve"> level activities in each country. </w:t>
            </w:r>
          </w:p>
          <w:p w14:paraId="2273F9BD" w14:textId="77777777" w:rsidR="00935AD5" w:rsidRPr="003E4972" w:rsidRDefault="00935AD5" w:rsidP="00E6379A">
            <w:pPr>
              <w:spacing w:line="276" w:lineRule="auto"/>
              <w:jc w:val="both"/>
              <w:rPr>
                <w:rFonts w:asciiTheme="majorHAnsi" w:hAnsiTheme="majorHAnsi" w:cstheme="majorHAnsi"/>
                <w:sz w:val="22"/>
                <w:szCs w:val="22"/>
              </w:rPr>
            </w:pPr>
          </w:p>
        </w:tc>
        <w:tc>
          <w:tcPr>
            <w:tcW w:w="2500" w:type="pct"/>
          </w:tcPr>
          <w:p w14:paraId="56409BCE" w14:textId="7973303C" w:rsidR="00935AD5" w:rsidRPr="003E4972" w:rsidRDefault="00935AD5" w:rsidP="00E6379A">
            <w:pPr>
              <w:rPr>
                <w:rFonts w:asciiTheme="majorHAnsi" w:hAnsiTheme="majorHAnsi" w:cstheme="majorHAnsi"/>
                <w:sz w:val="22"/>
                <w:szCs w:val="22"/>
              </w:rPr>
            </w:pPr>
            <w:r w:rsidRPr="003E4972">
              <w:rPr>
                <w:rFonts w:asciiTheme="majorHAnsi" w:hAnsiTheme="majorHAnsi" w:cstheme="majorHAnsi"/>
                <w:sz w:val="22"/>
                <w:szCs w:val="22"/>
              </w:rPr>
              <w:t xml:space="preserve">Agreed. </w:t>
            </w:r>
            <w:r w:rsidR="005E2D57" w:rsidRPr="003E4972">
              <w:rPr>
                <w:rFonts w:asciiTheme="majorHAnsi" w:hAnsiTheme="majorHAnsi" w:cstheme="majorHAnsi"/>
                <w:sz w:val="22"/>
                <w:szCs w:val="22"/>
              </w:rPr>
              <w:t xml:space="preserve">This </w:t>
            </w:r>
            <w:r w:rsidR="00931697">
              <w:rPr>
                <w:rFonts w:asciiTheme="majorHAnsi" w:hAnsiTheme="majorHAnsi" w:cstheme="majorHAnsi"/>
                <w:sz w:val="22"/>
                <w:szCs w:val="22"/>
              </w:rPr>
              <w:t>will</w:t>
            </w:r>
            <w:r w:rsidR="005E2D57" w:rsidRPr="003E4972">
              <w:rPr>
                <w:rFonts w:asciiTheme="majorHAnsi" w:hAnsiTheme="majorHAnsi" w:cstheme="majorHAnsi"/>
                <w:sz w:val="22"/>
                <w:szCs w:val="22"/>
              </w:rPr>
              <w:t xml:space="preserve"> be completed within Q2 202</w:t>
            </w:r>
            <w:r w:rsidR="00630269" w:rsidRPr="003E4972">
              <w:rPr>
                <w:rFonts w:asciiTheme="majorHAnsi" w:hAnsiTheme="majorHAnsi" w:cstheme="majorHAnsi"/>
                <w:sz w:val="22"/>
                <w:szCs w:val="22"/>
              </w:rPr>
              <w:t>3</w:t>
            </w:r>
            <w:r w:rsidR="004B12E4">
              <w:rPr>
                <w:rFonts w:asciiTheme="majorHAnsi" w:hAnsiTheme="majorHAnsi" w:cstheme="majorHAnsi"/>
                <w:sz w:val="22"/>
                <w:szCs w:val="22"/>
              </w:rPr>
              <w:t xml:space="preserve">, at the same time as </w:t>
            </w:r>
            <w:r w:rsidR="005E2D57" w:rsidRPr="003E4972">
              <w:rPr>
                <w:rFonts w:asciiTheme="majorHAnsi" w:hAnsiTheme="majorHAnsi" w:cstheme="majorHAnsi"/>
                <w:sz w:val="22"/>
                <w:szCs w:val="22"/>
              </w:rPr>
              <w:t>the Graduation Strategy</w:t>
            </w:r>
            <w:r w:rsidR="00630269" w:rsidRPr="003E4972">
              <w:rPr>
                <w:rFonts w:asciiTheme="majorHAnsi" w:hAnsiTheme="majorHAnsi" w:cstheme="majorHAnsi"/>
                <w:sz w:val="22"/>
                <w:szCs w:val="22"/>
              </w:rPr>
              <w:t xml:space="preserve"> </w:t>
            </w:r>
            <w:r w:rsidR="0002471E">
              <w:rPr>
                <w:rFonts w:asciiTheme="majorHAnsi" w:hAnsiTheme="majorHAnsi" w:cstheme="majorHAnsi"/>
                <w:sz w:val="22"/>
                <w:szCs w:val="22"/>
              </w:rPr>
              <w:t xml:space="preserve">is shared </w:t>
            </w:r>
            <w:r w:rsidR="004B12E4">
              <w:rPr>
                <w:rFonts w:asciiTheme="majorHAnsi" w:hAnsiTheme="majorHAnsi" w:cstheme="majorHAnsi"/>
                <w:sz w:val="22"/>
                <w:szCs w:val="22"/>
              </w:rPr>
              <w:t>with</w:t>
            </w:r>
            <w:r w:rsidR="00630269" w:rsidRPr="003E4972">
              <w:rPr>
                <w:rFonts w:asciiTheme="majorHAnsi" w:hAnsiTheme="majorHAnsi" w:cstheme="majorHAnsi"/>
                <w:sz w:val="22"/>
                <w:szCs w:val="22"/>
              </w:rPr>
              <w:t xml:space="preserve"> city government counterparts</w:t>
            </w:r>
            <w:r w:rsidR="003C5C54">
              <w:rPr>
                <w:rFonts w:asciiTheme="majorHAnsi" w:hAnsiTheme="majorHAnsi" w:cstheme="majorHAnsi"/>
                <w:sz w:val="22"/>
                <w:szCs w:val="22"/>
              </w:rPr>
              <w:t>.</w:t>
            </w:r>
          </w:p>
        </w:tc>
      </w:tr>
      <w:tr w:rsidR="00935AD5" w:rsidRPr="003E4972" w14:paraId="746F9B9D" w14:textId="77777777" w:rsidTr="7D125D77">
        <w:tc>
          <w:tcPr>
            <w:tcW w:w="2500" w:type="pct"/>
          </w:tcPr>
          <w:p w14:paraId="257493B1" w14:textId="530E5605" w:rsidR="00935AD5" w:rsidRPr="003E4972" w:rsidRDefault="00F92F05" w:rsidP="00CF7CC3">
            <w:pPr>
              <w:spacing w:line="276" w:lineRule="auto"/>
              <w:rPr>
                <w:rFonts w:asciiTheme="majorHAnsi" w:hAnsiTheme="majorHAnsi" w:cstheme="majorHAnsi"/>
                <w:sz w:val="22"/>
                <w:szCs w:val="22"/>
              </w:rPr>
            </w:pPr>
            <w:r>
              <w:rPr>
                <w:rFonts w:asciiTheme="majorHAnsi" w:hAnsiTheme="majorHAnsi" w:cstheme="majorHAnsi"/>
                <w:sz w:val="22"/>
                <w:szCs w:val="22"/>
              </w:rPr>
              <w:t>1</w:t>
            </w:r>
            <w:r w:rsidR="006509EE">
              <w:rPr>
                <w:rFonts w:asciiTheme="majorHAnsi" w:hAnsiTheme="majorHAnsi" w:cstheme="majorHAnsi"/>
                <w:sz w:val="22"/>
                <w:szCs w:val="22"/>
              </w:rPr>
              <w:t>5</w:t>
            </w:r>
            <w:r>
              <w:rPr>
                <w:rFonts w:asciiTheme="majorHAnsi" w:hAnsiTheme="majorHAnsi" w:cstheme="majorHAnsi"/>
                <w:sz w:val="22"/>
                <w:szCs w:val="22"/>
              </w:rPr>
              <w:t xml:space="preserve">. </w:t>
            </w:r>
            <w:r w:rsidR="00935AD5" w:rsidRPr="003E4972">
              <w:rPr>
                <w:rFonts w:asciiTheme="majorHAnsi" w:hAnsiTheme="majorHAnsi" w:cstheme="majorHAnsi"/>
                <w:sz w:val="22"/>
                <w:szCs w:val="22"/>
              </w:rPr>
              <w:t xml:space="preserve">The program implementation partners should ensure that communications are clear with city government and other relevant stakeholders, following any decisions to end or continue an intervention. Managing expectations and communication of program decisions is important to avoid disappointment among city staff and university stakeholders, as in the case of </w:t>
            </w:r>
            <w:proofErr w:type="spellStart"/>
            <w:r w:rsidR="00935AD5" w:rsidRPr="003E4972">
              <w:rPr>
                <w:rFonts w:asciiTheme="majorHAnsi" w:hAnsiTheme="majorHAnsi" w:cstheme="majorHAnsi"/>
                <w:sz w:val="22"/>
                <w:szCs w:val="22"/>
              </w:rPr>
              <w:t>Kaysone</w:t>
            </w:r>
            <w:proofErr w:type="spellEnd"/>
            <w:r w:rsidR="00935AD5" w:rsidRPr="003E4972">
              <w:rPr>
                <w:rFonts w:asciiTheme="majorHAnsi" w:hAnsiTheme="majorHAnsi" w:cstheme="majorHAnsi"/>
                <w:sz w:val="22"/>
                <w:szCs w:val="22"/>
              </w:rPr>
              <w:t xml:space="preserve"> (TO-03).</w:t>
            </w:r>
          </w:p>
        </w:tc>
        <w:tc>
          <w:tcPr>
            <w:tcW w:w="2500" w:type="pct"/>
          </w:tcPr>
          <w:p w14:paraId="0452B828" w14:textId="379D36E6" w:rsidR="00935AD5" w:rsidRPr="003E4972" w:rsidRDefault="00935AD5" w:rsidP="00E6379A">
            <w:pPr>
              <w:rPr>
                <w:rFonts w:asciiTheme="majorHAnsi" w:hAnsiTheme="majorHAnsi" w:cstheme="majorHAnsi"/>
                <w:sz w:val="22"/>
                <w:szCs w:val="22"/>
              </w:rPr>
            </w:pPr>
            <w:r w:rsidRPr="003E4972">
              <w:rPr>
                <w:rFonts w:asciiTheme="majorHAnsi" w:hAnsiTheme="majorHAnsi" w:cstheme="majorHAnsi"/>
                <w:sz w:val="22"/>
                <w:szCs w:val="22"/>
              </w:rPr>
              <w:t>Agreed. This recommendation was implemented in Q4 2022.</w:t>
            </w:r>
            <w:r w:rsidR="00630269" w:rsidRPr="003E4972">
              <w:rPr>
                <w:rFonts w:asciiTheme="majorHAnsi" w:hAnsiTheme="majorHAnsi" w:cstheme="majorHAnsi"/>
                <w:sz w:val="22"/>
                <w:szCs w:val="22"/>
              </w:rPr>
              <w:t xml:space="preserve"> The </w:t>
            </w:r>
            <w:r w:rsidR="0002471E">
              <w:rPr>
                <w:rFonts w:asciiTheme="majorHAnsi" w:hAnsiTheme="majorHAnsi" w:cstheme="majorHAnsi"/>
                <w:sz w:val="22"/>
                <w:szCs w:val="22"/>
              </w:rPr>
              <w:t>implementation</w:t>
            </w:r>
            <w:r w:rsidR="00630269" w:rsidRPr="003E4972">
              <w:rPr>
                <w:rFonts w:asciiTheme="majorHAnsi" w:hAnsiTheme="majorHAnsi" w:cstheme="majorHAnsi"/>
                <w:sz w:val="22"/>
                <w:szCs w:val="22"/>
              </w:rPr>
              <w:t xml:space="preserve"> of the Graduation Strategy</w:t>
            </w:r>
            <w:r w:rsidR="00D27270">
              <w:rPr>
                <w:rFonts w:asciiTheme="majorHAnsi" w:hAnsiTheme="majorHAnsi" w:cstheme="majorHAnsi"/>
                <w:sz w:val="22"/>
                <w:szCs w:val="22"/>
              </w:rPr>
              <w:t>,</w:t>
            </w:r>
            <w:r w:rsidR="00630269" w:rsidRPr="003E4972">
              <w:rPr>
                <w:rFonts w:asciiTheme="majorHAnsi" w:hAnsiTheme="majorHAnsi" w:cstheme="majorHAnsi"/>
                <w:sz w:val="22"/>
                <w:szCs w:val="22"/>
              </w:rPr>
              <w:t xml:space="preserve"> and the continuous monitoring and reporting against the city report cards as part of the </w:t>
            </w:r>
            <w:r w:rsidR="00CF7CC3" w:rsidRPr="003E4972">
              <w:rPr>
                <w:rFonts w:asciiTheme="majorHAnsi" w:hAnsiTheme="majorHAnsi" w:cstheme="majorHAnsi"/>
                <w:sz w:val="22"/>
                <w:szCs w:val="22"/>
              </w:rPr>
              <w:t>Activity Level Performance Assessment</w:t>
            </w:r>
            <w:r w:rsidR="00CF7CC3">
              <w:rPr>
                <w:rFonts w:asciiTheme="majorHAnsi" w:hAnsiTheme="majorHAnsi" w:cstheme="majorHAnsi"/>
                <w:sz w:val="22"/>
                <w:szCs w:val="22"/>
              </w:rPr>
              <w:t>s</w:t>
            </w:r>
            <w:r w:rsidR="00D27270">
              <w:rPr>
                <w:rFonts w:asciiTheme="majorHAnsi" w:hAnsiTheme="majorHAnsi" w:cstheme="majorHAnsi"/>
                <w:sz w:val="22"/>
                <w:szCs w:val="22"/>
              </w:rPr>
              <w:t>,</w:t>
            </w:r>
            <w:r w:rsidR="00CF7CC3" w:rsidRPr="003E4972">
              <w:rPr>
                <w:rFonts w:asciiTheme="majorHAnsi" w:hAnsiTheme="majorHAnsi" w:cstheme="majorHAnsi"/>
                <w:sz w:val="22"/>
                <w:szCs w:val="22"/>
              </w:rPr>
              <w:t xml:space="preserve"> </w:t>
            </w:r>
            <w:r w:rsidR="00630269" w:rsidRPr="003E4972">
              <w:rPr>
                <w:rFonts w:asciiTheme="majorHAnsi" w:hAnsiTheme="majorHAnsi" w:cstheme="majorHAnsi"/>
                <w:sz w:val="22"/>
                <w:szCs w:val="22"/>
              </w:rPr>
              <w:t xml:space="preserve">will </w:t>
            </w:r>
            <w:r w:rsidR="00D27270">
              <w:rPr>
                <w:rFonts w:asciiTheme="majorHAnsi" w:hAnsiTheme="majorHAnsi" w:cstheme="majorHAnsi"/>
                <w:sz w:val="22"/>
                <w:szCs w:val="22"/>
              </w:rPr>
              <w:t>improve</w:t>
            </w:r>
            <w:r w:rsidR="00630269" w:rsidRPr="003E4972">
              <w:rPr>
                <w:rFonts w:asciiTheme="majorHAnsi" w:hAnsiTheme="majorHAnsi" w:cstheme="majorHAnsi"/>
                <w:sz w:val="22"/>
                <w:szCs w:val="22"/>
              </w:rPr>
              <w:t xml:space="preserve"> internal and external communication.</w:t>
            </w:r>
          </w:p>
        </w:tc>
      </w:tr>
      <w:tr w:rsidR="00935AD5" w:rsidRPr="003E4972" w14:paraId="0519C5CF" w14:textId="77777777" w:rsidTr="7D125D77">
        <w:tc>
          <w:tcPr>
            <w:tcW w:w="2500" w:type="pct"/>
          </w:tcPr>
          <w:p w14:paraId="78B1C201" w14:textId="254FE02F" w:rsidR="00935AD5" w:rsidRPr="003E4972" w:rsidRDefault="00F92F05" w:rsidP="00E6379A">
            <w:pPr>
              <w:spacing w:line="276" w:lineRule="auto"/>
              <w:rPr>
                <w:rFonts w:asciiTheme="majorHAnsi" w:hAnsiTheme="majorHAnsi" w:cstheme="majorHAnsi"/>
                <w:sz w:val="22"/>
                <w:szCs w:val="22"/>
              </w:rPr>
            </w:pPr>
            <w:r>
              <w:rPr>
                <w:rFonts w:asciiTheme="majorHAnsi" w:hAnsiTheme="majorHAnsi" w:cstheme="majorHAnsi"/>
                <w:sz w:val="22"/>
                <w:szCs w:val="22"/>
              </w:rPr>
              <w:t>1</w:t>
            </w:r>
            <w:r w:rsidR="006509EE">
              <w:rPr>
                <w:rFonts w:asciiTheme="majorHAnsi" w:hAnsiTheme="majorHAnsi" w:cstheme="majorHAnsi"/>
                <w:sz w:val="22"/>
                <w:szCs w:val="22"/>
              </w:rPr>
              <w:t>6</w:t>
            </w:r>
            <w:r>
              <w:rPr>
                <w:rFonts w:asciiTheme="majorHAnsi" w:hAnsiTheme="majorHAnsi" w:cstheme="majorHAnsi"/>
                <w:sz w:val="22"/>
                <w:szCs w:val="22"/>
              </w:rPr>
              <w:t xml:space="preserve">. </w:t>
            </w:r>
            <w:r w:rsidR="00935AD5" w:rsidRPr="003E4972">
              <w:rPr>
                <w:rFonts w:asciiTheme="majorHAnsi" w:hAnsiTheme="majorHAnsi" w:cstheme="majorHAnsi"/>
                <w:sz w:val="22"/>
                <w:szCs w:val="22"/>
              </w:rPr>
              <w:t xml:space="preserve">Ramboll should continue to accommodate the city government and stakeholders’ general preference for face-to-face engagement for Silver TO workshops where possible, following the easing of travel restrictions, although digital solutions such as </w:t>
            </w:r>
            <w:proofErr w:type="gramStart"/>
            <w:r w:rsidR="00935AD5" w:rsidRPr="003E4972">
              <w:rPr>
                <w:rFonts w:asciiTheme="majorHAnsi" w:hAnsiTheme="majorHAnsi" w:cstheme="majorHAnsi"/>
                <w:sz w:val="22"/>
                <w:szCs w:val="22"/>
              </w:rPr>
              <w:t>Zoom</w:t>
            </w:r>
            <w:proofErr w:type="gramEnd"/>
            <w:r w:rsidR="00935AD5" w:rsidRPr="003E4972">
              <w:rPr>
                <w:rFonts w:asciiTheme="majorHAnsi" w:hAnsiTheme="majorHAnsi" w:cstheme="majorHAnsi"/>
                <w:sz w:val="22"/>
                <w:szCs w:val="22"/>
              </w:rPr>
              <w:t xml:space="preserve"> and MS teams continue to offer opportunities for more frequent engagement and wider groups of participants. </w:t>
            </w:r>
          </w:p>
          <w:p w14:paraId="566C96D3" w14:textId="77777777" w:rsidR="00935AD5" w:rsidRPr="003E4972" w:rsidRDefault="00935AD5" w:rsidP="00E6379A">
            <w:pPr>
              <w:spacing w:line="276" w:lineRule="auto"/>
              <w:jc w:val="both"/>
              <w:rPr>
                <w:rFonts w:asciiTheme="majorHAnsi" w:hAnsiTheme="majorHAnsi" w:cstheme="majorHAnsi"/>
                <w:sz w:val="22"/>
                <w:szCs w:val="22"/>
              </w:rPr>
            </w:pPr>
          </w:p>
        </w:tc>
        <w:tc>
          <w:tcPr>
            <w:tcW w:w="2500" w:type="pct"/>
          </w:tcPr>
          <w:p w14:paraId="1EE2FD3D" w14:textId="519B3950" w:rsidR="00935AD5" w:rsidRPr="003E4972" w:rsidRDefault="00935AD5" w:rsidP="00E6379A">
            <w:pPr>
              <w:rPr>
                <w:rFonts w:asciiTheme="majorHAnsi" w:hAnsiTheme="majorHAnsi" w:cstheme="majorHAnsi"/>
                <w:sz w:val="22"/>
                <w:szCs w:val="22"/>
              </w:rPr>
            </w:pPr>
            <w:r w:rsidRPr="003E4972">
              <w:rPr>
                <w:rFonts w:asciiTheme="majorHAnsi" w:hAnsiTheme="majorHAnsi" w:cstheme="majorHAnsi"/>
                <w:sz w:val="22"/>
                <w:szCs w:val="22"/>
              </w:rPr>
              <w:t xml:space="preserve">Agreed. This recommendation was implemented </w:t>
            </w:r>
            <w:r w:rsidR="00630269" w:rsidRPr="003E4972">
              <w:rPr>
                <w:rFonts w:asciiTheme="majorHAnsi" w:hAnsiTheme="majorHAnsi" w:cstheme="majorHAnsi"/>
                <w:sz w:val="22"/>
                <w:szCs w:val="22"/>
              </w:rPr>
              <w:t>from Q2</w:t>
            </w:r>
            <w:r w:rsidR="00CF7CC3">
              <w:rPr>
                <w:rFonts w:asciiTheme="majorHAnsi" w:hAnsiTheme="majorHAnsi" w:cstheme="majorHAnsi"/>
                <w:sz w:val="22"/>
                <w:szCs w:val="22"/>
              </w:rPr>
              <w:t xml:space="preserve"> </w:t>
            </w:r>
            <w:r w:rsidR="00CF7CC3" w:rsidRPr="00CF7CC3">
              <w:rPr>
                <w:rFonts w:asciiTheme="majorHAnsi" w:hAnsiTheme="majorHAnsi" w:cstheme="majorHAnsi"/>
              </w:rPr>
              <w:t>and</w:t>
            </w:r>
            <w:r w:rsidR="00CF7CC3">
              <w:t xml:space="preserve"> </w:t>
            </w:r>
            <w:r w:rsidR="00630269" w:rsidRPr="003E4972">
              <w:rPr>
                <w:rFonts w:asciiTheme="majorHAnsi" w:hAnsiTheme="majorHAnsi" w:cstheme="majorHAnsi"/>
                <w:sz w:val="22"/>
                <w:szCs w:val="22"/>
              </w:rPr>
              <w:t>Q3 202</w:t>
            </w:r>
            <w:r w:rsidR="002E7FC6" w:rsidRPr="003E4972">
              <w:rPr>
                <w:rFonts w:asciiTheme="majorHAnsi" w:hAnsiTheme="majorHAnsi" w:cstheme="majorHAnsi"/>
                <w:sz w:val="22"/>
                <w:szCs w:val="22"/>
              </w:rPr>
              <w:t>2</w:t>
            </w:r>
            <w:r w:rsidR="00630269" w:rsidRPr="003E4972">
              <w:rPr>
                <w:rFonts w:asciiTheme="majorHAnsi" w:hAnsiTheme="majorHAnsi" w:cstheme="majorHAnsi"/>
                <w:sz w:val="22"/>
                <w:szCs w:val="22"/>
              </w:rPr>
              <w:t xml:space="preserve"> across all </w:t>
            </w:r>
            <w:r w:rsidR="006532F4" w:rsidRPr="003E4972">
              <w:rPr>
                <w:rFonts w:asciiTheme="majorHAnsi" w:hAnsiTheme="majorHAnsi" w:cstheme="majorHAnsi"/>
                <w:sz w:val="22"/>
                <w:szCs w:val="22"/>
              </w:rPr>
              <w:t>pilot projects</w:t>
            </w:r>
            <w:r w:rsidR="00630269" w:rsidRPr="003E4972">
              <w:rPr>
                <w:rFonts w:asciiTheme="majorHAnsi" w:hAnsiTheme="majorHAnsi" w:cstheme="majorHAnsi"/>
                <w:sz w:val="22"/>
                <w:szCs w:val="22"/>
              </w:rPr>
              <w:t xml:space="preserve"> following the easing of COVID-related international travel restrictions</w:t>
            </w:r>
            <w:r w:rsidRPr="003E4972">
              <w:rPr>
                <w:rFonts w:asciiTheme="majorHAnsi" w:hAnsiTheme="majorHAnsi" w:cstheme="majorHAnsi"/>
                <w:sz w:val="22"/>
                <w:szCs w:val="22"/>
              </w:rPr>
              <w:t>.</w:t>
            </w:r>
          </w:p>
        </w:tc>
      </w:tr>
    </w:tbl>
    <w:p w14:paraId="2F2DF9CE" w14:textId="77777777" w:rsidR="00BC5AD4" w:rsidRPr="003E4972" w:rsidRDefault="00BC5AD4" w:rsidP="00BC5AD4">
      <w:pPr>
        <w:jc w:val="both"/>
        <w:rPr>
          <w:rStyle w:val="BookTitle"/>
          <w:rFonts w:asciiTheme="majorHAnsi" w:hAnsiTheme="majorHAnsi" w:cstheme="majorHAnsi"/>
          <w:color w:val="auto"/>
          <w:sz w:val="22"/>
          <w:szCs w:val="22"/>
        </w:rPr>
      </w:pPr>
    </w:p>
    <w:p w14:paraId="5D6CEC23" w14:textId="77777777" w:rsidR="00CF7CC3" w:rsidRDefault="00CF7CC3">
      <w:pPr>
        <w:spacing w:after="160" w:line="259" w:lineRule="auto"/>
        <w:rPr>
          <w:rStyle w:val="BookTitle"/>
          <w:rFonts w:asciiTheme="majorHAnsi" w:hAnsiTheme="majorHAnsi" w:cstheme="majorHAnsi"/>
          <w:color w:val="auto"/>
          <w:sz w:val="22"/>
          <w:szCs w:val="22"/>
        </w:rPr>
      </w:pPr>
      <w:r>
        <w:rPr>
          <w:rStyle w:val="BookTitle"/>
          <w:rFonts w:asciiTheme="majorHAnsi" w:hAnsiTheme="majorHAnsi" w:cstheme="majorHAnsi"/>
          <w:color w:val="auto"/>
          <w:sz w:val="22"/>
          <w:szCs w:val="22"/>
        </w:rPr>
        <w:br w:type="page"/>
      </w:r>
    </w:p>
    <w:p w14:paraId="7BF79FF1" w14:textId="089945F3" w:rsidR="00BC5AD4" w:rsidRPr="003E4972" w:rsidRDefault="00BC5AD4" w:rsidP="00BC5AD4">
      <w:pPr>
        <w:jc w:val="both"/>
        <w:rPr>
          <w:rStyle w:val="BookTitle"/>
          <w:rFonts w:asciiTheme="majorHAnsi" w:hAnsiTheme="majorHAnsi" w:cstheme="majorHAnsi"/>
          <w:color w:val="auto"/>
          <w:sz w:val="22"/>
          <w:szCs w:val="22"/>
        </w:rPr>
      </w:pPr>
      <w:r w:rsidRPr="003E4972">
        <w:rPr>
          <w:rStyle w:val="BookTitle"/>
          <w:rFonts w:asciiTheme="majorHAnsi" w:hAnsiTheme="majorHAnsi" w:cstheme="majorHAnsi"/>
          <w:color w:val="auto"/>
          <w:sz w:val="22"/>
          <w:szCs w:val="22"/>
        </w:rPr>
        <w:lastRenderedPageBreak/>
        <w:t xml:space="preserve">Recommendations to </w:t>
      </w:r>
      <w:r w:rsidR="00C50EF4">
        <w:rPr>
          <w:rStyle w:val="BookTitle"/>
          <w:rFonts w:asciiTheme="majorHAnsi" w:hAnsiTheme="majorHAnsi" w:cstheme="majorHAnsi"/>
          <w:color w:val="auto"/>
          <w:sz w:val="22"/>
          <w:szCs w:val="22"/>
        </w:rPr>
        <w:t>I</w:t>
      </w:r>
      <w:r w:rsidRPr="003E4972">
        <w:rPr>
          <w:rStyle w:val="BookTitle"/>
          <w:rFonts w:asciiTheme="majorHAnsi" w:hAnsiTheme="majorHAnsi" w:cstheme="majorHAnsi"/>
          <w:color w:val="auto"/>
          <w:sz w:val="22"/>
          <w:szCs w:val="22"/>
        </w:rPr>
        <w:t xml:space="preserve">mprove </w:t>
      </w:r>
      <w:r w:rsidR="00CF7CC3">
        <w:rPr>
          <w:rStyle w:val="BookTitle"/>
          <w:rFonts w:asciiTheme="majorHAnsi" w:hAnsiTheme="majorHAnsi" w:cstheme="majorHAnsi"/>
          <w:color w:val="auto"/>
          <w:sz w:val="22"/>
          <w:szCs w:val="22"/>
        </w:rPr>
        <w:t>Gender Equality and Social Inclusion</w:t>
      </w:r>
    </w:p>
    <w:tbl>
      <w:tblPr>
        <w:tblStyle w:val="TableGrid"/>
        <w:tblW w:w="5000" w:type="pct"/>
        <w:tblLook w:val="04A0" w:firstRow="1" w:lastRow="0" w:firstColumn="1" w:lastColumn="0" w:noHBand="0" w:noVBand="1"/>
      </w:tblPr>
      <w:tblGrid>
        <w:gridCol w:w="4508"/>
        <w:gridCol w:w="4508"/>
      </w:tblGrid>
      <w:tr w:rsidR="00935AD5" w:rsidRPr="003E4972" w14:paraId="2B687CB7" w14:textId="77777777" w:rsidTr="00CE7784">
        <w:trPr>
          <w:tblHeader/>
        </w:trPr>
        <w:tc>
          <w:tcPr>
            <w:tcW w:w="2500" w:type="pct"/>
            <w:shd w:val="clear" w:color="auto" w:fill="C5E0B3" w:themeFill="accent6" w:themeFillTint="66"/>
          </w:tcPr>
          <w:p w14:paraId="1E16354F" w14:textId="77777777" w:rsidR="00935AD5" w:rsidRPr="003E4972" w:rsidRDefault="00935AD5" w:rsidP="00E6379A">
            <w:pPr>
              <w:jc w:val="center"/>
              <w:rPr>
                <w:rFonts w:asciiTheme="majorHAnsi" w:hAnsiTheme="majorHAnsi" w:cstheme="majorHAnsi"/>
                <w:b/>
                <w:bCs/>
                <w:sz w:val="22"/>
                <w:szCs w:val="22"/>
                <w:lang w:val="en-AU"/>
              </w:rPr>
            </w:pPr>
            <w:r w:rsidRPr="003E4972">
              <w:rPr>
                <w:rFonts w:asciiTheme="majorHAnsi" w:hAnsiTheme="majorHAnsi" w:cstheme="majorHAnsi"/>
                <w:b/>
                <w:bCs/>
                <w:sz w:val="22"/>
                <w:szCs w:val="22"/>
                <w:lang w:val="en-AU"/>
              </w:rPr>
              <w:t>Recommendation</w:t>
            </w:r>
          </w:p>
        </w:tc>
        <w:tc>
          <w:tcPr>
            <w:tcW w:w="2500" w:type="pct"/>
            <w:shd w:val="clear" w:color="auto" w:fill="C5E0B3" w:themeFill="accent6" w:themeFillTint="66"/>
          </w:tcPr>
          <w:p w14:paraId="5507E852" w14:textId="77777777" w:rsidR="00935AD5" w:rsidRPr="003E4972" w:rsidRDefault="00935AD5" w:rsidP="00E6379A">
            <w:pPr>
              <w:jc w:val="center"/>
              <w:rPr>
                <w:rFonts w:asciiTheme="majorHAnsi" w:hAnsiTheme="majorHAnsi" w:cstheme="majorHAnsi"/>
                <w:b/>
                <w:bCs/>
                <w:sz w:val="22"/>
                <w:szCs w:val="22"/>
                <w:lang w:val="en-AU"/>
              </w:rPr>
            </w:pPr>
            <w:r w:rsidRPr="003E4972">
              <w:rPr>
                <w:rFonts w:asciiTheme="majorHAnsi" w:hAnsiTheme="majorHAnsi" w:cstheme="majorHAnsi"/>
                <w:b/>
                <w:bCs/>
                <w:sz w:val="22"/>
                <w:szCs w:val="22"/>
                <w:lang w:val="en-AU"/>
              </w:rPr>
              <w:t>DFAT response</w:t>
            </w:r>
          </w:p>
        </w:tc>
      </w:tr>
      <w:tr w:rsidR="00935AD5" w:rsidRPr="003E4972" w14:paraId="3F936BCD" w14:textId="77777777" w:rsidTr="00E6379A">
        <w:tc>
          <w:tcPr>
            <w:tcW w:w="2500" w:type="pct"/>
          </w:tcPr>
          <w:p w14:paraId="74F78BF9" w14:textId="0458419F" w:rsidR="00935AD5" w:rsidRPr="003E4972" w:rsidRDefault="00F92F05" w:rsidP="00CF7CC3">
            <w:pPr>
              <w:spacing w:line="276" w:lineRule="auto"/>
              <w:rPr>
                <w:rFonts w:asciiTheme="majorHAnsi" w:hAnsiTheme="majorHAnsi" w:cstheme="majorHAnsi"/>
                <w:sz w:val="22"/>
                <w:szCs w:val="22"/>
              </w:rPr>
            </w:pPr>
            <w:r>
              <w:rPr>
                <w:rFonts w:asciiTheme="majorHAnsi" w:hAnsiTheme="majorHAnsi" w:cstheme="majorHAnsi"/>
                <w:sz w:val="22"/>
                <w:szCs w:val="22"/>
              </w:rPr>
              <w:t>1</w:t>
            </w:r>
            <w:r w:rsidR="006509EE">
              <w:rPr>
                <w:rFonts w:asciiTheme="majorHAnsi" w:hAnsiTheme="majorHAnsi" w:cstheme="majorHAnsi"/>
                <w:sz w:val="22"/>
                <w:szCs w:val="22"/>
              </w:rPr>
              <w:t>7</w:t>
            </w:r>
            <w:r>
              <w:rPr>
                <w:rFonts w:asciiTheme="majorHAnsi" w:hAnsiTheme="majorHAnsi" w:cstheme="majorHAnsi"/>
                <w:sz w:val="22"/>
                <w:szCs w:val="22"/>
              </w:rPr>
              <w:t xml:space="preserve">. </w:t>
            </w:r>
            <w:r w:rsidR="00935AD5" w:rsidRPr="003E4972">
              <w:rPr>
                <w:rFonts w:asciiTheme="majorHAnsi" w:hAnsiTheme="majorHAnsi" w:cstheme="majorHAnsi"/>
                <w:sz w:val="22"/>
                <w:szCs w:val="22"/>
              </w:rPr>
              <w:t xml:space="preserve">DFAT should clarify its GESI reporting requirements for ADB and Ramboll, to ensure the M&amp;E system is collecting the required data, </w:t>
            </w:r>
            <w:proofErr w:type="gramStart"/>
            <w:r w:rsidR="00935AD5" w:rsidRPr="003E4972">
              <w:rPr>
                <w:rFonts w:asciiTheme="majorHAnsi" w:hAnsiTheme="majorHAnsi" w:cstheme="majorHAnsi"/>
                <w:sz w:val="22"/>
                <w:szCs w:val="22"/>
              </w:rPr>
              <w:t>analysing</w:t>
            </w:r>
            <w:proofErr w:type="gramEnd"/>
            <w:r w:rsidR="00935AD5" w:rsidRPr="003E4972">
              <w:rPr>
                <w:rFonts w:asciiTheme="majorHAnsi" w:hAnsiTheme="majorHAnsi" w:cstheme="majorHAnsi"/>
                <w:sz w:val="22"/>
                <w:szCs w:val="22"/>
              </w:rPr>
              <w:t xml:space="preserve"> and using this data to inform implementation, and reporting data appropriately to DFAT. Progress reports should include cumulative totals where relevant (total figures from program commencement up to the reporting date), in addition to data for the reporting period, as cumulative totals show progress over time. DFAT could share gender, </w:t>
            </w:r>
            <w:proofErr w:type="gramStart"/>
            <w:r w:rsidR="00935AD5" w:rsidRPr="003E4972">
              <w:rPr>
                <w:rFonts w:asciiTheme="majorHAnsi" w:hAnsiTheme="majorHAnsi" w:cstheme="majorHAnsi"/>
                <w:sz w:val="22"/>
                <w:szCs w:val="22"/>
              </w:rPr>
              <w:t>disability</w:t>
            </w:r>
            <w:proofErr w:type="gramEnd"/>
            <w:r w:rsidR="00935AD5" w:rsidRPr="003E4972">
              <w:rPr>
                <w:rFonts w:asciiTheme="majorHAnsi" w:hAnsiTheme="majorHAnsi" w:cstheme="majorHAnsi"/>
                <w:sz w:val="22"/>
                <w:szCs w:val="22"/>
              </w:rPr>
              <w:t xml:space="preserve"> and other guidance materials with ADB and Ramboll.</w:t>
            </w:r>
          </w:p>
        </w:tc>
        <w:tc>
          <w:tcPr>
            <w:tcW w:w="2500" w:type="pct"/>
          </w:tcPr>
          <w:p w14:paraId="57C1C445" w14:textId="178C06A3" w:rsidR="00935AD5" w:rsidRPr="003E4972" w:rsidRDefault="00935AD5" w:rsidP="00E6379A">
            <w:pPr>
              <w:rPr>
                <w:rFonts w:asciiTheme="majorHAnsi" w:hAnsiTheme="majorHAnsi" w:cstheme="majorHAnsi"/>
                <w:sz w:val="22"/>
                <w:szCs w:val="22"/>
              </w:rPr>
            </w:pPr>
            <w:r w:rsidRPr="003E4972">
              <w:rPr>
                <w:rFonts w:asciiTheme="majorHAnsi" w:hAnsiTheme="majorHAnsi" w:cstheme="majorHAnsi"/>
                <w:sz w:val="22"/>
                <w:szCs w:val="22"/>
              </w:rPr>
              <w:t xml:space="preserve">Agreed. </w:t>
            </w:r>
            <w:r w:rsidR="00BC5AD4" w:rsidRPr="003E4972">
              <w:rPr>
                <w:rFonts w:asciiTheme="majorHAnsi" w:hAnsiTheme="majorHAnsi" w:cstheme="majorHAnsi"/>
                <w:sz w:val="22"/>
                <w:szCs w:val="22"/>
              </w:rPr>
              <w:t>The program will develop a AASCTF Strategy for Raising the Bar on GESI</w:t>
            </w:r>
            <w:r w:rsidRPr="003E4972">
              <w:rPr>
                <w:rFonts w:asciiTheme="majorHAnsi" w:hAnsiTheme="majorHAnsi" w:cstheme="majorHAnsi"/>
                <w:sz w:val="22"/>
                <w:szCs w:val="22"/>
              </w:rPr>
              <w:t xml:space="preserve"> in Q1 2023</w:t>
            </w:r>
            <w:r w:rsidR="0085323E">
              <w:rPr>
                <w:rFonts w:asciiTheme="majorHAnsi" w:hAnsiTheme="majorHAnsi" w:cstheme="majorHAnsi"/>
                <w:sz w:val="22"/>
                <w:szCs w:val="22"/>
              </w:rPr>
              <w:t>, which will include clear guidance on reporting requirements.</w:t>
            </w:r>
            <w:r w:rsidR="00921174">
              <w:rPr>
                <w:rFonts w:asciiTheme="majorHAnsi" w:hAnsiTheme="majorHAnsi" w:cstheme="majorHAnsi"/>
                <w:sz w:val="22"/>
                <w:szCs w:val="22"/>
              </w:rPr>
              <w:t xml:space="preserve"> This will be informed by DFAT gender, </w:t>
            </w:r>
            <w:proofErr w:type="gramStart"/>
            <w:r w:rsidR="00921174">
              <w:rPr>
                <w:rFonts w:asciiTheme="majorHAnsi" w:hAnsiTheme="majorHAnsi" w:cstheme="majorHAnsi"/>
                <w:sz w:val="22"/>
                <w:szCs w:val="22"/>
              </w:rPr>
              <w:t>disability</w:t>
            </w:r>
            <w:proofErr w:type="gramEnd"/>
            <w:r w:rsidR="00921174">
              <w:rPr>
                <w:rFonts w:asciiTheme="majorHAnsi" w:hAnsiTheme="majorHAnsi" w:cstheme="majorHAnsi"/>
                <w:sz w:val="22"/>
                <w:szCs w:val="22"/>
              </w:rPr>
              <w:t xml:space="preserve"> and social inclusion materials to ensure it is consistent with DFAT requirements. </w:t>
            </w:r>
          </w:p>
        </w:tc>
      </w:tr>
      <w:tr w:rsidR="00935AD5" w:rsidRPr="003E4972" w14:paraId="08106E0E" w14:textId="77777777" w:rsidTr="00E6379A">
        <w:tc>
          <w:tcPr>
            <w:tcW w:w="2500" w:type="pct"/>
          </w:tcPr>
          <w:p w14:paraId="04741CFA" w14:textId="48DA1C5F" w:rsidR="00935AD5" w:rsidRPr="003E4972" w:rsidRDefault="00F92F05" w:rsidP="00CF7CC3">
            <w:pPr>
              <w:spacing w:line="276" w:lineRule="auto"/>
              <w:rPr>
                <w:rFonts w:asciiTheme="majorHAnsi" w:hAnsiTheme="majorHAnsi" w:cstheme="majorHAnsi"/>
                <w:sz w:val="22"/>
                <w:szCs w:val="22"/>
              </w:rPr>
            </w:pPr>
            <w:r>
              <w:rPr>
                <w:rFonts w:asciiTheme="majorHAnsi" w:hAnsiTheme="majorHAnsi" w:cstheme="majorHAnsi"/>
                <w:sz w:val="22"/>
                <w:szCs w:val="22"/>
              </w:rPr>
              <w:t>1</w:t>
            </w:r>
            <w:r w:rsidR="006509EE">
              <w:rPr>
                <w:rFonts w:asciiTheme="majorHAnsi" w:hAnsiTheme="majorHAnsi" w:cstheme="majorHAnsi"/>
                <w:sz w:val="22"/>
                <w:szCs w:val="22"/>
              </w:rPr>
              <w:t>8</w:t>
            </w:r>
            <w:r>
              <w:rPr>
                <w:rFonts w:asciiTheme="majorHAnsi" w:hAnsiTheme="majorHAnsi" w:cstheme="majorHAnsi"/>
                <w:sz w:val="22"/>
                <w:szCs w:val="22"/>
              </w:rPr>
              <w:t xml:space="preserve">. </w:t>
            </w:r>
            <w:r w:rsidR="00935AD5" w:rsidRPr="003E4972">
              <w:rPr>
                <w:rFonts w:asciiTheme="majorHAnsi" w:hAnsiTheme="majorHAnsi" w:cstheme="majorHAnsi"/>
                <w:sz w:val="22"/>
                <w:szCs w:val="22"/>
              </w:rPr>
              <w:t>DFAT should ensure its AASCTF program managers receive adequate training, are aware of DFAT guidance on gender equality, gender diversity, disability and broader social inclusion and are able to seek expert advice when needed.</w:t>
            </w:r>
          </w:p>
        </w:tc>
        <w:tc>
          <w:tcPr>
            <w:tcW w:w="2500" w:type="pct"/>
          </w:tcPr>
          <w:p w14:paraId="758846C8" w14:textId="0FCC3815" w:rsidR="00935AD5" w:rsidRPr="003E4972" w:rsidRDefault="00935AD5" w:rsidP="00E6379A">
            <w:pPr>
              <w:rPr>
                <w:rFonts w:asciiTheme="majorHAnsi" w:hAnsiTheme="majorHAnsi" w:cstheme="majorHAnsi"/>
                <w:sz w:val="22"/>
                <w:szCs w:val="22"/>
              </w:rPr>
            </w:pPr>
            <w:r w:rsidRPr="003E4972">
              <w:rPr>
                <w:rFonts w:asciiTheme="majorHAnsi" w:hAnsiTheme="majorHAnsi" w:cstheme="majorHAnsi"/>
                <w:sz w:val="22"/>
                <w:szCs w:val="22"/>
              </w:rPr>
              <w:t xml:space="preserve">Agreed. This will be </w:t>
            </w:r>
            <w:r w:rsidR="00876151">
              <w:rPr>
                <w:rFonts w:asciiTheme="majorHAnsi" w:hAnsiTheme="majorHAnsi" w:cstheme="majorHAnsi"/>
                <w:sz w:val="22"/>
                <w:szCs w:val="22"/>
              </w:rPr>
              <w:t>implemented</w:t>
            </w:r>
            <w:r w:rsidRPr="003E4972">
              <w:rPr>
                <w:rFonts w:asciiTheme="majorHAnsi" w:hAnsiTheme="majorHAnsi" w:cstheme="majorHAnsi"/>
                <w:sz w:val="22"/>
                <w:szCs w:val="22"/>
              </w:rPr>
              <w:t xml:space="preserve"> as part of the </w:t>
            </w:r>
            <w:r w:rsidR="004A111E" w:rsidRPr="003E4972">
              <w:rPr>
                <w:rFonts w:asciiTheme="majorHAnsi" w:hAnsiTheme="majorHAnsi" w:cstheme="majorHAnsi"/>
                <w:sz w:val="22"/>
                <w:szCs w:val="22"/>
              </w:rPr>
              <w:t xml:space="preserve">development </w:t>
            </w:r>
            <w:r w:rsidR="00F51529" w:rsidRPr="003E4972">
              <w:rPr>
                <w:rFonts w:asciiTheme="majorHAnsi" w:hAnsiTheme="majorHAnsi" w:cstheme="majorHAnsi"/>
                <w:sz w:val="22"/>
                <w:szCs w:val="22"/>
              </w:rPr>
              <w:t xml:space="preserve">of </w:t>
            </w:r>
            <w:r w:rsidR="004A111E" w:rsidRPr="003E4972">
              <w:rPr>
                <w:rFonts w:asciiTheme="majorHAnsi" w:hAnsiTheme="majorHAnsi" w:cstheme="majorHAnsi"/>
                <w:sz w:val="22"/>
                <w:szCs w:val="22"/>
              </w:rPr>
              <w:t xml:space="preserve">the </w:t>
            </w:r>
            <w:r w:rsidRPr="003E4972">
              <w:rPr>
                <w:rFonts w:asciiTheme="majorHAnsi" w:hAnsiTheme="majorHAnsi" w:cstheme="majorHAnsi"/>
                <w:sz w:val="22"/>
                <w:szCs w:val="22"/>
              </w:rPr>
              <w:t>AASCTF Strategy for Raising the Bar on GESI</w:t>
            </w:r>
            <w:r w:rsidR="00876151">
              <w:rPr>
                <w:rFonts w:asciiTheme="majorHAnsi" w:hAnsiTheme="majorHAnsi" w:cstheme="majorHAnsi"/>
                <w:sz w:val="22"/>
                <w:szCs w:val="22"/>
              </w:rPr>
              <w:t xml:space="preserve"> which will be finalised</w:t>
            </w:r>
            <w:r w:rsidR="004A111E" w:rsidRPr="003E4972">
              <w:rPr>
                <w:rFonts w:asciiTheme="majorHAnsi" w:hAnsiTheme="majorHAnsi" w:cstheme="majorHAnsi"/>
                <w:sz w:val="22"/>
                <w:szCs w:val="22"/>
              </w:rPr>
              <w:t xml:space="preserve"> </w:t>
            </w:r>
            <w:r w:rsidRPr="003E4972">
              <w:rPr>
                <w:rFonts w:asciiTheme="majorHAnsi" w:hAnsiTheme="majorHAnsi" w:cstheme="majorHAnsi"/>
                <w:sz w:val="22"/>
                <w:szCs w:val="22"/>
              </w:rPr>
              <w:t>in Q1 2023</w:t>
            </w:r>
            <w:r w:rsidR="00066FAB" w:rsidRPr="003E4972">
              <w:rPr>
                <w:rFonts w:asciiTheme="majorHAnsi" w:hAnsiTheme="majorHAnsi" w:cstheme="majorHAnsi"/>
                <w:sz w:val="22"/>
                <w:szCs w:val="22"/>
              </w:rPr>
              <w:t>.</w:t>
            </w:r>
            <w:r w:rsidRPr="003E4972">
              <w:rPr>
                <w:rFonts w:asciiTheme="majorHAnsi" w:hAnsiTheme="majorHAnsi" w:cstheme="majorHAnsi"/>
                <w:sz w:val="22"/>
                <w:szCs w:val="22"/>
              </w:rPr>
              <w:t xml:space="preserve"> </w:t>
            </w:r>
          </w:p>
        </w:tc>
      </w:tr>
      <w:tr w:rsidR="00935AD5" w:rsidRPr="003E4972" w14:paraId="383D9FAD" w14:textId="77777777" w:rsidTr="00E6379A">
        <w:tc>
          <w:tcPr>
            <w:tcW w:w="2500" w:type="pct"/>
          </w:tcPr>
          <w:p w14:paraId="795ACB40" w14:textId="727F3769" w:rsidR="00935AD5" w:rsidRPr="003E4972" w:rsidRDefault="00F92F05" w:rsidP="00E6379A">
            <w:pPr>
              <w:spacing w:line="276" w:lineRule="auto"/>
              <w:rPr>
                <w:rFonts w:asciiTheme="majorHAnsi" w:hAnsiTheme="majorHAnsi" w:cstheme="majorHAnsi"/>
                <w:sz w:val="22"/>
                <w:szCs w:val="22"/>
              </w:rPr>
            </w:pPr>
            <w:r>
              <w:rPr>
                <w:rFonts w:asciiTheme="majorHAnsi" w:hAnsiTheme="majorHAnsi" w:cstheme="majorHAnsi"/>
                <w:sz w:val="22"/>
                <w:szCs w:val="22"/>
              </w:rPr>
              <w:t>1</w:t>
            </w:r>
            <w:r w:rsidR="006509EE">
              <w:rPr>
                <w:rFonts w:asciiTheme="majorHAnsi" w:hAnsiTheme="majorHAnsi" w:cstheme="majorHAnsi"/>
                <w:sz w:val="22"/>
                <w:szCs w:val="22"/>
              </w:rPr>
              <w:t>9</w:t>
            </w:r>
            <w:r>
              <w:rPr>
                <w:rFonts w:asciiTheme="majorHAnsi" w:hAnsiTheme="majorHAnsi" w:cstheme="majorHAnsi"/>
                <w:sz w:val="22"/>
                <w:szCs w:val="22"/>
              </w:rPr>
              <w:t xml:space="preserve">. </w:t>
            </w:r>
            <w:r w:rsidR="00935AD5" w:rsidRPr="003E4972">
              <w:rPr>
                <w:rFonts w:asciiTheme="majorHAnsi" w:hAnsiTheme="majorHAnsi" w:cstheme="majorHAnsi"/>
                <w:sz w:val="22"/>
                <w:szCs w:val="22"/>
              </w:rPr>
              <w:t xml:space="preserve">Joint in-house training for Ramboll and ADB AASCTF teams on Gender Equality and Social Inclusion, including the concept and intention of ‘mainstreaming’ and how it can be achieved in practice, and clarification of outputs, </w:t>
            </w:r>
            <w:proofErr w:type="gramStart"/>
            <w:r w:rsidR="00935AD5" w:rsidRPr="003E4972">
              <w:rPr>
                <w:rFonts w:asciiTheme="majorHAnsi" w:hAnsiTheme="majorHAnsi" w:cstheme="majorHAnsi"/>
                <w:sz w:val="22"/>
                <w:szCs w:val="22"/>
              </w:rPr>
              <w:t>outcomes</w:t>
            </w:r>
            <w:proofErr w:type="gramEnd"/>
            <w:r w:rsidR="00935AD5" w:rsidRPr="003E4972">
              <w:rPr>
                <w:rFonts w:asciiTheme="majorHAnsi" w:hAnsiTheme="majorHAnsi" w:cstheme="majorHAnsi"/>
                <w:sz w:val="22"/>
                <w:szCs w:val="22"/>
              </w:rPr>
              <w:t xml:space="preserve"> and evidence, would strengthen the program overall. This could be facilitated by ADB’s GESI experts. It would be highly beneficial to incorporate content and/or presenters from The Asia Foundation/ TO-09 Inclusive Cities capacity building intervention for city officials, and Practical Action’s consultative approach in TO-05 Gender Transformative FEWS intervention. This should be done as soon as practicable. </w:t>
            </w:r>
          </w:p>
          <w:p w14:paraId="2B3450FC" w14:textId="77777777" w:rsidR="00935AD5" w:rsidRPr="003E4972" w:rsidRDefault="00935AD5" w:rsidP="00E6379A">
            <w:pPr>
              <w:spacing w:line="276" w:lineRule="auto"/>
              <w:jc w:val="both"/>
              <w:rPr>
                <w:rFonts w:asciiTheme="majorHAnsi" w:hAnsiTheme="majorHAnsi" w:cstheme="majorHAnsi"/>
                <w:sz w:val="22"/>
                <w:szCs w:val="22"/>
              </w:rPr>
            </w:pPr>
          </w:p>
        </w:tc>
        <w:tc>
          <w:tcPr>
            <w:tcW w:w="2500" w:type="pct"/>
          </w:tcPr>
          <w:p w14:paraId="11139B68" w14:textId="157D9B40" w:rsidR="00935AD5" w:rsidRPr="003E4972" w:rsidRDefault="00935AD5" w:rsidP="00E6379A">
            <w:pPr>
              <w:rPr>
                <w:rFonts w:asciiTheme="majorHAnsi" w:hAnsiTheme="majorHAnsi" w:cstheme="majorHAnsi"/>
                <w:sz w:val="22"/>
                <w:szCs w:val="22"/>
              </w:rPr>
            </w:pPr>
            <w:r w:rsidRPr="003E4972">
              <w:rPr>
                <w:rFonts w:asciiTheme="majorHAnsi" w:hAnsiTheme="majorHAnsi" w:cstheme="majorHAnsi"/>
                <w:sz w:val="22"/>
                <w:szCs w:val="22"/>
              </w:rPr>
              <w:t>Agreed. This will be completed</w:t>
            </w:r>
            <w:r w:rsidR="004A111E" w:rsidRPr="003E4972">
              <w:rPr>
                <w:rFonts w:asciiTheme="majorHAnsi" w:hAnsiTheme="majorHAnsi" w:cstheme="majorHAnsi"/>
                <w:sz w:val="22"/>
                <w:szCs w:val="22"/>
              </w:rPr>
              <w:t xml:space="preserve"> </w:t>
            </w:r>
            <w:r w:rsidR="00CF7CC3" w:rsidRPr="003E4972">
              <w:rPr>
                <w:rFonts w:asciiTheme="majorHAnsi" w:hAnsiTheme="majorHAnsi" w:cstheme="majorHAnsi"/>
                <w:sz w:val="22"/>
                <w:szCs w:val="22"/>
              </w:rPr>
              <w:t>in Q1</w:t>
            </w:r>
            <w:r w:rsidR="00C50EF4">
              <w:rPr>
                <w:rFonts w:asciiTheme="majorHAnsi" w:hAnsiTheme="majorHAnsi" w:cstheme="majorHAnsi"/>
                <w:sz w:val="22"/>
                <w:szCs w:val="22"/>
              </w:rPr>
              <w:t xml:space="preserve"> or </w:t>
            </w:r>
            <w:r w:rsidR="00CF7CC3" w:rsidRPr="003E4972">
              <w:rPr>
                <w:rFonts w:asciiTheme="majorHAnsi" w:hAnsiTheme="majorHAnsi" w:cstheme="majorHAnsi"/>
                <w:sz w:val="22"/>
                <w:szCs w:val="22"/>
              </w:rPr>
              <w:t>Q2 2023</w:t>
            </w:r>
            <w:r w:rsidR="00CF7CC3">
              <w:rPr>
                <w:rFonts w:asciiTheme="majorHAnsi" w:hAnsiTheme="majorHAnsi" w:cstheme="majorHAnsi"/>
                <w:sz w:val="22"/>
                <w:szCs w:val="22"/>
              </w:rPr>
              <w:t xml:space="preserve">, </w:t>
            </w:r>
            <w:r w:rsidR="004A111E" w:rsidRPr="003E4972">
              <w:rPr>
                <w:rFonts w:asciiTheme="majorHAnsi" w:hAnsiTheme="majorHAnsi" w:cstheme="majorHAnsi"/>
                <w:sz w:val="22"/>
                <w:szCs w:val="22"/>
              </w:rPr>
              <w:t xml:space="preserve">after </w:t>
            </w:r>
            <w:r w:rsidR="00A43983">
              <w:rPr>
                <w:rFonts w:asciiTheme="majorHAnsi" w:hAnsiTheme="majorHAnsi" w:cstheme="majorHAnsi"/>
                <w:sz w:val="22"/>
                <w:szCs w:val="22"/>
              </w:rPr>
              <w:t>the</w:t>
            </w:r>
            <w:r w:rsidR="004A111E" w:rsidRPr="003E4972">
              <w:rPr>
                <w:rFonts w:asciiTheme="majorHAnsi" w:hAnsiTheme="majorHAnsi" w:cstheme="majorHAnsi"/>
                <w:sz w:val="22"/>
                <w:szCs w:val="22"/>
              </w:rPr>
              <w:t xml:space="preserve"> AASCTF Strategy for Raising the Bar on GESI</w:t>
            </w:r>
            <w:r w:rsidR="00A43983">
              <w:rPr>
                <w:rFonts w:asciiTheme="majorHAnsi" w:hAnsiTheme="majorHAnsi" w:cstheme="majorHAnsi"/>
                <w:sz w:val="22"/>
                <w:szCs w:val="22"/>
              </w:rPr>
              <w:t xml:space="preserve"> is finalised</w:t>
            </w:r>
            <w:r w:rsidR="00C42CB1" w:rsidRPr="003E4972">
              <w:rPr>
                <w:rFonts w:asciiTheme="majorHAnsi" w:hAnsiTheme="majorHAnsi" w:cstheme="majorHAnsi"/>
                <w:sz w:val="22"/>
                <w:szCs w:val="22"/>
              </w:rPr>
              <w:t>.</w:t>
            </w:r>
          </w:p>
        </w:tc>
      </w:tr>
      <w:tr w:rsidR="00935AD5" w:rsidRPr="003E4972" w14:paraId="6B3DC8F6" w14:textId="77777777" w:rsidTr="00E6379A">
        <w:tc>
          <w:tcPr>
            <w:tcW w:w="2500" w:type="pct"/>
          </w:tcPr>
          <w:p w14:paraId="2F2380D9" w14:textId="0EB9B381" w:rsidR="00935AD5" w:rsidRPr="003E4972" w:rsidRDefault="006509EE" w:rsidP="00E6379A">
            <w:pPr>
              <w:spacing w:line="276" w:lineRule="auto"/>
              <w:rPr>
                <w:rFonts w:asciiTheme="majorHAnsi" w:hAnsiTheme="majorHAnsi" w:cstheme="majorHAnsi"/>
                <w:sz w:val="22"/>
                <w:szCs w:val="22"/>
              </w:rPr>
            </w:pPr>
            <w:r>
              <w:rPr>
                <w:rFonts w:asciiTheme="majorHAnsi" w:hAnsiTheme="majorHAnsi" w:cstheme="majorHAnsi"/>
                <w:sz w:val="22"/>
                <w:szCs w:val="22"/>
              </w:rPr>
              <w:t>20</w:t>
            </w:r>
            <w:r w:rsidR="00F92F05">
              <w:rPr>
                <w:rFonts w:asciiTheme="majorHAnsi" w:hAnsiTheme="majorHAnsi" w:cstheme="majorHAnsi"/>
                <w:sz w:val="22"/>
                <w:szCs w:val="22"/>
              </w:rPr>
              <w:t xml:space="preserve">. </w:t>
            </w:r>
            <w:r w:rsidR="00935AD5" w:rsidRPr="003E4972">
              <w:rPr>
                <w:rFonts w:asciiTheme="majorHAnsi" w:hAnsiTheme="majorHAnsi" w:cstheme="majorHAnsi"/>
                <w:sz w:val="22"/>
                <w:szCs w:val="22"/>
              </w:rPr>
              <w:t xml:space="preserve">Following training, a joint ADB/Ramboll review of implementation of the GESI Strategy is recommended. A workshop format, facilitated by ADB or external GESI and M&amp;E experts, would provide teams with an applied learning opportunity). The review should assess whether </w:t>
            </w:r>
            <w:r w:rsidR="00935AD5" w:rsidRPr="003E4972">
              <w:rPr>
                <w:rFonts w:asciiTheme="majorHAnsi" w:hAnsiTheme="majorHAnsi" w:cstheme="majorHAnsi"/>
                <w:sz w:val="22"/>
                <w:szCs w:val="22"/>
              </w:rPr>
              <w:lastRenderedPageBreak/>
              <w:t>GESI target groups will tangibly benefit from current, planned and completed interventions, identify what those benefits might be, how best to measure results and identify evidence of progress to outcomes. If benefits are not apparent, what changes or additional measures could be put into place, including increased engagement with GESI target groups or NGOs; additional targeted GESI interventions; and increased engagement with local officials on GESI to encourage and influence GESI outcomes. Assess whether the program will meet its GESI targets and what actions might be needed to ensure it does. It would be essential to complete this review prior to any extension of the program being considered</w:t>
            </w:r>
          </w:p>
        </w:tc>
        <w:tc>
          <w:tcPr>
            <w:tcW w:w="2500" w:type="pct"/>
          </w:tcPr>
          <w:p w14:paraId="0012C5E0" w14:textId="052819C2" w:rsidR="00935AD5" w:rsidRPr="003E4972" w:rsidRDefault="00935AD5" w:rsidP="00E6379A">
            <w:pPr>
              <w:rPr>
                <w:rFonts w:asciiTheme="majorHAnsi" w:hAnsiTheme="majorHAnsi" w:cstheme="majorHAnsi"/>
                <w:sz w:val="22"/>
                <w:szCs w:val="22"/>
              </w:rPr>
            </w:pPr>
            <w:r w:rsidRPr="003E4972">
              <w:rPr>
                <w:rFonts w:asciiTheme="majorHAnsi" w:hAnsiTheme="majorHAnsi" w:cstheme="majorHAnsi"/>
                <w:sz w:val="22"/>
                <w:szCs w:val="22"/>
              </w:rPr>
              <w:lastRenderedPageBreak/>
              <w:t>Agreed</w:t>
            </w:r>
            <w:r w:rsidR="00F51529" w:rsidRPr="003E4972">
              <w:rPr>
                <w:rFonts w:asciiTheme="majorHAnsi" w:hAnsiTheme="majorHAnsi" w:cstheme="majorHAnsi"/>
                <w:sz w:val="22"/>
                <w:szCs w:val="22"/>
              </w:rPr>
              <w:t>. T</w:t>
            </w:r>
            <w:r w:rsidR="004A111E" w:rsidRPr="003E4972">
              <w:rPr>
                <w:rFonts w:asciiTheme="majorHAnsi" w:hAnsiTheme="majorHAnsi" w:cstheme="majorHAnsi"/>
                <w:sz w:val="22"/>
                <w:szCs w:val="22"/>
              </w:rPr>
              <w:t>he joint ADB/Ramboll review of the implementation of the GESI Strategy will be</w:t>
            </w:r>
            <w:r w:rsidR="0018305D">
              <w:rPr>
                <w:rFonts w:asciiTheme="majorHAnsi" w:hAnsiTheme="majorHAnsi" w:cstheme="majorHAnsi"/>
                <w:sz w:val="22"/>
                <w:szCs w:val="22"/>
              </w:rPr>
              <w:t xml:space="preserve"> completed</w:t>
            </w:r>
            <w:r w:rsidR="004A111E" w:rsidRPr="003E4972">
              <w:rPr>
                <w:rFonts w:asciiTheme="majorHAnsi" w:hAnsiTheme="majorHAnsi" w:cstheme="majorHAnsi"/>
                <w:sz w:val="22"/>
                <w:szCs w:val="22"/>
              </w:rPr>
              <w:t xml:space="preserve"> in preparation for the Q1 2023 strategy workshop</w:t>
            </w:r>
            <w:r w:rsidR="00E92136" w:rsidRPr="003E4972">
              <w:rPr>
                <w:rFonts w:asciiTheme="majorHAnsi" w:hAnsiTheme="majorHAnsi" w:cstheme="majorHAnsi"/>
                <w:sz w:val="22"/>
                <w:szCs w:val="22"/>
              </w:rPr>
              <w:t>s</w:t>
            </w:r>
            <w:r w:rsidR="004A111E" w:rsidRPr="003E4972">
              <w:rPr>
                <w:rFonts w:asciiTheme="majorHAnsi" w:hAnsiTheme="majorHAnsi" w:cstheme="majorHAnsi"/>
                <w:sz w:val="22"/>
                <w:szCs w:val="22"/>
              </w:rPr>
              <w:t xml:space="preserve"> with DFAT</w:t>
            </w:r>
            <w:r w:rsidR="00F51529" w:rsidRPr="003E4972">
              <w:rPr>
                <w:rFonts w:asciiTheme="majorHAnsi" w:hAnsiTheme="majorHAnsi" w:cstheme="majorHAnsi"/>
                <w:sz w:val="22"/>
                <w:szCs w:val="22"/>
              </w:rPr>
              <w:t xml:space="preserve">. This will be followed by implementation of </w:t>
            </w:r>
            <w:r w:rsidR="004A111E" w:rsidRPr="003E4972">
              <w:rPr>
                <w:rFonts w:asciiTheme="majorHAnsi" w:hAnsiTheme="majorHAnsi" w:cstheme="majorHAnsi"/>
                <w:sz w:val="22"/>
                <w:szCs w:val="22"/>
              </w:rPr>
              <w:t>in-house training</w:t>
            </w:r>
            <w:r w:rsidR="00F51529" w:rsidRPr="003E4972">
              <w:rPr>
                <w:rFonts w:asciiTheme="majorHAnsi" w:hAnsiTheme="majorHAnsi" w:cstheme="majorHAnsi"/>
                <w:sz w:val="22"/>
                <w:szCs w:val="22"/>
              </w:rPr>
              <w:t xml:space="preserve">. </w:t>
            </w:r>
          </w:p>
        </w:tc>
      </w:tr>
      <w:tr w:rsidR="00935AD5" w:rsidRPr="003E4972" w14:paraId="75A60416" w14:textId="77777777" w:rsidTr="00E6379A">
        <w:tc>
          <w:tcPr>
            <w:tcW w:w="2500" w:type="pct"/>
          </w:tcPr>
          <w:p w14:paraId="3C53741D" w14:textId="6E70DC4C" w:rsidR="00935AD5" w:rsidRPr="003E4972" w:rsidRDefault="00F92F05" w:rsidP="00E6379A">
            <w:pPr>
              <w:spacing w:line="276" w:lineRule="auto"/>
              <w:rPr>
                <w:rFonts w:asciiTheme="majorHAnsi" w:hAnsiTheme="majorHAnsi" w:cstheme="majorHAnsi"/>
                <w:sz w:val="22"/>
                <w:szCs w:val="22"/>
              </w:rPr>
            </w:pPr>
            <w:r>
              <w:rPr>
                <w:rFonts w:asciiTheme="majorHAnsi" w:hAnsiTheme="majorHAnsi" w:cstheme="majorHAnsi"/>
                <w:sz w:val="22"/>
                <w:szCs w:val="22"/>
              </w:rPr>
              <w:t>2</w:t>
            </w:r>
            <w:r w:rsidR="006509EE">
              <w:rPr>
                <w:rFonts w:asciiTheme="majorHAnsi" w:hAnsiTheme="majorHAnsi" w:cstheme="majorHAnsi"/>
                <w:sz w:val="22"/>
                <w:szCs w:val="22"/>
              </w:rPr>
              <w:t>1</w:t>
            </w:r>
            <w:r>
              <w:rPr>
                <w:rFonts w:asciiTheme="majorHAnsi" w:hAnsiTheme="majorHAnsi" w:cstheme="majorHAnsi"/>
                <w:sz w:val="22"/>
                <w:szCs w:val="22"/>
              </w:rPr>
              <w:t xml:space="preserve">. </w:t>
            </w:r>
            <w:r w:rsidR="00935AD5" w:rsidRPr="003E4972">
              <w:rPr>
                <w:rFonts w:asciiTheme="majorHAnsi" w:hAnsiTheme="majorHAnsi" w:cstheme="majorHAnsi"/>
                <w:sz w:val="22"/>
                <w:szCs w:val="22"/>
              </w:rPr>
              <w:t>Where needed, ADB specialists should support AASCTF teams with additional oversight and/or support in implementing the GESI strategy, improving M&amp;E data collection, use and reporting; and understanding what can be considered as evidence.</w:t>
            </w:r>
          </w:p>
          <w:p w14:paraId="689A4FA1" w14:textId="77777777" w:rsidR="00935AD5" w:rsidRPr="003E4972" w:rsidRDefault="00935AD5" w:rsidP="00E6379A">
            <w:pPr>
              <w:spacing w:line="276" w:lineRule="auto"/>
              <w:jc w:val="both"/>
              <w:rPr>
                <w:rFonts w:asciiTheme="majorHAnsi" w:hAnsiTheme="majorHAnsi" w:cstheme="majorHAnsi"/>
                <w:sz w:val="22"/>
                <w:szCs w:val="22"/>
              </w:rPr>
            </w:pPr>
          </w:p>
        </w:tc>
        <w:tc>
          <w:tcPr>
            <w:tcW w:w="2500" w:type="pct"/>
          </w:tcPr>
          <w:p w14:paraId="02EDBE31" w14:textId="4CF100D5" w:rsidR="00935AD5" w:rsidRPr="003E4972" w:rsidRDefault="00935AD5" w:rsidP="00E6379A">
            <w:pPr>
              <w:rPr>
                <w:rFonts w:asciiTheme="majorHAnsi" w:hAnsiTheme="majorHAnsi" w:cstheme="majorHAnsi"/>
                <w:sz w:val="22"/>
                <w:szCs w:val="22"/>
              </w:rPr>
            </w:pPr>
            <w:r w:rsidRPr="003E4972">
              <w:rPr>
                <w:rFonts w:asciiTheme="majorHAnsi" w:hAnsiTheme="majorHAnsi" w:cstheme="majorHAnsi"/>
                <w:sz w:val="22"/>
                <w:szCs w:val="22"/>
              </w:rPr>
              <w:t>Agreed. This recommendation was implemented in Q4 2022.</w:t>
            </w:r>
            <w:r w:rsidR="004A111E" w:rsidRPr="003E4972">
              <w:rPr>
                <w:rFonts w:asciiTheme="majorHAnsi" w:hAnsiTheme="majorHAnsi" w:cstheme="majorHAnsi"/>
                <w:sz w:val="22"/>
                <w:szCs w:val="22"/>
              </w:rPr>
              <w:t xml:space="preserve"> ADB specialists will be engaged in the Q1 2023 strategy workshops</w:t>
            </w:r>
            <w:r w:rsidR="00190032" w:rsidRPr="003E4972">
              <w:rPr>
                <w:rFonts w:asciiTheme="majorHAnsi" w:hAnsiTheme="majorHAnsi" w:cstheme="majorHAnsi"/>
                <w:sz w:val="22"/>
                <w:szCs w:val="22"/>
              </w:rPr>
              <w:t xml:space="preserve">, in addition to separate Ramboll-ADB </w:t>
            </w:r>
            <w:r w:rsidR="00476D19" w:rsidRPr="003E4972">
              <w:rPr>
                <w:rFonts w:asciiTheme="majorHAnsi" w:hAnsiTheme="majorHAnsi" w:cstheme="majorHAnsi"/>
                <w:sz w:val="22"/>
                <w:szCs w:val="22"/>
              </w:rPr>
              <w:t>discussions on the strategy</w:t>
            </w:r>
            <w:r w:rsidR="00113529">
              <w:rPr>
                <w:rFonts w:asciiTheme="majorHAnsi" w:hAnsiTheme="majorHAnsi" w:cstheme="majorHAnsi"/>
                <w:sz w:val="22"/>
                <w:szCs w:val="22"/>
              </w:rPr>
              <w:t>.</w:t>
            </w:r>
          </w:p>
        </w:tc>
      </w:tr>
    </w:tbl>
    <w:p w14:paraId="7CF7B93A" w14:textId="77777777" w:rsidR="00935AD5" w:rsidRPr="003E4972" w:rsidRDefault="00935AD5" w:rsidP="00935AD5">
      <w:pPr>
        <w:spacing w:before="180"/>
        <w:jc w:val="both"/>
        <w:rPr>
          <w:rStyle w:val="BookTitle"/>
          <w:rFonts w:asciiTheme="majorHAnsi" w:hAnsiTheme="majorHAnsi" w:cstheme="majorHAnsi"/>
          <w:sz w:val="22"/>
          <w:szCs w:val="22"/>
        </w:rPr>
      </w:pPr>
    </w:p>
    <w:p w14:paraId="4689D2F1" w14:textId="77777777" w:rsidR="00935AD5" w:rsidRPr="003E4972" w:rsidRDefault="00935AD5" w:rsidP="00935AD5">
      <w:pPr>
        <w:spacing w:line="276" w:lineRule="auto"/>
        <w:jc w:val="both"/>
        <w:rPr>
          <w:rFonts w:asciiTheme="majorHAnsi" w:hAnsiTheme="majorHAnsi" w:cstheme="majorHAnsi"/>
          <w:sz w:val="22"/>
          <w:szCs w:val="22"/>
        </w:rPr>
      </w:pPr>
      <w:r w:rsidRPr="003E4972">
        <w:rPr>
          <w:rFonts w:asciiTheme="majorHAnsi" w:hAnsiTheme="majorHAnsi" w:cstheme="majorHAnsi"/>
          <w:sz w:val="22"/>
          <w:szCs w:val="22"/>
        </w:rPr>
        <w:t xml:space="preserve">.  </w:t>
      </w:r>
    </w:p>
    <w:p w14:paraId="55D88F56" w14:textId="77777777" w:rsidR="00E6379A" w:rsidRPr="003E4972" w:rsidRDefault="00E6379A">
      <w:pPr>
        <w:rPr>
          <w:rFonts w:asciiTheme="majorHAnsi" w:hAnsiTheme="majorHAnsi" w:cstheme="majorHAnsi"/>
          <w:sz w:val="22"/>
          <w:szCs w:val="22"/>
        </w:rPr>
      </w:pPr>
    </w:p>
    <w:sectPr w:rsidR="00E6379A" w:rsidRPr="003E49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B9EB5" w14:textId="77777777" w:rsidR="000B7DF4" w:rsidRDefault="000B7DF4" w:rsidP="00935AD5">
      <w:pPr>
        <w:spacing w:after="0" w:line="240" w:lineRule="auto"/>
      </w:pPr>
      <w:r>
        <w:separator/>
      </w:r>
    </w:p>
  </w:endnote>
  <w:endnote w:type="continuationSeparator" w:id="0">
    <w:p w14:paraId="7F3C2A51" w14:textId="77777777" w:rsidR="000B7DF4" w:rsidRDefault="000B7DF4" w:rsidP="00935AD5">
      <w:pPr>
        <w:spacing w:after="0" w:line="240" w:lineRule="auto"/>
      </w:pPr>
      <w:r>
        <w:continuationSeparator/>
      </w:r>
    </w:p>
  </w:endnote>
  <w:endnote w:type="continuationNotice" w:id="1">
    <w:p w14:paraId="532560ED" w14:textId="77777777" w:rsidR="000B7DF4" w:rsidRDefault="000B7D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DE78E" w14:textId="77777777" w:rsidR="000B7DF4" w:rsidRDefault="000B7DF4" w:rsidP="00935AD5">
      <w:pPr>
        <w:spacing w:after="0" w:line="240" w:lineRule="auto"/>
      </w:pPr>
      <w:r>
        <w:separator/>
      </w:r>
    </w:p>
  </w:footnote>
  <w:footnote w:type="continuationSeparator" w:id="0">
    <w:p w14:paraId="2706B0E8" w14:textId="77777777" w:rsidR="000B7DF4" w:rsidRDefault="000B7DF4" w:rsidP="00935AD5">
      <w:pPr>
        <w:spacing w:after="0" w:line="240" w:lineRule="auto"/>
      </w:pPr>
      <w:r>
        <w:continuationSeparator/>
      </w:r>
    </w:p>
  </w:footnote>
  <w:footnote w:type="continuationNotice" w:id="1">
    <w:p w14:paraId="6F7B1E85" w14:textId="77777777" w:rsidR="000B7DF4" w:rsidRDefault="000B7D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31C05"/>
    <w:multiLevelType w:val="hybridMultilevel"/>
    <w:tmpl w:val="3E6AE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AD5"/>
    <w:rsid w:val="000225D3"/>
    <w:rsid w:val="0002471E"/>
    <w:rsid w:val="0002592B"/>
    <w:rsid w:val="00027B49"/>
    <w:rsid w:val="0003577F"/>
    <w:rsid w:val="000417E7"/>
    <w:rsid w:val="00041E45"/>
    <w:rsid w:val="0004342D"/>
    <w:rsid w:val="0005435E"/>
    <w:rsid w:val="0006156F"/>
    <w:rsid w:val="00066FAB"/>
    <w:rsid w:val="00073EAE"/>
    <w:rsid w:val="00086E62"/>
    <w:rsid w:val="000A3778"/>
    <w:rsid w:val="000A5E03"/>
    <w:rsid w:val="000A6B6A"/>
    <w:rsid w:val="000B57DE"/>
    <w:rsid w:val="000B7DF4"/>
    <w:rsid w:val="000C38B6"/>
    <w:rsid w:val="000D6E46"/>
    <w:rsid w:val="000D75FD"/>
    <w:rsid w:val="000F1C12"/>
    <w:rsid w:val="000F4740"/>
    <w:rsid w:val="00110A1C"/>
    <w:rsid w:val="00111D48"/>
    <w:rsid w:val="00113529"/>
    <w:rsid w:val="00115D41"/>
    <w:rsid w:val="0012126B"/>
    <w:rsid w:val="00126EC0"/>
    <w:rsid w:val="00134E37"/>
    <w:rsid w:val="00137346"/>
    <w:rsid w:val="00143C8F"/>
    <w:rsid w:val="001442AB"/>
    <w:rsid w:val="00145834"/>
    <w:rsid w:val="00150327"/>
    <w:rsid w:val="00150511"/>
    <w:rsid w:val="00172F42"/>
    <w:rsid w:val="0018169E"/>
    <w:rsid w:val="00182D77"/>
    <w:rsid w:val="0018305D"/>
    <w:rsid w:val="00183D6E"/>
    <w:rsid w:val="00190032"/>
    <w:rsid w:val="001A1916"/>
    <w:rsid w:val="001A7C93"/>
    <w:rsid w:val="001B6727"/>
    <w:rsid w:val="001C4183"/>
    <w:rsid w:val="001D4282"/>
    <w:rsid w:val="001E347F"/>
    <w:rsid w:val="001F09EC"/>
    <w:rsid w:val="00210208"/>
    <w:rsid w:val="00212E41"/>
    <w:rsid w:val="00227A65"/>
    <w:rsid w:val="00234CED"/>
    <w:rsid w:val="002353FA"/>
    <w:rsid w:val="0024033B"/>
    <w:rsid w:val="002549F0"/>
    <w:rsid w:val="00263D20"/>
    <w:rsid w:val="00266D3F"/>
    <w:rsid w:val="00266EC5"/>
    <w:rsid w:val="00266F8C"/>
    <w:rsid w:val="00283243"/>
    <w:rsid w:val="00293014"/>
    <w:rsid w:val="002B62CE"/>
    <w:rsid w:val="002D3C4E"/>
    <w:rsid w:val="002E7FC6"/>
    <w:rsid w:val="002F7D77"/>
    <w:rsid w:val="00304C64"/>
    <w:rsid w:val="00323692"/>
    <w:rsid w:val="003279DA"/>
    <w:rsid w:val="00337AD8"/>
    <w:rsid w:val="003520E3"/>
    <w:rsid w:val="00356DDE"/>
    <w:rsid w:val="00367E00"/>
    <w:rsid w:val="00370B2C"/>
    <w:rsid w:val="00371DFC"/>
    <w:rsid w:val="00387084"/>
    <w:rsid w:val="003910B4"/>
    <w:rsid w:val="00392013"/>
    <w:rsid w:val="00396C2E"/>
    <w:rsid w:val="00397DA5"/>
    <w:rsid w:val="003B0140"/>
    <w:rsid w:val="003B7E46"/>
    <w:rsid w:val="003C2C6D"/>
    <w:rsid w:val="003C5C54"/>
    <w:rsid w:val="003D487F"/>
    <w:rsid w:val="003E00D7"/>
    <w:rsid w:val="003E4972"/>
    <w:rsid w:val="003E5A31"/>
    <w:rsid w:val="003F3EEF"/>
    <w:rsid w:val="003F5D5E"/>
    <w:rsid w:val="00403446"/>
    <w:rsid w:val="0040524C"/>
    <w:rsid w:val="004176CF"/>
    <w:rsid w:val="004708E1"/>
    <w:rsid w:val="0047189C"/>
    <w:rsid w:val="00471B37"/>
    <w:rsid w:val="0047551C"/>
    <w:rsid w:val="00476D19"/>
    <w:rsid w:val="0047704A"/>
    <w:rsid w:val="0048267D"/>
    <w:rsid w:val="00497706"/>
    <w:rsid w:val="004A111E"/>
    <w:rsid w:val="004A148B"/>
    <w:rsid w:val="004B055C"/>
    <w:rsid w:val="004B12E4"/>
    <w:rsid w:val="004B4025"/>
    <w:rsid w:val="004D07F1"/>
    <w:rsid w:val="004D334C"/>
    <w:rsid w:val="004D614A"/>
    <w:rsid w:val="004E73B5"/>
    <w:rsid w:val="004F10EE"/>
    <w:rsid w:val="005223A6"/>
    <w:rsid w:val="00524429"/>
    <w:rsid w:val="005313D7"/>
    <w:rsid w:val="00531B84"/>
    <w:rsid w:val="00536F16"/>
    <w:rsid w:val="005402FB"/>
    <w:rsid w:val="00541794"/>
    <w:rsid w:val="0055251E"/>
    <w:rsid w:val="00554216"/>
    <w:rsid w:val="00561555"/>
    <w:rsid w:val="00576925"/>
    <w:rsid w:val="0057735A"/>
    <w:rsid w:val="00594FA9"/>
    <w:rsid w:val="005A2D31"/>
    <w:rsid w:val="005A6F8E"/>
    <w:rsid w:val="005A7F1D"/>
    <w:rsid w:val="005C5A63"/>
    <w:rsid w:val="005E1C6B"/>
    <w:rsid w:val="005E2D57"/>
    <w:rsid w:val="00600495"/>
    <w:rsid w:val="0060478A"/>
    <w:rsid w:val="00614AE6"/>
    <w:rsid w:val="00617DAA"/>
    <w:rsid w:val="00630269"/>
    <w:rsid w:val="006322D6"/>
    <w:rsid w:val="0064584A"/>
    <w:rsid w:val="00646300"/>
    <w:rsid w:val="006509EE"/>
    <w:rsid w:val="006532F4"/>
    <w:rsid w:val="006736DF"/>
    <w:rsid w:val="0067513C"/>
    <w:rsid w:val="0068372A"/>
    <w:rsid w:val="006961EF"/>
    <w:rsid w:val="00696594"/>
    <w:rsid w:val="006B14C5"/>
    <w:rsid w:val="006B77C1"/>
    <w:rsid w:val="006C0B1D"/>
    <w:rsid w:val="006C5FE6"/>
    <w:rsid w:val="006D001B"/>
    <w:rsid w:val="0070364A"/>
    <w:rsid w:val="0070776A"/>
    <w:rsid w:val="00707DF5"/>
    <w:rsid w:val="0071091F"/>
    <w:rsid w:val="0071626E"/>
    <w:rsid w:val="00723ED2"/>
    <w:rsid w:val="00733516"/>
    <w:rsid w:val="00755E71"/>
    <w:rsid w:val="00760349"/>
    <w:rsid w:val="007668A5"/>
    <w:rsid w:val="00770B14"/>
    <w:rsid w:val="007738BB"/>
    <w:rsid w:val="00781E78"/>
    <w:rsid w:val="00790674"/>
    <w:rsid w:val="00791099"/>
    <w:rsid w:val="00791C92"/>
    <w:rsid w:val="007947DF"/>
    <w:rsid w:val="007A4A04"/>
    <w:rsid w:val="007B0C19"/>
    <w:rsid w:val="007C36F1"/>
    <w:rsid w:val="007D3B66"/>
    <w:rsid w:val="007E1DD6"/>
    <w:rsid w:val="007E5088"/>
    <w:rsid w:val="007E7185"/>
    <w:rsid w:val="008037FF"/>
    <w:rsid w:val="00834B1C"/>
    <w:rsid w:val="0083690E"/>
    <w:rsid w:val="00846FA3"/>
    <w:rsid w:val="0085323E"/>
    <w:rsid w:val="00871531"/>
    <w:rsid w:val="00876151"/>
    <w:rsid w:val="00877B08"/>
    <w:rsid w:val="008B16B4"/>
    <w:rsid w:val="008C563F"/>
    <w:rsid w:val="008D0A72"/>
    <w:rsid w:val="008D50FB"/>
    <w:rsid w:val="00906576"/>
    <w:rsid w:val="0090671B"/>
    <w:rsid w:val="00914028"/>
    <w:rsid w:val="00921174"/>
    <w:rsid w:val="00927E47"/>
    <w:rsid w:val="00931697"/>
    <w:rsid w:val="00935AD5"/>
    <w:rsid w:val="00945725"/>
    <w:rsid w:val="009468AC"/>
    <w:rsid w:val="00950931"/>
    <w:rsid w:val="00965361"/>
    <w:rsid w:val="0098542C"/>
    <w:rsid w:val="00992309"/>
    <w:rsid w:val="0099233B"/>
    <w:rsid w:val="009C1349"/>
    <w:rsid w:val="009E0331"/>
    <w:rsid w:val="009F321A"/>
    <w:rsid w:val="009F73CA"/>
    <w:rsid w:val="00A07588"/>
    <w:rsid w:val="00A10028"/>
    <w:rsid w:val="00A10614"/>
    <w:rsid w:val="00A10D28"/>
    <w:rsid w:val="00A14D90"/>
    <w:rsid w:val="00A21232"/>
    <w:rsid w:val="00A24B59"/>
    <w:rsid w:val="00A254F8"/>
    <w:rsid w:val="00A276CB"/>
    <w:rsid w:val="00A37529"/>
    <w:rsid w:val="00A43983"/>
    <w:rsid w:val="00A45BF3"/>
    <w:rsid w:val="00A47C28"/>
    <w:rsid w:val="00A5569B"/>
    <w:rsid w:val="00A70ED9"/>
    <w:rsid w:val="00A83029"/>
    <w:rsid w:val="00AC798E"/>
    <w:rsid w:val="00AE476B"/>
    <w:rsid w:val="00AE6CE8"/>
    <w:rsid w:val="00AE735F"/>
    <w:rsid w:val="00B068D4"/>
    <w:rsid w:val="00B07ECD"/>
    <w:rsid w:val="00B11ECA"/>
    <w:rsid w:val="00B161F2"/>
    <w:rsid w:val="00B20394"/>
    <w:rsid w:val="00B20D90"/>
    <w:rsid w:val="00B21799"/>
    <w:rsid w:val="00B2369E"/>
    <w:rsid w:val="00B333B3"/>
    <w:rsid w:val="00B47388"/>
    <w:rsid w:val="00B61238"/>
    <w:rsid w:val="00BA071E"/>
    <w:rsid w:val="00BA5FA4"/>
    <w:rsid w:val="00BC1F73"/>
    <w:rsid w:val="00BC4E74"/>
    <w:rsid w:val="00BC5AD4"/>
    <w:rsid w:val="00BF13AA"/>
    <w:rsid w:val="00C02088"/>
    <w:rsid w:val="00C055AB"/>
    <w:rsid w:val="00C24098"/>
    <w:rsid w:val="00C3320F"/>
    <w:rsid w:val="00C42CB1"/>
    <w:rsid w:val="00C445F5"/>
    <w:rsid w:val="00C50EF4"/>
    <w:rsid w:val="00C627A6"/>
    <w:rsid w:val="00C65041"/>
    <w:rsid w:val="00C652FF"/>
    <w:rsid w:val="00C710E8"/>
    <w:rsid w:val="00C7333D"/>
    <w:rsid w:val="00C75DE4"/>
    <w:rsid w:val="00C93DC3"/>
    <w:rsid w:val="00CC05BB"/>
    <w:rsid w:val="00CC4B47"/>
    <w:rsid w:val="00CD0F34"/>
    <w:rsid w:val="00CD647C"/>
    <w:rsid w:val="00CE5884"/>
    <w:rsid w:val="00CE5D55"/>
    <w:rsid w:val="00CE7265"/>
    <w:rsid w:val="00CE7784"/>
    <w:rsid w:val="00CF7CC3"/>
    <w:rsid w:val="00D039A2"/>
    <w:rsid w:val="00D16FC6"/>
    <w:rsid w:val="00D20DBA"/>
    <w:rsid w:val="00D22415"/>
    <w:rsid w:val="00D27270"/>
    <w:rsid w:val="00D346FE"/>
    <w:rsid w:val="00D43B35"/>
    <w:rsid w:val="00D46004"/>
    <w:rsid w:val="00D523C4"/>
    <w:rsid w:val="00D57405"/>
    <w:rsid w:val="00D57F13"/>
    <w:rsid w:val="00D61470"/>
    <w:rsid w:val="00D6290D"/>
    <w:rsid w:val="00D7261F"/>
    <w:rsid w:val="00D7287D"/>
    <w:rsid w:val="00D74CDE"/>
    <w:rsid w:val="00D76D06"/>
    <w:rsid w:val="00D8753D"/>
    <w:rsid w:val="00D91DCE"/>
    <w:rsid w:val="00DC0135"/>
    <w:rsid w:val="00DC37F6"/>
    <w:rsid w:val="00DC5FBA"/>
    <w:rsid w:val="00DD36F7"/>
    <w:rsid w:val="00DD654F"/>
    <w:rsid w:val="00DD79DD"/>
    <w:rsid w:val="00DE2665"/>
    <w:rsid w:val="00DF0703"/>
    <w:rsid w:val="00E423C4"/>
    <w:rsid w:val="00E60525"/>
    <w:rsid w:val="00E6379A"/>
    <w:rsid w:val="00E754A9"/>
    <w:rsid w:val="00E75C65"/>
    <w:rsid w:val="00E871CE"/>
    <w:rsid w:val="00E92136"/>
    <w:rsid w:val="00E9245F"/>
    <w:rsid w:val="00EC09E3"/>
    <w:rsid w:val="00ED267E"/>
    <w:rsid w:val="00EF13E0"/>
    <w:rsid w:val="00EF655E"/>
    <w:rsid w:val="00F24205"/>
    <w:rsid w:val="00F3200D"/>
    <w:rsid w:val="00F51529"/>
    <w:rsid w:val="00F571D0"/>
    <w:rsid w:val="00F614EA"/>
    <w:rsid w:val="00F61A1D"/>
    <w:rsid w:val="00F649A4"/>
    <w:rsid w:val="00F65739"/>
    <w:rsid w:val="00F65CA7"/>
    <w:rsid w:val="00F74736"/>
    <w:rsid w:val="00F75BEB"/>
    <w:rsid w:val="00F86C06"/>
    <w:rsid w:val="00F92F05"/>
    <w:rsid w:val="00FD03F4"/>
    <w:rsid w:val="00FE042B"/>
    <w:rsid w:val="10BCDF8F"/>
    <w:rsid w:val="160FF425"/>
    <w:rsid w:val="255D3CE8"/>
    <w:rsid w:val="2693111A"/>
    <w:rsid w:val="2BDCDA7C"/>
    <w:rsid w:val="3E78836D"/>
    <w:rsid w:val="5101A6DD"/>
    <w:rsid w:val="60D49B83"/>
    <w:rsid w:val="63C253AA"/>
    <w:rsid w:val="69BE71CD"/>
    <w:rsid w:val="6AF10491"/>
    <w:rsid w:val="6BF80D2C"/>
    <w:rsid w:val="6E6D58EA"/>
    <w:rsid w:val="70890C43"/>
    <w:rsid w:val="7B30C3A0"/>
    <w:rsid w:val="7D125D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A62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AD5"/>
    <w:pPr>
      <w:spacing w:after="120" w:line="264" w:lineRule="auto"/>
    </w:pPr>
    <w:rPr>
      <w:rFonts w:ascii="Arial" w:eastAsia="Times New Roman" w:hAnsi="Arial" w:cs="Times New Roman"/>
      <w:sz w:val="20"/>
      <w:szCs w:val="18"/>
      <w:lang w:val="en-GB"/>
    </w:rPr>
  </w:style>
  <w:style w:type="paragraph" w:styleId="Heading1">
    <w:name w:val="heading 1"/>
    <w:basedOn w:val="Normal"/>
    <w:next w:val="Normal"/>
    <w:link w:val="Heading1Char"/>
    <w:uiPriority w:val="9"/>
    <w:qFormat/>
    <w:rsid w:val="00D346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935AD5"/>
    <w:rPr>
      <w:rFonts w:ascii="Arial" w:hAnsi="Arial"/>
      <w:b/>
      <w:bCs/>
      <w:i w:val="0"/>
      <w:iCs/>
      <w:color w:val="2F5496" w:themeColor="accent1" w:themeShade="BF"/>
      <w:spacing w:val="5"/>
    </w:rPr>
  </w:style>
  <w:style w:type="table" w:styleId="TableGrid">
    <w:name w:val="Table Grid"/>
    <w:basedOn w:val="TableNormal"/>
    <w:uiPriority w:val="39"/>
    <w:rsid w:val="00935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5AD5"/>
    <w:rPr>
      <w:sz w:val="16"/>
      <w:szCs w:val="16"/>
    </w:rPr>
  </w:style>
  <w:style w:type="paragraph" w:styleId="CommentText">
    <w:name w:val="annotation text"/>
    <w:basedOn w:val="Normal"/>
    <w:link w:val="CommentTextChar"/>
    <w:uiPriority w:val="99"/>
    <w:unhideWhenUsed/>
    <w:rsid w:val="00935AD5"/>
    <w:pPr>
      <w:spacing w:line="240" w:lineRule="auto"/>
    </w:pPr>
    <w:rPr>
      <w:szCs w:val="20"/>
    </w:rPr>
  </w:style>
  <w:style w:type="character" w:customStyle="1" w:styleId="CommentTextChar">
    <w:name w:val="Comment Text Char"/>
    <w:basedOn w:val="DefaultParagraphFont"/>
    <w:link w:val="CommentText"/>
    <w:uiPriority w:val="99"/>
    <w:rsid w:val="00935AD5"/>
    <w:rPr>
      <w:rFonts w:ascii="Arial" w:eastAsia="Times New Roman" w:hAnsi="Arial" w:cs="Times New Roman"/>
      <w:sz w:val="20"/>
      <w:szCs w:val="20"/>
      <w:lang w:val="en-GB"/>
    </w:rPr>
  </w:style>
  <w:style w:type="paragraph" w:styleId="Title">
    <w:name w:val="Title"/>
    <w:basedOn w:val="Heading1"/>
    <w:next w:val="Normal"/>
    <w:link w:val="TitleChar"/>
    <w:uiPriority w:val="10"/>
    <w:qFormat/>
    <w:rsid w:val="00D346FE"/>
    <w:pPr>
      <w:suppressAutoHyphens/>
      <w:spacing w:before="0" w:line="380" w:lineRule="exact"/>
      <w:contextualSpacing/>
    </w:pPr>
    <w:rPr>
      <w:b/>
      <w:bCs/>
      <w:caps/>
      <w:color w:val="44546A" w:themeColor="text2"/>
      <w:spacing w:val="-10"/>
      <w:kern w:val="28"/>
      <w:sz w:val="38"/>
      <w:szCs w:val="52"/>
    </w:rPr>
  </w:style>
  <w:style w:type="character" w:customStyle="1" w:styleId="TitleChar">
    <w:name w:val="Title Char"/>
    <w:basedOn w:val="DefaultParagraphFont"/>
    <w:link w:val="Title"/>
    <w:uiPriority w:val="10"/>
    <w:rsid w:val="00D346FE"/>
    <w:rPr>
      <w:rFonts w:asciiTheme="majorHAnsi" w:eastAsiaTheme="majorEastAsia" w:hAnsiTheme="majorHAnsi" w:cstheme="majorBidi"/>
      <w:b/>
      <w:bCs/>
      <w:caps/>
      <w:color w:val="44546A" w:themeColor="text2"/>
      <w:spacing w:val="-10"/>
      <w:kern w:val="28"/>
      <w:sz w:val="38"/>
      <w:szCs w:val="52"/>
      <w:lang w:val="en-GB"/>
    </w:rPr>
  </w:style>
  <w:style w:type="paragraph" w:styleId="Subtitle">
    <w:name w:val="Subtitle"/>
    <w:basedOn w:val="Title"/>
    <w:next w:val="Normal"/>
    <w:link w:val="SubtitleChar"/>
    <w:uiPriority w:val="11"/>
    <w:qFormat/>
    <w:rsid w:val="00D346FE"/>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346FE"/>
    <w:rPr>
      <w:rFonts w:eastAsiaTheme="majorEastAsia" w:cstheme="majorBidi"/>
      <w:bCs/>
      <w:iCs/>
      <w:caps/>
      <w:color w:val="44546A" w:themeColor="text2"/>
      <w:spacing w:val="-10"/>
      <w:kern w:val="28"/>
      <w:sz w:val="38"/>
      <w:szCs w:val="24"/>
      <w:lang w:val="en-GB"/>
    </w:rPr>
  </w:style>
  <w:style w:type="character" w:customStyle="1" w:styleId="Heading1Char">
    <w:name w:val="Heading 1 Char"/>
    <w:basedOn w:val="DefaultParagraphFont"/>
    <w:link w:val="Heading1"/>
    <w:uiPriority w:val="9"/>
    <w:rsid w:val="00D346FE"/>
    <w:rPr>
      <w:rFonts w:asciiTheme="majorHAnsi" w:eastAsiaTheme="majorEastAsia" w:hAnsiTheme="majorHAnsi" w:cstheme="majorBidi"/>
      <w:color w:val="2F5496" w:themeColor="accent1" w:themeShade="BF"/>
      <w:sz w:val="32"/>
      <w:szCs w:val="32"/>
      <w:lang w:val="en-GB"/>
    </w:rPr>
  </w:style>
  <w:style w:type="paragraph" w:styleId="NormalWeb">
    <w:name w:val="Normal (Web)"/>
    <w:basedOn w:val="Normal"/>
    <w:uiPriority w:val="99"/>
    <w:unhideWhenUsed/>
    <w:rsid w:val="00950931"/>
    <w:pPr>
      <w:spacing w:before="100" w:beforeAutospacing="1" w:after="100" w:afterAutospacing="1" w:line="240" w:lineRule="auto"/>
    </w:pPr>
    <w:rPr>
      <w:rFonts w:ascii="Times New Roman" w:hAnsi="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71091F"/>
    <w:rPr>
      <w:b/>
      <w:bCs/>
    </w:rPr>
  </w:style>
  <w:style w:type="character" w:customStyle="1" w:styleId="CommentSubjectChar">
    <w:name w:val="Comment Subject Char"/>
    <w:basedOn w:val="CommentTextChar"/>
    <w:link w:val="CommentSubject"/>
    <w:uiPriority w:val="99"/>
    <w:semiHidden/>
    <w:rsid w:val="0071091F"/>
    <w:rPr>
      <w:rFonts w:ascii="Arial" w:eastAsia="Times New Roman" w:hAnsi="Arial" w:cs="Times New Roman"/>
      <w:b/>
      <w:bCs/>
      <w:sz w:val="20"/>
      <w:szCs w:val="20"/>
      <w:lang w:val="en-GB"/>
    </w:rPr>
  </w:style>
  <w:style w:type="character" w:styleId="UnresolvedMention">
    <w:name w:val="Unresolved Mention"/>
    <w:basedOn w:val="DefaultParagraphFont"/>
    <w:uiPriority w:val="99"/>
    <w:unhideWhenUsed/>
    <w:rsid w:val="00134E37"/>
    <w:rPr>
      <w:color w:val="605E5C"/>
      <w:shd w:val="clear" w:color="auto" w:fill="E1DFDD"/>
    </w:rPr>
  </w:style>
  <w:style w:type="character" w:styleId="Mention">
    <w:name w:val="Mention"/>
    <w:basedOn w:val="DefaultParagraphFont"/>
    <w:uiPriority w:val="99"/>
    <w:unhideWhenUsed/>
    <w:rsid w:val="00EC09E3"/>
    <w:rPr>
      <w:color w:val="2B579A"/>
      <w:shd w:val="clear" w:color="auto" w:fill="E1DFDD"/>
    </w:rPr>
  </w:style>
  <w:style w:type="paragraph" w:styleId="Header">
    <w:name w:val="header"/>
    <w:basedOn w:val="Normal"/>
    <w:link w:val="HeaderChar"/>
    <w:uiPriority w:val="99"/>
    <w:unhideWhenUsed/>
    <w:rsid w:val="007603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349"/>
    <w:rPr>
      <w:rFonts w:ascii="Arial" w:eastAsia="Times New Roman" w:hAnsi="Arial" w:cs="Times New Roman"/>
      <w:sz w:val="20"/>
      <w:szCs w:val="18"/>
      <w:lang w:val="en-GB"/>
    </w:rPr>
  </w:style>
  <w:style w:type="paragraph" w:styleId="Footer">
    <w:name w:val="footer"/>
    <w:basedOn w:val="Normal"/>
    <w:link w:val="FooterChar"/>
    <w:uiPriority w:val="99"/>
    <w:unhideWhenUsed/>
    <w:rsid w:val="007603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349"/>
    <w:rPr>
      <w:rFonts w:ascii="Arial" w:eastAsia="Times New Roman" w:hAnsi="Arial" w:cs="Times New Roman"/>
      <w:sz w:val="20"/>
      <w:szCs w:val="18"/>
      <w:lang w:val="en-GB"/>
    </w:rPr>
  </w:style>
  <w:style w:type="paragraph" w:styleId="Revision">
    <w:name w:val="Revision"/>
    <w:hidden/>
    <w:uiPriority w:val="99"/>
    <w:semiHidden/>
    <w:rsid w:val="00F74736"/>
    <w:pPr>
      <w:spacing w:after="0" w:line="240" w:lineRule="auto"/>
    </w:pPr>
    <w:rPr>
      <w:rFonts w:ascii="Arial" w:eastAsia="Times New Roman" w:hAnsi="Arial" w:cs="Times New Roman"/>
      <w:sz w:val="20"/>
      <w:szCs w:val="18"/>
      <w:lang w:val="en-GB"/>
    </w:rPr>
  </w:style>
  <w:style w:type="paragraph" w:styleId="ListParagraph">
    <w:name w:val="List Paragraph"/>
    <w:basedOn w:val="Normal"/>
    <w:uiPriority w:val="34"/>
    <w:qFormat/>
    <w:rsid w:val="00F92F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23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3848E-09EB-4EA7-96CB-D024F8CC0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2444</Words>
  <Characters>13983</Characters>
  <Application>Microsoft Office Word</Application>
  <DocSecurity>0</DocSecurity>
  <Lines>388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management response Mid-term review of the ASEAN-Australia Smart Cities Trust Fund</dc:title>
  <dc:subject/>
  <dc:creator/>
  <cp:keywords/>
  <dc:description/>
  <cp:lastModifiedBy/>
  <cp:revision>1</cp:revision>
  <dcterms:created xsi:type="dcterms:W3CDTF">2023-01-03T01:15:00Z</dcterms:created>
  <dcterms:modified xsi:type="dcterms:W3CDTF">2023-01-03T01:15:00Z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ies>
</file>