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7863016"/>
        <w:docPartObj>
          <w:docPartGallery w:val="Cover Pages"/>
          <w:docPartUnique/>
        </w:docPartObj>
      </w:sdtPr>
      <w:sdtEndPr>
        <w:rPr>
          <w:noProof/>
        </w:rPr>
      </w:sdtEndPr>
      <w:sdtContent>
        <w:p w14:paraId="30FDC29B" w14:textId="2322B781" w:rsidR="001466D1" w:rsidRPr="00773EEA" w:rsidRDefault="00B428FF" w:rsidP="008E294F">
          <w:r w:rsidRPr="00773EEA">
            <w:rPr>
              <w:noProof/>
              <w:lang w:val="en-AU" w:eastAsia="en-AU"/>
            </w:rPr>
            <w:drawing>
              <wp:anchor distT="0" distB="0" distL="114300" distR="114300" simplePos="0" relativeHeight="251646976" behindDoc="1" locked="0" layoutInCell="1" allowOverlap="1" wp14:anchorId="796BA940" wp14:editId="71FAEE50">
                <wp:simplePos x="0" y="0"/>
                <wp:positionH relativeFrom="page">
                  <wp:posOffset>-63062</wp:posOffset>
                </wp:positionH>
                <wp:positionV relativeFrom="paragraph">
                  <wp:posOffset>-888627</wp:posOffset>
                </wp:positionV>
                <wp:extent cx="7623175" cy="11133368"/>
                <wp:effectExtent l="0" t="0" r="34925" b="0"/>
                <wp:wrapNone/>
                <wp:docPr id="45" name="Diagram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121F865C" w14:textId="0B5D18D7" w:rsidR="001466D1" w:rsidRPr="00773EEA" w:rsidRDefault="001466D1" w:rsidP="008E294F"/>
        <w:p w14:paraId="5E7226ED" w14:textId="724F4F06" w:rsidR="001466D1" w:rsidRPr="00773EEA" w:rsidRDefault="00ED3973" w:rsidP="005F1785">
          <w:pPr>
            <w:pBdr>
              <w:bottom w:val="single" w:sz="4" w:space="1" w:color="auto"/>
            </w:pBdr>
            <w:rPr>
              <w:noProof/>
            </w:rPr>
          </w:pPr>
          <w:r w:rsidRPr="00773EEA">
            <w:rPr>
              <w:noProof/>
              <w:lang w:val="en-AU" w:eastAsia="en-AU"/>
            </w:rPr>
            <mc:AlternateContent>
              <mc:Choice Requires="wpg">
                <w:drawing>
                  <wp:anchor distT="0" distB="0" distL="114300" distR="114300" simplePos="0" relativeHeight="251643392" behindDoc="0" locked="0" layoutInCell="1" allowOverlap="1" wp14:anchorId="5BBE5A85" wp14:editId="52A6F736">
                    <wp:simplePos x="0" y="0"/>
                    <wp:positionH relativeFrom="column">
                      <wp:posOffset>379562</wp:posOffset>
                    </wp:positionH>
                    <wp:positionV relativeFrom="paragraph">
                      <wp:posOffset>656350</wp:posOffset>
                    </wp:positionV>
                    <wp:extent cx="6291580" cy="7604581"/>
                    <wp:effectExtent l="0" t="0" r="0" b="0"/>
                    <wp:wrapNone/>
                    <wp:docPr id="770" name="Group 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91580" cy="7604581"/>
                              <a:chOff x="362637" y="-23350"/>
                              <a:chExt cx="6292195" cy="7124974"/>
                            </a:xfrm>
                          </wpg:grpSpPr>
                          <wps:wsp>
                            <wps:cNvPr id="771" name="Text Box 771" descr="Mid-Term Review:  ASEAN Australia Smart Cities Trust Fund (AASCTF) &#10;Final Report &#10;Department of Foreign Affairs and Trade&#10;October 2022"/>
                            <wps:cNvSpPr txBox="1"/>
                            <wps:spPr>
                              <a:xfrm>
                                <a:off x="1051771" y="735713"/>
                                <a:ext cx="5603061" cy="4300496"/>
                              </a:xfrm>
                              <a:prstGeom prst="rect">
                                <a:avLst/>
                              </a:prstGeom>
                              <a:noFill/>
                              <a:ln w="6350">
                                <a:noFill/>
                              </a:ln>
                            </wps:spPr>
                            <wps:txbx>
                              <w:txbxContent>
                                <w:p w14:paraId="1D1FD046" w14:textId="77777777" w:rsidR="009D77A2" w:rsidRDefault="009D77A2" w:rsidP="00E239C5">
                                  <w:pPr>
                                    <w:pStyle w:val="Title"/>
                                  </w:pPr>
                                </w:p>
                                <w:p w14:paraId="6885C88C" w14:textId="77777777" w:rsidR="009D77A2" w:rsidRPr="00843554" w:rsidRDefault="009D77A2" w:rsidP="00E239C5">
                                  <w:pPr>
                                    <w:pStyle w:val="Title"/>
                                    <w:rPr>
                                      <w:sz w:val="68"/>
                                      <w:szCs w:val="68"/>
                                    </w:rPr>
                                  </w:pPr>
                                  <w:r w:rsidRPr="00843554">
                                    <w:rPr>
                                      <w:sz w:val="68"/>
                                      <w:szCs w:val="68"/>
                                    </w:rPr>
                                    <w:t xml:space="preserve">Mid-Term Review: </w:t>
                                  </w:r>
                                </w:p>
                                <w:p w14:paraId="6F6B88C2" w14:textId="7D88E51E" w:rsidR="009D77A2" w:rsidRPr="00843554" w:rsidRDefault="009D77A2" w:rsidP="00E239C5">
                                  <w:pPr>
                                    <w:pStyle w:val="Title"/>
                                    <w:rPr>
                                      <w:sz w:val="68"/>
                                      <w:szCs w:val="68"/>
                                    </w:rPr>
                                  </w:pPr>
                                  <w:r w:rsidRPr="00843554">
                                    <w:rPr>
                                      <w:sz w:val="68"/>
                                      <w:szCs w:val="68"/>
                                    </w:rPr>
                                    <w:t xml:space="preserve">ASEAN Australia Smart Cities Trust Fund (AASCTF) </w:t>
                                  </w:r>
                                </w:p>
                                <w:p w14:paraId="0B6A7BE2" w14:textId="77777777" w:rsidR="009D77A2" w:rsidRPr="00843554" w:rsidRDefault="009D77A2" w:rsidP="00E239C5">
                                  <w:pPr>
                                    <w:pStyle w:val="Title"/>
                                    <w:rPr>
                                      <w:sz w:val="68"/>
                                      <w:szCs w:val="68"/>
                                    </w:rPr>
                                  </w:pPr>
                                </w:p>
                                <w:p w14:paraId="0F1F34E4" w14:textId="77777777" w:rsidR="009D77A2" w:rsidRPr="00843554" w:rsidRDefault="009D77A2" w:rsidP="00E239C5">
                                  <w:pPr>
                                    <w:pStyle w:val="Title"/>
                                    <w:rPr>
                                      <w:sz w:val="68"/>
                                      <w:szCs w:val="68"/>
                                    </w:rPr>
                                  </w:pPr>
                                  <w:r w:rsidRPr="00843554">
                                    <w:rPr>
                                      <w:sz w:val="68"/>
                                      <w:szCs w:val="68"/>
                                    </w:rPr>
                                    <w:t>Final Report</w:t>
                                  </w:r>
                                </w:p>
                                <w:p w14:paraId="3B3CD39D" w14:textId="77777777" w:rsidR="009D77A2" w:rsidRPr="00B7602B" w:rsidRDefault="009D77A2" w:rsidP="00E239C5">
                                  <w:pPr>
                                    <w:rPr>
                                      <w:rFonts w:ascii="Georgia" w:eastAsiaTheme="majorEastAsia" w:hAnsi="Georgia" w:cstheme="majorBidi"/>
                                      <w:color w:val="FFFFFF" w:themeColor="background1"/>
                                      <w:spacing w:val="-10"/>
                                      <w:kern w:val="28"/>
                                      <w:sz w:val="68"/>
                                      <w:szCs w:val="68"/>
                                    </w:rPr>
                                  </w:pPr>
                                </w:p>
                                <w:p w14:paraId="0F9192FA" w14:textId="77777777" w:rsidR="009D77A2" w:rsidRPr="00B7602B" w:rsidRDefault="009D77A2" w:rsidP="00E239C5">
                                  <w:pPr>
                                    <w:rPr>
                                      <w:rFonts w:ascii="Georgia" w:eastAsiaTheme="majorEastAsia" w:hAnsi="Georgia" w:cstheme="majorBidi"/>
                                      <w:color w:val="FFFFFF" w:themeColor="background1"/>
                                      <w:spacing w:val="-10"/>
                                      <w:kern w:val="28"/>
                                      <w:sz w:val="44"/>
                                      <w:szCs w:val="44"/>
                                    </w:rPr>
                                  </w:pPr>
                                  <w:r w:rsidRPr="00B7602B">
                                    <w:rPr>
                                      <w:rFonts w:ascii="Georgia" w:eastAsiaTheme="majorEastAsia" w:hAnsi="Georgia" w:cstheme="majorBidi"/>
                                      <w:color w:val="FFFFFF" w:themeColor="background1"/>
                                      <w:spacing w:val="-10"/>
                                      <w:kern w:val="28"/>
                                      <w:sz w:val="44"/>
                                      <w:szCs w:val="44"/>
                                    </w:rPr>
                                    <w:t>Department of Foreign Affairs and Trade</w:t>
                                  </w:r>
                                </w:p>
                                <w:p w14:paraId="278EFE23" w14:textId="02492FDC" w:rsidR="009D77A2" w:rsidRPr="00B7602B" w:rsidRDefault="009D77A2" w:rsidP="00E239C5">
                                  <w:pPr>
                                    <w:rPr>
                                      <w:rFonts w:ascii="Georgia" w:eastAsiaTheme="majorEastAsia" w:hAnsi="Georgia" w:cstheme="majorBidi"/>
                                      <w:color w:val="FFFFFF" w:themeColor="background1"/>
                                      <w:spacing w:val="-10"/>
                                      <w:kern w:val="28"/>
                                      <w:sz w:val="44"/>
                                      <w:szCs w:val="44"/>
                                    </w:rPr>
                                  </w:pPr>
                                  <w:r>
                                    <w:rPr>
                                      <w:rFonts w:ascii="Georgia" w:eastAsiaTheme="majorEastAsia" w:hAnsi="Georgia" w:cstheme="majorBidi"/>
                                      <w:color w:val="FFFFFF" w:themeColor="background1"/>
                                      <w:spacing w:val="-10"/>
                                      <w:kern w:val="28"/>
                                      <w:sz w:val="44"/>
                                      <w:szCs w:val="44"/>
                                    </w:rPr>
                                    <w:t>October</w:t>
                                  </w:r>
                                  <w:r w:rsidRPr="00B7602B">
                                    <w:rPr>
                                      <w:rFonts w:ascii="Georgia" w:eastAsiaTheme="majorEastAsia" w:hAnsi="Georgia" w:cstheme="majorBidi"/>
                                      <w:color w:val="FFFFFF" w:themeColor="background1"/>
                                      <w:spacing w:val="-10"/>
                                      <w:kern w:val="28"/>
                                      <w:sz w:val="44"/>
                                      <w:szCs w:val="44"/>
                                    </w:rPr>
                                    <w:t xml:space="preserve"> 2022</w:t>
                                  </w:r>
                                </w:p>
                                <w:p w14:paraId="4B10D4BE" w14:textId="77777777" w:rsidR="009D77A2" w:rsidRPr="00B7602B" w:rsidRDefault="009D77A2" w:rsidP="008E294F">
                                  <w:pPr>
                                    <w:rPr>
                                      <w:rFonts w:asciiTheme="majorHAnsi" w:hAnsiTheme="majorHAnsi"/>
                                      <w:bCs/>
                                      <w:color w:val="FFFFFF" w:themeColor="background1"/>
                                      <w:sz w:val="50"/>
                                      <w:szCs w:val="5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772" name="Rectangle 772"/>
                            <wps:cNvSpPr/>
                            <wps:spPr>
                              <a:xfrm>
                                <a:off x="362637" y="-23350"/>
                                <a:ext cx="163789" cy="712497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E5A85" id="Group 770" o:spid="_x0000_s1026" alt="&quot;&quot;" style="position:absolute;margin-left:29.9pt;margin-top:51.7pt;width:495.4pt;height:598.8pt;z-index:251643392;mso-width-relative:margin;mso-height-relative:margin" coordorigin="3626,-233" coordsize="62921,7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">
                    <v:shapetype id="_x0000_t202" coordsize="21600,21600" o:spt="202" path="m,l,21600r21600,l21600,xe">
                      <v:stroke joinstyle="miter"/>
                      <v:path gradientshapeok="t" o:connecttype="rect"/>
                    </v:shapetype>
                    <v:shape id="Text Box 771" o:spid="_x0000_s1027" type="#_x0000_t202" alt="Mid-Term Review:  ASEAN Australia Smart Cities Trust Fund (AASCTF) &#10;Final Report &#10;Department of Foreign Affairs and Trade&#10;October 2022" style="position:absolute;left:10517;top:7357;width:56031;height:430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" filled="f" stroked="f" strokeweight=".5pt">
                      <v:textbox>
                        <w:txbxContent>
                          <w:p w14:paraId="1D1FD046" w14:textId="77777777" w:rsidR="009D77A2" w:rsidRDefault="009D77A2" w:rsidP="00E239C5">
                            <w:pPr>
                              <w:pStyle w:val="Title"/>
                            </w:pPr>
                          </w:p>
                          <w:p w14:paraId="6885C88C" w14:textId="77777777" w:rsidR="009D77A2" w:rsidRPr="00843554" w:rsidRDefault="009D77A2" w:rsidP="00E239C5">
                            <w:pPr>
                              <w:pStyle w:val="Title"/>
                              <w:rPr>
                                <w:sz w:val="68"/>
                                <w:szCs w:val="68"/>
                              </w:rPr>
                            </w:pPr>
                            <w:r w:rsidRPr="00843554">
                              <w:rPr>
                                <w:sz w:val="68"/>
                                <w:szCs w:val="68"/>
                              </w:rPr>
                              <w:t xml:space="preserve">Mid-Term Review: </w:t>
                            </w:r>
                          </w:p>
                          <w:p w14:paraId="6F6B88C2" w14:textId="7D88E51E" w:rsidR="009D77A2" w:rsidRPr="00843554" w:rsidRDefault="009D77A2" w:rsidP="00E239C5">
                            <w:pPr>
                              <w:pStyle w:val="Title"/>
                              <w:rPr>
                                <w:sz w:val="68"/>
                                <w:szCs w:val="68"/>
                              </w:rPr>
                            </w:pPr>
                            <w:r w:rsidRPr="00843554">
                              <w:rPr>
                                <w:sz w:val="68"/>
                                <w:szCs w:val="68"/>
                              </w:rPr>
                              <w:t xml:space="preserve">ASEAN Australia Smart Cities Trust Fund (AASCTF) </w:t>
                            </w:r>
                          </w:p>
                          <w:p w14:paraId="0B6A7BE2" w14:textId="77777777" w:rsidR="009D77A2" w:rsidRPr="00843554" w:rsidRDefault="009D77A2" w:rsidP="00E239C5">
                            <w:pPr>
                              <w:pStyle w:val="Title"/>
                              <w:rPr>
                                <w:sz w:val="68"/>
                                <w:szCs w:val="68"/>
                              </w:rPr>
                            </w:pPr>
                          </w:p>
                          <w:p w14:paraId="0F1F34E4" w14:textId="77777777" w:rsidR="009D77A2" w:rsidRPr="00843554" w:rsidRDefault="009D77A2" w:rsidP="00E239C5">
                            <w:pPr>
                              <w:pStyle w:val="Title"/>
                              <w:rPr>
                                <w:sz w:val="68"/>
                                <w:szCs w:val="68"/>
                              </w:rPr>
                            </w:pPr>
                            <w:r w:rsidRPr="00843554">
                              <w:rPr>
                                <w:sz w:val="68"/>
                                <w:szCs w:val="68"/>
                              </w:rPr>
                              <w:t>Final Report</w:t>
                            </w:r>
                          </w:p>
                          <w:p w14:paraId="3B3CD39D" w14:textId="77777777" w:rsidR="009D77A2" w:rsidRPr="00B7602B" w:rsidRDefault="009D77A2" w:rsidP="00E239C5">
                            <w:pPr>
                              <w:rPr>
                                <w:rFonts w:ascii="Georgia" w:eastAsiaTheme="majorEastAsia" w:hAnsi="Georgia" w:cstheme="majorBidi"/>
                                <w:color w:val="FFFFFF" w:themeColor="background1"/>
                                <w:spacing w:val="-10"/>
                                <w:kern w:val="28"/>
                                <w:sz w:val="68"/>
                                <w:szCs w:val="68"/>
                              </w:rPr>
                            </w:pPr>
                          </w:p>
                          <w:p w14:paraId="0F9192FA" w14:textId="77777777" w:rsidR="009D77A2" w:rsidRPr="00B7602B" w:rsidRDefault="009D77A2" w:rsidP="00E239C5">
                            <w:pPr>
                              <w:rPr>
                                <w:rFonts w:ascii="Georgia" w:eastAsiaTheme="majorEastAsia" w:hAnsi="Georgia" w:cstheme="majorBidi"/>
                                <w:color w:val="FFFFFF" w:themeColor="background1"/>
                                <w:spacing w:val="-10"/>
                                <w:kern w:val="28"/>
                                <w:sz w:val="44"/>
                                <w:szCs w:val="44"/>
                              </w:rPr>
                            </w:pPr>
                            <w:r w:rsidRPr="00B7602B">
                              <w:rPr>
                                <w:rFonts w:ascii="Georgia" w:eastAsiaTheme="majorEastAsia" w:hAnsi="Georgia" w:cstheme="majorBidi"/>
                                <w:color w:val="FFFFFF" w:themeColor="background1"/>
                                <w:spacing w:val="-10"/>
                                <w:kern w:val="28"/>
                                <w:sz w:val="44"/>
                                <w:szCs w:val="44"/>
                              </w:rPr>
                              <w:t>Department of Foreign Affairs and Trade</w:t>
                            </w:r>
                          </w:p>
                          <w:p w14:paraId="278EFE23" w14:textId="02492FDC" w:rsidR="009D77A2" w:rsidRPr="00B7602B" w:rsidRDefault="009D77A2" w:rsidP="00E239C5">
                            <w:pPr>
                              <w:rPr>
                                <w:rFonts w:ascii="Georgia" w:eastAsiaTheme="majorEastAsia" w:hAnsi="Georgia" w:cstheme="majorBidi"/>
                                <w:color w:val="FFFFFF" w:themeColor="background1"/>
                                <w:spacing w:val="-10"/>
                                <w:kern w:val="28"/>
                                <w:sz w:val="44"/>
                                <w:szCs w:val="44"/>
                              </w:rPr>
                            </w:pPr>
                            <w:r>
                              <w:rPr>
                                <w:rFonts w:ascii="Georgia" w:eastAsiaTheme="majorEastAsia" w:hAnsi="Georgia" w:cstheme="majorBidi"/>
                                <w:color w:val="FFFFFF" w:themeColor="background1"/>
                                <w:spacing w:val="-10"/>
                                <w:kern w:val="28"/>
                                <w:sz w:val="44"/>
                                <w:szCs w:val="44"/>
                              </w:rPr>
                              <w:t>October</w:t>
                            </w:r>
                            <w:r w:rsidRPr="00B7602B">
                              <w:rPr>
                                <w:rFonts w:ascii="Georgia" w:eastAsiaTheme="majorEastAsia" w:hAnsi="Georgia" w:cstheme="majorBidi"/>
                                <w:color w:val="FFFFFF" w:themeColor="background1"/>
                                <w:spacing w:val="-10"/>
                                <w:kern w:val="28"/>
                                <w:sz w:val="44"/>
                                <w:szCs w:val="44"/>
                              </w:rPr>
                              <w:t xml:space="preserve"> 2022</w:t>
                            </w:r>
                          </w:p>
                          <w:p w14:paraId="4B10D4BE" w14:textId="77777777" w:rsidR="009D77A2" w:rsidRPr="00B7602B" w:rsidRDefault="009D77A2" w:rsidP="008E294F">
                            <w:pPr>
                              <w:rPr>
                                <w:rFonts w:asciiTheme="majorHAnsi" w:hAnsiTheme="majorHAnsi"/>
                                <w:bCs/>
                                <w:color w:val="FFFFFF" w:themeColor="background1"/>
                                <w:sz w:val="50"/>
                                <w:szCs w:val="50"/>
                              </w:rPr>
                            </w:pPr>
                          </w:p>
                        </w:txbxContent>
                      </v:textbox>
                    </v:shape>
                    <v:rect id="Rectangle 772" o:spid="_x0000_s1028" style="position:absolute;left:3626;top:-233;width:1638;height:7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" fillcolor="#ebc132 [3204]" stroked="f" strokeweight="1pt"/>
                  </v:group>
                </w:pict>
              </mc:Fallback>
            </mc:AlternateContent>
          </w:r>
          <w:r w:rsidR="00195CA6" w:rsidRPr="00773EEA">
            <w:rPr>
              <w:noProof/>
            </w:rPr>
            <mc:AlternateContent>
              <mc:Choice Requires="wps">
                <w:drawing>
                  <wp:anchor distT="45720" distB="45720" distL="114300" distR="114300" simplePos="0" relativeHeight="251676160" behindDoc="0" locked="0" layoutInCell="1" allowOverlap="1" wp14:anchorId="3E4F9355" wp14:editId="06879483">
                    <wp:simplePos x="0" y="0"/>
                    <wp:positionH relativeFrom="margin">
                      <wp:posOffset>3295015</wp:posOffset>
                    </wp:positionH>
                    <wp:positionV relativeFrom="paragraph">
                      <wp:posOffset>8394065</wp:posOffset>
                    </wp:positionV>
                    <wp:extent cx="1083945" cy="337185"/>
                    <wp:effectExtent l="0" t="0" r="0" b="5715"/>
                    <wp:wrapSquare wrapText="bothSides"/>
                    <wp:docPr id="5" name="Text Box 2" descr="On behalf of the Australia Government Department of Foreign Affairs and Tra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337185"/>
                            </a:xfrm>
                            <a:prstGeom prst="rect">
                              <a:avLst/>
                            </a:prstGeom>
                            <a:noFill/>
                            <a:ln w="9525">
                              <a:noFill/>
                              <a:miter lim="800000"/>
                              <a:headEnd/>
                              <a:tailEnd/>
                            </a:ln>
                          </wps:spPr>
                          <wps:txbx>
                            <w:txbxContent>
                              <w:p w14:paraId="02996D93" w14:textId="62AB8FC4" w:rsidR="00195CA6" w:rsidRPr="002B63A4" w:rsidRDefault="00195CA6" w:rsidP="00195CA6">
                                <w:pPr>
                                  <w:rPr>
                                    <w:color w:val="FFFFFF" w:themeColor="background1"/>
                                  </w:rPr>
                                </w:pPr>
                                <w:r>
                                  <w:rPr>
                                    <w:color w:val="FFFFFF" w:themeColor="background1"/>
                                  </w:rPr>
                                  <w:t>On behalf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F9355" id="Text Box 2" o:spid="_x0000_s1029" type="#_x0000_t202" alt="On behalf of the Australia Government Department of Foreign Affairs and Trade" style="position:absolute;margin-left:259.45pt;margin-top:660.95pt;width:85.35pt;height:26.55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" filled="f" stroked="f">
                    <v:textbox style="mso-fit-shape-to-text:t">
                      <w:txbxContent>
                        <w:p w14:paraId="02996D93" w14:textId="62AB8FC4" w:rsidR="00195CA6" w:rsidRPr="002B63A4" w:rsidRDefault="00195CA6" w:rsidP="00195CA6">
                          <w:pPr>
                            <w:rPr>
                              <w:color w:val="FFFFFF" w:themeColor="background1"/>
                            </w:rPr>
                          </w:pPr>
                          <w:r>
                            <w:rPr>
                              <w:color w:val="FFFFFF" w:themeColor="background1"/>
                            </w:rPr>
                            <w:t>On behalf of:</w:t>
                          </w:r>
                        </w:p>
                      </w:txbxContent>
                    </v:textbox>
                    <w10:wrap type="square" anchorx="margin"/>
                  </v:shape>
                </w:pict>
              </mc:Fallback>
            </mc:AlternateContent>
          </w:r>
          <w:r w:rsidR="00720E54" w:rsidRPr="00773EEA">
            <w:rPr>
              <w:noProof/>
            </w:rPr>
            <w:drawing>
              <wp:anchor distT="0" distB="0" distL="114300" distR="114300" simplePos="0" relativeHeight="251666944" behindDoc="0" locked="0" layoutInCell="1" allowOverlap="1" wp14:anchorId="41DF8F6C" wp14:editId="63D9588F">
                <wp:simplePos x="0" y="0"/>
                <wp:positionH relativeFrom="column">
                  <wp:posOffset>352425</wp:posOffset>
                </wp:positionH>
                <wp:positionV relativeFrom="paragraph">
                  <wp:posOffset>8765540</wp:posOffset>
                </wp:positionV>
                <wp:extent cx="1375410" cy="431165"/>
                <wp:effectExtent l="0" t="0" r="0" b="6985"/>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pic:cNvPicPr>
                      </pic:nvPicPr>
                      <pic:blipFill>
                        <a:blip r:embed="rId13" cstate="print">
                          <a:biLevel thresh="25000"/>
                          <a:extLst>
                            <a:ext uri="{28A0092B-C50C-407E-A947-70E740481C1C}">
                              <a14:useLocalDpi xmlns:a14="http://schemas.microsoft.com/office/drawing/2010/main" val="0"/>
                            </a:ext>
                          </a:extLst>
                        </a:blip>
                        <a:stretch>
                          <a:fillRect/>
                        </a:stretch>
                      </pic:blipFill>
                      <pic:spPr>
                        <a:xfrm>
                          <a:off x="0" y="0"/>
                          <a:ext cx="1375410" cy="431165"/>
                        </a:xfrm>
                        <a:prstGeom prst="rect">
                          <a:avLst/>
                        </a:prstGeom>
                      </pic:spPr>
                    </pic:pic>
                  </a:graphicData>
                </a:graphic>
                <wp14:sizeRelH relativeFrom="margin">
                  <wp14:pctWidth>0</wp14:pctWidth>
                </wp14:sizeRelH>
                <wp14:sizeRelV relativeFrom="margin">
                  <wp14:pctHeight>0</wp14:pctHeight>
                </wp14:sizeRelV>
              </wp:anchor>
            </w:drawing>
          </w:r>
          <w:r w:rsidR="00720E54" w:rsidRPr="00773EEA">
            <w:rPr>
              <w:noProof/>
              <w:lang w:val="en-AU" w:eastAsia="en-AU"/>
            </w:rPr>
            <w:drawing>
              <wp:anchor distT="0" distB="0" distL="114300" distR="114300" simplePos="0" relativeHeight="251673088" behindDoc="0" locked="0" layoutInCell="1" allowOverlap="1" wp14:anchorId="6653417A" wp14:editId="5CB402FC">
                <wp:simplePos x="0" y="0"/>
                <wp:positionH relativeFrom="column">
                  <wp:posOffset>1885950</wp:posOffset>
                </wp:positionH>
                <wp:positionV relativeFrom="paragraph">
                  <wp:posOffset>8711565</wp:posOffset>
                </wp:positionV>
                <wp:extent cx="965200" cy="530330"/>
                <wp:effectExtent l="0" t="0" r="6350"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5200" cy="530330"/>
                        </a:xfrm>
                        <a:prstGeom prst="rect">
                          <a:avLst/>
                        </a:prstGeom>
                      </pic:spPr>
                    </pic:pic>
                  </a:graphicData>
                </a:graphic>
                <wp14:sizeRelH relativeFrom="page">
                  <wp14:pctWidth>0</wp14:pctWidth>
                </wp14:sizeRelH>
                <wp14:sizeRelV relativeFrom="page">
                  <wp14:pctHeight>0</wp14:pctHeight>
                </wp14:sizeRelV>
              </wp:anchor>
            </w:drawing>
          </w:r>
          <w:r w:rsidR="00720E54" w:rsidRPr="00773EEA">
            <w:rPr>
              <w:noProof/>
            </w:rPr>
            <mc:AlternateContent>
              <mc:Choice Requires="wps">
                <w:drawing>
                  <wp:anchor distT="45720" distB="45720" distL="114300" distR="114300" simplePos="0" relativeHeight="251668992" behindDoc="0" locked="0" layoutInCell="1" allowOverlap="1" wp14:anchorId="6A134732" wp14:editId="0DD841F2">
                    <wp:simplePos x="0" y="0"/>
                    <wp:positionH relativeFrom="margin">
                      <wp:posOffset>280670</wp:posOffset>
                    </wp:positionH>
                    <wp:positionV relativeFrom="paragraph">
                      <wp:posOffset>8378190</wp:posOffset>
                    </wp:positionV>
                    <wp:extent cx="1083945" cy="337185"/>
                    <wp:effectExtent l="0" t="0" r="0" b="5715"/>
                    <wp:wrapSquare wrapText="bothSides"/>
                    <wp:docPr id="29" name="Text Box 2" descr="Undertaken by Adam Smith Internation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337185"/>
                            </a:xfrm>
                            <a:prstGeom prst="rect">
                              <a:avLst/>
                            </a:prstGeom>
                            <a:noFill/>
                            <a:ln w="9525">
                              <a:noFill/>
                              <a:miter lim="800000"/>
                              <a:headEnd/>
                              <a:tailEnd/>
                            </a:ln>
                          </wps:spPr>
                          <wps:txbx>
                            <w:txbxContent>
                              <w:p w14:paraId="6B122831" w14:textId="77777777" w:rsidR="009D77A2" w:rsidRPr="002B63A4" w:rsidRDefault="009D77A2" w:rsidP="0086032C">
                                <w:pPr>
                                  <w:rPr>
                                    <w:color w:val="FFFFFF" w:themeColor="background1"/>
                                  </w:rPr>
                                </w:pPr>
                                <w:r w:rsidRPr="002B63A4">
                                  <w:rPr>
                                    <w:color w:val="FFFFFF" w:themeColor="background1"/>
                                  </w:rPr>
                                  <w:t>Undertaken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34732" id="_x0000_s1030" type="#_x0000_t202" alt="Undertaken by Adam Smith International" style="position:absolute;margin-left:22.1pt;margin-top:659.7pt;width:85.35pt;height:26.5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" filled="f" stroked="f">
                    <v:textbox style="mso-fit-shape-to-text:t">
                      <w:txbxContent>
                        <w:p w14:paraId="6B122831" w14:textId="77777777" w:rsidR="009D77A2" w:rsidRPr="002B63A4" w:rsidRDefault="009D77A2" w:rsidP="0086032C">
                          <w:pPr>
                            <w:rPr>
                              <w:color w:val="FFFFFF" w:themeColor="background1"/>
                            </w:rPr>
                          </w:pPr>
                          <w:r w:rsidRPr="002B63A4">
                            <w:rPr>
                              <w:color w:val="FFFFFF" w:themeColor="background1"/>
                            </w:rPr>
                            <w:t>Undertaken by:</w:t>
                          </w:r>
                        </w:p>
                      </w:txbxContent>
                    </v:textbox>
                    <w10:wrap type="square" anchorx="margin"/>
                  </v:shape>
                </w:pict>
              </mc:Fallback>
            </mc:AlternateContent>
          </w:r>
          <w:r w:rsidR="000E3529" w:rsidRPr="00773EEA">
            <w:rPr>
              <w:noProof/>
            </w:rPr>
            <w:drawing>
              <wp:anchor distT="0" distB="0" distL="114300" distR="114300" simplePos="0" relativeHeight="251665408" behindDoc="0" locked="0" layoutInCell="1" allowOverlap="1" wp14:anchorId="36E75AC9" wp14:editId="242741E3">
                <wp:simplePos x="0" y="0"/>
                <wp:positionH relativeFrom="margin">
                  <wp:align>right</wp:align>
                </wp:positionH>
                <wp:positionV relativeFrom="paragraph">
                  <wp:posOffset>8674834</wp:posOffset>
                </wp:positionV>
                <wp:extent cx="3262193" cy="570506"/>
                <wp:effectExtent l="0" t="0" r="0"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262193" cy="570506"/>
                        </a:xfrm>
                        <a:prstGeom prst="rect">
                          <a:avLst/>
                        </a:prstGeom>
                      </pic:spPr>
                    </pic:pic>
                  </a:graphicData>
                </a:graphic>
                <wp14:sizeRelH relativeFrom="margin">
                  <wp14:pctWidth>0</wp14:pctWidth>
                </wp14:sizeRelH>
                <wp14:sizeRelV relativeFrom="margin">
                  <wp14:pctHeight>0</wp14:pctHeight>
                </wp14:sizeRelV>
              </wp:anchor>
            </w:drawing>
          </w:r>
          <w:r w:rsidR="00E239C5" w:rsidRPr="00773EEA">
            <w:rPr>
              <w:noProof/>
              <w:lang w:val="en-AU" w:eastAsia="en-AU"/>
            </w:rPr>
            <w:drawing>
              <wp:inline distT="0" distB="0" distL="0" distR="0" wp14:anchorId="1AD5EADC" wp14:editId="3BBD5C1A">
                <wp:extent cx="1217682" cy="551793"/>
                <wp:effectExtent l="0" t="0" r="1905" b="1270"/>
                <wp:docPr id="33" name="Picture 33" descr="Australian Aid with kangaro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ustralian Aid with kangaroo">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0463" cy="553053"/>
                        </a:xfrm>
                        <a:prstGeom prst="rect">
                          <a:avLst/>
                        </a:prstGeom>
                      </pic:spPr>
                    </pic:pic>
                  </a:graphicData>
                </a:graphic>
              </wp:inline>
            </w:drawing>
          </w:r>
          <w:r w:rsidR="001466D1" w:rsidRPr="00773EEA">
            <w:rPr>
              <w:noProof/>
            </w:rPr>
            <w:br w:type="page"/>
          </w:r>
        </w:p>
      </w:sdtContent>
    </w:sdt>
    <w:bookmarkStart w:id="0" w:name="_Toc117271274" w:displacedByCustomXml="next"/>
    <w:bookmarkStart w:id="1" w:name="_Toc117271389" w:displacedByCustomXml="next"/>
    <w:bookmarkStart w:id="2" w:name="_Toc123633704" w:displacedByCustomXml="next"/>
    <w:sdt>
      <w:sdtPr>
        <w:rPr>
          <w:rFonts w:ascii="Arial" w:hAnsi="Arial" w:cs="Times New Roman"/>
          <w:color w:val="auto"/>
          <w:sz w:val="20"/>
          <w:szCs w:val="18"/>
        </w:rPr>
        <w:id w:val="433866924"/>
        <w:docPartObj>
          <w:docPartGallery w:val="Table of Contents"/>
          <w:docPartUnique/>
        </w:docPartObj>
      </w:sdtPr>
      <w:sdtEndPr>
        <w:rPr>
          <w:b/>
          <w:bCs/>
          <w:noProof/>
        </w:rPr>
      </w:sdtEndPr>
      <w:sdtContent>
        <w:p w14:paraId="13C0CFD0" w14:textId="2158153B" w:rsidR="003F6435" w:rsidRPr="00773EEA" w:rsidRDefault="003F6435" w:rsidP="002B63A4">
          <w:pPr>
            <w:pStyle w:val="Heading1"/>
            <w:rPr>
              <w:color w:val="auto"/>
            </w:rPr>
          </w:pPr>
          <w:r w:rsidRPr="00773EEA">
            <w:rPr>
              <w:color w:val="auto"/>
            </w:rPr>
            <w:t>Table of Contents</w:t>
          </w:r>
          <w:bookmarkEnd w:id="2"/>
          <w:bookmarkEnd w:id="1"/>
          <w:bookmarkEnd w:id="0"/>
        </w:p>
        <w:p w14:paraId="2E92B9F6" w14:textId="77777777" w:rsidR="007056B0" w:rsidRPr="00773EEA" w:rsidRDefault="007056B0">
          <w:pPr>
            <w:pStyle w:val="TOC1"/>
          </w:pPr>
        </w:p>
        <w:p w14:paraId="0E98F015" w14:textId="7B418FFE" w:rsidR="00B006BD" w:rsidRPr="007612E0" w:rsidRDefault="003F6435">
          <w:pPr>
            <w:pStyle w:val="TOC1"/>
            <w:rPr>
              <w:rFonts w:asciiTheme="minorHAnsi" w:eastAsiaTheme="minorEastAsia" w:hAnsiTheme="minorHAnsi" w:cstheme="minorBidi"/>
              <w:b w:val="0"/>
              <w:bCs w:val="0"/>
              <w:noProof/>
              <w:color w:val="262626" w:themeColor="text1" w:themeTint="D9"/>
              <w:sz w:val="22"/>
              <w:szCs w:val="22"/>
              <w:lang w:eastAsia="en-AU"/>
            </w:rPr>
          </w:pPr>
          <w:r w:rsidRPr="007612E0">
            <w:rPr>
              <w:rFonts w:ascii="Georgia" w:hAnsi="Georgia"/>
              <w:b w:val="0"/>
              <w:bCs w:val="0"/>
              <w:color w:val="262626" w:themeColor="text1" w:themeTint="D9"/>
            </w:rPr>
            <w:fldChar w:fldCharType="begin"/>
          </w:r>
          <w:r w:rsidRPr="007612E0">
            <w:rPr>
              <w:rFonts w:ascii="Georgia" w:hAnsi="Georgia"/>
              <w:b w:val="0"/>
              <w:bCs w:val="0"/>
              <w:color w:val="262626" w:themeColor="text1" w:themeTint="D9"/>
            </w:rPr>
            <w:instrText xml:space="preserve"> TOC \o "1-3" \h \z \u </w:instrText>
          </w:r>
          <w:r w:rsidRPr="007612E0">
            <w:rPr>
              <w:rFonts w:ascii="Georgia" w:hAnsi="Georgia"/>
              <w:b w:val="0"/>
              <w:bCs w:val="0"/>
              <w:color w:val="262626" w:themeColor="text1" w:themeTint="D9"/>
            </w:rPr>
            <w:fldChar w:fldCharType="separate"/>
          </w:r>
          <w:hyperlink w:anchor="_Toc123633704" w:history="1">
            <w:r w:rsidR="00B006BD" w:rsidRPr="007612E0">
              <w:rPr>
                <w:rStyle w:val="Hyperlink"/>
                <w:bCs w:val="0"/>
                <w:noProof/>
                <w:color w:val="262626" w:themeColor="text1" w:themeTint="D9"/>
              </w:rPr>
              <w:t>Table of Contents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_Toc123633704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1</w:t>
            </w:r>
            <w:r w:rsidR="00B006BD" w:rsidRPr="007612E0">
              <w:rPr>
                <w:b w:val="0"/>
                <w:bCs w:val="0"/>
                <w:noProof/>
                <w:webHidden/>
                <w:color w:val="262626" w:themeColor="text1" w:themeTint="D9"/>
              </w:rPr>
              <w:fldChar w:fldCharType="end"/>
            </w:r>
          </w:hyperlink>
        </w:p>
        <w:p w14:paraId="1C3F05F6" w14:textId="536CC7A9"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05" w:history="1">
            <w:r w:rsidR="00B006BD" w:rsidRPr="007612E0">
              <w:rPr>
                <w:rStyle w:val="Hyperlink"/>
                <w:bCs w:val="0"/>
                <w:noProof/>
                <w:color w:val="262626" w:themeColor="text1" w:themeTint="D9"/>
              </w:rPr>
              <w:t>List of Acronyms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_Toc123633705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2</w:t>
            </w:r>
            <w:r w:rsidR="00B006BD" w:rsidRPr="007612E0">
              <w:rPr>
                <w:b w:val="0"/>
                <w:bCs w:val="0"/>
                <w:noProof/>
                <w:webHidden/>
                <w:color w:val="262626" w:themeColor="text1" w:themeTint="D9"/>
              </w:rPr>
              <w:fldChar w:fldCharType="end"/>
            </w:r>
          </w:hyperlink>
        </w:p>
        <w:p w14:paraId="38D467EA" w14:textId="6FE35C87"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06" w:history="1">
            <w:r w:rsidR="00B006BD" w:rsidRPr="007612E0">
              <w:rPr>
                <w:rStyle w:val="Hyperlink"/>
                <w:bCs w:val="0"/>
                <w:noProof/>
                <w:color w:val="262626" w:themeColor="text1" w:themeTint="D9"/>
              </w:rPr>
              <w:t>Executive Summary</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_Toc123633706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3</w:t>
            </w:r>
            <w:r w:rsidR="00B006BD" w:rsidRPr="007612E0">
              <w:rPr>
                <w:b w:val="0"/>
                <w:bCs w:val="0"/>
                <w:noProof/>
                <w:webHidden/>
                <w:color w:val="262626" w:themeColor="text1" w:themeTint="D9"/>
              </w:rPr>
              <w:fldChar w:fldCharType="end"/>
            </w:r>
          </w:hyperlink>
        </w:p>
        <w:p w14:paraId="47A342AA" w14:textId="4C0CA15A" w:rsidR="00B006BD" w:rsidRPr="007612E0" w:rsidRDefault="00EB46C8">
          <w:pPr>
            <w:pStyle w:val="TOC1"/>
            <w:tabs>
              <w:tab w:val="left" w:pos="540"/>
            </w:tabs>
            <w:rPr>
              <w:rFonts w:asciiTheme="minorHAnsi" w:eastAsiaTheme="minorEastAsia" w:hAnsiTheme="minorHAnsi" w:cstheme="minorBidi"/>
              <w:b w:val="0"/>
              <w:bCs w:val="0"/>
              <w:noProof/>
              <w:color w:val="262626" w:themeColor="text1" w:themeTint="D9"/>
              <w:sz w:val="22"/>
              <w:szCs w:val="22"/>
              <w:lang w:eastAsia="en-AU"/>
            </w:rPr>
          </w:pPr>
          <w:hyperlink w:anchor="_Toc123633707" w:history="1">
            <w:r w:rsidR="00B006BD" w:rsidRPr="007612E0">
              <w:rPr>
                <w:rStyle w:val="Hyperlink"/>
                <w:bCs w:val="0"/>
                <w:noProof/>
                <w:color w:val="262626" w:themeColor="text1" w:themeTint="D9"/>
              </w:rPr>
              <w:t>1.</w:t>
            </w:r>
            <w:r w:rsidR="00B006BD" w:rsidRPr="007612E0">
              <w:rPr>
                <w:rFonts w:asciiTheme="minorHAnsi" w:eastAsiaTheme="minorEastAsia" w:hAnsiTheme="minorHAnsi" w:cstheme="minorBidi"/>
                <w:b w:val="0"/>
                <w:bCs w:val="0"/>
                <w:noProof/>
                <w:color w:val="262626" w:themeColor="text1" w:themeTint="D9"/>
                <w:sz w:val="22"/>
                <w:szCs w:val="22"/>
                <w:lang w:eastAsia="en-AU"/>
              </w:rPr>
              <w:tab/>
            </w:r>
            <w:r w:rsidR="00B006BD" w:rsidRPr="007612E0">
              <w:rPr>
                <w:rStyle w:val="Hyperlink"/>
                <w:bCs w:val="0"/>
                <w:noProof/>
                <w:color w:val="262626" w:themeColor="text1" w:themeTint="D9"/>
              </w:rPr>
              <w:t>Introduction</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_Toc123633707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6</w:t>
            </w:r>
            <w:r w:rsidR="00B006BD" w:rsidRPr="007612E0">
              <w:rPr>
                <w:b w:val="0"/>
                <w:bCs w:val="0"/>
                <w:noProof/>
                <w:webHidden/>
                <w:color w:val="262626" w:themeColor="text1" w:themeTint="D9"/>
              </w:rPr>
              <w:fldChar w:fldCharType="end"/>
            </w:r>
          </w:hyperlink>
        </w:p>
        <w:p w14:paraId="5D41589C" w14:textId="31DBB92A"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08" w:history="1">
            <w:r w:rsidR="00B006BD" w:rsidRPr="007612E0">
              <w:rPr>
                <w:rStyle w:val="Hyperlink"/>
                <w:color w:val="262626" w:themeColor="text1" w:themeTint="D9"/>
              </w:rPr>
              <w:t>1.1</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Purpose and Scope of the AASCTF MTR</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_Toc123633708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6</w:t>
            </w:r>
            <w:r w:rsidR="00B006BD" w:rsidRPr="007612E0">
              <w:rPr>
                <w:b w:val="0"/>
                <w:webHidden/>
                <w:color w:val="262626" w:themeColor="text1" w:themeTint="D9"/>
              </w:rPr>
              <w:fldChar w:fldCharType="end"/>
            </w:r>
          </w:hyperlink>
        </w:p>
        <w:p w14:paraId="2EF1453F" w14:textId="2341A8E9"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09" w:history="1">
            <w:r w:rsidR="00B006BD" w:rsidRPr="007612E0">
              <w:rPr>
                <w:rStyle w:val="Hyperlink"/>
                <w:color w:val="262626" w:themeColor="text1" w:themeTint="D9"/>
              </w:rPr>
              <w:t>1.2</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MTR Methodology</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_Toc123633709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6</w:t>
            </w:r>
            <w:r w:rsidR="00B006BD" w:rsidRPr="007612E0">
              <w:rPr>
                <w:b w:val="0"/>
                <w:webHidden/>
                <w:color w:val="262626" w:themeColor="text1" w:themeTint="D9"/>
              </w:rPr>
              <w:fldChar w:fldCharType="end"/>
            </w:r>
          </w:hyperlink>
        </w:p>
        <w:p w14:paraId="78FA3CED" w14:textId="0566FE4F"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0" w:history="1">
            <w:r w:rsidR="00B006BD" w:rsidRPr="007612E0">
              <w:rPr>
                <w:rStyle w:val="Hyperlink"/>
                <w:color w:val="262626" w:themeColor="text1" w:themeTint="D9"/>
              </w:rPr>
              <w:t>1.3</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Limitations of the MTR</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_Toc123633710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9</w:t>
            </w:r>
            <w:r w:rsidR="00B006BD" w:rsidRPr="007612E0">
              <w:rPr>
                <w:b w:val="0"/>
                <w:webHidden/>
                <w:color w:val="262626" w:themeColor="text1" w:themeTint="D9"/>
              </w:rPr>
              <w:fldChar w:fldCharType="end"/>
            </w:r>
          </w:hyperlink>
        </w:p>
        <w:p w14:paraId="33005565" w14:textId="720324DC" w:rsidR="00B006BD" w:rsidRPr="007612E0" w:rsidRDefault="00EB46C8">
          <w:pPr>
            <w:pStyle w:val="TOC1"/>
            <w:tabs>
              <w:tab w:val="left" w:pos="540"/>
            </w:tabs>
            <w:rPr>
              <w:rFonts w:asciiTheme="minorHAnsi" w:eastAsiaTheme="minorEastAsia" w:hAnsiTheme="minorHAnsi" w:cstheme="minorBidi"/>
              <w:b w:val="0"/>
              <w:bCs w:val="0"/>
              <w:noProof/>
              <w:color w:val="262626" w:themeColor="text1" w:themeTint="D9"/>
              <w:sz w:val="22"/>
              <w:szCs w:val="22"/>
              <w:lang w:eastAsia="en-AU"/>
            </w:rPr>
          </w:pPr>
          <w:hyperlink w:anchor="_Toc123633711" w:history="1">
            <w:r w:rsidR="00B006BD" w:rsidRPr="007612E0">
              <w:rPr>
                <w:rStyle w:val="Hyperlink"/>
                <w:bCs w:val="0"/>
                <w:noProof/>
                <w:color w:val="262626" w:themeColor="text1" w:themeTint="D9"/>
              </w:rPr>
              <w:t>2.</w:t>
            </w:r>
            <w:r w:rsidR="00B006BD" w:rsidRPr="007612E0">
              <w:rPr>
                <w:rFonts w:asciiTheme="minorHAnsi" w:eastAsiaTheme="minorEastAsia" w:hAnsiTheme="minorHAnsi" w:cstheme="minorBidi"/>
                <w:b w:val="0"/>
                <w:bCs w:val="0"/>
                <w:noProof/>
                <w:color w:val="262626" w:themeColor="text1" w:themeTint="D9"/>
                <w:sz w:val="22"/>
                <w:szCs w:val="22"/>
                <w:lang w:eastAsia="en-AU"/>
              </w:rPr>
              <w:tab/>
            </w:r>
            <w:r w:rsidR="00B006BD" w:rsidRPr="007612E0">
              <w:rPr>
                <w:rStyle w:val="Hyperlink"/>
                <w:bCs w:val="0"/>
                <w:noProof/>
                <w:color w:val="262626" w:themeColor="text1" w:themeTint="D9"/>
              </w:rPr>
              <w:t>Overview of the AASCTF</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_Toc123633711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10</w:t>
            </w:r>
            <w:r w:rsidR="00B006BD" w:rsidRPr="007612E0">
              <w:rPr>
                <w:b w:val="0"/>
                <w:bCs w:val="0"/>
                <w:noProof/>
                <w:webHidden/>
                <w:color w:val="262626" w:themeColor="text1" w:themeTint="D9"/>
              </w:rPr>
              <w:fldChar w:fldCharType="end"/>
            </w:r>
          </w:hyperlink>
        </w:p>
        <w:p w14:paraId="2ED8E2ED" w14:textId="4A80856A"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2" w:history="1">
            <w:r w:rsidR="00B006BD" w:rsidRPr="007612E0">
              <w:rPr>
                <w:rStyle w:val="Hyperlink"/>
                <w:color w:val="262626" w:themeColor="text1" w:themeTint="D9"/>
              </w:rPr>
              <w:t>2.1</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Urban Development Challenges and Objectives facing ASEAN</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_Toc123633712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10</w:t>
            </w:r>
            <w:r w:rsidR="00B006BD" w:rsidRPr="007612E0">
              <w:rPr>
                <w:b w:val="0"/>
                <w:webHidden/>
                <w:color w:val="262626" w:themeColor="text1" w:themeTint="D9"/>
              </w:rPr>
              <w:fldChar w:fldCharType="end"/>
            </w:r>
          </w:hyperlink>
        </w:p>
        <w:p w14:paraId="518672C4" w14:textId="47D069F3"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3" w:history="1">
            <w:r w:rsidR="00B006BD" w:rsidRPr="007612E0">
              <w:rPr>
                <w:rStyle w:val="Hyperlink"/>
                <w:color w:val="262626" w:themeColor="text1" w:themeTint="D9"/>
              </w:rPr>
              <w:t>2.2</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Overview of the AASCTF Design</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_Toc123633713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10</w:t>
            </w:r>
            <w:r w:rsidR="00B006BD" w:rsidRPr="007612E0">
              <w:rPr>
                <w:b w:val="0"/>
                <w:webHidden/>
                <w:color w:val="262626" w:themeColor="text1" w:themeTint="D9"/>
              </w:rPr>
              <w:fldChar w:fldCharType="end"/>
            </w:r>
          </w:hyperlink>
        </w:p>
        <w:p w14:paraId="2DEDACC9" w14:textId="457C5696"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4" w:history="1">
            <w:r w:rsidR="00B006BD" w:rsidRPr="007612E0">
              <w:rPr>
                <w:rStyle w:val="Hyperlink"/>
                <w:color w:val="262626" w:themeColor="text1" w:themeTint="D9"/>
              </w:rPr>
              <w:t>2.3</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Bronze Level Interventions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_Toc123633714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11</w:t>
            </w:r>
            <w:r w:rsidR="00B006BD" w:rsidRPr="007612E0">
              <w:rPr>
                <w:b w:val="0"/>
                <w:webHidden/>
                <w:color w:val="262626" w:themeColor="text1" w:themeTint="D9"/>
              </w:rPr>
              <w:fldChar w:fldCharType="end"/>
            </w:r>
          </w:hyperlink>
        </w:p>
        <w:p w14:paraId="120A5DDC" w14:textId="472D35AB"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5" w:history="1">
            <w:r w:rsidR="00B006BD" w:rsidRPr="007612E0">
              <w:rPr>
                <w:rStyle w:val="Hyperlink"/>
                <w:color w:val="262626" w:themeColor="text1" w:themeTint="D9"/>
              </w:rPr>
              <w:t>2.4</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Silver Level Interventions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_Toc123633715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12</w:t>
            </w:r>
            <w:r w:rsidR="00B006BD" w:rsidRPr="007612E0">
              <w:rPr>
                <w:b w:val="0"/>
                <w:webHidden/>
                <w:color w:val="262626" w:themeColor="text1" w:themeTint="D9"/>
              </w:rPr>
              <w:fldChar w:fldCharType="end"/>
            </w:r>
          </w:hyperlink>
        </w:p>
        <w:p w14:paraId="32BF754C" w14:textId="580C928A"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6" w:history="1">
            <w:r w:rsidR="00B006BD" w:rsidRPr="007612E0">
              <w:rPr>
                <w:rStyle w:val="Hyperlink"/>
                <w:color w:val="262626" w:themeColor="text1" w:themeTint="D9"/>
              </w:rPr>
              <w:t>2.5</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Resource Person Contracts and Direct Charge Projects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_Toc123633716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13</w:t>
            </w:r>
            <w:r w:rsidR="00B006BD" w:rsidRPr="007612E0">
              <w:rPr>
                <w:b w:val="0"/>
                <w:webHidden/>
                <w:color w:val="262626" w:themeColor="text1" w:themeTint="D9"/>
              </w:rPr>
              <w:fldChar w:fldCharType="end"/>
            </w:r>
          </w:hyperlink>
        </w:p>
        <w:p w14:paraId="7603BD2C" w14:textId="44ACF3C3" w:rsidR="00B006BD" w:rsidRPr="007612E0" w:rsidRDefault="00EB46C8">
          <w:pPr>
            <w:pStyle w:val="TOC1"/>
            <w:tabs>
              <w:tab w:val="left" w:pos="540"/>
            </w:tabs>
            <w:rPr>
              <w:rFonts w:asciiTheme="minorHAnsi" w:eastAsiaTheme="minorEastAsia" w:hAnsiTheme="minorHAnsi" w:cstheme="minorBidi"/>
              <w:b w:val="0"/>
              <w:bCs w:val="0"/>
              <w:noProof/>
              <w:color w:val="262626" w:themeColor="text1" w:themeTint="D9"/>
              <w:sz w:val="22"/>
              <w:szCs w:val="22"/>
              <w:lang w:eastAsia="en-AU"/>
            </w:rPr>
          </w:pPr>
          <w:hyperlink w:anchor="_Toc123633717" w:history="1">
            <w:r w:rsidR="00B006BD" w:rsidRPr="007612E0">
              <w:rPr>
                <w:rStyle w:val="Hyperlink"/>
                <w:bCs w:val="0"/>
                <w:noProof/>
                <w:color w:val="262626" w:themeColor="text1" w:themeTint="D9"/>
              </w:rPr>
              <w:t>3.</w:t>
            </w:r>
            <w:r w:rsidR="00B006BD" w:rsidRPr="007612E0">
              <w:rPr>
                <w:rFonts w:asciiTheme="minorHAnsi" w:eastAsiaTheme="minorEastAsia" w:hAnsiTheme="minorHAnsi" w:cstheme="minorBidi"/>
                <w:b w:val="0"/>
                <w:bCs w:val="0"/>
                <w:noProof/>
                <w:color w:val="262626" w:themeColor="text1" w:themeTint="D9"/>
                <w:sz w:val="22"/>
                <w:szCs w:val="22"/>
                <w:lang w:eastAsia="en-AU"/>
              </w:rPr>
              <w:tab/>
            </w:r>
            <w:r w:rsidR="00B006BD" w:rsidRPr="007612E0">
              <w:rPr>
                <w:rStyle w:val="Hyperlink"/>
                <w:bCs w:val="0"/>
                <w:noProof/>
                <w:color w:val="262626" w:themeColor="text1" w:themeTint="D9"/>
              </w:rPr>
              <w:t>Assessment of AASCTF Performance</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_Toc123633717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14</w:t>
            </w:r>
            <w:r w:rsidR="00B006BD" w:rsidRPr="007612E0">
              <w:rPr>
                <w:b w:val="0"/>
                <w:bCs w:val="0"/>
                <w:noProof/>
                <w:webHidden/>
                <w:color w:val="262626" w:themeColor="text1" w:themeTint="D9"/>
              </w:rPr>
              <w:fldChar w:fldCharType="end"/>
            </w:r>
          </w:hyperlink>
        </w:p>
        <w:p w14:paraId="087D35A7" w14:textId="0681D847"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8" w:history="1">
            <w:r w:rsidR="00B006BD" w:rsidRPr="007612E0">
              <w:rPr>
                <w:rStyle w:val="Hyperlink"/>
                <w:color w:val="262626" w:themeColor="text1" w:themeTint="D9"/>
              </w:rPr>
              <w:t>3.1</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KEQ1: How likely and to what extent is AASCTF expected to achieve the objectives of the program?</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_Toc123633718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14</w:t>
            </w:r>
            <w:r w:rsidR="00B006BD" w:rsidRPr="007612E0">
              <w:rPr>
                <w:b w:val="0"/>
                <w:webHidden/>
                <w:color w:val="262626" w:themeColor="text1" w:themeTint="D9"/>
              </w:rPr>
              <w:fldChar w:fldCharType="end"/>
            </w:r>
          </w:hyperlink>
        </w:p>
        <w:p w14:paraId="467FF41A" w14:textId="5755DFD5"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19" w:history="1">
            <w:r w:rsidR="00B006BD" w:rsidRPr="007612E0">
              <w:rPr>
                <w:rStyle w:val="Hyperlink"/>
                <w:color w:val="262626" w:themeColor="text1" w:themeTint="D9"/>
              </w:rPr>
              <w:t>3.2</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KEQ2: How efficiently is AASCTF managing its resources?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_Toc123633719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20</w:t>
            </w:r>
            <w:r w:rsidR="00B006BD" w:rsidRPr="007612E0">
              <w:rPr>
                <w:b w:val="0"/>
                <w:webHidden/>
                <w:color w:val="262626" w:themeColor="text1" w:themeTint="D9"/>
              </w:rPr>
              <w:fldChar w:fldCharType="end"/>
            </w:r>
          </w:hyperlink>
        </w:p>
        <w:p w14:paraId="35C45845" w14:textId="3FEE2884"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20" w:history="1">
            <w:r w:rsidR="00B006BD" w:rsidRPr="007612E0">
              <w:rPr>
                <w:rStyle w:val="Hyperlink"/>
                <w:color w:val="262626" w:themeColor="text1" w:themeTint="D9"/>
              </w:rPr>
              <w:t>3.3</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KEQ3: Is the program making progress in effectively promoting gender equality and women’s empowerment in the program implementation?</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_Toc123633720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25</w:t>
            </w:r>
            <w:r w:rsidR="00B006BD" w:rsidRPr="007612E0">
              <w:rPr>
                <w:b w:val="0"/>
                <w:webHidden/>
                <w:color w:val="262626" w:themeColor="text1" w:themeTint="D9"/>
              </w:rPr>
              <w:fldChar w:fldCharType="end"/>
            </w:r>
          </w:hyperlink>
        </w:p>
        <w:p w14:paraId="487B2C34" w14:textId="21749C0E"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21" w:history="1">
            <w:r w:rsidR="00B006BD" w:rsidRPr="007612E0">
              <w:rPr>
                <w:rStyle w:val="Hyperlink"/>
                <w:color w:val="262626" w:themeColor="text1" w:themeTint="D9"/>
              </w:rPr>
              <w:t>3.4</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KEQ4: What are the key program risks that may affect successfully achieving end of program outcomes?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_Toc123633721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30</w:t>
            </w:r>
            <w:r w:rsidR="00B006BD" w:rsidRPr="007612E0">
              <w:rPr>
                <w:b w:val="0"/>
                <w:webHidden/>
                <w:color w:val="262626" w:themeColor="text1" w:themeTint="D9"/>
              </w:rPr>
              <w:fldChar w:fldCharType="end"/>
            </w:r>
          </w:hyperlink>
        </w:p>
        <w:p w14:paraId="385B9843" w14:textId="4372335B"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22" w:history="1">
            <w:r w:rsidR="00B006BD" w:rsidRPr="007612E0">
              <w:rPr>
                <w:rStyle w:val="Hyperlink"/>
                <w:color w:val="262626" w:themeColor="text1" w:themeTint="D9"/>
              </w:rPr>
              <w:t>3.5</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KEQ5: How effectively has the program pivoted to address the impacts of COVID 19?</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_Toc123633722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32</w:t>
            </w:r>
            <w:r w:rsidR="00B006BD" w:rsidRPr="007612E0">
              <w:rPr>
                <w:b w:val="0"/>
                <w:webHidden/>
                <w:color w:val="262626" w:themeColor="text1" w:themeTint="D9"/>
              </w:rPr>
              <w:fldChar w:fldCharType="end"/>
            </w:r>
          </w:hyperlink>
        </w:p>
        <w:p w14:paraId="2CED2639" w14:textId="34D66038" w:rsidR="00B006BD" w:rsidRPr="007612E0" w:rsidRDefault="00EB46C8">
          <w:pPr>
            <w:pStyle w:val="TOC1"/>
            <w:tabs>
              <w:tab w:val="left" w:pos="540"/>
            </w:tabs>
            <w:rPr>
              <w:rFonts w:asciiTheme="minorHAnsi" w:eastAsiaTheme="minorEastAsia" w:hAnsiTheme="minorHAnsi" w:cstheme="minorBidi"/>
              <w:b w:val="0"/>
              <w:bCs w:val="0"/>
              <w:noProof/>
              <w:color w:val="262626" w:themeColor="text1" w:themeTint="D9"/>
              <w:sz w:val="22"/>
              <w:szCs w:val="22"/>
              <w:lang w:eastAsia="en-AU"/>
            </w:rPr>
          </w:pPr>
          <w:hyperlink w:anchor="_Toc123633723" w:history="1">
            <w:r w:rsidR="00B006BD" w:rsidRPr="007612E0">
              <w:rPr>
                <w:rStyle w:val="Hyperlink"/>
                <w:bCs w:val="0"/>
                <w:noProof/>
                <w:color w:val="262626" w:themeColor="text1" w:themeTint="D9"/>
              </w:rPr>
              <w:t>4.</w:t>
            </w:r>
            <w:r w:rsidR="00B006BD" w:rsidRPr="007612E0">
              <w:rPr>
                <w:rFonts w:asciiTheme="minorHAnsi" w:eastAsiaTheme="minorEastAsia" w:hAnsiTheme="minorHAnsi" w:cstheme="minorBidi"/>
                <w:b w:val="0"/>
                <w:bCs w:val="0"/>
                <w:noProof/>
                <w:color w:val="262626" w:themeColor="text1" w:themeTint="D9"/>
                <w:sz w:val="22"/>
                <w:szCs w:val="22"/>
                <w:lang w:eastAsia="en-AU"/>
              </w:rPr>
              <w:tab/>
            </w:r>
            <w:r w:rsidR="00B006BD" w:rsidRPr="007612E0">
              <w:rPr>
                <w:rStyle w:val="Hyperlink"/>
                <w:bCs w:val="0"/>
                <w:noProof/>
                <w:color w:val="262626" w:themeColor="text1" w:themeTint="D9"/>
              </w:rPr>
              <w:t>Conclusions and Recommendations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_Toc123633723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34</w:t>
            </w:r>
            <w:r w:rsidR="00B006BD" w:rsidRPr="007612E0">
              <w:rPr>
                <w:b w:val="0"/>
                <w:bCs w:val="0"/>
                <w:noProof/>
                <w:webHidden/>
                <w:color w:val="262626" w:themeColor="text1" w:themeTint="D9"/>
              </w:rPr>
              <w:fldChar w:fldCharType="end"/>
            </w:r>
          </w:hyperlink>
        </w:p>
        <w:p w14:paraId="20E0110E" w14:textId="7C56F4CD"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24" w:history="1">
            <w:r w:rsidR="00B006BD" w:rsidRPr="007612E0">
              <w:rPr>
                <w:rStyle w:val="Hyperlink"/>
                <w:color w:val="262626" w:themeColor="text1" w:themeTint="D9"/>
              </w:rPr>
              <w:t>4.1</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Conclusions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_Toc123633724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34</w:t>
            </w:r>
            <w:r w:rsidR="00B006BD" w:rsidRPr="007612E0">
              <w:rPr>
                <w:b w:val="0"/>
                <w:webHidden/>
                <w:color w:val="262626" w:themeColor="text1" w:themeTint="D9"/>
              </w:rPr>
              <w:fldChar w:fldCharType="end"/>
            </w:r>
          </w:hyperlink>
        </w:p>
        <w:p w14:paraId="4EFB1057" w14:textId="0D0433FC" w:rsidR="00B006BD" w:rsidRPr="007612E0" w:rsidRDefault="00EB46C8">
          <w:pPr>
            <w:pStyle w:val="TOC2"/>
            <w:rPr>
              <w:rFonts w:asciiTheme="minorHAnsi" w:eastAsiaTheme="minorEastAsia" w:hAnsiTheme="minorHAnsi" w:cstheme="minorBidi"/>
              <w:b w:val="0"/>
              <w:color w:val="262626" w:themeColor="text1" w:themeTint="D9"/>
              <w:sz w:val="22"/>
              <w:szCs w:val="22"/>
              <w:lang w:val="en-AU" w:eastAsia="en-AU"/>
            </w:rPr>
          </w:pPr>
          <w:hyperlink w:anchor="_Toc123633725" w:history="1">
            <w:r w:rsidR="00B006BD" w:rsidRPr="007612E0">
              <w:rPr>
                <w:rStyle w:val="Hyperlink"/>
                <w:color w:val="262626" w:themeColor="text1" w:themeTint="D9"/>
              </w:rPr>
              <w:t>4.2</w:t>
            </w:r>
            <w:r w:rsidR="00B006BD" w:rsidRPr="007612E0">
              <w:rPr>
                <w:rFonts w:asciiTheme="minorHAnsi" w:eastAsiaTheme="minorEastAsia" w:hAnsiTheme="minorHAnsi" w:cstheme="minorBidi"/>
                <w:b w:val="0"/>
                <w:color w:val="262626" w:themeColor="text1" w:themeTint="D9"/>
                <w:sz w:val="22"/>
                <w:szCs w:val="22"/>
                <w:lang w:val="en-AU" w:eastAsia="en-AU"/>
              </w:rPr>
              <w:tab/>
            </w:r>
            <w:r w:rsidR="00B006BD" w:rsidRPr="007612E0">
              <w:rPr>
                <w:rStyle w:val="Hyperlink"/>
                <w:color w:val="262626" w:themeColor="text1" w:themeTint="D9"/>
              </w:rPr>
              <w:t>Recommendations</w:t>
            </w:r>
            <w:r w:rsidR="00B006BD" w:rsidRPr="007612E0">
              <w:rPr>
                <w:b w:val="0"/>
                <w:webHidden/>
                <w:color w:val="262626" w:themeColor="text1" w:themeTint="D9"/>
              </w:rPr>
              <w:tab/>
            </w:r>
            <w:r w:rsidR="00B006BD" w:rsidRPr="007612E0">
              <w:rPr>
                <w:b w:val="0"/>
                <w:webHidden/>
                <w:color w:val="262626" w:themeColor="text1" w:themeTint="D9"/>
              </w:rPr>
              <w:fldChar w:fldCharType="begin"/>
            </w:r>
            <w:r w:rsidR="00B006BD" w:rsidRPr="007612E0">
              <w:rPr>
                <w:b w:val="0"/>
                <w:webHidden/>
                <w:color w:val="262626" w:themeColor="text1" w:themeTint="D9"/>
              </w:rPr>
              <w:instrText xml:space="preserve"> PAGEREF _Toc123633725 \h </w:instrText>
            </w:r>
            <w:r w:rsidR="00B006BD" w:rsidRPr="007612E0">
              <w:rPr>
                <w:b w:val="0"/>
                <w:webHidden/>
                <w:color w:val="262626" w:themeColor="text1" w:themeTint="D9"/>
              </w:rPr>
            </w:r>
            <w:r w:rsidR="00B006BD" w:rsidRPr="007612E0">
              <w:rPr>
                <w:b w:val="0"/>
                <w:webHidden/>
                <w:color w:val="262626" w:themeColor="text1" w:themeTint="D9"/>
              </w:rPr>
              <w:fldChar w:fldCharType="separate"/>
            </w:r>
            <w:r w:rsidR="00B006BD" w:rsidRPr="007612E0">
              <w:rPr>
                <w:b w:val="0"/>
                <w:webHidden/>
                <w:color w:val="262626" w:themeColor="text1" w:themeTint="D9"/>
              </w:rPr>
              <w:t>34</w:t>
            </w:r>
            <w:r w:rsidR="00B006BD" w:rsidRPr="007612E0">
              <w:rPr>
                <w:b w:val="0"/>
                <w:webHidden/>
                <w:color w:val="262626" w:themeColor="text1" w:themeTint="D9"/>
              </w:rPr>
              <w:fldChar w:fldCharType="end"/>
            </w:r>
          </w:hyperlink>
        </w:p>
        <w:p w14:paraId="10AEB3AC" w14:textId="28B6A30B" w:rsidR="00B006BD" w:rsidRPr="007612E0" w:rsidRDefault="00EB46C8">
          <w:pPr>
            <w:pStyle w:val="TOC1"/>
            <w:tabs>
              <w:tab w:val="left" w:pos="540"/>
            </w:tabs>
            <w:rPr>
              <w:rFonts w:asciiTheme="minorHAnsi" w:eastAsiaTheme="minorEastAsia" w:hAnsiTheme="minorHAnsi" w:cstheme="minorBidi"/>
              <w:b w:val="0"/>
              <w:bCs w:val="0"/>
              <w:noProof/>
              <w:color w:val="262626" w:themeColor="text1" w:themeTint="D9"/>
              <w:sz w:val="22"/>
              <w:szCs w:val="22"/>
              <w:lang w:eastAsia="en-AU"/>
            </w:rPr>
          </w:pPr>
          <w:hyperlink w:anchor="_Toc123633726" w:history="1">
            <w:r w:rsidR="00B006BD" w:rsidRPr="007612E0">
              <w:rPr>
                <w:rStyle w:val="Hyperlink"/>
                <w:bCs w:val="0"/>
                <w:noProof/>
                <w:color w:val="262626" w:themeColor="text1" w:themeTint="D9"/>
              </w:rPr>
              <w:t>5.</w:t>
            </w:r>
            <w:r w:rsidR="00B006BD" w:rsidRPr="007612E0">
              <w:rPr>
                <w:rFonts w:asciiTheme="minorHAnsi" w:eastAsiaTheme="minorEastAsia" w:hAnsiTheme="minorHAnsi" w:cstheme="minorBidi"/>
                <w:b w:val="0"/>
                <w:bCs w:val="0"/>
                <w:noProof/>
                <w:color w:val="262626" w:themeColor="text1" w:themeTint="D9"/>
                <w:sz w:val="22"/>
                <w:szCs w:val="22"/>
                <w:lang w:eastAsia="en-AU"/>
              </w:rPr>
              <w:tab/>
            </w:r>
            <w:r w:rsidR="00B006BD" w:rsidRPr="007612E0">
              <w:rPr>
                <w:rStyle w:val="Hyperlink"/>
                <w:bCs w:val="0"/>
                <w:noProof/>
                <w:color w:val="262626" w:themeColor="text1" w:themeTint="D9"/>
              </w:rPr>
              <w:t>Annexes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_Toc123633726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37</w:t>
            </w:r>
            <w:r w:rsidR="00B006BD" w:rsidRPr="007612E0">
              <w:rPr>
                <w:b w:val="0"/>
                <w:bCs w:val="0"/>
                <w:noProof/>
                <w:webHidden/>
                <w:color w:val="262626" w:themeColor="text1" w:themeTint="D9"/>
              </w:rPr>
              <w:fldChar w:fldCharType="end"/>
            </w:r>
          </w:hyperlink>
        </w:p>
        <w:p w14:paraId="192F8DB3" w14:textId="6E437CE6"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27" w:history="1">
            <w:r w:rsidR="00B006BD" w:rsidRPr="007612E0">
              <w:rPr>
                <w:rStyle w:val="Hyperlink"/>
                <w:rFonts w:cs="Arial"/>
                <w:bCs w:val="0"/>
                <w:iCs/>
                <w:noProof/>
                <w:color w:val="262626" w:themeColor="text1" w:themeTint="D9"/>
                <w:lang w:val="en-GB"/>
              </w:rPr>
              <w:t>Annex 1: Documents Reviewed for the MTR</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_Toc123633727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37</w:t>
            </w:r>
            <w:r w:rsidR="00B006BD" w:rsidRPr="007612E0">
              <w:rPr>
                <w:b w:val="0"/>
                <w:bCs w:val="0"/>
                <w:noProof/>
                <w:webHidden/>
                <w:color w:val="262626" w:themeColor="text1" w:themeTint="D9"/>
              </w:rPr>
              <w:fldChar w:fldCharType="end"/>
            </w:r>
          </w:hyperlink>
        </w:p>
        <w:p w14:paraId="505BD90E" w14:textId="503B19B3"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28" w:history="1">
            <w:r w:rsidR="00B006BD" w:rsidRPr="007612E0">
              <w:rPr>
                <w:rStyle w:val="Hyperlink"/>
                <w:rFonts w:cs="Arial"/>
                <w:bCs w:val="0"/>
                <w:iCs/>
                <w:noProof/>
                <w:color w:val="262626" w:themeColor="text1" w:themeTint="D9"/>
                <w:lang w:val="en-GB"/>
              </w:rPr>
              <w:t>Annex 2: List of Key Informants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_Toc123633728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39</w:t>
            </w:r>
            <w:r w:rsidR="00B006BD" w:rsidRPr="007612E0">
              <w:rPr>
                <w:b w:val="0"/>
                <w:bCs w:val="0"/>
                <w:noProof/>
                <w:webHidden/>
                <w:color w:val="262626" w:themeColor="text1" w:themeTint="D9"/>
              </w:rPr>
              <w:fldChar w:fldCharType="end"/>
            </w:r>
          </w:hyperlink>
        </w:p>
        <w:p w14:paraId="6EA2BD6F" w14:textId="4EDCB354"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29" w:history="1">
            <w:r w:rsidR="00B006BD" w:rsidRPr="007612E0">
              <w:rPr>
                <w:rStyle w:val="Hyperlink"/>
                <w:rFonts w:cs="Arial"/>
                <w:bCs w:val="0"/>
                <w:iCs/>
                <w:noProof/>
                <w:color w:val="262626" w:themeColor="text1" w:themeTint="D9"/>
                <w:lang w:val="en-GB"/>
              </w:rPr>
              <w:t>Annex 3: Influencing Activities Survey Responses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_Toc123633729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41</w:t>
            </w:r>
            <w:r w:rsidR="00B006BD" w:rsidRPr="007612E0">
              <w:rPr>
                <w:b w:val="0"/>
                <w:bCs w:val="0"/>
                <w:noProof/>
                <w:webHidden/>
                <w:color w:val="262626" w:themeColor="text1" w:themeTint="D9"/>
              </w:rPr>
              <w:fldChar w:fldCharType="end"/>
            </w:r>
          </w:hyperlink>
        </w:p>
        <w:p w14:paraId="744A32DF" w14:textId="464D6974"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30" w:history="1">
            <w:r w:rsidR="00B006BD" w:rsidRPr="007612E0">
              <w:rPr>
                <w:rStyle w:val="Hyperlink"/>
                <w:rFonts w:cs="Arial"/>
                <w:bCs w:val="0"/>
                <w:iCs/>
                <w:noProof/>
                <w:color w:val="262626" w:themeColor="text1" w:themeTint="D9"/>
                <w:lang w:val="en-GB"/>
              </w:rPr>
              <w:t>Annex 4: Additional Figures</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_Toc123633730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47</w:t>
            </w:r>
            <w:r w:rsidR="00B006BD" w:rsidRPr="007612E0">
              <w:rPr>
                <w:b w:val="0"/>
                <w:bCs w:val="0"/>
                <w:noProof/>
                <w:webHidden/>
                <w:color w:val="262626" w:themeColor="text1" w:themeTint="D9"/>
              </w:rPr>
              <w:fldChar w:fldCharType="end"/>
            </w:r>
          </w:hyperlink>
        </w:p>
        <w:p w14:paraId="5D8E9669" w14:textId="2815C0EA" w:rsidR="00B006BD" w:rsidRPr="007612E0" w:rsidRDefault="00EB46C8">
          <w:pPr>
            <w:pStyle w:val="TOC1"/>
            <w:rPr>
              <w:rFonts w:asciiTheme="minorHAnsi" w:eastAsiaTheme="minorEastAsia" w:hAnsiTheme="minorHAnsi" w:cstheme="minorBidi"/>
              <w:b w:val="0"/>
              <w:bCs w:val="0"/>
              <w:noProof/>
              <w:color w:val="262626" w:themeColor="text1" w:themeTint="D9"/>
              <w:sz w:val="22"/>
              <w:szCs w:val="22"/>
              <w:lang w:eastAsia="en-AU"/>
            </w:rPr>
          </w:pPr>
          <w:hyperlink w:anchor="_Toc123633731" w:history="1">
            <w:r w:rsidR="00B006BD" w:rsidRPr="007612E0">
              <w:rPr>
                <w:rStyle w:val="Hyperlink"/>
                <w:rFonts w:cs="Arial"/>
                <w:bCs w:val="0"/>
                <w:iCs/>
                <w:noProof/>
                <w:color w:val="262626" w:themeColor="text1" w:themeTint="D9"/>
                <w:lang w:val="en-GB"/>
              </w:rPr>
              <w:t>Annex 5: MTR Terms of Reference</w:t>
            </w:r>
            <w:r w:rsidR="00B006BD" w:rsidRPr="007612E0">
              <w:rPr>
                <w:b w:val="0"/>
                <w:bCs w:val="0"/>
                <w:noProof/>
                <w:webHidden/>
                <w:color w:val="262626" w:themeColor="text1" w:themeTint="D9"/>
              </w:rPr>
              <w:tab/>
            </w:r>
            <w:r w:rsidR="00B006BD" w:rsidRPr="007612E0">
              <w:rPr>
                <w:b w:val="0"/>
                <w:bCs w:val="0"/>
                <w:noProof/>
                <w:webHidden/>
                <w:color w:val="262626" w:themeColor="text1" w:themeTint="D9"/>
              </w:rPr>
              <w:fldChar w:fldCharType="begin"/>
            </w:r>
            <w:r w:rsidR="00B006BD" w:rsidRPr="007612E0">
              <w:rPr>
                <w:b w:val="0"/>
                <w:bCs w:val="0"/>
                <w:noProof/>
                <w:webHidden/>
                <w:color w:val="262626" w:themeColor="text1" w:themeTint="D9"/>
              </w:rPr>
              <w:instrText xml:space="preserve"> PAGEREF _Toc123633731 \h </w:instrText>
            </w:r>
            <w:r w:rsidR="00B006BD" w:rsidRPr="007612E0">
              <w:rPr>
                <w:b w:val="0"/>
                <w:bCs w:val="0"/>
                <w:noProof/>
                <w:webHidden/>
                <w:color w:val="262626" w:themeColor="text1" w:themeTint="D9"/>
              </w:rPr>
            </w:r>
            <w:r w:rsidR="00B006BD" w:rsidRPr="007612E0">
              <w:rPr>
                <w:b w:val="0"/>
                <w:bCs w:val="0"/>
                <w:noProof/>
                <w:webHidden/>
                <w:color w:val="262626" w:themeColor="text1" w:themeTint="D9"/>
              </w:rPr>
              <w:fldChar w:fldCharType="separate"/>
            </w:r>
            <w:r w:rsidR="00B006BD" w:rsidRPr="007612E0">
              <w:rPr>
                <w:b w:val="0"/>
                <w:bCs w:val="0"/>
                <w:noProof/>
                <w:webHidden/>
                <w:color w:val="262626" w:themeColor="text1" w:themeTint="D9"/>
              </w:rPr>
              <w:t>51</w:t>
            </w:r>
            <w:r w:rsidR="00B006BD" w:rsidRPr="007612E0">
              <w:rPr>
                <w:b w:val="0"/>
                <w:bCs w:val="0"/>
                <w:noProof/>
                <w:webHidden/>
                <w:color w:val="262626" w:themeColor="text1" w:themeTint="D9"/>
              </w:rPr>
              <w:fldChar w:fldCharType="end"/>
            </w:r>
          </w:hyperlink>
        </w:p>
        <w:p w14:paraId="66F12538" w14:textId="422D2EA9" w:rsidR="003F6435" w:rsidRPr="00773EEA" w:rsidRDefault="003F6435">
          <w:pPr>
            <w:rPr>
              <w:rFonts w:asciiTheme="majorHAnsi" w:hAnsiTheme="majorHAnsi"/>
              <w:b/>
              <w:bCs/>
              <w:noProof/>
              <w:sz w:val="18"/>
            </w:rPr>
          </w:pPr>
          <w:r w:rsidRPr="007612E0">
            <w:rPr>
              <w:rFonts w:asciiTheme="majorHAnsi" w:hAnsiTheme="majorHAnsi"/>
              <w:noProof/>
              <w:color w:val="262626" w:themeColor="text1" w:themeTint="D9"/>
              <w:sz w:val="18"/>
            </w:rPr>
            <w:fldChar w:fldCharType="end"/>
          </w:r>
        </w:p>
      </w:sdtContent>
    </w:sdt>
    <w:p w14:paraId="796BC041" w14:textId="35BB6F48" w:rsidR="00D06C2A" w:rsidRPr="00773EEA" w:rsidRDefault="00D06C2A" w:rsidP="002B63A4"/>
    <w:p w14:paraId="72A8E5C2" w14:textId="5483440D" w:rsidR="00D06C2A" w:rsidRPr="00773EEA" w:rsidRDefault="00D06C2A" w:rsidP="00D06C2A">
      <w:pPr>
        <w:rPr>
          <w:rFonts w:asciiTheme="majorHAnsi" w:hAnsiTheme="majorHAnsi"/>
          <w:b/>
          <w:bCs/>
          <w:noProof/>
          <w:sz w:val="18"/>
        </w:rPr>
      </w:pPr>
    </w:p>
    <w:p w14:paraId="4AD69B3C" w14:textId="77777777" w:rsidR="00D06C2A" w:rsidRPr="00773EEA" w:rsidRDefault="00D06C2A" w:rsidP="002B63A4">
      <w:pPr>
        <w:jc w:val="center"/>
      </w:pPr>
    </w:p>
    <w:p w14:paraId="1350EB82" w14:textId="272DD660" w:rsidR="00CA404F" w:rsidRPr="00773EEA" w:rsidRDefault="00CA404F" w:rsidP="00167307">
      <w:pPr>
        <w:pStyle w:val="Heading1"/>
        <w:rPr>
          <w:color w:val="auto"/>
        </w:rPr>
      </w:pPr>
      <w:bookmarkStart w:id="3" w:name="_Toc123633705"/>
      <w:r w:rsidRPr="00773EEA">
        <w:rPr>
          <w:color w:val="auto"/>
        </w:rPr>
        <w:lastRenderedPageBreak/>
        <w:t>List of Acronyms</w:t>
      </w:r>
      <w:bookmarkEnd w:id="3"/>
    </w:p>
    <w:p w14:paraId="6DEB0B47" w14:textId="6D1C8206" w:rsidR="00CA404F" w:rsidRPr="00773EEA" w:rsidRDefault="00CA404F" w:rsidP="00CA404F"/>
    <w:tbl>
      <w:tblPr>
        <w:tblStyle w:val="LightShading-Accent11"/>
        <w:tblW w:w="0" w:type="auto"/>
        <w:tblLook w:val="04A0" w:firstRow="1" w:lastRow="0" w:firstColumn="1" w:lastColumn="0" w:noHBand="0" w:noVBand="1"/>
      </w:tblPr>
      <w:tblGrid>
        <w:gridCol w:w="1560"/>
        <w:gridCol w:w="8221"/>
      </w:tblGrid>
      <w:tr w:rsidR="00ED3973" w:rsidRPr="00773EEA" w14:paraId="482951F8" w14:textId="77777777" w:rsidTr="00ED3973">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1560" w:type="dxa"/>
          </w:tcPr>
          <w:p w14:paraId="38B2E1B2" w14:textId="3051D963" w:rsidR="00ED3973" w:rsidRPr="00773EEA" w:rsidRDefault="00ED3973" w:rsidP="00ED1ED1">
            <w:pPr>
              <w:rPr>
                <w:szCs w:val="20"/>
              </w:rPr>
            </w:pPr>
            <w:r>
              <w:rPr>
                <w:szCs w:val="20"/>
              </w:rPr>
              <w:t>Acronym</w:t>
            </w:r>
          </w:p>
        </w:tc>
        <w:tc>
          <w:tcPr>
            <w:tcW w:w="8221" w:type="dxa"/>
          </w:tcPr>
          <w:p w14:paraId="418937AA" w14:textId="25A5EF3B" w:rsidR="00ED3973" w:rsidRPr="00773EEA" w:rsidRDefault="00ED3973" w:rsidP="00ED1ED1">
            <w:pPr>
              <w:cnfStyle w:val="100000000000" w:firstRow="1" w:lastRow="0" w:firstColumn="0" w:lastColumn="0" w:oddVBand="0" w:evenVBand="0" w:oddHBand="0" w:evenHBand="0" w:firstRowFirstColumn="0" w:firstRowLastColumn="0" w:lastRowFirstColumn="0" w:lastRowLastColumn="0"/>
              <w:rPr>
                <w:szCs w:val="20"/>
              </w:rPr>
            </w:pPr>
            <w:r>
              <w:rPr>
                <w:szCs w:val="20"/>
              </w:rPr>
              <w:t>Meaning</w:t>
            </w:r>
          </w:p>
        </w:tc>
      </w:tr>
      <w:tr w:rsidR="00773EEA" w:rsidRPr="00773EEA" w14:paraId="06037D76" w14:textId="77777777" w:rsidTr="00ED1ED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60" w:type="dxa"/>
          </w:tcPr>
          <w:p w14:paraId="3C1AF70D" w14:textId="6582F75B" w:rsidR="00450C03" w:rsidRPr="00773EEA" w:rsidRDefault="00450C03" w:rsidP="00ED1ED1">
            <w:pPr>
              <w:rPr>
                <w:bCs w:val="0"/>
              </w:rPr>
            </w:pPr>
            <w:r w:rsidRPr="00773EEA">
              <w:rPr>
                <w:bCs w:val="0"/>
                <w:szCs w:val="20"/>
              </w:rPr>
              <w:t>AASCTF</w:t>
            </w:r>
          </w:p>
        </w:tc>
        <w:tc>
          <w:tcPr>
            <w:tcW w:w="8221" w:type="dxa"/>
          </w:tcPr>
          <w:p w14:paraId="718492E0" w14:textId="216AA5FD"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rPr>
                <w:b/>
                <w:bCs/>
              </w:rPr>
            </w:pPr>
            <w:r w:rsidRPr="00773EEA">
              <w:rPr>
                <w:szCs w:val="20"/>
              </w:rPr>
              <w:t>ASEAN Australia Smart Cities Trust Fund</w:t>
            </w:r>
          </w:p>
        </w:tc>
      </w:tr>
      <w:tr w:rsidR="00773EEA" w:rsidRPr="00773EEA" w14:paraId="2CD98362" w14:textId="77777777" w:rsidTr="00ED1ED1">
        <w:trPr>
          <w:trHeight w:val="418"/>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D4BCBBC" w14:textId="7CB956A8" w:rsidR="00ED1ED1" w:rsidRPr="00773EEA" w:rsidRDefault="00ED1ED1" w:rsidP="00ED1ED1">
            <w:pPr>
              <w:rPr>
                <w:szCs w:val="20"/>
              </w:rPr>
            </w:pPr>
            <w:r w:rsidRPr="00773EEA">
              <w:rPr>
                <w:szCs w:val="20"/>
              </w:rPr>
              <w:t>ASI</w:t>
            </w:r>
          </w:p>
        </w:tc>
        <w:tc>
          <w:tcPr>
            <w:tcW w:w="8221" w:type="dxa"/>
            <w:vAlign w:val="center"/>
          </w:tcPr>
          <w:p w14:paraId="6FD3D684" w14:textId="0AFB426C" w:rsidR="00ED1ED1" w:rsidRPr="00773EEA" w:rsidRDefault="00ED1ED1"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Adam Smith International</w:t>
            </w:r>
          </w:p>
        </w:tc>
      </w:tr>
      <w:tr w:rsidR="00773EEA" w:rsidRPr="00773EEA" w14:paraId="31375DDF"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EF0C280" w14:textId="67706A91" w:rsidR="00450C03" w:rsidRPr="00773EEA" w:rsidRDefault="00450C03" w:rsidP="00ED1ED1">
            <w:r w:rsidRPr="00773EEA">
              <w:rPr>
                <w:szCs w:val="20"/>
              </w:rPr>
              <w:t>ADB</w:t>
            </w:r>
          </w:p>
        </w:tc>
        <w:tc>
          <w:tcPr>
            <w:tcW w:w="8221" w:type="dxa"/>
            <w:vAlign w:val="center"/>
          </w:tcPr>
          <w:p w14:paraId="05628FE8" w14:textId="1E29E1A6"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Asian Development Bank</w:t>
            </w:r>
          </w:p>
        </w:tc>
      </w:tr>
      <w:tr w:rsidR="00773EEA" w:rsidRPr="00773EEA" w14:paraId="55576677"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7AFDDFB7" w14:textId="2099D8A8" w:rsidR="00B47D83" w:rsidRPr="00773EEA" w:rsidRDefault="00B47D83" w:rsidP="00ED1ED1">
            <w:r w:rsidRPr="00773EEA">
              <w:t>ALER</w:t>
            </w:r>
          </w:p>
        </w:tc>
        <w:tc>
          <w:tcPr>
            <w:tcW w:w="8221" w:type="dxa"/>
            <w:vAlign w:val="center"/>
          </w:tcPr>
          <w:p w14:paraId="787C5861" w14:textId="47C268E8" w:rsidR="00B47D83" w:rsidRPr="00773EEA" w:rsidRDefault="00B47D83" w:rsidP="00ED1ED1">
            <w:pPr>
              <w:cnfStyle w:val="000000000000" w:firstRow="0" w:lastRow="0" w:firstColumn="0" w:lastColumn="0" w:oddVBand="0" w:evenVBand="0" w:oddHBand="0" w:evenHBand="0" w:firstRowFirstColumn="0" w:firstRowLastColumn="0" w:lastRowFirstColumn="0" w:lastRowLastColumn="0"/>
            </w:pPr>
            <w:r w:rsidRPr="00773EEA">
              <w:t>Activity Level Evaluation Reports</w:t>
            </w:r>
          </w:p>
        </w:tc>
      </w:tr>
      <w:tr w:rsidR="00773EEA" w:rsidRPr="00773EEA" w14:paraId="38AB63BE"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8B9D639" w14:textId="7D976403" w:rsidR="00E74B03" w:rsidRPr="00773EEA" w:rsidRDefault="00E74B03" w:rsidP="00ED1ED1">
            <w:pPr>
              <w:rPr>
                <w:szCs w:val="20"/>
              </w:rPr>
            </w:pPr>
            <w:r w:rsidRPr="00773EEA">
              <w:t>ALPA</w:t>
            </w:r>
          </w:p>
        </w:tc>
        <w:tc>
          <w:tcPr>
            <w:tcW w:w="8221" w:type="dxa"/>
            <w:vAlign w:val="center"/>
          </w:tcPr>
          <w:p w14:paraId="3C5C36B4" w14:textId="083F70B0" w:rsidR="00E74B03" w:rsidRPr="00773EEA" w:rsidRDefault="00E74B03" w:rsidP="00ED1ED1">
            <w:pPr>
              <w:cnfStyle w:val="000000100000" w:firstRow="0" w:lastRow="0" w:firstColumn="0" w:lastColumn="0" w:oddVBand="0" w:evenVBand="0" w:oddHBand="1" w:evenHBand="0" w:firstRowFirstColumn="0" w:firstRowLastColumn="0" w:lastRowFirstColumn="0" w:lastRowLastColumn="0"/>
              <w:rPr>
                <w:szCs w:val="20"/>
              </w:rPr>
            </w:pPr>
            <w:r w:rsidRPr="00773EEA">
              <w:t>Activity Level Progress Assessments</w:t>
            </w:r>
          </w:p>
        </w:tc>
      </w:tr>
      <w:tr w:rsidR="00773EEA" w:rsidRPr="00773EEA" w14:paraId="7649FE83"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3418FC65" w14:textId="375F15F5" w:rsidR="00450C03" w:rsidRPr="00773EEA" w:rsidRDefault="00450C03" w:rsidP="00ED1ED1">
            <w:r w:rsidRPr="00773EEA">
              <w:rPr>
                <w:szCs w:val="20"/>
              </w:rPr>
              <w:t>ASCN</w:t>
            </w:r>
          </w:p>
        </w:tc>
        <w:tc>
          <w:tcPr>
            <w:tcW w:w="8221" w:type="dxa"/>
            <w:vAlign w:val="center"/>
          </w:tcPr>
          <w:p w14:paraId="3D977400" w14:textId="55DA215C" w:rsidR="00450C03" w:rsidRPr="00773EEA" w:rsidRDefault="00450C03" w:rsidP="00ED1ED1">
            <w:pPr>
              <w:cnfStyle w:val="000000000000" w:firstRow="0" w:lastRow="0" w:firstColumn="0" w:lastColumn="0" w:oddVBand="0" w:evenVBand="0" w:oddHBand="0" w:evenHBand="0" w:firstRowFirstColumn="0" w:firstRowLastColumn="0" w:lastRowFirstColumn="0" w:lastRowLastColumn="0"/>
            </w:pPr>
            <w:r w:rsidRPr="00773EEA">
              <w:rPr>
                <w:szCs w:val="20"/>
              </w:rPr>
              <w:t>ASEAN Smart Cities Network</w:t>
            </w:r>
          </w:p>
        </w:tc>
      </w:tr>
      <w:tr w:rsidR="00773EEA" w:rsidRPr="00773EEA" w14:paraId="5DD5DA7E"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FB5D19E" w14:textId="04D2D2B4" w:rsidR="00450C03" w:rsidRPr="00773EEA" w:rsidRDefault="00450C03" w:rsidP="00ED1ED1">
            <w:r w:rsidRPr="00773EEA">
              <w:rPr>
                <w:szCs w:val="20"/>
              </w:rPr>
              <w:t>ASEAN</w:t>
            </w:r>
          </w:p>
        </w:tc>
        <w:tc>
          <w:tcPr>
            <w:tcW w:w="8221" w:type="dxa"/>
            <w:vAlign w:val="center"/>
          </w:tcPr>
          <w:p w14:paraId="4D374EC6" w14:textId="78972785"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Association of Southeast Asian Nations</w:t>
            </w:r>
          </w:p>
        </w:tc>
      </w:tr>
      <w:tr w:rsidR="00773EEA" w:rsidRPr="00773EEA" w14:paraId="665A1B00"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702C086F" w14:textId="59D40836" w:rsidR="00450C03" w:rsidRPr="00773EEA" w:rsidRDefault="00450C03" w:rsidP="00ED1ED1">
            <w:r w:rsidRPr="00773EEA">
              <w:rPr>
                <w:szCs w:val="20"/>
              </w:rPr>
              <w:t>AFUP</w:t>
            </w:r>
          </w:p>
        </w:tc>
        <w:tc>
          <w:tcPr>
            <w:tcW w:w="8221" w:type="dxa"/>
            <w:vAlign w:val="center"/>
          </w:tcPr>
          <w:p w14:paraId="644C8368" w14:textId="364BD2DD" w:rsidR="00450C03" w:rsidRPr="00773EEA" w:rsidRDefault="00450C03" w:rsidP="00ED1ED1">
            <w:pPr>
              <w:cnfStyle w:val="000000000000" w:firstRow="0" w:lastRow="0" w:firstColumn="0" w:lastColumn="0" w:oddVBand="0" w:evenVBand="0" w:oddHBand="0" w:evenHBand="0" w:firstRowFirstColumn="0" w:firstRowLastColumn="0" w:lastRowFirstColumn="0" w:lastRowLastColumn="0"/>
            </w:pPr>
            <w:r w:rsidRPr="00773EEA">
              <w:rPr>
                <w:szCs w:val="20"/>
              </w:rPr>
              <w:t>Asia Pacific Urban Forum</w:t>
            </w:r>
          </w:p>
        </w:tc>
      </w:tr>
      <w:tr w:rsidR="00773EEA" w:rsidRPr="00773EEA" w14:paraId="153DCBDC"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9CAB042" w14:textId="15E53A8F" w:rsidR="00450C03" w:rsidRPr="00773EEA" w:rsidRDefault="00450C03" w:rsidP="00ED1ED1">
            <w:r w:rsidRPr="00773EEA">
              <w:rPr>
                <w:szCs w:val="20"/>
              </w:rPr>
              <w:t>CRMT</w:t>
            </w:r>
          </w:p>
        </w:tc>
        <w:tc>
          <w:tcPr>
            <w:tcW w:w="8221" w:type="dxa"/>
            <w:vAlign w:val="center"/>
          </w:tcPr>
          <w:p w14:paraId="5FD8A4F9" w14:textId="682FC7B3"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 xml:space="preserve">City Resource </w:t>
            </w:r>
            <w:proofErr w:type="spellStart"/>
            <w:r w:rsidRPr="00773EEA">
              <w:rPr>
                <w:szCs w:val="20"/>
              </w:rPr>
              <w:t>Mobili</w:t>
            </w:r>
            <w:r w:rsidR="00DF4B67" w:rsidRPr="00773EEA">
              <w:rPr>
                <w:szCs w:val="20"/>
              </w:rPr>
              <w:t>s</w:t>
            </w:r>
            <w:r w:rsidRPr="00773EEA">
              <w:rPr>
                <w:szCs w:val="20"/>
              </w:rPr>
              <w:t>ation</w:t>
            </w:r>
            <w:proofErr w:type="spellEnd"/>
            <w:r w:rsidRPr="00773EEA">
              <w:rPr>
                <w:szCs w:val="20"/>
              </w:rPr>
              <w:t xml:space="preserve"> Tool</w:t>
            </w:r>
          </w:p>
        </w:tc>
      </w:tr>
      <w:tr w:rsidR="00773EEA" w:rsidRPr="00773EEA" w14:paraId="3AA607F0"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7EC283DF" w14:textId="3CBF510B" w:rsidR="00450C03" w:rsidRPr="00773EEA" w:rsidRDefault="00450C03" w:rsidP="00ED1ED1">
            <w:r w:rsidRPr="00773EEA">
              <w:rPr>
                <w:szCs w:val="20"/>
              </w:rPr>
              <w:t>DMF</w:t>
            </w:r>
          </w:p>
        </w:tc>
        <w:tc>
          <w:tcPr>
            <w:tcW w:w="8221" w:type="dxa"/>
            <w:vAlign w:val="center"/>
          </w:tcPr>
          <w:p w14:paraId="0749F0C2" w14:textId="26E9F0CD" w:rsidR="00450C03" w:rsidRPr="00773EEA" w:rsidRDefault="00450C03" w:rsidP="00ED1ED1">
            <w:pPr>
              <w:cnfStyle w:val="000000000000" w:firstRow="0" w:lastRow="0" w:firstColumn="0" w:lastColumn="0" w:oddVBand="0" w:evenVBand="0" w:oddHBand="0" w:evenHBand="0" w:firstRowFirstColumn="0" w:firstRowLastColumn="0" w:lastRowFirstColumn="0" w:lastRowLastColumn="0"/>
            </w:pPr>
            <w:r w:rsidRPr="00773EEA">
              <w:rPr>
                <w:szCs w:val="20"/>
              </w:rPr>
              <w:t>Design and Monitoring Framework</w:t>
            </w:r>
          </w:p>
        </w:tc>
      </w:tr>
      <w:tr w:rsidR="00773EEA" w:rsidRPr="00773EEA" w14:paraId="6338DA07"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E8B4447" w14:textId="74A5328D" w:rsidR="00450C03" w:rsidRPr="00773EEA" w:rsidRDefault="00450C03" w:rsidP="00ED1ED1">
            <w:r w:rsidRPr="00773EEA">
              <w:rPr>
                <w:szCs w:val="20"/>
              </w:rPr>
              <w:t>EEC</w:t>
            </w:r>
          </w:p>
        </w:tc>
        <w:tc>
          <w:tcPr>
            <w:tcW w:w="8221" w:type="dxa"/>
            <w:vAlign w:val="center"/>
          </w:tcPr>
          <w:p w14:paraId="0FC71337" w14:textId="00914715"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Eastern Economic Corridor (Thailand)</w:t>
            </w:r>
          </w:p>
        </w:tc>
      </w:tr>
      <w:tr w:rsidR="00773EEA" w:rsidRPr="00773EEA" w14:paraId="5EBC92B2"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7A96310E" w14:textId="69E19CBC" w:rsidR="00A57E16" w:rsidRPr="00773EEA" w:rsidRDefault="00A57E16" w:rsidP="00ED1ED1">
            <w:pPr>
              <w:rPr>
                <w:szCs w:val="20"/>
              </w:rPr>
            </w:pPr>
            <w:r w:rsidRPr="00773EEA">
              <w:rPr>
                <w:szCs w:val="20"/>
              </w:rPr>
              <w:t>EOIO</w:t>
            </w:r>
          </w:p>
        </w:tc>
        <w:tc>
          <w:tcPr>
            <w:tcW w:w="8221" w:type="dxa"/>
            <w:vAlign w:val="center"/>
          </w:tcPr>
          <w:p w14:paraId="6EE4E89C" w14:textId="19963859" w:rsidR="00A57E16" w:rsidRPr="00773EEA" w:rsidRDefault="00A57E16"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rFonts w:cstheme="minorHAnsi"/>
                <w:bCs/>
              </w:rPr>
              <w:t>End of Investment Outcomes</w:t>
            </w:r>
          </w:p>
        </w:tc>
      </w:tr>
      <w:tr w:rsidR="00773EEA" w:rsidRPr="00773EEA" w14:paraId="7731D254"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EE4EA41" w14:textId="6060ADD8" w:rsidR="00450C03" w:rsidRPr="00773EEA" w:rsidRDefault="00450C03" w:rsidP="00ED1ED1">
            <w:r w:rsidRPr="00773EEA">
              <w:rPr>
                <w:szCs w:val="20"/>
              </w:rPr>
              <w:t>FEWS</w:t>
            </w:r>
          </w:p>
        </w:tc>
        <w:tc>
          <w:tcPr>
            <w:tcW w:w="8221" w:type="dxa"/>
            <w:vAlign w:val="center"/>
          </w:tcPr>
          <w:p w14:paraId="5EFBA690" w14:textId="77FA20AB"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Flood Early Warning System</w:t>
            </w:r>
          </w:p>
        </w:tc>
      </w:tr>
      <w:tr w:rsidR="00773EEA" w:rsidRPr="00773EEA" w14:paraId="336684D8"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1862CB95" w14:textId="1DFF045D" w:rsidR="00C45564" w:rsidRPr="00773EEA" w:rsidRDefault="00C45564" w:rsidP="00ED1ED1">
            <w:pPr>
              <w:rPr>
                <w:szCs w:val="20"/>
              </w:rPr>
            </w:pPr>
            <w:r w:rsidRPr="00773EEA">
              <w:rPr>
                <w:szCs w:val="20"/>
              </w:rPr>
              <w:t>F</w:t>
            </w:r>
            <w:r w:rsidR="00C724D8" w:rsidRPr="00773EEA">
              <w:rPr>
                <w:szCs w:val="20"/>
              </w:rPr>
              <w:t>GDs</w:t>
            </w:r>
          </w:p>
        </w:tc>
        <w:tc>
          <w:tcPr>
            <w:tcW w:w="8221" w:type="dxa"/>
            <w:vAlign w:val="center"/>
          </w:tcPr>
          <w:p w14:paraId="2128C050" w14:textId="4CA38DCD" w:rsidR="00C45564" w:rsidRPr="00773EEA" w:rsidRDefault="00C724D8"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Focus Group Discussions</w:t>
            </w:r>
          </w:p>
        </w:tc>
      </w:tr>
      <w:tr w:rsidR="00773EEA" w:rsidRPr="00773EEA" w14:paraId="3D8BDC1F"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D5ECF8F" w14:textId="51C42653" w:rsidR="00450C03" w:rsidRPr="00773EEA" w:rsidRDefault="00450C03" w:rsidP="00ED1ED1">
            <w:r w:rsidRPr="00773EEA">
              <w:rPr>
                <w:szCs w:val="20"/>
              </w:rPr>
              <w:t>GESI</w:t>
            </w:r>
          </w:p>
        </w:tc>
        <w:tc>
          <w:tcPr>
            <w:tcW w:w="8221" w:type="dxa"/>
            <w:vAlign w:val="center"/>
          </w:tcPr>
          <w:p w14:paraId="494D8248" w14:textId="6CFF0EB3"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Gender Equality and Social Inclusion</w:t>
            </w:r>
          </w:p>
        </w:tc>
      </w:tr>
      <w:tr w:rsidR="00773EEA" w:rsidRPr="00773EEA" w14:paraId="11802046"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432D6EAD" w14:textId="7462B37E" w:rsidR="004855AE" w:rsidRPr="00773EEA" w:rsidRDefault="004855AE" w:rsidP="00ED1ED1">
            <w:pPr>
              <w:rPr>
                <w:szCs w:val="20"/>
              </w:rPr>
            </w:pPr>
            <w:r w:rsidRPr="00773EEA">
              <w:rPr>
                <w:szCs w:val="20"/>
              </w:rPr>
              <w:t>GHG</w:t>
            </w:r>
          </w:p>
        </w:tc>
        <w:tc>
          <w:tcPr>
            <w:tcW w:w="8221" w:type="dxa"/>
            <w:vAlign w:val="center"/>
          </w:tcPr>
          <w:p w14:paraId="40FBA89B" w14:textId="48D3FD32" w:rsidR="004855AE" w:rsidRPr="00773EEA" w:rsidRDefault="004855AE"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Greenhouse</w:t>
            </w:r>
            <w:r w:rsidR="00E74B03" w:rsidRPr="00773EEA">
              <w:rPr>
                <w:szCs w:val="20"/>
              </w:rPr>
              <w:t xml:space="preserve"> Gas Emissions</w:t>
            </w:r>
          </w:p>
        </w:tc>
      </w:tr>
      <w:tr w:rsidR="00773EEA" w:rsidRPr="00773EEA" w14:paraId="6C290744"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7BF58B8" w14:textId="6DD20DA5" w:rsidR="00E74B03" w:rsidRPr="00773EEA" w:rsidRDefault="00E74B03" w:rsidP="00ED1ED1">
            <w:pPr>
              <w:rPr>
                <w:szCs w:val="20"/>
              </w:rPr>
            </w:pPr>
            <w:r w:rsidRPr="00773EEA">
              <w:rPr>
                <w:szCs w:val="20"/>
              </w:rPr>
              <w:t>ICD</w:t>
            </w:r>
          </w:p>
        </w:tc>
        <w:tc>
          <w:tcPr>
            <w:tcW w:w="8221" w:type="dxa"/>
            <w:vAlign w:val="center"/>
          </w:tcPr>
          <w:p w14:paraId="02BB72A0" w14:textId="2D4D70D1" w:rsidR="00E74B03" w:rsidRPr="00773EEA" w:rsidRDefault="00E74B03" w:rsidP="00ED1ED1">
            <w:pPr>
              <w:cnfStyle w:val="000000100000" w:firstRow="0" w:lastRow="0" w:firstColumn="0" w:lastColumn="0" w:oddVBand="0" w:evenVBand="0" w:oddHBand="1" w:evenHBand="0" w:firstRowFirstColumn="0" w:firstRowLastColumn="0" w:lastRowFirstColumn="0" w:lastRowLastColumn="0"/>
              <w:rPr>
                <w:szCs w:val="20"/>
              </w:rPr>
            </w:pPr>
            <w:r w:rsidRPr="00773EEA">
              <w:rPr>
                <w:szCs w:val="20"/>
              </w:rPr>
              <w:t>Inclusive Cities Dialogue</w:t>
            </w:r>
          </w:p>
        </w:tc>
      </w:tr>
      <w:tr w:rsidR="00773EEA" w:rsidRPr="00773EEA" w14:paraId="12668EEE"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077F2D3E" w14:textId="381B9C7D" w:rsidR="00E74B03" w:rsidRPr="00773EEA" w:rsidRDefault="00E74B03" w:rsidP="00ED1ED1">
            <w:pPr>
              <w:rPr>
                <w:szCs w:val="20"/>
              </w:rPr>
            </w:pPr>
            <w:r w:rsidRPr="00773EEA">
              <w:rPr>
                <w:szCs w:val="20"/>
              </w:rPr>
              <w:t>IPCC</w:t>
            </w:r>
          </w:p>
        </w:tc>
        <w:tc>
          <w:tcPr>
            <w:tcW w:w="8221" w:type="dxa"/>
            <w:vAlign w:val="center"/>
          </w:tcPr>
          <w:p w14:paraId="34F7683C" w14:textId="7E9B90C5" w:rsidR="00E74B03" w:rsidRPr="00773EEA" w:rsidRDefault="00E74B03"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Intergovernmental Panel on Climate Change</w:t>
            </w:r>
          </w:p>
        </w:tc>
      </w:tr>
      <w:tr w:rsidR="00773EEA" w:rsidRPr="00773EEA" w14:paraId="516123A4"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B498CE4" w14:textId="14EEFC99" w:rsidR="00E1467D" w:rsidRPr="00773EEA" w:rsidRDefault="00E1467D" w:rsidP="00ED1ED1">
            <w:pPr>
              <w:rPr>
                <w:szCs w:val="20"/>
              </w:rPr>
            </w:pPr>
            <w:r w:rsidRPr="00773EEA">
              <w:rPr>
                <w:szCs w:val="20"/>
              </w:rPr>
              <w:t>KEQs</w:t>
            </w:r>
          </w:p>
        </w:tc>
        <w:tc>
          <w:tcPr>
            <w:tcW w:w="8221" w:type="dxa"/>
            <w:vAlign w:val="center"/>
          </w:tcPr>
          <w:p w14:paraId="5FAED653" w14:textId="34933EFC" w:rsidR="00E1467D" w:rsidRPr="00773EEA" w:rsidRDefault="00E02EBB" w:rsidP="00ED1ED1">
            <w:pPr>
              <w:cnfStyle w:val="000000100000" w:firstRow="0" w:lastRow="0" w:firstColumn="0" w:lastColumn="0" w:oddVBand="0" w:evenVBand="0" w:oddHBand="1" w:evenHBand="0" w:firstRowFirstColumn="0" w:firstRowLastColumn="0" w:lastRowFirstColumn="0" w:lastRowLastColumn="0"/>
              <w:rPr>
                <w:szCs w:val="20"/>
              </w:rPr>
            </w:pPr>
            <w:r w:rsidRPr="00773EEA">
              <w:rPr>
                <w:szCs w:val="20"/>
              </w:rPr>
              <w:t>Key Evaluations Questions</w:t>
            </w:r>
          </w:p>
        </w:tc>
      </w:tr>
      <w:tr w:rsidR="00773EEA" w:rsidRPr="00773EEA" w14:paraId="2B6A4D99"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1E20F75C" w14:textId="47693F9A" w:rsidR="00375296" w:rsidRPr="00773EEA" w:rsidRDefault="00375296" w:rsidP="00ED1ED1">
            <w:pPr>
              <w:rPr>
                <w:szCs w:val="20"/>
              </w:rPr>
            </w:pPr>
            <w:r w:rsidRPr="00773EEA">
              <w:rPr>
                <w:szCs w:val="20"/>
              </w:rPr>
              <w:t>KIIs</w:t>
            </w:r>
          </w:p>
        </w:tc>
        <w:tc>
          <w:tcPr>
            <w:tcW w:w="8221" w:type="dxa"/>
            <w:vAlign w:val="center"/>
          </w:tcPr>
          <w:p w14:paraId="71BE4502" w14:textId="70DA6FEB" w:rsidR="00375296" w:rsidRPr="00773EEA" w:rsidRDefault="00375296"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Key Informant Interviews</w:t>
            </w:r>
          </w:p>
        </w:tc>
      </w:tr>
      <w:tr w:rsidR="00773EEA" w:rsidRPr="00773EEA" w14:paraId="18391970"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97C2300" w14:textId="2AF119F1" w:rsidR="003201C5" w:rsidRPr="00773EEA" w:rsidRDefault="003201C5" w:rsidP="00ED1ED1">
            <w:pPr>
              <w:rPr>
                <w:szCs w:val="20"/>
              </w:rPr>
            </w:pPr>
            <w:r w:rsidRPr="00773EEA">
              <w:rPr>
                <w:szCs w:val="20"/>
              </w:rPr>
              <w:t>KPI</w:t>
            </w:r>
          </w:p>
        </w:tc>
        <w:tc>
          <w:tcPr>
            <w:tcW w:w="8221" w:type="dxa"/>
            <w:vAlign w:val="center"/>
          </w:tcPr>
          <w:p w14:paraId="4A57753A" w14:textId="0520F8C9" w:rsidR="003201C5" w:rsidRPr="00773EEA" w:rsidRDefault="003201C5" w:rsidP="00ED1ED1">
            <w:pPr>
              <w:cnfStyle w:val="000000100000" w:firstRow="0" w:lastRow="0" w:firstColumn="0" w:lastColumn="0" w:oddVBand="0" w:evenVBand="0" w:oddHBand="1" w:evenHBand="0" w:firstRowFirstColumn="0" w:firstRowLastColumn="0" w:lastRowFirstColumn="0" w:lastRowLastColumn="0"/>
              <w:rPr>
                <w:szCs w:val="20"/>
              </w:rPr>
            </w:pPr>
            <w:r w:rsidRPr="00773EEA">
              <w:rPr>
                <w:szCs w:val="20"/>
              </w:rPr>
              <w:t>Key Performance Indicator</w:t>
            </w:r>
          </w:p>
        </w:tc>
      </w:tr>
      <w:tr w:rsidR="00773EEA" w:rsidRPr="00773EEA" w14:paraId="6A10F482"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3988748B" w14:textId="61AC2B76" w:rsidR="00450C03" w:rsidRPr="00773EEA" w:rsidRDefault="00450C03" w:rsidP="00ED1ED1">
            <w:r w:rsidRPr="00773EEA">
              <w:rPr>
                <w:szCs w:val="20"/>
              </w:rPr>
              <w:t>M</w:t>
            </w:r>
            <w:r w:rsidR="004855AE" w:rsidRPr="00773EEA">
              <w:rPr>
                <w:szCs w:val="20"/>
              </w:rPr>
              <w:t>&amp;</w:t>
            </w:r>
            <w:r w:rsidRPr="00773EEA">
              <w:rPr>
                <w:szCs w:val="20"/>
              </w:rPr>
              <w:t>E</w:t>
            </w:r>
          </w:p>
        </w:tc>
        <w:tc>
          <w:tcPr>
            <w:tcW w:w="8221" w:type="dxa"/>
            <w:vAlign w:val="center"/>
          </w:tcPr>
          <w:p w14:paraId="42EBC5D2" w14:textId="77C79ECB" w:rsidR="00450C03" w:rsidRPr="00773EEA" w:rsidRDefault="00450C03" w:rsidP="00ED1ED1">
            <w:pPr>
              <w:cnfStyle w:val="000000000000" w:firstRow="0" w:lastRow="0" w:firstColumn="0" w:lastColumn="0" w:oddVBand="0" w:evenVBand="0" w:oddHBand="0" w:evenHBand="0" w:firstRowFirstColumn="0" w:firstRowLastColumn="0" w:lastRowFirstColumn="0" w:lastRowLastColumn="0"/>
            </w:pPr>
            <w:r w:rsidRPr="00773EEA">
              <w:rPr>
                <w:szCs w:val="20"/>
              </w:rPr>
              <w:t>Monitoring</w:t>
            </w:r>
            <w:r w:rsidR="004855AE" w:rsidRPr="00773EEA">
              <w:rPr>
                <w:szCs w:val="20"/>
              </w:rPr>
              <w:t xml:space="preserve"> and</w:t>
            </w:r>
            <w:r w:rsidRPr="00773EEA">
              <w:rPr>
                <w:szCs w:val="20"/>
              </w:rPr>
              <w:t xml:space="preserve"> Evaluation</w:t>
            </w:r>
          </w:p>
        </w:tc>
      </w:tr>
      <w:tr w:rsidR="00773EEA" w:rsidRPr="00773EEA" w14:paraId="574F2249"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7811CA9" w14:textId="57500A29" w:rsidR="00450C03" w:rsidRPr="00773EEA" w:rsidRDefault="00450C03" w:rsidP="00ED1ED1">
            <w:r w:rsidRPr="00773EEA">
              <w:rPr>
                <w:szCs w:val="20"/>
              </w:rPr>
              <w:t>MoU</w:t>
            </w:r>
          </w:p>
        </w:tc>
        <w:tc>
          <w:tcPr>
            <w:tcW w:w="8221" w:type="dxa"/>
            <w:vAlign w:val="center"/>
          </w:tcPr>
          <w:p w14:paraId="1F35356C" w14:textId="4023C609" w:rsidR="00450C03" w:rsidRPr="00773EEA" w:rsidRDefault="00450C03" w:rsidP="00ED1ED1">
            <w:pPr>
              <w:cnfStyle w:val="000000100000" w:firstRow="0" w:lastRow="0" w:firstColumn="0" w:lastColumn="0" w:oddVBand="0" w:evenVBand="0" w:oddHBand="1" w:evenHBand="0" w:firstRowFirstColumn="0" w:firstRowLastColumn="0" w:lastRowFirstColumn="0" w:lastRowLastColumn="0"/>
            </w:pPr>
            <w:r w:rsidRPr="00773EEA">
              <w:rPr>
                <w:szCs w:val="20"/>
              </w:rPr>
              <w:t>Memorandum of Understanding</w:t>
            </w:r>
          </w:p>
        </w:tc>
      </w:tr>
      <w:tr w:rsidR="00773EEA" w:rsidRPr="00773EEA" w14:paraId="16F72A4E"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11E33140" w14:textId="353D32A0" w:rsidR="003256F4" w:rsidRPr="00773EEA" w:rsidRDefault="003256F4" w:rsidP="00ED1ED1">
            <w:r w:rsidRPr="00773EEA">
              <w:rPr>
                <w:szCs w:val="20"/>
              </w:rPr>
              <w:t>MTR</w:t>
            </w:r>
          </w:p>
        </w:tc>
        <w:tc>
          <w:tcPr>
            <w:tcW w:w="8221" w:type="dxa"/>
            <w:vAlign w:val="center"/>
          </w:tcPr>
          <w:p w14:paraId="53E518D9" w14:textId="07CBEBC3" w:rsidR="003256F4" w:rsidRPr="00773EEA" w:rsidRDefault="003256F4" w:rsidP="00ED1ED1">
            <w:pPr>
              <w:cnfStyle w:val="000000000000" w:firstRow="0" w:lastRow="0" w:firstColumn="0" w:lastColumn="0" w:oddVBand="0" w:evenVBand="0" w:oddHBand="0" w:evenHBand="0" w:firstRowFirstColumn="0" w:firstRowLastColumn="0" w:lastRowFirstColumn="0" w:lastRowLastColumn="0"/>
            </w:pPr>
            <w:r w:rsidRPr="00773EEA">
              <w:rPr>
                <w:szCs w:val="20"/>
              </w:rPr>
              <w:t>Mid-Term Review</w:t>
            </w:r>
          </w:p>
        </w:tc>
      </w:tr>
      <w:tr w:rsidR="00773EEA" w:rsidRPr="00773EEA" w14:paraId="714029FB"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DD20AF1" w14:textId="35203DD4" w:rsidR="003256F4" w:rsidRPr="00773EEA" w:rsidRDefault="003256F4" w:rsidP="00ED1ED1">
            <w:r w:rsidRPr="00773EEA">
              <w:rPr>
                <w:szCs w:val="20"/>
              </w:rPr>
              <w:t>P4I</w:t>
            </w:r>
          </w:p>
        </w:tc>
        <w:tc>
          <w:tcPr>
            <w:tcW w:w="8221" w:type="dxa"/>
            <w:vAlign w:val="center"/>
          </w:tcPr>
          <w:p w14:paraId="5DFA9558" w14:textId="30F0CB61" w:rsidR="003256F4" w:rsidRPr="00773EEA" w:rsidRDefault="003256F4" w:rsidP="00ED1ED1">
            <w:pPr>
              <w:cnfStyle w:val="000000100000" w:firstRow="0" w:lastRow="0" w:firstColumn="0" w:lastColumn="0" w:oddVBand="0" w:evenVBand="0" w:oddHBand="1" w:evenHBand="0" w:firstRowFirstColumn="0" w:firstRowLastColumn="0" w:lastRowFirstColumn="0" w:lastRowLastColumn="0"/>
            </w:pPr>
            <w:r w:rsidRPr="00773EEA">
              <w:rPr>
                <w:szCs w:val="20"/>
              </w:rPr>
              <w:t>Partnerships for Infrastructure (DFAT program)</w:t>
            </w:r>
          </w:p>
        </w:tc>
      </w:tr>
      <w:tr w:rsidR="00773EEA" w:rsidRPr="00773EEA" w14:paraId="63CD0ADF"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0638374A" w14:textId="20B70828" w:rsidR="003256F4" w:rsidRPr="00773EEA" w:rsidRDefault="003256F4" w:rsidP="00ED1ED1">
            <w:r w:rsidRPr="00773EEA">
              <w:rPr>
                <w:szCs w:val="20"/>
              </w:rPr>
              <w:t>PLSER</w:t>
            </w:r>
          </w:p>
        </w:tc>
        <w:tc>
          <w:tcPr>
            <w:tcW w:w="8221" w:type="dxa"/>
            <w:vAlign w:val="center"/>
          </w:tcPr>
          <w:p w14:paraId="35ADB387" w14:textId="0C0D0D26" w:rsidR="003256F4" w:rsidRPr="00773EEA" w:rsidRDefault="003256F4" w:rsidP="00ED1ED1">
            <w:pPr>
              <w:cnfStyle w:val="000000000000" w:firstRow="0" w:lastRow="0" w:firstColumn="0" w:lastColumn="0" w:oddVBand="0" w:evenVBand="0" w:oddHBand="0" w:evenHBand="0" w:firstRowFirstColumn="0" w:firstRowLastColumn="0" w:lastRowFirstColumn="0" w:lastRowLastColumn="0"/>
            </w:pPr>
            <w:r w:rsidRPr="00773EEA">
              <w:rPr>
                <w:szCs w:val="20"/>
              </w:rPr>
              <w:t>Program Level Self-Evaluation Report</w:t>
            </w:r>
          </w:p>
        </w:tc>
      </w:tr>
      <w:tr w:rsidR="00773EEA" w:rsidRPr="00773EEA" w14:paraId="1E5DD403"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8689A10" w14:textId="079C7A1E" w:rsidR="00E74B03" w:rsidRPr="00773EEA" w:rsidRDefault="00E74B03" w:rsidP="00ED1ED1">
            <w:pPr>
              <w:rPr>
                <w:szCs w:val="20"/>
              </w:rPr>
            </w:pPr>
            <w:r w:rsidRPr="00773EEA">
              <w:t>QPR</w:t>
            </w:r>
          </w:p>
        </w:tc>
        <w:tc>
          <w:tcPr>
            <w:tcW w:w="8221" w:type="dxa"/>
            <w:vAlign w:val="center"/>
          </w:tcPr>
          <w:p w14:paraId="1FEB3BB2" w14:textId="37711D83" w:rsidR="00E74B03" w:rsidRPr="00773EEA" w:rsidRDefault="00E74B03" w:rsidP="00ED1ED1">
            <w:pPr>
              <w:cnfStyle w:val="000000100000" w:firstRow="0" w:lastRow="0" w:firstColumn="0" w:lastColumn="0" w:oddVBand="0" w:evenVBand="0" w:oddHBand="1" w:evenHBand="0" w:firstRowFirstColumn="0" w:firstRowLastColumn="0" w:lastRowFirstColumn="0" w:lastRowLastColumn="0"/>
              <w:rPr>
                <w:szCs w:val="20"/>
              </w:rPr>
            </w:pPr>
            <w:r w:rsidRPr="00773EEA">
              <w:t>Quarterly Progress Report</w:t>
            </w:r>
          </w:p>
        </w:tc>
      </w:tr>
      <w:tr w:rsidR="00773EEA" w:rsidRPr="00773EEA" w14:paraId="7CE149C4"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6B4E063A" w14:textId="3B2610B6" w:rsidR="00292C4B" w:rsidRPr="00773EEA" w:rsidRDefault="00292C4B" w:rsidP="00ED1ED1">
            <w:pPr>
              <w:rPr>
                <w:szCs w:val="20"/>
              </w:rPr>
            </w:pPr>
            <w:proofErr w:type="spellStart"/>
            <w:r w:rsidRPr="00773EEA">
              <w:rPr>
                <w:szCs w:val="20"/>
              </w:rPr>
              <w:t>SoMe</w:t>
            </w:r>
            <w:proofErr w:type="spellEnd"/>
          </w:p>
        </w:tc>
        <w:tc>
          <w:tcPr>
            <w:tcW w:w="8221" w:type="dxa"/>
            <w:vAlign w:val="center"/>
          </w:tcPr>
          <w:p w14:paraId="2B51D190" w14:textId="4EE7FCDC" w:rsidR="00292C4B" w:rsidRPr="00773EEA" w:rsidRDefault="00292C4B"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Social Media</w:t>
            </w:r>
          </w:p>
        </w:tc>
      </w:tr>
      <w:tr w:rsidR="00773EEA" w:rsidRPr="00773EEA" w14:paraId="2052C1B6"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3FAED4B" w14:textId="0D78D6C3" w:rsidR="00DF4B67" w:rsidRPr="00773EEA" w:rsidRDefault="00DF4B67" w:rsidP="00ED1ED1">
            <w:pPr>
              <w:rPr>
                <w:szCs w:val="20"/>
              </w:rPr>
            </w:pPr>
            <w:r w:rsidRPr="00773EEA">
              <w:rPr>
                <w:szCs w:val="20"/>
              </w:rPr>
              <w:t>SURF</w:t>
            </w:r>
          </w:p>
        </w:tc>
        <w:tc>
          <w:tcPr>
            <w:tcW w:w="8221" w:type="dxa"/>
            <w:vAlign w:val="center"/>
          </w:tcPr>
          <w:p w14:paraId="2C6E4BCF" w14:textId="25324909" w:rsidR="00DF4B67" w:rsidRPr="00773EEA" w:rsidRDefault="00DF4B67" w:rsidP="00ED1ED1">
            <w:pPr>
              <w:cnfStyle w:val="000000100000" w:firstRow="0" w:lastRow="0" w:firstColumn="0" w:lastColumn="0" w:oddVBand="0" w:evenVBand="0" w:oddHBand="1" w:evenHBand="0" w:firstRowFirstColumn="0" w:firstRowLastColumn="0" w:lastRowFirstColumn="0" w:lastRowLastColumn="0"/>
              <w:rPr>
                <w:szCs w:val="20"/>
              </w:rPr>
            </w:pPr>
            <w:r w:rsidRPr="00773EEA">
              <w:rPr>
                <w:szCs w:val="20"/>
              </w:rPr>
              <w:t>Southeast Asia Urban Services Facility</w:t>
            </w:r>
          </w:p>
        </w:tc>
      </w:tr>
      <w:tr w:rsidR="00773EEA" w:rsidRPr="00773EEA" w14:paraId="4DC44068"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437217B7" w14:textId="11D648E0" w:rsidR="003201C5" w:rsidRPr="00773EEA" w:rsidRDefault="003201C5" w:rsidP="00ED1ED1">
            <w:pPr>
              <w:rPr>
                <w:szCs w:val="20"/>
              </w:rPr>
            </w:pPr>
            <w:r w:rsidRPr="00773EEA">
              <w:rPr>
                <w:szCs w:val="20"/>
              </w:rPr>
              <w:t>TAF</w:t>
            </w:r>
          </w:p>
        </w:tc>
        <w:tc>
          <w:tcPr>
            <w:tcW w:w="8221" w:type="dxa"/>
            <w:vAlign w:val="center"/>
          </w:tcPr>
          <w:p w14:paraId="0B04AF42" w14:textId="7C3F3E46" w:rsidR="003201C5" w:rsidRPr="00773EEA" w:rsidRDefault="003201C5"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The Asia Foundation</w:t>
            </w:r>
          </w:p>
        </w:tc>
      </w:tr>
      <w:tr w:rsidR="00773EEA" w:rsidRPr="00773EEA" w14:paraId="2D9238FD"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C26FC21" w14:textId="7F87F467" w:rsidR="003256F4" w:rsidRPr="00773EEA" w:rsidRDefault="003256F4" w:rsidP="00ED1ED1">
            <w:r w:rsidRPr="00773EEA">
              <w:rPr>
                <w:szCs w:val="20"/>
              </w:rPr>
              <w:t>TO</w:t>
            </w:r>
          </w:p>
        </w:tc>
        <w:tc>
          <w:tcPr>
            <w:tcW w:w="8221" w:type="dxa"/>
            <w:vAlign w:val="center"/>
          </w:tcPr>
          <w:p w14:paraId="0EA36624" w14:textId="1DB81FD6" w:rsidR="003256F4" w:rsidRPr="00773EEA" w:rsidRDefault="003256F4" w:rsidP="00ED1ED1">
            <w:pPr>
              <w:cnfStyle w:val="000000100000" w:firstRow="0" w:lastRow="0" w:firstColumn="0" w:lastColumn="0" w:oddVBand="0" w:evenVBand="0" w:oddHBand="1" w:evenHBand="0" w:firstRowFirstColumn="0" w:firstRowLastColumn="0" w:lastRowFirstColumn="0" w:lastRowLastColumn="0"/>
            </w:pPr>
            <w:r w:rsidRPr="00773EEA">
              <w:rPr>
                <w:szCs w:val="20"/>
              </w:rPr>
              <w:t>Task Order</w:t>
            </w:r>
          </w:p>
        </w:tc>
      </w:tr>
      <w:tr w:rsidR="00773EEA" w:rsidRPr="00773EEA" w14:paraId="337F5E9F"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5C706408" w14:textId="5DDE49AB" w:rsidR="003256F4" w:rsidRPr="00773EEA" w:rsidRDefault="00282D83" w:rsidP="00ED1ED1">
            <w:pPr>
              <w:rPr>
                <w:szCs w:val="20"/>
              </w:rPr>
            </w:pPr>
            <w:r w:rsidRPr="00773EEA">
              <w:rPr>
                <w:szCs w:val="20"/>
              </w:rPr>
              <w:t>TOR</w:t>
            </w:r>
          </w:p>
        </w:tc>
        <w:tc>
          <w:tcPr>
            <w:tcW w:w="8221" w:type="dxa"/>
            <w:vAlign w:val="center"/>
          </w:tcPr>
          <w:p w14:paraId="5EBA7DF7" w14:textId="6BBE2C97" w:rsidR="003256F4" w:rsidRPr="00773EEA" w:rsidRDefault="00282D83"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szCs w:val="20"/>
              </w:rPr>
              <w:t>Terms of Reference</w:t>
            </w:r>
          </w:p>
        </w:tc>
      </w:tr>
      <w:tr w:rsidR="00773EEA" w:rsidRPr="00773EEA" w14:paraId="53797E37" w14:textId="77777777" w:rsidTr="00ED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BD23D8A" w14:textId="74817A89" w:rsidR="003256F4" w:rsidRPr="00773EEA" w:rsidRDefault="00384AF8" w:rsidP="00ED1ED1">
            <w:pPr>
              <w:rPr>
                <w:szCs w:val="20"/>
              </w:rPr>
            </w:pPr>
            <w:r w:rsidRPr="00773EEA">
              <w:rPr>
                <w:szCs w:val="20"/>
              </w:rPr>
              <w:t>TTL</w:t>
            </w:r>
          </w:p>
        </w:tc>
        <w:tc>
          <w:tcPr>
            <w:tcW w:w="8221" w:type="dxa"/>
            <w:vAlign w:val="center"/>
          </w:tcPr>
          <w:p w14:paraId="7B8FB757" w14:textId="575CDF5A" w:rsidR="003256F4" w:rsidRPr="00773EEA" w:rsidRDefault="00384AF8" w:rsidP="00ED1ED1">
            <w:pPr>
              <w:cnfStyle w:val="000000100000" w:firstRow="0" w:lastRow="0" w:firstColumn="0" w:lastColumn="0" w:oddVBand="0" w:evenVBand="0" w:oddHBand="1" w:evenHBand="0" w:firstRowFirstColumn="0" w:firstRowLastColumn="0" w:lastRowFirstColumn="0" w:lastRowLastColumn="0"/>
              <w:rPr>
                <w:szCs w:val="20"/>
              </w:rPr>
            </w:pPr>
            <w:r w:rsidRPr="00773EEA">
              <w:rPr>
                <w:szCs w:val="20"/>
              </w:rPr>
              <w:t>Task Team Leader</w:t>
            </w:r>
          </w:p>
        </w:tc>
      </w:tr>
      <w:tr w:rsidR="00773EEA" w:rsidRPr="00773EEA" w14:paraId="0CDC96D3" w14:textId="77777777" w:rsidTr="00ED1ED1">
        <w:tc>
          <w:tcPr>
            <w:cnfStyle w:val="001000000000" w:firstRow="0" w:lastRow="0" w:firstColumn="1" w:lastColumn="0" w:oddVBand="0" w:evenVBand="0" w:oddHBand="0" w:evenHBand="0" w:firstRowFirstColumn="0" w:firstRowLastColumn="0" w:lastRowFirstColumn="0" w:lastRowLastColumn="0"/>
            <w:tcW w:w="1560" w:type="dxa"/>
            <w:vAlign w:val="center"/>
          </w:tcPr>
          <w:p w14:paraId="5CEEEB5A" w14:textId="6E3193B2" w:rsidR="00687406" w:rsidRPr="00773EEA" w:rsidRDefault="00E74B03" w:rsidP="00ED1ED1">
            <w:pPr>
              <w:rPr>
                <w:szCs w:val="20"/>
              </w:rPr>
            </w:pPr>
            <w:r w:rsidRPr="00773EEA">
              <w:rPr>
                <w:szCs w:val="20"/>
              </w:rPr>
              <w:t>WHO</w:t>
            </w:r>
          </w:p>
        </w:tc>
        <w:tc>
          <w:tcPr>
            <w:tcW w:w="8221" w:type="dxa"/>
            <w:vAlign w:val="center"/>
          </w:tcPr>
          <w:p w14:paraId="54C7B7A2" w14:textId="27E4A8E6" w:rsidR="00687406" w:rsidRPr="00773EEA" w:rsidRDefault="00E74B03" w:rsidP="00ED1ED1">
            <w:pPr>
              <w:cnfStyle w:val="000000000000" w:firstRow="0" w:lastRow="0" w:firstColumn="0" w:lastColumn="0" w:oddVBand="0" w:evenVBand="0" w:oddHBand="0" w:evenHBand="0" w:firstRowFirstColumn="0" w:firstRowLastColumn="0" w:lastRowFirstColumn="0" w:lastRowLastColumn="0"/>
              <w:rPr>
                <w:szCs w:val="20"/>
              </w:rPr>
            </w:pPr>
            <w:r w:rsidRPr="00773EEA">
              <w:rPr>
                <w:rFonts w:cstheme="minorHAnsi"/>
                <w:bCs/>
              </w:rPr>
              <w:t xml:space="preserve">World Health </w:t>
            </w:r>
            <w:r w:rsidR="001D52D3" w:rsidRPr="00773EEA">
              <w:rPr>
                <w:rFonts w:cstheme="minorHAnsi"/>
                <w:bCs/>
              </w:rPr>
              <w:t>Organization</w:t>
            </w:r>
          </w:p>
        </w:tc>
      </w:tr>
    </w:tbl>
    <w:p w14:paraId="79B51B49" w14:textId="34F944E1" w:rsidR="00CA404F" w:rsidRPr="00773EEA" w:rsidRDefault="00CA404F" w:rsidP="00CA404F"/>
    <w:p w14:paraId="5C4C3214" w14:textId="73E16AE3" w:rsidR="008E294F" w:rsidRPr="00773EEA" w:rsidRDefault="002B47AA" w:rsidP="00167307">
      <w:pPr>
        <w:pStyle w:val="Heading1"/>
        <w:rPr>
          <w:color w:val="auto"/>
        </w:rPr>
      </w:pPr>
      <w:bookmarkStart w:id="4" w:name="_Toc123633706"/>
      <w:r w:rsidRPr="00773EEA">
        <w:rPr>
          <w:color w:val="auto"/>
        </w:rPr>
        <w:lastRenderedPageBreak/>
        <w:t>Executive Summary</w:t>
      </w:r>
      <w:bookmarkEnd w:id="4"/>
    </w:p>
    <w:p w14:paraId="1AACB3DD" w14:textId="24BF703A" w:rsidR="00A4571F" w:rsidRPr="00773EEA" w:rsidRDefault="00A219CD" w:rsidP="00B64A33">
      <w:pPr>
        <w:spacing w:before="240"/>
        <w:rPr>
          <w:rStyle w:val="BookTitle"/>
          <w:rFonts w:asciiTheme="majorHAnsi" w:hAnsiTheme="majorHAnsi"/>
          <w:color w:val="auto"/>
        </w:rPr>
      </w:pPr>
      <w:r w:rsidRPr="00773EEA">
        <w:rPr>
          <w:rStyle w:val="BookTitle"/>
          <w:rFonts w:asciiTheme="majorHAnsi" w:hAnsiTheme="majorHAnsi"/>
          <w:color w:val="auto"/>
        </w:rPr>
        <w:t>Overview of the AASCTF</w:t>
      </w:r>
      <w:r w:rsidR="00077BE0" w:rsidRPr="00773EEA">
        <w:rPr>
          <w:rStyle w:val="BookTitle"/>
          <w:rFonts w:asciiTheme="majorHAnsi" w:hAnsiTheme="majorHAnsi"/>
          <w:color w:val="auto"/>
        </w:rPr>
        <w:t xml:space="preserve"> and p</w:t>
      </w:r>
      <w:r w:rsidR="00A4571F" w:rsidRPr="00773EEA">
        <w:rPr>
          <w:rStyle w:val="BookTitle"/>
          <w:rFonts w:asciiTheme="majorHAnsi" w:hAnsiTheme="majorHAnsi"/>
          <w:color w:val="auto"/>
        </w:rPr>
        <w:t>urpose of the MTR</w:t>
      </w:r>
    </w:p>
    <w:p w14:paraId="48FBB61D" w14:textId="136E8F83" w:rsidR="002C089F" w:rsidRPr="00773EEA" w:rsidRDefault="003A2696" w:rsidP="00DD1B1D">
      <w:pPr>
        <w:spacing w:after="100" w:line="257" w:lineRule="auto"/>
        <w:jc w:val="both"/>
        <w:rPr>
          <w:rFonts w:cstheme="minorHAnsi"/>
          <w:bCs/>
        </w:rPr>
      </w:pPr>
      <w:r w:rsidRPr="00773EEA">
        <w:t>T</w:t>
      </w:r>
      <w:r w:rsidR="00A4571F" w:rsidRPr="00773EEA">
        <w:t xml:space="preserve">he </w:t>
      </w:r>
      <w:r w:rsidR="002715B9" w:rsidRPr="00773EEA">
        <w:t>ASEAN Australia Smart Cities Trust Fund (AASCTF)</w:t>
      </w:r>
      <w:r w:rsidR="008259EE" w:rsidRPr="00773EEA">
        <w:t xml:space="preserve"> is</w:t>
      </w:r>
      <w:r w:rsidR="002715B9" w:rsidRPr="00773EEA">
        <w:t xml:space="preserve"> a five-year, AU$20m initiative, funded by the Australia </w:t>
      </w:r>
      <w:r w:rsidRPr="00773EEA">
        <w:t xml:space="preserve">Department of Foreign Affairs and Trade (DFAT) </w:t>
      </w:r>
      <w:r w:rsidR="002715B9" w:rsidRPr="00773EEA">
        <w:t xml:space="preserve">and managed by </w:t>
      </w:r>
      <w:r w:rsidR="008259EE" w:rsidRPr="00773EEA">
        <w:t xml:space="preserve">the </w:t>
      </w:r>
      <w:r w:rsidR="002715B9" w:rsidRPr="00773EEA">
        <w:t>Asian Development Bank (ADB)</w:t>
      </w:r>
      <w:r w:rsidR="00D33340" w:rsidRPr="00773EEA">
        <w:t>. Running</w:t>
      </w:r>
      <w:r w:rsidR="00BE4B9D" w:rsidRPr="00773EEA">
        <w:t xml:space="preserve"> from </w:t>
      </w:r>
      <w:r w:rsidR="00720A1C" w:rsidRPr="00773EEA">
        <w:t xml:space="preserve">April </w:t>
      </w:r>
      <w:r w:rsidR="00BE4B9D" w:rsidRPr="00773EEA">
        <w:t>201</w:t>
      </w:r>
      <w:r w:rsidR="00720A1C" w:rsidRPr="00773EEA">
        <w:t>9</w:t>
      </w:r>
      <w:r w:rsidR="00BE4B9D" w:rsidRPr="00773EEA">
        <w:t xml:space="preserve"> until </w:t>
      </w:r>
      <w:r w:rsidR="00720A1C" w:rsidRPr="00773EEA">
        <w:t xml:space="preserve">June </w:t>
      </w:r>
      <w:r w:rsidR="00BE4B9D" w:rsidRPr="00773EEA">
        <w:t>2024</w:t>
      </w:r>
      <w:r w:rsidR="00D33340" w:rsidRPr="00773EEA">
        <w:t>, t</w:t>
      </w:r>
      <w:r w:rsidR="00077BE0" w:rsidRPr="00773EEA">
        <w:rPr>
          <w:rFonts w:cstheme="minorHAnsi"/>
          <w:bCs/>
        </w:rPr>
        <w:t xml:space="preserve">he overarching objective of the AASCTF is to improve </w:t>
      </w:r>
      <w:r w:rsidR="002970A5" w:rsidRPr="00773EEA">
        <w:rPr>
          <w:rFonts w:cstheme="minorHAnsi"/>
          <w:bCs/>
        </w:rPr>
        <w:t xml:space="preserve">city-level </w:t>
      </w:r>
      <w:r w:rsidR="00077BE0" w:rsidRPr="00773EEA">
        <w:rPr>
          <w:rFonts w:cstheme="minorHAnsi"/>
          <w:bCs/>
        </w:rPr>
        <w:t xml:space="preserve">systems and governance </w:t>
      </w:r>
      <w:r w:rsidR="002970A5" w:rsidRPr="00773EEA">
        <w:rPr>
          <w:rFonts w:cstheme="minorHAnsi"/>
          <w:bCs/>
        </w:rPr>
        <w:t>through</w:t>
      </w:r>
      <w:r w:rsidR="00077BE0" w:rsidRPr="00773EEA">
        <w:rPr>
          <w:rFonts w:cstheme="minorHAnsi"/>
          <w:bCs/>
        </w:rPr>
        <w:t xml:space="preserve"> digital solutions in ASEAN Member States. </w:t>
      </w:r>
      <w:r w:rsidR="007F5CD8" w:rsidRPr="00773EEA">
        <w:rPr>
          <w:rFonts w:cstheme="minorHAnsi"/>
          <w:bCs/>
        </w:rPr>
        <w:t>To achieve this, the program aims to enable the development of liveable cities that are green, competitive, inclusive, and resilient, promoting high quality of life for citizens, competitive economies, and sustainable environments.</w:t>
      </w:r>
      <w:r w:rsidRPr="00773EEA">
        <w:rPr>
          <w:rFonts w:cstheme="minorHAnsi"/>
          <w:bCs/>
        </w:rPr>
        <w:t xml:space="preserve"> The key end of investment outcomes</w:t>
      </w:r>
      <w:r w:rsidR="00BE3E3A" w:rsidRPr="00773EEA">
        <w:rPr>
          <w:rFonts w:cstheme="minorHAnsi"/>
          <w:bCs/>
        </w:rPr>
        <w:t xml:space="preserve"> (EOIOs)</w:t>
      </w:r>
      <w:r w:rsidRPr="00773EEA">
        <w:rPr>
          <w:rFonts w:cstheme="minorHAnsi"/>
          <w:bCs/>
        </w:rPr>
        <w:t xml:space="preserve"> </w:t>
      </w:r>
      <w:proofErr w:type="gramStart"/>
      <w:r w:rsidRPr="00773EEA">
        <w:rPr>
          <w:rFonts w:cstheme="minorHAnsi"/>
          <w:bCs/>
        </w:rPr>
        <w:t>are</w:t>
      </w:r>
      <w:proofErr w:type="gramEnd"/>
      <w:r w:rsidRPr="00773EEA">
        <w:rPr>
          <w:rFonts w:cstheme="minorHAnsi"/>
          <w:bCs/>
        </w:rPr>
        <w:t>: 1) improved planning systems; 2) improved service delivery; and 3) improved financial management.</w:t>
      </w:r>
    </w:p>
    <w:p w14:paraId="200FF8C5" w14:textId="6F374182" w:rsidR="00394552" w:rsidRPr="00773EEA" w:rsidRDefault="007F5CD8" w:rsidP="00DD1B1D">
      <w:pPr>
        <w:spacing w:after="100" w:line="257" w:lineRule="auto"/>
        <w:jc w:val="both"/>
        <w:rPr>
          <w:rFonts w:cstheme="minorHAnsi"/>
          <w:bCs/>
        </w:rPr>
      </w:pPr>
      <w:r w:rsidRPr="00773EEA">
        <w:rPr>
          <w:rFonts w:cstheme="minorHAnsi"/>
          <w:bCs/>
        </w:rPr>
        <w:t>The AASCTF is being implemented in 24 cities in Cambodia, Indonesia, Lao</w:t>
      </w:r>
      <w:r w:rsidR="00D76797" w:rsidRPr="00773EEA">
        <w:rPr>
          <w:rFonts w:cstheme="minorHAnsi"/>
          <w:bCs/>
        </w:rPr>
        <w:t xml:space="preserve"> PDR</w:t>
      </w:r>
      <w:r w:rsidRPr="00773EEA">
        <w:rPr>
          <w:rFonts w:cstheme="minorHAnsi"/>
          <w:bCs/>
        </w:rPr>
        <w:t xml:space="preserve">, Malaysia, Myanmar, Philippines, Thailand, and Vietnam. All the cities participate in Bronze-level influencing and training activities, while there are 11 Silver </w:t>
      </w:r>
      <w:r w:rsidR="00E80F19" w:rsidRPr="00773EEA">
        <w:rPr>
          <w:rFonts w:cstheme="minorHAnsi"/>
          <w:bCs/>
        </w:rPr>
        <w:t xml:space="preserve">tier </w:t>
      </w:r>
      <w:r w:rsidRPr="00773EEA">
        <w:rPr>
          <w:rFonts w:cstheme="minorHAnsi"/>
          <w:bCs/>
        </w:rPr>
        <w:t xml:space="preserve">cities, and it is envisaged that three of these will eventually become </w:t>
      </w:r>
      <w:proofErr w:type="gramStart"/>
      <w:r w:rsidRPr="00773EEA">
        <w:rPr>
          <w:rFonts w:cstheme="minorHAnsi"/>
          <w:bCs/>
        </w:rPr>
        <w:t>Gold</w:t>
      </w:r>
      <w:proofErr w:type="gramEnd"/>
      <w:r w:rsidRPr="00773EEA">
        <w:rPr>
          <w:rFonts w:cstheme="minorHAnsi"/>
          <w:bCs/>
        </w:rPr>
        <w:t xml:space="preserve"> tier cities, receiving targeted AASCTF investment to further realise their smart city ambitions. </w:t>
      </w:r>
      <w:r w:rsidR="00394552" w:rsidRPr="00773EEA">
        <w:rPr>
          <w:rFonts w:cstheme="minorHAnsi"/>
          <w:bCs/>
        </w:rPr>
        <w:t>ADB has engaged Ramboll as the main implementing partner, while other individuals and firms are engaged directly via single source procurement methods such as Direct Charge and Resource Persons contracts, to implement smaller components of the program.</w:t>
      </w:r>
    </w:p>
    <w:p w14:paraId="64897493" w14:textId="0373FCCA" w:rsidR="007E5796" w:rsidRPr="00773EEA" w:rsidRDefault="001B7D97" w:rsidP="00DD1B1D">
      <w:pPr>
        <w:spacing w:after="100" w:line="257" w:lineRule="auto"/>
        <w:jc w:val="both"/>
      </w:pPr>
      <w:r w:rsidRPr="00773EEA">
        <w:t xml:space="preserve">In April 2022, </w:t>
      </w:r>
      <w:r w:rsidR="00D33340" w:rsidRPr="00773EEA">
        <w:t>DFAT</w:t>
      </w:r>
      <w:r w:rsidR="003A2696" w:rsidRPr="00773EEA">
        <w:t xml:space="preserve"> commissioned Adam Smith International (ASI) to conduct </w:t>
      </w:r>
      <w:r w:rsidR="00296BF0" w:rsidRPr="00773EEA">
        <w:t xml:space="preserve">a </w:t>
      </w:r>
      <w:r w:rsidR="003A2696" w:rsidRPr="00773EEA">
        <w:t>Mid</w:t>
      </w:r>
      <w:r w:rsidR="008259EE" w:rsidRPr="00773EEA">
        <w:t>-</w:t>
      </w:r>
      <w:r w:rsidR="003A2696" w:rsidRPr="00773EEA">
        <w:t>Term Review (MTR) of</w:t>
      </w:r>
      <w:r w:rsidR="00D33340" w:rsidRPr="00773EEA">
        <w:t xml:space="preserve"> </w:t>
      </w:r>
      <w:r w:rsidR="00296BF0" w:rsidRPr="00773EEA">
        <w:t xml:space="preserve">the </w:t>
      </w:r>
      <w:r w:rsidR="00D33340" w:rsidRPr="00773EEA">
        <w:t>AASCTF</w:t>
      </w:r>
      <w:r w:rsidRPr="00773EEA">
        <w:t xml:space="preserve">. </w:t>
      </w:r>
      <w:r w:rsidR="007E5796" w:rsidRPr="00773EEA">
        <w:t>The overall purpose of the MTR is to facilitate program improvement, including an assessment of the program’s effectiveness and efficiency of program management arrangements. This Report assesses progress towards outcomes, reviews lessons learned and makes recommendations to improve program implementation. It draws on an expansive desk review, program participant interviews and a survey.</w:t>
      </w:r>
    </w:p>
    <w:p w14:paraId="7EF712AE" w14:textId="4866DFB3" w:rsidR="00ED6475" w:rsidRPr="00773EEA" w:rsidRDefault="00AD3F51" w:rsidP="00B7602B">
      <w:pPr>
        <w:spacing w:before="180"/>
        <w:rPr>
          <w:rStyle w:val="BookTitle"/>
          <w:rFonts w:asciiTheme="majorHAnsi" w:hAnsiTheme="majorHAnsi"/>
          <w:color w:val="auto"/>
        </w:rPr>
      </w:pPr>
      <w:r w:rsidRPr="00773EEA">
        <w:rPr>
          <w:rStyle w:val="BookTitle"/>
          <w:rFonts w:asciiTheme="majorHAnsi" w:hAnsiTheme="majorHAnsi"/>
          <w:color w:val="auto"/>
        </w:rPr>
        <w:t xml:space="preserve">Key </w:t>
      </w:r>
      <w:r w:rsidR="00ED6475" w:rsidRPr="00773EEA">
        <w:rPr>
          <w:rStyle w:val="BookTitle"/>
          <w:rFonts w:asciiTheme="majorHAnsi" w:hAnsiTheme="majorHAnsi"/>
          <w:color w:val="auto"/>
        </w:rPr>
        <w:t>Findings</w:t>
      </w:r>
    </w:p>
    <w:p w14:paraId="021BD0D6" w14:textId="39E342C2" w:rsidR="00ED6475" w:rsidRPr="00773EEA" w:rsidRDefault="00802DFF" w:rsidP="002B47AA">
      <w:pPr>
        <w:rPr>
          <w:rStyle w:val="BookTitle"/>
          <w:rFonts w:asciiTheme="majorHAnsi" w:hAnsiTheme="majorHAnsi"/>
          <w:b w:val="0"/>
          <w:bCs w:val="0"/>
          <w:i/>
          <w:iCs w:val="0"/>
          <w:color w:val="auto"/>
        </w:rPr>
      </w:pPr>
      <w:r w:rsidRPr="00773EEA">
        <w:rPr>
          <w:rStyle w:val="BookTitle"/>
          <w:rFonts w:asciiTheme="majorHAnsi" w:hAnsiTheme="majorHAnsi"/>
          <w:b w:val="0"/>
          <w:bCs w:val="0"/>
          <w:i/>
          <w:iCs w:val="0"/>
          <w:color w:val="auto"/>
        </w:rPr>
        <w:t>KEQ1: How likely and to what extent is AASCTF expected to achieve the objectives of the program?</w:t>
      </w:r>
    </w:p>
    <w:p w14:paraId="117EA284" w14:textId="77777777" w:rsidR="004F753A" w:rsidRPr="00773EEA" w:rsidRDefault="00A4571F" w:rsidP="00DD1B1D">
      <w:pPr>
        <w:spacing w:after="100" w:line="257" w:lineRule="auto"/>
        <w:jc w:val="both"/>
        <w:rPr>
          <w:rFonts w:eastAsia="Arial" w:cs="Arial"/>
          <w:szCs w:val="20"/>
        </w:rPr>
      </w:pPr>
      <w:r w:rsidRPr="00773EEA">
        <w:rPr>
          <w:rFonts w:eastAsia="Arial" w:cs="Arial"/>
          <w:szCs w:val="20"/>
        </w:rPr>
        <w:t xml:space="preserve">Overall, the AASCTF is on track to meet its objectives in the first two thematic pillars of urban planning and service delivery, implementing a range of </w:t>
      </w:r>
      <w:r w:rsidR="00AD3F51" w:rsidRPr="00773EEA">
        <w:rPr>
          <w:rFonts w:eastAsia="Arial" w:cs="Arial"/>
          <w:szCs w:val="20"/>
        </w:rPr>
        <w:t>S</w:t>
      </w:r>
      <w:r w:rsidRPr="00773EEA">
        <w:rPr>
          <w:rFonts w:eastAsia="Arial" w:cs="Arial"/>
          <w:szCs w:val="20"/>
        </w:rPr>
        <w:t xml:space="preserve">ilver-level </w:t>
      </w:r>
      <w:r w:rsidR="00210661" w:rsidRPr="00773EEA">
        <w:rPr>
          <w:rFonts w:eastAsia="Arial" w:cs="Arial"/>
          <w:szCs w:val="20"/>
        </w:rPr>
        <w:t>Task Order</w:t>
      </w:r>
      <w:r w:rsidR="008259EE" w:rsidRPr="00773EEA">
        <w:rPr>
          <w:rFonts w:eastAsia="Arial" w:cs="Arial"/>
          <w:szCs w:val="20"/>
        </w:rPr>
        <w:t>s</w:t>
      </w:r>
      <w:r w:rsidR="00210661" w:rsidRPr="00773EEA">
        <w:rPr>
          <w:rFonts w:eastAsia="Arial" w:cs="Arial"/>
          <w:szCs w:val="20"/>
        </w:rPr>
        <w:t xml:space="preserve"> (</w:t>
      </w:r>
      <w:r w:rsidRPr="00773EEA">
        <w:rPr>
          <w:rFonts w:eastAsia="Arial" w:cs="Arial"/>
          <w:szCs w:val="20"/>
        </w:rPr>
        <w:t>TOs</w:t>
      </w:r>
      <w:r w:rsidR="00210661" w:rsidRPr="00773EEA">
        <w:rPr>
          <w:rFonts w:eastAsia="Arial" w:cs="Arial"/>
          <w:szCs w:val="20"/>
        </w:rPr>
        <w:t>)</w:t>
      </w:r>
      <w:r w:rsidRPr="00773EEA">
        <w:rPr>
          <w:rFonts w:eastAsia="Arial" w:cs="Arial"/>
          <w:szCs w:val="20"/>
        </w:rPr>
        <w:t xml:space="preserve"> and supported by relevant influencing activities</w:t>
      </w:r>
      <w:r w:rsidR="00B04CEA" w:rsidRPr="00773EEA">
        <w:rPr>
          <w:rFonts w:eastAsia="Arial" w:cs="Arial"/>
          <w:szCs w:val="20"/>
        </w:rPr>
        <w:t>,</w:t>
      </w:r>
      <w:r w:rsidRPr="00773EEA">
        <w:rPr>
          <w:rFonts w:eastAsia="Arial" w:cs="Arial"/>
          <w:szCs w:val="20"/>
        </w:rPr>
        <w:t xml:space="preserve"> such as webinars and more in-depth capacity development delivered </w:t>
      </w:r>
      <w:r w:rsidR="00B04CEA" w:rsidRPr="00773EEA">
        <w:rPr>
          <w:rFonts w:eastAsia="Arial" w:cs="Arial"/>
          <w:szCs w:val="20"/>
        </w:rPr>
        <w:t>via</w:t>
      </w:r>
      <w:r w:rsidRPr="00773EEA">
        <w:rPr>
          <w:rFonts w:eastAsia="Arial" w:cs="Arial"/>
          <w:szCs w:val="20"/>
        </w:rPr>
        <w:t xml:space="preserve"> TO-08 and TO-09. Good progress has been made on developing digital solutions that meet relevant targets in the Design and Management Framework (DMF), such as enhanced climate resilience in Baguio</w:t>
      </w:r>
      <w:r w:rsidR="00E21A61" w:rsidRPr="00773EEA">
        <w:rPr>
          <w:rFonts w:eastAsia="Arial" w:cs="Arial"/>
          <w:szCs w:val="20"/>
        </w:rPr>
        <w:t>, Philippines</w:t>
      </w:r>
      <w:r w:rsidRPr="00773EEA">
        <w:rPr>
          <w:rFonts w:eastAsia="Arial" w:cs="Arial"/>
          <w:szCs w:val="20"/>
        </w:rPr>
        <w:t xml:space="preserve"> (TO-02). </w:t>
      </w:r>
    </w:p>
    <w:p w14:paraId="4349A133" w14:textId="6722C18F" w:rsidR="00A4571F" w:rsidRPr="00773EEA" w:rsidRDefault="00A4571F" w:rsidP="00DE15CB">
      <w:pPr>
        <w:spacing w:after="100" w:line="257" w:lineRule="auto"/>
        <w:jc w:val="both"/>
      </w:pPr>
      <w:r w:rsidRPr="00773EEA">
        <w:rPr>
          <w:rFonts w:eastAsia="Arial" w:cs="Arial"/>
          <w:szCs w:val="20"/>
        </w:rPr>
        <w:t xml:space="preserve">However, </w:t>
      </w:r>
      <w:r w:rsidR="00FB4BF4" w:rsidRPr="00773EEA">
        <w:rPr>
          <w:rFonts w:eastAsia="Arial" w:cs="Arial"/>
          <w:szCs w:val="20"/>
        </w:rPr>
        <w:t xml:space="preserve">AASCTF </w:t>
      </w:r>
      <w:r w:rsidRPr="00773EEA">
        <w:rPr>
          <w:rFonts w:eastAsia="Arial" w:cs="Arial"/>
          <w:szCs w:val="20"/>
        </w:rPr>
        <w:t xml:space="preserve">is not on track to meet its objectives </w:t>
      </w:r>
      <w:r w:rsidR="00FB4BF4" w:rsidRPr="00773EEA">
        <w:rPr>
          <w:rFonts w:eastAsia="Arial" w:cs="Arial"/>
          <w:szCs w:val="20"/>
        </w:rPr>
        <w:t>under</w:t>
      </w:r>
      <w:r w:rsidRPr="00773EEA">
        <w:rPr>
          <w:rFonts w:eastAsia="Arial" w:cs="Arial"/>
          <w:szCs w:val="20"/>
        </w:rPr>
        <w:t xml:space="preserve"> the financial management</w:t>
      </w:r>
      <w:r w:rsidR="00CD46D5" w:rsidRPr="00773EEA">
        <w:rPr>
          <w:rFonts w:eastAsia="Arial" w:cs="Arial"/>
          <w:szCs w:val="20"/>
        </w:rPr>
        <w:t xml:space="preserve"> pillar</w:t>
      </w:r>
      <w:r w:rsidRPr="00773EEA">
        <w:rPr>
          <w:rFonts w:eastAsia="Arial" w:cs="Arial"/>
          <w:szCs w:val="20"/>
        </w:rPr>
        <w:t>. While some of the TOs such as</w:t>
      </w:r>
      <w:r w:rsidR="00B64A33" w:rsidRPr="00773EEA">
        <w:rPr>
          <w:rFonts w:eastAsia="Arial" w:cs="Arial"/>
          <w:szCs w:val="20"/>
        </w:rPr>
        <w:t xml:space="preserve"> </w:t>
      </w:r>
      <w:r w:rsidRPr="00773EEA">
        <w:rPr>
          <w:rFonts w:eastAsia="Arial" w:cs="Arial"/>
          <w:szCs w:val="20"/>
        </w:rPr>
        <w:t>Makassar</w:t>
      </w:r>
      <w:r w:rsidR="00FB4BF4" w:rsidRPr="00773EEA">
        <w:rPr>
          <w:rFonts w:eastAsia="Arial" w:cs="Arial"/>
          <w:szCs w:val="20"/>
        </w:rPr>
        <w:t>, Indonesia</w:t>
      </w:r>
      <w:r w:rsidRPr="00773EEA">
        <w:rPr>
          <w:rFonts w:eastAsia="Arial" w:cs="Arial"/>
          <w:szCs w:val="20"/>
        </w:rPr>
        <w:t xml:space="preserve"> (TO-01), Battambang</w:t>
      </w:r>
      <w:r w:rsidR="00FB4BF4" w:rsidRPr="00773EEA">
        <w:rPr>
          <w:rFonts w:eastAsia="Arial" w:cs="Arial"/>
          <w:szCs w:val="20"/>
        </w:rPr>
        <w:t>, Cambodia</w:t>
      </w:r>
      <w:r w:rsidRPr="00773EEA">
        <w:rPr>
          <w:rFonts w:eastAsia="Arial" w:cs="Arial"/>
          <w:szCs w:val="20"/>
        </w:rPr>
        <w:t xml:space="preserve"> (TO-07) and Chonburi/EEC</w:t>
      </w:r>
      <w:r w:rsidR="00FB4BF4" w:rsidRPr="00773EEA">
        <w:rPr>
          <w:rFonts w:eastAsia="Arial" w:cs="Arial"/>
          <w:szCs w:val="20"/>
        </w:rPr>
        <w:t>, Thailand</w:t>
      </w:r>
      <w:r w:rsidRPr="00773EEA">
        <w:rPr>
          <w:rFonts w:eastAsia="Arial" w:cs="Arial"/>
          <w:szCs w:val="20"/>
        </w:rPr>
        <w:t xml:space="preserve"> (TO-11)</w:t>
      </w:r>
      <w:r w:rsidR="00057394" w:rsidRPr="00773EEA">
        <w:rPr>
          <w:rFonts w:eastAsia="Arial" w:cs="Arial"/>
          <w:szCs w:val="20"/>
        </w:rPr>
        <w:t xml:space="preserve"> </w:t>
      </w:r>
      <w:r w:rsidRPr="00773EEA">
        <w:rPr>
          <w:rFonts w:eastAsia="Arial" w:cs="Arial"/>
          <w:szCs w:val="20"/>
        </w:rPr>
        <w:t xml:space="preserve">are focused on financial management, there </w:t>
      </w:r>
      <w:r w:rsidR="00192C2C" w:rsidRPr="00773EEA">
        <w:rPr>
          <w:rFonts w:eastAsia="Arial" w:cs="Arial"/>
          <w:szCs w:val="20"/>
        </w:rPr>
        <w:t>appears</w:t>
      </w:r>
      <w:r w:rsidRPr="00773EEA">
        <w:rPr>
          <w:rFonts w:eastAsia="Arial" w:cs="Arial"/>
          <w:szCs w:val="20"/>
        </w:rPr>
        <w:t xml:space="preserve"> to be </w:t>
      </w:r>
      <w:r w:rsidR="00192C2C" w:rsidRPr="00773EEA">
        <w:rPr>
          <w:rFonts w:eastAsia="Arial" w:cs="Arial"/>
          <w:szCs w:val="20"/>
        </w:rPr>
        <w:t>in</w:t>
      </w:r>
      <w:r w:rsidRPr="00773EEA">
        <w:rPr>
          <w:rFonts w:eastAsia="Arial" w:cs="Arial"/>
          <w:szCs w:val="20"/>
        </w:rPr>
        <w:t xml:space="preserve">sufficient </w:t>
      </w:r>
      <w:r w:rsidR="00192C2C" w:rsidRPr="00773EEA">
        <w:rPr>
          <w:rFonts w:eastAsia="Arial" w:cs="Arial"/>
          <w:szCs w:val="20"/>
        </w:rPr>
        <w:t>residual</w:t>
      </w:r>
      <w:r w:rsidRPr="00773EEA">
        <w:rPr>
          <w:rFonts w:eastAsia="Arial" w:cs="Arial"/>
          <w:szCs w:val="20"/>
        </w:rPr>
        <w:t xml:space="preserve"> budget </w:t>
      </w:r>
      <w:r w:rsidR="0085475D" w:rsidRPr="00773EEA">
        <w:rPr>
          <w:rFonts w:eastAsia="Arial" w:cs="Arial"/>
          <w:szCs w:val="20"/>
        </w:rPr>
        <w:t>remaining</w:t>
      </w:r>
      <w:r w:rsidRPr="00773EEA">
        <w:rPr>
          <w:rFonts w:eastAsia="Arial" w:cs="Arial"/>
          <w:szCs w:val="20"/>
        </w:rPr>
        <w:t xml:space="preserve"> in the Ramboll-managed component of AASCTF to address this comprehensively. </w:t>
      </w:r>
    </w:p>
    <w:p w14:paraId="7A6A289C" w14:textId="77777777" w:rsidR="004F753A" w:rsidRPr="00773EEA" w:rsidRDefault="00A4571F" w:rsidP="00DD1B1D">
      <w:pPr>
        <w:spacing w:after="100" w:line="257" w:lineRule="auto"/>
        <w:jc w:val="both"/>
        <w:rPr>
          <w:rFonts w:eastAsia="Arial" w:cs="Arial"/>
          <w:szCs w:val="20"/>
        </w:rPr>
      </w:pPr>
      <w:r w:rsidRPr="00773EEA">
        <w:rPr>
          <w:rFonts w:eastAsia="Arial" w:cs="Arial"/>
          <w:szCs w:val="20"/>
        </w:rPr>
        <w:t>In the design and implementation of the A</w:t>
      </w:r>
      <w:r w:rsidR="00DC210C" w:rsidRPr="00773EEA">
        <w:rPr>
          <w:rFonts w:eastAsia="Arial" w:cs="Arial"/>
          <w:szCs w:val="20"/>
        </w:rPr>
        <w:t>A</w:t>
      </w:r>
      <w:r w:rsidRPr="00773EEA">
        <w:rPr>
          <w:rFonts w:eastAsia="Arial" w:cs="Arial"/>
          <w:szCs w:val="20"/>
        </w:rPr>
        <w:t xml:space="preserve">SCTF, the three cross-cutting </w:t>
      </w:r>
      <w:r w:rsidR="00E32F84" w:rsidRPr="00773EEA">
        <w:rPr>
          <w:rFonts w:eastAsia="Arial" w:cs="Arial"/>
          <w:szCs w:val="20"/>
        </w:rPr>
        <w:t>themes</w:t>
      </w:r>
      <w:r w:rsidRPr="00773EEA">
        <w:rPr>
          <w:rFonts w:eastAsia="Arial" w:cs="Arial"/>
          <w:szCs w:val="20"/>
        </w:rPr>
        <w:t xml:space="preserve"> of </w:t>
      </w:r>
      <w:r w:rsidR="0086417E" w:rsidRPr="00773EEA">
        <w:rPr>
          <w:rFonts w:eastAsia="Arial" w:cs="Arial"/>
          <w:szCs w:val="20"/>
        </w:rPr>
        <w:t>Gender Equality and Social Inclusion (</w:t>
      </w:r>
      <w:r w:rsidRPr="00773EEA">
        <w:rPr>
          <w:rFonts w:eastAsia="Arial" w:cs="Arial"/>
          <w:szCs w:val="20"/>
        </w:rPr>
        <w:t>GESI</w:t>
      </w:r>
      <w:r w:rsidR="0086417E" w:rsidRPr="00773EEA">
        <w:rPr>
          <w:rFonts w:eastAsia="Arial" w:cs="Arial"/>
          <w:szCs w:val="20"/>
        </w:rPr>
        <w:t>)</w:t>
      </w:r>
      <w:r w:rsidRPr="00773EEA">
        <w:rPr>
          <w:rFonts w:eastAsia="Arial" w:cs="Arial"/>
          <w:szCs w:val="20"/>
        </w:rPr>
        <w:t xml:space="preserve">, climate change and private sector engagement have been </w:t>
      </w:r>
      <w:r w:rsidR="00E32F84" w:rsidRPr="00773EEA">
        <w:rPr>
          <w:rFonts w:eastAsia="Arial" w:cs="Arial"/>
          <w:szCs w:val="20"/>
        </w:rPr>
        <w:t>integrated</w:t>
      </w:r>
      <w:r w:rsidRPr="00773EEA">
        <w:rPr>
          <w:rFonts w:eastAsia="Arial" w:cs="Arial"/>
          <w:szCs w:val="20"/>
        </w:rPr>
        <w:t xml:space="preserve"> </w:t>
      </w:r>
      <w:r w:rsidR="001B53E8" w:rsidRPr="00773EEA">
        <w:rPr>
          <w:rFonts w:eastAsia="Arial" w:cs="Arial"/>
          <w:szCs w:val="20"/>
        </w:rPr>
        <w:t>with</w:t>
      </w:r>
      <w:r w:rsidRPr="00773EEA">
        <w:rPr>
          <w:rFonts w:eastAsia="Arial" w:cs="Arial"/>
          <w:szCs w:val="20"/>
        </w:rPr>
        <w:t xml:space="preserve"> varying degrees</w:t>
      </w:r>
      <w:r w:rsidR="001B53E8" w:rsidRPr="00773EEA">
        <w:rPr>
          <w:rFonts w:eastAsia="Arial" w:cs="Arial"/>
          <w:szCs w:val="20"/>
        </w:rPr>
        <w:t xml:space="preserve"> of success</w:t>
      </w:r>
      <w:r w:rsidRPr="00773EEA">
        <w:rPr>
          <w:rFonts w:eastAsia="Arial" w:cs="Arial"/>
          <w:szCs w:val="20"/>
        </w:rPr>
        <w:t xml:space="preserve">. </w:t>
      </w:r>
      <w:r w:rsidR="00C62C5A" w:rsidRPr="00773EEA">
        <w:t>There are specific GESI targets and output and outcome indicators for each functional area in the program’s DMF. The Annual Progress Report submitted to DFAT in December 2021 indicated progress towards 2 out of 3 GESI targets for planning, but no progress on service delivery and financial management targets</w:t>
      </w:r>
      <w:r w:rsidR="00BB753F" w:rsidRPr="00773EEA">
        <w:t xml:space="preserve">, </w:t>
      </w:r>
      <w:r w:rsidR="00EE74B6" w:rsidRPr="00773EEA">
        <w:t>which Ramboll advised was because service delivery and financial management influencing and implementing activities were only in early stages at the end of 2021</w:t>
      </w:r>
      <w:r w:rsidR="00BB753F" w:rsidRPr="00773EEA">
        <w:t xml:space="preserve">. </w:t>
      </w:r>
      <w:r w:rsidR="00C62C5A" w:rsidRPr="00773EEA">
        <w:t>KEQ 3 assesses progress towards GESI outcomes in more detail.</w:t>
      </w:r>
      <w:r w:rsidRPr="00773EEA">
        <w:rPr>
          <w:rFonts w:eastAsia="Arial" w:cs="Arial"/>
          <w:szCs w:val="20"/>
        </w:rPr>
        <w:t xml:space="preserve"> </w:t>
      </w:r>
    </w:p>
    <w:p w14:paraId="51772408" w14:textId="0F6A41C7" w:rsidR="00693725" w:rsidRPr="00773EEA" w:rsidRDefault="00A4571F" w:rsidP="00DD1B1D">
      <w:pPr>
        <w:spacing w:after="100" w:line="257" w:lineRule="auto"/>
        <w:jc w:val="both"/>
        <w:rPr>
          <w:rFonts w:eastAsia="Arial" w:cs="Arial"/>
          <w:szCs w:val="20"/>
        </w:rPr>
      </w:pPr>
      <w:r w:rsidRPr="00773EEA">
        <w:rPr>
          <w:rFonts w:eastAsia="Arial" w:cs="Arial"/>
          <w:szCs w:val="20"/>
        </w:rPr>
        <w:t xml:space="preserve">Climate change also informs several indicators in the DMF and is generally well-integrated across the program. </w:t>
      </w:r>
      <w:r w:rsidR="007C7744" w:rsidRPr="00773EEA">
        <w:rPr>
          <w:rFonts w:eastAsia="Arial" w:cs="Arial"/>
          <w:szCs w:val="20"/>
        </w:rPr>
        <w:t>T</w:t>
      </w:r>
      <w:r w:rsidRPr="00773EEA">
        <w:rPr>
          <w:rFonts w:eastAsia="Arial" w:cs="Arial"/>
          <w:szCs w:val="20"/>
        </w:rPr>
        <w:t xml:space="preserve">ransition to low-carbon and resilient cities informs the design of most </w:t>
      </w:r>
      <w:r w:rsidR="007C7744" w:rsidRPr="00773EEA">
        <w:rPr>
          <w:rFonts w:eastAsia="Arial" w:cs="Arial"/>
          <w:szCs w:val="20"/>
        </w:rPr>
        <w:t>AASCTF</w:t>
      </w:r>
      <w:r w:rsidRPr="00773EEA">
        <w:rPr>
          <w:rFonts w:eastAsia="Arial" w:cs="Arial"/>
          <w:szCs w:val="20"/>
        </w:rPr>
        <w:t xml:space="preserve"> foundational, implementing and influencing activities</w:t>
      </w:r>
      <w:r w:rsidR="00823AFC" w:rsidRPr="00773EEA">
        <w:rPr>
          <w:rFonts w:eastAsia="Arial" w:cs="Arial"/>
          <w:szCs w:val="20"/>
        </w:rPr>
        <w:t>. P</w:t>
      </w:r>
      <w:r w:rsidRPr="00773EEA">
        <w:rPr>
          <w:rFonts w:eastAsia="Arial" w:cs="Arial"/>
          <w:szCs w:val="20"/>
        </w:rPr>
        <w:t xml:space="preserve">rivate sector engagement has been less comprehensively addressed, although it does not explicitly inform any of the </w:t>
      </w:r>
      <w:r w:rsidR="002C250C" w:rsidRPr="00773EEA">
        <w:rPr>
          <w:rFonts w:eastAsia="Arial" w:cs="Arial"/>
          <w:szCs w:val="20"/>
        </w:rPr>
        <w:t xml:space="preserve">program results </w:t>
      </w:r>
      <w:r w:rsidRPr="00773EEA">
        <w:rPr>
          <w:rFonts w:eastAsia="Arial" w:cs="Arial"/>
          <w:szCs w:val="20"/>
        </w:rPr>
        <w:t>targets</w:t>
      </w:r>
      <w:r w:rsidR="00823AFC" w:rsidRPr="00773EEA">
        <w:rPr>
          <w:rFonts w:eastAsia="Arial" w:cs="Arial"/>
          <w:szCs w:val="20"/>
        </w:rPr>
        <w:t xml:space="preserve"> at this time</w:t>
      </w:r>
      <w:r w:rsidRPr="00773EEA">
        <w:rPr>
          <w:rFonts w:eastAsia="Arial" w:cs="Arial"/>
          <w:szCs w:val="20"/>
        </w:rPr>
        <w:t xml:space="preserve">. </w:t>
      </w:r>
    </w:p>
    <w:p w14:paraId="4B5D5D49" w14:textId="68A1208B" w:rsidR="00A4571F" w:rsidRPr="00773EEA" w:rsidRDefault="00A4571F" w:rsidP="00DD1B1D">
      <w:pPr>
        <w:spacing w:after="100" w:line="257" w:lineRule="auto"/>
        <w:jc w:val="both"/>
        <w:rPr>
          <w:rFonts w:eastAsia="Arial" w:cs="Arial"/>
          <w:szCs w:val="20"/>
        </w:rPr>
      </w:pPr>
      <w:r w:rsidRPr="00773EEA">
        <w:rPr>
          <w:rFonts w:eastAsia="Arial" w:cs="Arial"/>
          <w:szCs w:val="20"/>
        </w:rPr>
        <w:t xml:space="preserve">Another important objective of the AASCTF is to identify best-practice and practical approaches that can be replicated in other cities across </w:t>
      </w:r>
      <w:r w:rsidR="00CD46D5" w:rsidRPr="00773EEA">
        <w:rPr>
          <w:rFonts w:eastAsia="Arial" w:cs="Arial"/>
          <w:szCs w:val="20"/>
        </w:rPr>
        <w:t>Southeast Asia</w:t>
      </w:r>
      <w:r w:rsidRPr="00773EEA">
        <w:rPr>
          <w:rFonts w:eastAsia="Arial" w:cs="Arial"/>
          <w:szCs w:val="20"/>
        </w:rPr>
        <w:t xml:space="preserve">. The program is implementing a valuable ‘sandbox’ approach to test and pilot innovative ideas. Based on learning from the </w:t>
      </w:r>
      <w:r w:rsidR="003E4034" w:rsidRPr="00773EEA">
        <w:rPr>
          <w:rFonts w:eastAsia="Arial" w:cs="Arial"/>
          <w:szCs w:val="20"/>
        </w:rPr>
        <w:t>Silver</w:t>
      </w:r>
      <w:r w:rsidRPr="00773EEA">
        <w:rPr>
          <w:rFonts w:eastAsia="Arial" w:cs="Arial"/>
          <w:szCs w:val="20"/>
        </w:rPr>
        <w:t xml:space="preserve">-level </w:t>
      </w:r>
      <w:r w:rsidR="003F6C28" w:rsidRPr="00773EEA">
        <w:rPr>
          <w:rFonts w:eastAsia="Arial" w:cs="Arial"/>
          <w:szCs w:val="20"/>
        </w:rPr>
        <w:t>TOs</w:t>
      </w:r>
      <w:r w:rsidRPr="00773EEA">
        <w:rPr>
          <w:rFonts w:eastAsia="Arial" w:cs="Arial"/>
          <w:szCs w:val="20"/>
        </w:rPr>
        <w:t xml:space="preserve">, the AASCTF is likely to be well placed in 2024 to </w:t>
      </w:r>
      <w:r w:rsidR="00CD46D5" w:rsidRPr="00773EEA">
        <w:rPr>
          <w:rFonts w:eastAsia="Arial" w:cs="Arial"/>
          <w:szCs w:val="20"/>
        </w:rPr>
        <w:t xml:space="preserve">identify </w:t>
      </w:r>
      <w:r w:rsidRPr="00773EEA">
        <w:rPr>
          <w:rFonts w:eastAsia="Arial" w:cs="Arial"/>
          <w:szCs w:val="20"/>
        </w:rPr>
        <w:t xml:space="preserve">which of the program pilots have strong potential to be replicated in certain contexts.  </w:t>
      </w:r>
    </w:p>
    <w:p w14:paraId="106BD492" w14:textId="1225C2D5" w:rsidR="00802DFF" w:rsidRPr="00773EEA" w:rsidRDefault="00802DFF" w:rsidP="00B7602B">
      <w:pPr>
        <w:spacing w:before="180"/>
        <w:rPr>
          <w:rStyle w:val="BookTitle"/>
          <w:rFonts w:asciiTheme="majorHAnsi" w:hAnsiTheme="majorHAnsi"/>
          <w:b w:val="0"/>
          <w:bCs w:val="0"/>
          <w:i/>
          <w:iCs w:val="0"/>
          <w:color w:val="auto"/>
        </w:rPr>
      </w:pPr>
      <w:r w:rsidRPr="00773EEA">
        <w:rPr>
          <w:rStyle w:val="BookTitle"/>
          <w:rFonts w:asciiTheme="majorHAnsi" w:hAnsiTheme="majorHAnsi"/>
          <w:b w:val="0"/>
          <w:bCs w:val="0"/>
          <w:i/>
          <w:iCs w:val="0"/>
          <w:color w:val="auto"/>
        </w:rPr>
        <w:t xml:space="preserve">KEQ2: How efficiently </w:t>
      </w:r>
      <w:r w:rsidR="00580218" w:rsidRPr="00773EEA">
        <w:rPr>
          <w:rStyle w:val="BookTitle"/>
          <w:rFonts w:asciiTheme="majorHAnsi" w:hAnsiTheme="majorHAnsi"/>
          <w:b w:val="0"/>
          <w:bCs w:val="0"/>
          <w:i/>
          <w:iCs w:val="0"/>
          <w:color w:val="auto"/>
        </w:rPr>
        <w:t>is AASCTF managing its resources?</w:t>
      </w:r>
    </w:p>
    <w:p w14:paraId="036E45EB" w14:textId="769BADBD" w:rsidR="004F753A" w:rsidRPr="00773EEA" w:rsidRDefault="00693725" w:rsidP="00DD1B1D">
      <w:pPr>
        <w:spacing w:after="100" w:line="257" w:lineRule="auto"/>
        <w:jc w:val="both"/>
      </w:pPr>
      <w:r w:rsidRPr="00773EEA">
        <w:rPr>
          <w:rFonts w:eastAsia="Arial" w:cs="Arial"/>
          <w:szCs w:val="20"/>
          <w:lang w:val="en-US"/>
        </w:rPr>
        <w:t>The A</w:t>
      </w:r>
      <w:r w:rsidR="00DC210C" w:rsidRPr="00773EEA">
        <w:rPr>
          <w:rFonts w:eastAsia="Arial" w:cs="Arial"/>
          <w:szCs w:val="20"/>
          <w:lang w:val="en-US"/>
        </w:rPr>
        <w:t>A</w:t>
      </w:r>
      <w:r w:rsidRPr="00773EEA">
        <w:rPr>
          <w:rFonts w:eastAsia="Arial" w:cs="Arial"/>
          <w:szCs w:val="20"/>
          <w:lang w:val="en-US"/>
        </w:rPr>
        <w:t>SCTF</w:t>
      </w:r>
      <w:r w:rsidRPr="00773EEA">
        <w:t xml:space="preserve"> implementation team, comprising ADB</w:t>
      </w:r>
      <w:r w:rsidR="00CC579E" w:rsidRPr="00773EEA">
        <w:t>,</w:t>
      </w:r>
      <w:r w:rsidRPr="00773EEA">
        <w:t xml:space="preserve"> Ramboll, and supported by several partners</w:t>
      </w:r>
      <w:r w:rsidR="00396F46" w:rsidRPr="00773EEA">
        <w:t>,</w:t>
      </w:r>
      <w:r w:rsidRPr="00773EEA">
        <w:t xml:space="preserve"> </w:t>
      </w:r>
      <w:r w:rsidR="00396F46" w:rsidRPr="00773EEA">
        <w:t>including</w:t>
      </w:r>
      <w:r w:rsidRPr="00773EEA">
        <w:t xml:space="preserve"> Practical Action (TO-05) and The Asia Foundation (TO-09), </w:t>
      </w:r>
      <w:r w:rsidR="00CD46D5" w:rsidRPr="00773EEA">
        <w:t xml:space="preserve">has </w:t>
      </w:r>
      <w:r w:rsidRPr="00773EEA">
        <w:t xml:space="preserve">deployed </w:t>
      </w:r>
      <w:r w:rsidR="002B0D29" w:rsidRPr="00773EEA">
        <w:t xml:space="preserve">largely </w:t>
      </w:r>
      <w:r w:rsidR="001A30A0" w:rsidRPr="00773EEA">
        <w:t>in-house</w:t>
      </w:r>
      <w:r w:rsidRPr="00773EEA">
        <w:t xml:space="preserve"> experts</w:t>
      </w:r>
      <w:r w:rsidR="002B0D29" w:rsidRPr="00773EEA">
        <w:t>, well-qualified to</w:t>
      </w:r>
      <w:r w:rsidRPr="00773EEA">
        <w:t xml:space="preserve"> deliver </w:t>
      </w:r>
      <w:r w:rsidR="002B0D29" w:rsidRPr="00773EEA">
        <w:t>the</w:t>
      </w:r>
      <w:r w:rsidRPr="00773EEA">
        <w:t xml:space="preserve"> TOs</w:t>
      </w:r>
      <w:r w:rsidR="002B0D29" w:rsidRPr="00773EEA">
        <w:t xml:space="preserve"> assigned</w:t>
      </w:r>
      <w:r w:rsidRPr="00773EEA">
        <w:t xml:space="preserve">. Project management has been executed </w:t>
      </w:r>
      <w:r w:rsidR="002B0D29" w:rsidRPr="00773EEA">
        <w:t xml:space="preserve">well </w:t>
      </w:r>
      <w:r w:rsidRPr="00773EEA">
        <w:t xml:space="preserve">by </w:t>
      </w:r>
      <w:r w:rsidR="002B0D29" w:rsidRPr="00773EEA">
        <w:t xml:space="preserve">the </w:t>
      </w:r>
      <w:r w:rsidRPr="00773EEA">
        <w:t xml:space="preserve">Ramboll </w:t>
      </w:r>
      <w:r w:rsidR="00FD5854" w:rsidRPr="00773EEA">
        <w:t xml:space="preserve">core team </w:t>
      </w:r>
      <w:r w:rsidRPr="00773EEA">
        <w:t xml:space="preserve">and network of Task Team Leaders (TTLs), </w:t>
      </w:r>
      <w:r w:rsidR="002B0D29" w:rsidRPr="00773EEA">
        <w:t>enabled</w:t>
      </w:r>
      <w:r w:rsidRPr="00773EEA">
        <w:t xml:space="preserve"> by efficient project and risk management tools and processes. </w:t>
      </w:r>
    </w:p>
    <w:p w14:paraId="07D9B652" w14:textId="619DF288" w:rsidR="004F753A" w:rsidRPr="00773EEA" w:rsidRDefault="00693725" w:rsidP="00DD1B1D">
      <w:pPr>
        <w:spacing w:after="100" w:line="257" w:lineRule="auto"/>
        <w:jc w:val="both"/>
      </w:pPr>
      <w:r w:rsidRPr="00773EEA">
        <w:t>Management and allocation of AASCTF resources is also influenced by comprehensive monitoring and evaluation (M&amp;E) processes. These are working well to help evaluate progress against targets</w:t>
      </w:r>
      <w:r w:rsidR="002B0D29" w:rsidRPr="00773EEA">
        <w:t>,</w:t>
      </w:r>
      <w:r w:rsidRPr="00773EEA">
        <w:t xml:space="preserve"> </w:t>
      </w:r>
      <w:r w:rsidR="002B0D29" w:rsidRPr="00773EEA">
        <w:t>though</w:t>
      </w:r>
      <w:r w:rsidRPr="00773EEA">
        <w:t xml:space="preserve"> there remains room for </w:t>
      </w:r>
      <w:r w:rsidRPr="00773EEA">
        <w:lastRenderedPageBreak/>
        <w:t>improvement, both to enable more useful feedback loops for each city intervention</w:t>
      </w:r>
      <w:r w:rsidR="009D7456" w:rsidRPr="00773EEA">
        <w:t>,</w:t>
      </w:r>
      <w:r w:rsidRPr="00773EEA">
        <w:t xml:space="preserve"> and to identify </w:t>
      </w:r>
      <w:r w:rsidR="009D7456" w:rsidRPr="00773EEA">
        <w:t>opportunities</w:t>
      </w:r>
      <w:r w:rsidRPr="00773EEA">
        <w:t xml:space="preserve"> for scal</w:t>
      </w:r>
      <w:r w:rsidR="009D7456" w:rsidRPr="00773EEA">
        <w:t>ability</w:t>
      </w:r>
      <w:r w:rsidRPr="00773EEA">
        <w:t xml:space="preserve"> and replicability. </w:t>
      </w:r>
    </w:p>
    <w:p w14:paraId="1D95D3BC" w14:textId="09968A30" w:rsidR="004F753A" w:rsidRPr="00773EEA" w:rsidRDefault="005E6FAC" w:rsidP="00DD1B1D">
      <w:pPr>
        <w:spacing w:after="100" w:line="257" w:lineRule="auto"/>
        <w:jc w:val="both"/>
        <w:rPr>
          <w:rFonts w:eastAsia="Arial" w:cs="Arial"/>
          <w:szCs w:val="20"/>
          <w:lang w:val="en-US"/>
        </w:rPr>
      </w:pPr>
      <w:r w:rsidRPr="00773EEA">
        <w:rPr>
          <w:rFonts w:eastAsia="Arial" w:cs="Arial"/>
          <w:szCs w:val="20"/>
          <w:lang w:val="en-US"/>
        </w:rPr>
        <w:t>The c</w:t>
      </w:r>
      <w:r w:rsidR="00693725" w:rsidRPr="00773EEA">
        <w:rPr>
          <w:rFonts w:eastAsia="Arial" w:cs="Arial"/>
          <w:szCs w:val="20"/>
          <w:lang w:val="en-US"/>
        </w:rPr>
        <w:t xml:space="preserve">oherence of </w:t>
      </w:r>
      <w:r w:rsidRPr="00773EEA">
        <w:rPr>
          <w:rFonts w:eastAsia="Arial" w:cs="Arial"/>
          <w:szCs w:val="20"/>
          <w:lang w:val="en-US"/>
        </w:rPr>
        <w:t xml:space="preserve">the </w:t>
      </w:r>
      <w:r w:rsidR="00693725" w:rsidRPr="00773EEA">
        <w:rPr>
          <w:rFonts w:eastAsia="Arial" w:cs="Arial"/>
          <w:szCs w:val="20"/>
          <w:lang w:val="en-US"/>
        </w:rPr>
        <w:t>wide-rang</w:t>
      </w:r>
      <w:r w:rsidR="003039A9" w:rsidRPr="00773EEA">
        <w:rPr>
          <w:rFonts w:eastAsia="Arial" w:cs="Arial"/>
          <w:szCs w:val="20"/>
          <w:lang w:val="en-US"/>
        </w:rPr>
        <w:t>ing</w:t>
      </w:r>
      <w:r w:rsidR="00693725" w:rsidRPr="00773EEA">
        <w:rPr>
          <w:rFonts w:eastAsia="Arial" w:cs="Arial"/>
          <w:szCs w:val="20"/>
          <w:lang w:val="en-US"/>
        </w:rPr>
        <w:t xml:space="preserve"> AASCTF </w:t>
      </w:r>
      <w:r w:rsidR="009D7456" w:rsidRPr="00773EEA">
        <w:rPr>
          <w:rFonts w:eastAsia="Arial" w:cs="Arial"/>
          <w:szCs w:val="20"/>
          <w:lang w:val="en-US"/>
        </w:rPr>
        <w:t>components</w:t>
      </w:r>
      <w:r w:rsidRPr="00773EEA">
        <w:rPr>
          <w:rFonts w:eastAsia="Arial" w:cs="Arial"/>
          <w:szCs w:val="20"/>
          <w:lang w:val="en-US"/>
        </w:rPr>
        <w:t xml:space="preserve"> and interventions</w:t>
      </w:r>
      <w:r w:rsidR="009D7456" w:rsidRPr="00773EEA">
        <w:rPr>
          <w:rFonts w:eastAsia="Arial" w:cs="Arial"/>
          <w:szCs w:val="20"/>
          <w:lang w:val="en-US"/>
        </w:rPr>
        <w:t xml:space="preserve"> </w:t>
      </w:r>
      <w:r w:rsidR="00693725" w:rsidRPr="00773EEA">
        <w:rPr>
          <w:rFonts w:eastAsia="Arial" w:cs="Arial"/>
          <w:szCs w:val="20"/>
          <w:lang w:val="en-US"/>
        </w:rPr>
        <w:t xml:space="preserve">is enabled </w:t>
      </w:r>
      <w:r w:rsidR="009D7456" w:rsidRPr="00773EEA">
        <w:rPr>
          <w:rFonts w:eastAsia="Arial" w:cs="Arial"/>
          <w:szCs w:val="20"/>
          <w:lang w:val="en-US"/>
        </w:rPr>
        <w:t xml:space="preserve">by </w:t>
      </w:r>
      <w:r w:rsidR="00693725" w:rsidRPr="00773EEA">
        <w:rPr>
          <w:rFonts w:eastAsia="Arial" w:cs="Arial"/>
          <w:szCs w:val="20"/>
          <w:lang w:val="en-US"/>
        </w:rPr>
        <w:t xml:space="preserve">the effective </w:t>
      </w:r>
      <w:r w:rsidRPr="00773EEA">
        <w:rPr>
          <w:rFonts w:eastAsia="Arial" w:cs="Arial"/>
          <w:szCs w:val="20"/>
          <w:lang w:val="en-US"/>
        </w:rPr>
        <w:t xml:space="preserve">program </w:t>
      </w:r>
      <w:r w:rsidR="00693725" w:rsidRPr="00773EEA">
        <w:rPr>
          <w:rFonts w:eastAsia="Arial" w:cs="Arial"/>
          <w:szCs w:val="20"/>
          <w:lang w:val="en-US"/>
        </w:rPr>
        <w:t>framework of urban planning, service delivery and financial management pillars, as well as the crosscutting climate change and GESI themes. The AASCTF demonstrates flexibility</w:t>
      </w:r>
      <w:r w:rsidRPr="00773EEA">
        <w:rPr>
          <w:rFonts w:eastAsia="Arial" w:cs="Arial"/>
          <w:szCs w:val="20"/>
          <w:lang w:val="en-US"/>
        </w:rPr>
        <w:t xml:space="preserve"> and</w:t>
      </w:r>
      <w:r w:rsidR="005C4FE9" w:rsidRPr="00773EEA">
        <w:rPr>
          <w:rFonts w:eastAsia="Arial" w:cs="Arial"/>
          <w:szCs w:val="20"/>
          <w:lang w:val="en-US"/>
        </w:rPr>
        <w:t xml:space="preserve"> </w:t>
      </w:r>
      <w:r w:rsidR="00CD46D5" w:rsidRPr="00773EEA">
        <w:rPr>
          <w:rFonts w:eastAsia="Arial" w:cs="Arial"/>
          <w:szCs w:val="20"/>
          <w:lang w:val="en-US"/>
        </w:rPr>
        <w:t>can</w:t>
      </w:r>
      <w:r w:rsidR="00693725" w:rsidRPr="00773EEA">
        <w:rPr>
          <w:rFonts w:eastAsia="Arial" w:cs="Arial"/>
          <w:szCs w:val="20"/>
          <w:lang w:val="en-US"/>
        </w:rPr>
        <w:t xml:space="preserve"> </w:t>
      </w:r>
      <w:r w:rsidR="005C4FE9" w:rsidRPr="00773EEA">
        <w:rPr>
          <w:rFonts w:eastAsia="Arial" w:cs="Arial"/>
          <w:szCs w:val="20"/>
          <w:lang w:val="en-US"/>
        </w:rPr>
        <w:t xml:space="preserve">identify and </w:t>
      </w:r>
      <w:r w:rsidR="00693725" w:rsidRPr="00773EEA">
        <w:rPr>
          <w:rFonts w:eastAsia="Arial" w:cs="Arial"/>
          <w:szCs w:val="20"/>
          <w:lang w:val="en-US"/>
        </w:rPr>
        <w:t xml:space="preserve">rapidly respond to </w:t>
      </w:r>
      <w:r w:rsidR="003F2B0A" w:rsidRPr="00773EEA">
        <w:rPr>
          <w:rFonts w:eastAsia="Arial" w:cs="Arial"/>
          <w:szCs w:val="20"/>
          <w:lang w:val="en-US"/>
        </w:rPr>
        <w:t>evolving</w:t>
      </w:r>
      <w:r w:rsidR="00693725" w:rsidRPr="00773EEA">
        <w:rPr>
          <w:rFonts w:eastAsia="Arial" w:cs="Arial"/>
          <w:szCs w:val="20"/>
          <w:lang w:val="en-US"/>
        </w:rPr>
        <w:t xml:space="preserve"> city needs</w:t>
      </w:r>
      <w:r w:rsidR="005C4FE9" w:rsidRPr="00773EEA">
        <w:rPr>
          <w:rFonts w:eastAsia="Arial" w:cs="Arial"/>
          <w:szCs w:val="20"/>
          <w:lang w:val="en-US"/>
        </w:rPr>
        <w:t>. This is</w:t>
      </w:r>
      <w:r w:rsidR="00693725" w:rsidRPr="00773EEA">
        <w:rPr>
          <w:rFonts w:eastAsia="Arial" w:cs="Arial"/>
          <w:szCs w:val="20"/>
          <w:lang w:val="en-US"/>
        </w:rPr>
        <w:t xml:space="preserve"> driven by the demand-led design, strong coordination between ADB and Ramboll</w:t>
      </w:r>
      <w:r w:rsidR="005C4FE9" w:rsidRPr="00773EEA">
        <w:rPr>
          <w:rFonts w:eastAsia="Arial" w:cs="Arial"/>
          <w:szCs w:val="20"/>
          <w:lang w:val="en-US"/>
        </w:rPr>
        <w:t>,</w:t>
      </w:r>
      <w:r w:rsidR="00693725" w:rsidRPr="00773EEA">
        <w:rPr>
          <w:rFonts w:eastAsia="Arial" w:cs="Arial"/>
          <w:szCs w:val="20"/>
          <w:lang w:val="en-US"/>
        </w:rPr>
        <w:t xml:space="preserve"> and close relationships </w:t>
      </w:r>
      <w:r w:rsidR="002454F6" w:rsidRPr="00773EEA">
        <w:rPr>
          <w:rFonts w:eastAsia="Arial" w:cs="Arial"/>
          <w:szCs w:val="20"/>
          <w:lang w:val="en-US"/>
        </w:rPr>
        <w:t>nurtured</w:t>
      </w:r>
      <w:r w:rsidR="0074647F" w:rsidRPr="00773EEA">
        <w:rPr>
          <w:rFonts w:eastAsia="Arial" w:cs="Arial"/>
          <w:szCs w:val="20"/>
          <w:lang w:val="en-US"/>
        </w:rPr>
        <w:t xml:space="preserve"> </w:t>
      </w:r>
      <w:r w:rsidR="00693725" w:rsidRPr="00773EEA">
        <w:rPr>
          <w:rFonts w:eastAsia="Arial" w:cs="Arial"/>
          <w:szCs w:val="20"/>
          <w:lang w:val="en-US"/>
        </w:rPr>
        <w:t xml:space="preserve">with city governments. </w:t>
      </w:r>
    </w:p>
    <w:p w14:paraId="6B9E68EC" w14:textId="2E6548C4" w:rsidR="00693725" w:rsidRPr="00773EEA" w:rsidRDefault="00693725" w:rsidP="00DD1B1D">
      <w:pPr>
        <w:spacing w:after="100" w:line="257" w:lineRule="auto"/>
        <w:jc w:val="both"/>
        <w:rPr>
          <w:rFonts w:eastAsia="Arial" w:cs="Arial"/>
          <w:szCs w:val="20"/>
          <w:lang w:val="en-US"/>
        </w:rPr>
      </w:pPr>
      <w:r w:rsidRPr="00773EEA">
        <w:rPr>
          <w:rFonts w:eastAsia="Arial" w:cs="Arial"/>
          <w:szCs w:val="20"/>
          <w:lang w:val="en-US"/>
        </w:rPr>
        <w:t xml:space="preserve">DFAT’s outsourcing </w:t>
      </w:r>
      <w:r w:rsidR="001B46EB" w:rsidRPr="00773EEA">
        <w:rPr>
          <w:rFonts w:eastAsia="Arial" w:cs="Arial"/>
          <w:szCs w:val="20"/>
          <w:lang w:val="en-US"/>
        </w:rPr>
        <w:t xml:space="preserve">of </w:t>
      </w:r>
      <w:r w:rsidRPr="00773EEA">
        <w:rPr>
          <w:rFonts w:eastAsia="Arial" w:cs="Arial"/>
          <w:szCs w:val="20"/>
          <w:lang w:val="en-US"/>
        </w:rPr>
        <w:t>A</w:t>
      </w:r>
      <w:r w:rsidR="00DC210C" w:rsidRPr="00773EEA">
        <w:rPr>
          <w:rFonts w:eastAsia="Arial" w:cs="Arial"/>
          <w:szCs w:val="20"/>
          <w:lang w:val="en-US"/>
        </w:rPr>
        <w:t>A</w:t>
      </w:r>
      <w:r w:rsidRPr="00773EEA">
        <w:rPr>
          <w:rFonts w:eastAsia="Arial" w:cs="Arial"/>
          <w:szCs w:val="20"/>
          <w:lang w:val="en-US"/>
        </w:rPr>
        <w:t>SCTF to ADB is working effectively, creating space and flexibility for innovation. However, ADB’s implement</w:t>
      </w:r>
      <w:r w:rsidR="00A601B7" w:rsidRPr="00773EEA">
        <w:rPr>
          <w:rFonts w:eastAsia="Arial" w:cs="Arial"/>
          <w:szCs w:val="20"/>
          <w:lang w:val="en-US"/>
        </w:rPr>
        <w:t>ation of</w:t>
      </w:r>
      <w:r w:rsidRPr="00773EEA">
        <w:rPr>
          <w:rFonts w:eastAsia="Arial" w:cs="Arial"/>
          <w:szCs w:val="20"/>
          <w:lang w:val="en-US"/>
        </w:rPr>
        <w:t xml:space="preserve"> the Ramboll-managed component via </w:t>
      </w:r>
      <w:r w:rsidR="0054702E" w:rsidRPr="00773EEA">
        <w:rPr>
          <w:rFonts w:eastAsia="Arial" w:cs="Arial"/>
          <w:szCs w:val="20"/>
          <w:lang w:val="en-US"/>
        </w:rPr>
        <w:t>ADB’s</w:t>
      </w:r>
      <w:r w:rsidRPr="00773EEA">
        <w:rPr>
          <w:rFonts w:eastAsia="Arial" w:cs="Arial"/>
          <w:szCs w:val="20"/>
          <w:lang w:val="en-US"/>
        </w:rPr>
        <w:t xml:space="preserve"> </w:t>
      </w:r>
      <w:r w:rsidRPr="00773EEA">
        <w:t xml:space="preserve">Southeast Asia Urban Services Facility (SURF) </w:t>
      </w:r>
      <w:r w:rsidRPr="00773EEA">
        <w:rPr>
          <w:rFonts w:eastAsia="Arial" w:cs="Arial"/>
          <w:szCs w:val="20"/>
          <w:lang w:val="en-US"/>
        </w:rPr>
        <w:t>reduces</w:t>
      </w:r>
      <w:r w:rsidR="00BA3A05" w:rsidRPr="00773EEA">
        <w:rPr>
          <w:rFonts w:eastAsia="Arial" w:cs="Arial"/>
          <w:szCs w:val="20"/>
          <w:lang w:val="en-US"/>
        </w:rPr>
        <w:t xml:space="preserve"> </w:t>
      </w:r>
      <w:r w:rsidRPr="00773EEA">
        <w:rPr>
          <w:rFonts w:eastAsia="Arial" w:cs="Arial"/>
          <w:szCs w:val="20"/>
          <w:lang w:val="en-US"/>
        </w:rPr>
        <w:t>flexibility</w:t>
      </w:r>
      <w:r w:rsidR="00BA3A05" w:rsidRPr="00773EEA">
        <w:rPr>
          <w:rFonts w:eastAsia="Arial" w:cs="Arial"/>
          <w:szCs w:val="20"/>
          <w:lang w:val="en-US"/>
        </w:rPr>
        <w:t>,</w:t>
      </w:r>
      <w:r w:rsidRPr="00773EEA">
        <w:rPr>
          <w:rFonts w:eastAsia="Arial" w:cs="Arial"/>
          <w:szCs w:val="20"/>
          <w:lang w:val="en-US"/>
        </w:rPr>
        <w:t xml:space="preserve"> </w:t>
      </w:r>
      <w:r w:rsidR="007E5796" w:rsidRPr="00773EEA">
        <w:rPr>
          <w:rFonts w:eastAsia="Arial" w:cs="Arial"/>
          <w:szCs w:val="20"/>
          <w:lang w:val="en-US"/>
        </w:rPr>
        <w:t xml:space="preserve">as the budget for the </w:t>
      </w:r>
      <w:r w:rsidRPr="00773EEA">
        <w:rPr>
          <w:rFonts w:eastAsia="Arial" w:cs="Arial"/>
          <w:szCs w:val="20"/>
          <w:lang w:val="en-US"/>
        </w:rPr>
        <w:t>Ramboll component is almost completely committed with</w:t>
      </w:r>
      <w:r w:rsidR="0054702E" w:rsidRPr="00773EEA">
        <w:rPr>
          <w:rFonts w:eastAsia="Arial" w:cs="Arial"/>
          <w:szCs w:val="20"/>
          <w:lang w:val="en-US"/>
        </w:rPr>
        <w:t>in</w:t>
      </w:r>
      <w:r w:rsidRPr="00773EEA">
        <w:rPr>
          <w:rFonts w:eastAsia="Arial" w:cs="Arial"/>
          <w:szCs w:val="20"/>
          <w:lang w:val="en-US"/>
        </w:rPr>
        <w:t xml:space="preserve"> the </w:t>
      </w:r>
      <w:r w:rsidR="00BA3A05" w:rsidRPr="00773EEA">
        <w:rPr>
          <w:rFonts w:eastAsia="Arial" w:cs="Arial"/>
          <w:szCs w:val="20"/>
          <w:lang w:val="en-US"/>
        </w:rPr>
        <w:t>current</w:t>
      </w:r>
      <w:r w:rsidRPr="00773EEA">
        <w:rPr>
          <w:rFonts w:eastAsia="Arial" w:cs="Arial"/>
          <w:szCs w:val="20"/>
          <w:lang w:val="en-US"/>
        </w:rPr>
        <w:t xml:space="preserve"> TO</w:t>
      </w:r>
      <w:r w:rsidR="00BA3A05" w:rsidRPr="00773EEA">
        <w:rPr>
          <w:rFonts w:eastAsia="Arial" w:cs="Arial"/>
          <w:szCs w:val="20"/>
          <w:lang w:val="en-US"/>
        </w:rPr>
        <w:t xml:space="preserve"> </w:t>
      </w:r>
      <w:r w:rsidR="00ED1ED1" w:rsidRPr="00773EEA">
        <w:rPr>
          <w:rFonts w:eastAsia="Arial" w:cs="Arial"/>
          <w:szCs w:val="20"/>
          <w:lang w:val="en-US"/>
        </w:rPr>
        <w:t>portfolio and</w:t>
      </w:r>
      <w:r w:rsidRPr="00773EEA">
        <w:rPr>
          <w:rFonts w:eastAsia="Arial" w:cs="Arial"/>
          <w:szCs w:val="20"/>
          <w:lang w:val="en-US"/>
        </w:rPr>
        <w:t xml:space="preserve"> can</w:t>
      </w:r>
      <w:r w:rsidR="00BA3A05" w:rsidRPr="00773EEA">
        <w:rPr>
          <w:rFonts w:eastAsia="Arial" w:cs="Arial"/>
          <w:szCs w:val="20"/>
          <w:lang w:val="en-US"/>
        </w:rPr>
        <w:t>not</w:t>
      </w:r>
      <w:r w:rsidRPr="00773EEA">
        <w:rPr>
          <w:rFonts w:eastAsia="Arial" w:cs="Arial"/>
          <w:szCs w:val="20"/>
          <w:lang w:val="en-US"/>
        </w:rPr>
        <w:t xml:space="preserve"> be easily </w:t>
      </w:r>
      <w:r w:rsidR="007E5796" w:rsidRPr="00773EEA">
        <w:rPr>
          <w:rFonts w:eastAsia="Arial" w:cs="Arial"/>
          <w:szCs w:val="20"/>
          <w:lang w:val="en-US"/>
        </w:rPr>
        <w:t>increased to allow for further work under the same contract</w:t>
      </w:r>
      <w:r w:rsidR="00CD46D5" w:rsidRPr="00773EEA">
        <w:rPr>
          <w:rFonts w:eastAsia="Arial" w:cs="Arial"/>
          <w:szCs w:val="20"/>
          <w:lang w:val="en-US"/>
        </w:rPr>
        <w:t>.</w:t>
      </w:r>
      <w:r w:rsidRPr="00773EEA">
        <w:rPr>
          <w:rFonts w:eastAsia="Arial" w:cs="Arial"/>
          <w:szCs w:val="20"/>
          <w:lang w:val="en-US"/>
        </w:rPr>
        <w:t xml:space="preserve"> </w:t>
      </w:r>
    </w:p>
    <w:p w14:paraId="68292226" w14:textId="11A7D842" w:rsidR="00580218" w:rsidRPr="00773EEA" w:rsidRDefault="00580218" w:rsidP="00B7602B">
      <w:pPr>
        <w:spacing w:before="180"/>
        <w:jc w:val="both"/>
        <w:rPr>
          <w:rStyle w:val="BookTitle"/>
          <w:rFonts w:asciiTheme="majorHAnsi" w:hAnsiTheme="majorHAnsi"/>
          <w:b w:val="0"/>
          <w:bCs w:val="0"/>
          <w:i/>
          <w:iCs w:val="0"/>
          <w:color w:val="auto"/>
        </w:rPr>
      </w:pPr>
      <w:r w:rsidRPr="00773EEA">
        <w:rPr>
          <w:rStyle w:val="BookTitle"/>
          <w:rFonts w:asciiTheme="majorHAnsi" w:hAnsiTheme="majorHAnsi"/>
          <w:b w:val="0"/>
          <w:bCs w:val="0"/>
          <w:i/>
          <w:iCs w:val="0"/>
          <w:color w:val="auto"/>
        </w:rPr>
        <w:t xml:space="preserve">KEQ3: Is the program effectively </w:t>
      </w:r>
      <w:r w:rsidR="00B334E2" w:rsidRPr="00773EEA">
        <w:rPr>
          <w:rStyle w:val="BookTitle"/>
          <w:rFonts w:asciiTheme="majorHAnsi" w:hAnsiTheme="majorHAnsi"/>
          <w:b w:val="0"/>
          <w:bCs w:val="0"/>
          <w:i/>
          <w:iCs w:val="0"/>
          <w:color w:val="auto"/>
        </w:rPr>
        <w:t>promoting gender equality</w:t>
      </w:r>
      <w:r w:rsidR="006F1986" w:rsidRPr="00773EEA">
        <w:rPr>
          <w:rStyle w:val="BookTitle"/>
          <w:rFonts w:asciiTheme="majorHAnsi" w:hAnsiTheme="majorHAnsi"/>
          <w:b w:val="0"/>
          <w:bCs w:val="0"/>
          <w:i/>
          <w:iCs w:val="0"/>
          <w:color w:val="auto"/>
        </w:rPr>
        <w:t xml:space="preserve"> and women’s empowerment in the program implementation?</w:t>
      </w:r>
    </w:p>
    <w:p w14:paraId="2E434A26" w14:textId="77777777" w:rsidR="004F753A" w:rsidRPr="00773EEA" w:rsidRDefault="00C62C5A" w:rsidP="00DD1B1D">
      <w:pPr>
        <w:spacing w:after="100" w:line="257" w:lineRule="auto"/>
        <w:jc w:val="both"/>
        <w:rPr>
          <w:rFonts w:cs="Arial"/>
          <w:szCs w:val="20"/>
        </w:rPr>
      </w:pPr>
      <w:r w:rsidRPr="00773EEA">
        <w:rPr>
          <w:rFonts w:cs="Arial"/>
          <w:szCs w:val="20"/>
        </w:rPr>
        <w:t xml:space="preserve">The AASCTF design is explicit in its intention to integrate and address gender equality, women’s empowerment, disability and social inclusion. This is facilitated by the Gender Equality and Social Inclusion (GESI) Strategy and GESI Specialist support to program interventions, but also requires </w:t>
      </w:r>
      <w:r w:rsidR="00CE02F0" w:rsidRPr="00773EEA">
        <w:rPr>
          <w:rFonts w:cs="Arial"/>
          <w:szCs w:val="20"/>
        </w:rPr>
        <w:t>leadership</w:t>
      </w:r>
      <w:r w:rsidRPr="00773EEA">
        <w:rPr>
          <w:rFonts w:cs="Arial"/>
          <w:szCs w:val="20"/>
        </w:rPr>
        <w:t xml:space="preserve"> from intervention team leaders and appropriate direction from the core team, where needed, to be realised. </w:t>
      </w:r>
    </w:p>
    <w:p w14:paraId="0615037B" w14:textId="28D42186" w:rsidR="00C62C5A" w:rsidRPr="00773EEA" w:rsidRDefault="00C62C5A" w:rsidP="00DD1B1D">
      <w:pPr>
        <w:spacing w:after="100" w:line="257" w:lineRule="auto"/>
        <w:jc w:val="both"/>
        <w:rPr>
          <w:rFonts w:cs="Arial"/>
          <w:szCs w:val="20"/>
        </w:rPr>
      </w:pPr>
      <w:r w:rsidRPr="00773EEA">
        <w:rPr>
          <w:rFonts w:cs="Arial"/>
          <w:szCs w:val="20"/>
        </w:rPr>
        <w:t xml:space="preserve">Two Silver city and one </w:t>
      </w:r>
      <w:proofErr w:type="gramStart"/>
      <w:r w:rsidRPr="00773EEA">
        <w:rPr>
          <w:rFonts w:cs="Arial"/>
          <w:szCs w:val="20"/>
        </w:rPr>
        <w:t>Bronze</w:t>
      </w:r>
      <w:proofErr w:type="gramEnd"/>
      <w:r w:rsidRPr="00773EEA">
        <w:rPr>
          <w:rFonts w:cs="Arial"/>
          <w:szCs w:val="20"/>
        </w:rPr>
        <w:t xml:space="preserve"> level intervention (TO-01 Makassar, TO-05 Baguio, TO-09 Inclusive Cities Dialogues) demonstrate a very good understanding and application of GESI </w:t>
      </w:r>
      <w:r w:rsidR="00ED1ED1" w:rsidRPr="00773EEA">
        <w:rPr>
          <w:rFonts w:cs="Arial"/>
          <w:szCs w:val="20"/>
        </w:rPr>
        <w:t>principles</w:t>
      </w:r>
      <w:r w:rsidRPr="00773EEA">
        <w:rPr>
          <w:rFonts w:cs="Arial"/>
          <w:szCs w:val="20"/>
        </w:rPr>
        <w:t xml:space="preserve"> and </w:t>
      </w:r>
      <w:r w:rsidR="00ED1ED1" w:rsidRPr="00773EEA">
        <w:rPr>
          <w:rFonts w:cs="Arial"/>
          <w:szCs w:val="20"/>
        </w:rPr>
        <w:t>demonstrate progress</w:t>
      </w:r>
      <w:r w:rsidRPr="00773EEA">
        <w:rPr>
          <w:rFonts w:cs="Arial"/>
          <w:szCs w:val="20"/>
        </w:rPr>
        <w:t xml:space="preserve"> intermediate GESI outcomes. TO-08 </w:t>
      </w:r>
      <w:r w:rsidR="005E6FAC" w:rsidRPr="00773EEA">
        <w:rPr>
          <w:rFonts w:cs="Arial"/>
          <w:szCs w:val="20"/>
        </w:rPr>
        <w:t xml:space="preserve">activities, in all </w:t>
      </w:r>
      <w:proofErr w:type="gramStart"/>
      <w:r w:rsidR="005E6FAC" w:rsidRPr="00773EEA">
        <w:rPr>
          <w:rFonts w:cs="Arial"/>
          <w:szCs w:val="20"/>
        </w:rPr>
        <w:t>Bronze</w:t>
      </w:r>
      <w:proofErr w:type="gramEnd"/>
      <w:r w:rsidR="005E6FAC" w:rsidRPr="00773EEA">
        <w:rPr>
          <w:rFonts w:cs="Arial"/>
          <w:szCs w:val="20"/>
        </w:rPr>
        <w:t xml:space="preserve"> tier cities, </w:t>
      </w:r>
      <w:r w:rsidRPr="00773EEA">
        <w:rPr>
          <w:rFonts w:cs="Arial"/>
          <w:szCs w:val="20"/>
        </w:rPr>
        <w:t xml:space="preserve">also demonstrate understanding and application of GESI principles in </w:t>
      </w:r>
      <w:r w:rsidR="00ED1ED1" w:rsidRPr="00773EEA">
        <w:rPr>
          <w:rFonts w:cs="Arial"/>
          <w:szCs w:val="20"/>
        </w:rPr>
        <w:t>a GESI</w:t>
      </w:r>
      <w:r w:rsidRPr="00773EEA">
        <w:rPr>
          <w:rFonts w:cs="Arial"/>
          <w:szCs w:val="20"/>
        </w:rPr>
        <w:t xml:space="preserve"> baseline data</w:t>
      </w:r>
      <w:r w:rsidR="00CE02F0" w:rsidRPr="00773EEA">
        <w:rPr>
          <w:rFonts w:cs="Arial"/>
          <w:szCs w:val="20"/>
        </w:rPr>
        <w:t xml:space="preserve"> component</w:t>
      </w:r>
      <w:r w:rsidRPr="00773EEA">
        <w:rPr>
          <w:rFonts w:cs="Arial"/>
          <w:szCs w:val="20"/>
        </w:rPr>
        <w:t xml:space="preserve"> </w:t>
      </w:r>
      <w:r w:rsidR="00DB2F4D" w:rsidRPr="00773EEA">
        <w:rPr>
          <w:rFonts w:cs="Arial"/>
          <w:szCs w:val="20"/>
        </w:rPr>
        <w:t>that</w:t>
      </w:r>
      <w:r w:rsidR="00CE02F0" w:rsidRPr="00773EEA">
        <w:rPr>
          <w:rFonts w:cs="Arial"/>
          <w:szCs w:val="20"/>
        </w:rPr>
        <w:t xml:space="preserve"> will </w:t>
      </w:r>
      <w:r w:rsidRPr="00773EEA">
        <w:rPr>
          <w:rFonts w:cs="Arial"/>
          <w:szCs w:val="20"/>
        </w:rPr>
        <w:t xml:space="preserve">allow Bronze cities to understand GESI issues. This will help to promote </w:t>
      </w:r>
      <w:proofErr w:type="gramStart"/>
      <w:r w:rsidRPr="00773EEA">
        <w:rPr>
          <w:rFonts w:cs="Arial"/>
          <w:szCs w:val="20"/>
        </w:rPr>
        <w:t>GESI</w:t>
      </w:r>
      <w:proofErr w:type="gramEnd"/>
      <w:r w:rsidRPr="00773EEA">
        <w:rPr>
          <w:rFonts w:cs="Arial"/>
          <w:szCs w:val="20"/>
        </w:rPr>
        <w:t xml:space="preserve"> but </w:t>
      </w:r>
      <w:r w:rsidR="00580F24" w:rsidRPr="00773EEA">
        <w:rPr>
          <w:rFonts w:cs="Arial"/>
          <w:szCs w:val="20"/>
        </w:rPr>
        <w:t>it</w:t>
      </w:r>
      <w:r w:rsidR="00CD46D5" w:rsidRPr="00773EEA">
        <w:rPr>
          <w:rFonts w:cs="Arial"/>
          <w:szCs w:val="20"/>
        </w:rPr>
        <w:t xml:space="preserve"> is</w:t>
      </w:r>
      <w:r w:rsidR="00580F24" w:rsidRPr="00773EEA">
        <w:rPr>
          <w:rFonts w:cs="Arial"/>
          <w:szCs w:val="20"/>
        </w:rPr>
        <w:t xml:space="preserve"> </w:t>
      </w:r>
      <w:r w:rsidRPr="00773EEA">
        <w:rPr>
          <w:rFonts w:cs="Arial"/>
          <w:szCs w:val="20"/>
        </w:rPr>
        <w:t xml:space="preserve">unclear whether </w:t>
      </w:r>
      <w:r w:rsidR="00DB2F4D" w:rsidRPr="00773EEA">
        <w:rPr>
          <w:rFonts w:cs="Arial"/>
          <w:szCs w:val="20"/>
        </w:rPr>
        <w:t xml:space="preserve">it will </w:t>
      </w:r>
      <w:r w:rsidR="005E6FAC" w:rsidRPr="00773EEA">
        <w:rPr>
          <w:rFonts w:cs="Arial"/>
          <w:szCs w:val="20"/>
        </w:rPr>
        <w:t>catalyse</w:t>
      </w:r>
      <w:r w:rsidRPr="00773EEA">
        <w:rPr>
          <w:rFonts w:cs="Arial"/>
          <w:szCs w:val="20"/>
        </w:rPr>
        <w:t xml:space="preserve"> </w:t>
      </w:r>
      <w:r w:rsidR="001C264B" w:rsidRPr="00773EEA">
        <w:rPr>
          <w:rFonts w:cs="Arial"/>
          <w:szCs w:val="20"/>
        </w:rPr>
        <w:t xml:space="preserve">beneficial </w:t>
      </w:r>
      <w:r w:rsidRPr="00773EEA">
        <w:rPr>
          <w:rFonts w:cs="Arial"/>
          <w:szCs w:val="20"/>
        </w:rPr>
        <w:t>actions</w:t>
      </w:r>
      <w:r w:rsidR="00622601" w:rsidRPr="00773EEA">
        <w:rPr>
          <w:rFonts w:cs="Arial"/>
          <w:szCs w:val="20"/>
        </w:rPr>
        <w:t xml:space="preserve"> by municipalities</w:t>
      </w:r>
      <w:r w:rsidR="001C264B" w:rsidRPr="00773EEA">
        <w:rPr>
          <w:rFonts w:cs="Arial"/>
          <w:szCs w:val="20"/>
        </w:rPr>
        <w:t>.</w:t>
      </w:r>
    </w:p>
    <w:p w14:paraId="77B66E45" w14:textId="15571310" w:rsidR="004F753A" w:rsidRPr="00773EEA" w:rsidRDefault="00C62C5A" w:rsidP="00DD1B1D">
      <w:pPr>
        <w:spacing w:after="100" w:line="257" w:lineRule="auto"/>
        <w:jc w:val="both"/>
        <w:rPr>
          <w:rFonts w:cs="Arial"/>
          <w:szCs w:val="20"/>
        </w:rPr>
      </w:pPr>
      <w:r w:rsidRPr="00773EEA">
        <w:rPr>
          <w:rFonts w:cs="Arial"/>
          <w:szCs w:val="20"/>
        </w:rPr>
        <w:t xml:space="preserve">Other interventions sampled varied in understanding, application and commitment to integrating GESI principles. This partly reflects </w:t>
      </w:r>
      <w:r w:rsidR="0058230C" w:rsidRPr="00773EEA">
        <w:rPr>
          <w:rFonts w:cs="Arial"/>
          <w:szCs w:val="20"/>
        </w:rPr>
        <w:t xml:space="preserve">the </w:t>
      </w:r>
      <w:r w:rsidRPr="00773EEA">
        <w:rPr>
          <w:rFonts w:cs="Arial"/>
          <w:szCs w:val="20"/>
        </w:rPr>
        <w:t xml:space="preserve">varied stages in implementation but also </w:t>
      </w:r>
      <w:r w:rsidR="007C6936" w:rsidRPr="00773EEA">
        <w:rPr>
          <w:rFonts w:cs="Arial"/>
          <w:szCs w:val="20"/>
        </w:rPr>
        <w:t xml:space="preserve">varied </w:t>
      </w:r>
      <w:r w:rsidRPr="00773EEA">
        <w:rPr>
          <w:rFonts w:cs="Arial"/>
          <w:szCs w:val="20"/>
        </w:rPr>
        <w:t xml:space="preserve">appreciation of how, why and when to apply </w:t>
      </w:r>
      <w:r w:rsidR="00433B62" w:rsidRPr="00773EEA">
        <w:rPr>
          <w:rFonts w:cs="Arial"/>
          <w:szCs w:val="20"/>
        </w:rPr>
        <w:t xml:space="preserve">GESI </w:t>
      </w:r>
      <w:r w:rsidR="00ED1ED1" w:rsidRPr="00773EEA">
        <w:rPr>
          <w:rFonts w:cs="Arial"/>
          <w:szCs w:val="20"/>
        </w:rPr>
        <w:t>principles.</w:t>
      </w:r>
      <w:r w:rsidRPr="00773EEA">
        <w:rPr>
          <w:rFonts w:cs="Arial"/>
          <w:szCs w:val="20"/>
        </w:rPr>
        <w:t xml:space="preserve"> There is a strong program focus on outputs and numerical indicators</w:t>
      </w:r>
      <w:r w:rsidR="0058230C" w:rsidRPr="00773EEA">
        <w:rPr>
          <w:rFonts w:cs="Arial"/>
          <w:szCs w:val="20"/>
        </w:rPr>
        <w:t xml:space="preserve"> for GESI, while</w:t>
      </w:r>
      <w:r w:rsidRPr="00773EEA">
        <w:rPr>
          <w:rFonts w:cs="Arial"/>
          <w:szCs w:val="20"/>
        </w:rPr>
        <w:t xml:space="preserve"> </w:t>
      </w:r>
      <w:r w:rsidR="0058230C" w:rsidRPr="00773EEA">
        <w:rPr>
          <w:rFonts w:cs="Arial"/>
          <w:szCs w:val="20"/>
        </w:rPr>
        <w:t>v</w:t>
      </w:r>
      <w:r w:rsidRPr="00773EEA">
        <w:rPr>
          <w:rFonts w:cs="Arial"/>
          <w:szCs w:val="20"/>
        </w:rPr>
        <w:t>isibility</w:t>
      </w:r>
      <w:r w:rsidR="0058230C" w:rsidRPr="00773EEA">
        <w:rPr>
          <w:rFonts w:cs="Arial"/>
          <w:szCs w:val="20"/>
        </w:rPr>
        <w:t xml:space="preserve"> and </w:t>
      </w:r>
      <w:r w:rsidRPr="00773EEA">
        <w:rPr>
          <w:rFonts w:cs="Arial"/>
          <w:szCs w:val="20"/>
        </w:rPr>
        <w:t xml:space="preserve">understanding of intermediate GESI outcomes and pathways from intervention outputs to potential outcomes needs to be strengthened between implementation teams, M&amp;E and GESI specialists. </w:t>
      </w:r>
    </w:p>
    <w:p w14:paraId="6F333470" w14:textId="69B24964" w:rsidR="00C62C5A" w:rsidRPr="00773EEA" w:rsidRDefault="00C62C5A" w:rsidP="00DD1B1D">
      <w:pPr>
        <w:spacing w:after="100" w:line="257" w:lineRule="auto"/>
        <w:jc w:val="both"/>
        <w:rPr>
          <w:rFonts w:cs="Arial"/>
          <w:szCs w:val="20"/>
        </w:rPr>
      </w:pPr>
      <w:r w:rsidRPr="00773EEA">
        <w:rPr>
          <w:rFonts w:cs="Arial"/>
          <w:szCs w:val="20"/>
        </w:rPr>
        <w:t>Increasing implementation team awareness of evidence</w:t>
      </w:r>
      <w:r w:rsidR="00C000C2" w:rsidRPr="00773EEA">
        <w:rPr>
          <w:rFonts w:cs="Arial"/>
          <w:szCs w:val="20"/>
        </w:rPr>
        <w:t>,</w:t>
      </w:r>
      <w:r w:rsidRPr="00773EEA">
        <w:rPr>
          <w:rFonts w:cs="Arial"/>
          <w:szCs w:val="20"/>
        </w:rPr>
        <w:t xml:space="preserve"> and collection of evidence demonstrating progress towards intermediate GESI outcomes, is needed. Increased implementing team exposure to GESI target group views and more effective use of engagement with local government partners to promote/influence GESI in use of tools/solutions, would assist</w:t>
      </w:r>
      <w:r w:rsidR="0058230C" w:rsidRPr="00773EEA">
        <w:rPr>
          <w:rFonts w:cs="Arial"/>
          <w:szCs w:val="20"/>
        </w:rPr>
        <w:t xml:space="preserve"> in this</w:t>
      </w:r>
      <w:r w:rsidRPr="00773EEA">
        <w:rPr>
          <w:rFonts w:cs="Arial"/>
          <w:szCs w:val="20"/>
        </w:rPr>
        <w:t xml:space="preserve">. The program’s M&amp;E system </w:t>
      </w:r>
      <w:r w:rsidR="0058230C" w:rsidRPr="00773EEA">
        <w:rPr>
          <w:rFonts w:cs="Arial"/>
          <w:szCs w:val="20"/>
        </w:rPr>
        <w:t xml:space="preserve">also </w:t>
      </w:r>
      <w:r w:rsidRPr="00773EEA">
        <w:rPr>
          <w:rFonts w:cs="Arial"/>
          <w:szCs w:val="20"/>
        </w:rPr>
        <w:t>needs to systematically collect, analyse and report disaggregated GESI data to DFAT.</w:t>
      </w:r>
    </w:p>
    <w:p w14:paraId="48F9D23A" w14:textId="42CC2F9A" w:rsidR="006F1986" w:rsidRPr="00773EEA" w:rsidRDefault="006F1986" w:rsidP="00B7602B">
      <w:pPr>
        <w:spacing w:before="180"/>
        <w:jc w:val="both"/>
        <w:rPr>
          <w:rStyle w:val="BookTitle"/>
          <w:rFonts w:asciiTheme="majorHAnsi" w:hAnsiTheme="majorHAnsi"/>
          <w:b w:val="0"/>
          <w:bCs w:val="0"/>
          <w:i/>
          <w:iCs w:val="0"/>
          <w:color w:val="auto"/>
        </w:rPr>
      </w:pPr>
      <w:r w:rsidRPr="00773EEA">
        <w:rPr>
          <w:rStyle w:val="BookTitle"/>
          <w:rFonts w:asciiTheme="majorHAnsi" w:hAnsiTheme="majorHAnsi"/>
          <w:b w:val="0"/>
          <w:bCs w:val="0"/>
          <w:i/>
          <w:iCs w:val="0"/>
          <w:color w:val="auto"/>
        </w:rPr>
        <w:t xml:space="preserve">KEQ4: </w:t>
      </w:r>
      <w:r w:rsidR="000A2ED3" w:rsidRPr="00773EEA">
        <w:rPr>
          <w:rStyle w:val="BookTitle"/>
          <w:rFonts w:asciiTheme="majorHAnsi" w:hAnsiTheme="majorHAnsi"/>
          <w:b w:val="0"/>
          <w:bCs w:val="0"/>
          <w:i/>
          <w:iCs w:val="0"/>
          <w:color w:val="auto"/>
        </w:rPr>
        <w:t>What are the key program risks that may affect successfully achieving end of program outcomes?</w:t>
      </w:r>
    </w:p>
    <w:p w14:paraId="6D750348" w14:textId="40779083" w:rsidR="00F35DD8" w:rsidRPr="00773EEA" w:rsidRDefault="002A7828" w:rsidP="00DE15CB">
      <w:pPr>
        <w:spacing w:after="100" w:line="257" w:lineRule="auto"/>
        <w:jc w:val="both"/>
      </w:pPr>
      <w:r w:rsidRPr="00773EEA">
        <w:rPr>
          <w:rStyle w:val="BookTitle"/>
          <w:b w:val="0"/>
          <w:bCs w:val="0"/>
          <w:color w:val="auto"/>
        </w:rPr>
        <w:t>Risk 1: Sustain</w:t>
      </w:r>
      <w:r w:rsidR="007129D6" w:rsidRPr="00773EEA">
        <w:rPr>
          <w:rStyle w:val="BookTitle"/>
          <w:b w:val="0"/>
          <w:bCs w:val="0"/>
          <w:color w:val="auto"/>
        </w:rPr>
        <w:t>able</w:t>
      </w:r>
      <w:r w:rsidRPr="00773EEA">
        <w:rPr>
          <w:rStyle w:val="BookTitle"/>
          <w:b w:val="0"/>
          <w:bCs w:val="0"/>
          <w:color w:val="auto"/>
        </w:rPr>
        <w:t xml:space="preserve"> use of processes, </w:t>
      </w:r>
      <w:r w:rsidR="007129D6" w:rsidRPr="00773EEA">
        <w:rPr>
          <w:rStyle w:val="BookTitle"/>
          <w:b w:val="0"/>
          <w:bCs w:val="0"/>
          <w:color w:val="auto"/>
        </w:rPr>
        <w:t>systems,</w:t>
      </w:r>
      <w:r w:rsidRPr="00773EEA">
        <w:rPr>
          <w:rStyle w:val="BookTitle"/>
          <w:b w:val="0"/>
          <w:bCs w:val="0"/>
          <w:color w:val="auto"/>
        </w:rPr>
        <w:t xml:space="preserve"> and tools by city governments</w:t>
      </w:r>
      <w:r w:rsidR="00F35DD8" w:rsidRPr="00773EEA">
        <w:rPr>
          <w:rStyle w:val="BookTitle"/>
          <w:b w:val="0"/>
          <w:bCs w:val="0"/>
          <w:color w:val="auto"/>
        </w:rPr>
        <w:t xml:space="preserve">: </w:t>
      </w:r>
      <w:r w:rsidR="00F35DD8" w:rsidRPr="00773EEA">
        <w:t xml:space="preserve">There are significant risks in the </w:t>
      </w:r>
      <w:r w:rsidR="007129D6" w:rsidRPr="00773EEA">
        <w:t xml:space="preserve">successful </w:t>
      </w:r>
      <w:r w:rsidR="00F35DD8" w:rsidRPr="00773EEA">
        <w:t xml:space="preserve">hand-over of </w:t>
      </w:r>
      <w:proofErr w:type="gramStart"/>
      <w:r w:rsidR="007129D6" w:rsidRPr="00773EEA">
        <w:t>S</w:t>
      </w:r>
      <w:r w:rsidR="00F35DD8" w:rsidRPr="00773EEA">
        <w:t>ilver</w:t>
      </w:r>
      <w:proofErr w:type="gramEnd"/>
      <w:r w:rsidR="00F35DD8" w:rsidRPr="00773EEA">
        <w:t xml:space="preserve"> </w:t>
      </w:r>
      <w:r w:rsidR="00A64C84" w:rsidRPr="00773EEA">
        <w:t xml:space="preserve">intervention </w:t>
      </w:r>
      <w:r w:rsidR="00F35DD8" w:rsidRPr="00773EEA">
        <w:t xml:space="preserve">tools and systems at the end of each </w:t>
      </w:r>
      <w:r w:rsidR="004F753A" w:rsidRPr="00773EEA">
        <w:t>TO</w:t>
      </w:r>
      <w:r w:rsidR="00F35DD8" w:rsidRPr="00773EEA">
        <w:t xml:space="preserve">. </w:t>
      </w:r>
      <w:r w:rsidR="00E11F9A" w:rsidRPr="00773EEA">
        <w:t xml:space="preserve">Despite considerable capacity </w:t>
      </w:r>
      <w:r w:rsidR="003039A9" w:rsidRPr="00773EEA">
        <w:t>building</w:t>
      </w:r>
      <w:r w:rsidR="00E11F9A" w:rsidRPr="00773EEA">
        <w:t xml:space="preserve"> </w:t>
      </w:r>
      <w:r w:rsidR="004F753A" w:rsidRPr="00773EEA">
        <w:t xml:space="preserve">activities </w:t>
      </w:r>
      <w:r w:rsidR="00A64C84" w:rsidRPr="00773EEA">
        <w:t xml:space="preserve">being </w:t>
      </w:r>
      <w:r w:rsidR="00E11F9A" w:rsidRPr="00773EEA">
        <w:t>undertaken, there remains</w:t>
      </w:r>
      <w:r w:rsidR="00E11F9A" w:rsidRPr="00773EEA" w:rsidDel="00E11F9A">
        <w:t xml:space="preserve"> </w:t>
      </w:r>
      <w:r w:rsidR="00F35DD8" w:rsidRPr="00773EEA">
        <w:t xml:space="preserve">a high risk that city </w:t>
      </w:r>
      <w:r w:rsidR="00E11F9A" w:rsidRPr="00773EEA">
        <w:t>officials</w:t>
      </w:r>
      <w:r w:rsidR="00F35DD8" w:rsidRPr="00773EEA">
        <w:t xml:space="preserve"> will still not have sufficient knowledge </w:t>
      </w:r>
      <w:r w:rsidR="00634275" w:rsidRPr="00773EEA">
        <w:t xml:space="preserve">and understanding </w:t>
      </w:r>
      <w:r w:rsidR="00F35DD8" w:rsidRPr="00773EEA">
        <w:t xml:space="preserve">to </w:t>
      </w:r>
      <w:r w:rsidR="00D363F4" w:rsidRPr="00773EEA">
        <w:t xml:space="preserve">ensure </w:t>
      </w:r>
      <w:r w:rsidR="00FF28F1" w:rsidRPr="00773EEA">
        <w:t xml:space="preserve">the </w:t>
      </w:r>
      <w:r w:rsidR="00F35DD8" w:rsidRPr="00773EEA">
        <w:t>continu</w:t>
      </w:r>
      <w:r w:rsidR="00634275" w:rsidRPr="00773EEA">
        <w:t>al</w:t>
      </w:r>
      <w:r w:rsidR="00F35DD8" w:rsidRPr="00773EEA">
        <w:t xml:space="preserve"> us</w:t>
      </w:r>
      <w:r w:rsidR="00D363F4" w:rsidRPr="00773EEA">
        <w:t>age of</w:t>
      </w:r>
      <w:r w:rsidR="00F35DD8" w:rsidRPr="00773EEA">
        <w:t xml:space="preserve"> a system</w:t>
      </w:r>
      <w:r w:rsidR="00B4180E" w:rsidRPr="00773EEA">
        <w:t xml:space="preserve"> beyond the program cycle</w:t>
      </w:r>
      <w:r w:rsidR="00F83757" w:rsidRPr="00773EEA">
        <w:t>, as well as</w:t>
      </w:r>
      <w:r w:rsidR="00F35DD8" w:rsidRPr="00773EEA">
        <w:t xml:space="preserve"> lack</w:t>
      </w:r>
      <w:r w:rsidR="00B4180E" w:rsidRPr="00773EEA">
        <w:t>ing</w:t>
      </w:r>
      <w:r w:rsidR="00F35DD8" w:rsidRPr="00773EEA">
        <w:t xml:space="preserve"> dedicated resources</w:t>
      </w:r>
      <w:r w:rsidR="003E54EE" w:rsidRPr="00773EEA">
        <w:t xml:space="preserve"> </w:t>
      </w:r>
      <w:r w:rsidR="00B313A4" w:rsidRPr="00773EEA">
        <w:t>to</w:t>
      </w:r>
      <w:r w:rsidR="00F35DD8" w:rsidRPr="00773EEA">
        <w:t xml:space="preserve"> </w:t>
      </w:r>
      <w:r w:rsidR="00F83757" w:rsidRPr="00773EEA">
        <w:t>fund ongoing</w:t>
      </w:r>
      <w:r w:rsidR="00F35DD8" w:rsidRPr="00773EEA">
        <w:t xml:space="preserve"> operations and maintenance</w:t>
      </w:r>
      <w:r w:rsidR="00F83757" w:rsidRPr="00773EEA">
        <w:t>.</w:t>
      </w:r>
      <w:r w:rsidR="00F35DD8" w:rsidRPr="00773EEA">
        <w:t xml:space="preserve"> </w:t>
      </w:r>
      <w:r w:rsidR="00F83757" w:rsidRPr="00773EEA">
        <w:t xml:space="preserve">There is a </w:t>
      </w:r>
      <w:r w:rsidR="00F35DD8" w:rsidRPr="00773EEA">
        <w:t xml:space="preserve">risk </w:t>
      </w:r>
      <w:r w:rsidR="00F83757" w:rsidRPr="00773EEA">
        <w:t>AASCTF</w:t>
      </w:r>
      <w:r w:rsidR="00F35DD8" w:rsidRPr="00773EEA">
        <w:t xml:space="preserve"> interventions </w:t>
      </w:r>
      <w:r w:rsidR="00F83757" w:rsidRPr="00773EEA">
        <w:t>will not</w:t>
      </w:r>
      <w:r w:rsidR="00F35DD8" w:rsidRPr="00773EEA">
        <w:t xml:space="preserve"> be </w:t>
      </w:r>
      <w:r w:rsidR="00E171C9" w:rsidRPr="00773EEA">
        <w:t>incorporated</w:t>
      </w:r>
      <w:r w:rsidR="00F35DD8" w:rsidRPr="00773EEA">
        <w:t xml:space="preserve"> into relevant institutional frameworks</w:t>
      </w:r>
      <w:r w:rsidR="00FF5586" w:rsidRPr="00773EEA">
        <w:t xml:space="preserve"> and</w:t>
      </w:r>
      <w:r w:rsidR="00A857DB" w:rsidRPr="00773EEA">
        <w:t xml:space="preserve"> so </w:t>
      </w:r>
      <w:r w:rsidR="001C42AC" w:rsidRPr="00773EEA">
        <w:t>be</w:t>
      </w:r>
      <w:r w:rsidR="00A857DB" w:rsidRPr="00773EEA">
        <w:t xml:space="preserve"> </w:t>
      </w:r>
      <w:r w:rsidR="00E171C9" w:rsidRPr="00773EEA">
        <w:t>institu</w:t>
      </w:r>
      <w:r w:rsidR="00C81D8F" w:rsidRPr="00773EEA">
        <w:t xml:space="preserve">tionalised </w:t>
      </w:r>
      <w:r w:rsidR="00A857DB" w:rsidRPr="00773EEA">
        <w:t>effectively</w:t>
      </w:r>
      <w:r w:rsidR="00FF5586" w:rsidRPr="00773EEA">
        <w:t>.</w:t>
      </w:r>
      <w:r w:rsidR="001216F4" w:rsidRPr="00773EEA">
        <w:t xml:space="preserve"> </w:t>
      </w:r>
      <w:r w:rsidR="001E42B0" w:rsidRPr="00773EEA">
        <w:t>National and city level p</w:t>
      </w:r>
      <w:r w:rsidR="00F35DD8" w:rsidRPr="00773EEA">
        <w:t xml:space="preserve">olitical and policy </w:t>
      </w:r>
      <w:r w:rsidR="00F171F4" w:rsidRPr="00773EEA">
        <w:t>shifts</w:t>
      </w:r>
      <w:r w:rsidR="00FF5586" w:rsidRPr="00773EEA">
        <w:t xml:space="preserve"> </w:t>
      </w:r>
      <w:r w:rsidR="00C81D8F" w:rsidRPr="00773EEA">
        <w:t xml:space="preserve">further </w:t>
      </w:r>
      <w:r w:rsidR="001216F4" w:rsidRPr="00773EEA">
        <w:t xml:space="preserve">risk </w:t>
      </w:r>
      <w:r w:rsidR="00F35DD8" w:rsidRPr="00773EEA">
        <w:t>remov</w:t>
      </w:r>
      <w:r w:rsidR="00F171F4" w:rsidRPr="00773EEA">
        <w:t>ing</w:t>
      </w:r>
      <w:r w:rsidR="00F35DD8" w:rsidRPr="00773EEA">
        <w:t xml:space="preserve"> incentives to use systems</w:t>
      </w:r>
      <w:r w:rsidR="004E4C76" w:rsidRPr="00773EEA">
        <w:t>, which could</w:t>
      </w:r>
      <w:r w:rsidR="00A357CC" w:rsidRPr="00773EEA">
        <w:t xml:space="preserve"> </w:t>
      </w:r>
      <w:r w:rsidR="00FB4EAE" w:rsidRPr="00773EEA">
        <w:t xml:space="preserve">undermine </w:t>
      </w:r>
      <w:r w:rsidR="00F35DD8" w:rsidRPr="00773EEA">
        <w:t xml:space="preserve">effective uptake by </w:t>
      </w:r>
      <w:r w:rsidR="00C81D8F" w:rsidRPr="00773EEA">
        <w:t xml:space="preserve">both </w:t>
      </w:r>
      <w:r w:rsidR="00F35DD8" w:rsidRPr="00773EEA">
        <w:t xml:space="preserve">public and private </w:t>
      </w:r>
      <w:r w:rsidR="00836D5D" w:rsidRPr="00773EEA">
        <w:t>actors</w:t>
      </w:r>
      <w:r w:rsidR="00F35DD8" w:rsidRPr="00773EEA">
        <w:t xml:space="preserve">. </w:t>
      </w:r>
      <w:r w:rsidR="00FB4EAE" w:rsidRPr="00773EEA">
        <w:t xml:space="preserve">ADB and </w:t>
      </w:r>
      <w:r w:rsidR="00F35DD8" w:rsidRPr="00773EEA">
        <w:t xml:space="preserve">Ramboll have dedicated resources to </w:t>
      </w:r>
      <w:r w:rsidR="00FB4EAE" w:rsidRPr="00773EEA">
        <w:t>identify</w:t>
      </w:r>
      <w:r w:rsidR="00F35DD8" w:rsidRPr="00773EEA">
        <w:t xml:space="preserve"> and mitigat</w:t>
      </w:r>
      <w:r w:rsidR="00FB4EAE" w:rsidRPr="00773EEA">
        <w:t>e</w:t>
      </w:r>
      <w:r w:rsidR="00F35DD8" w:rsidRPr="00773EEA">
        <w:t xml:space="preserve"> these risks, </w:t>
      </w:r>
      <w:r w:rsidR="001E42B0" w:rsidRPr="00773EEA">
        <w:t>al</w:t>
      </w:r>
      <w:r w:rsidR="00FB4EAE" w:rsidRPr="00773EEA">
        <w:t>though</w:t>
      </w:r>
      <w:r w:rsidR="00F35DD8" w:rsidRPr="00773EEA">
        <w:t xml:space="preserve"> </w:t>
      </w:r>
      <w:r w:rsidR="002C250C" w:rsidRPr="00773EEA">
        <w:t>the successful</w:t>
      </w:r>
      <w:r w:rsidR="00FB4EAE" w:rsidRPr="00773EEA">
        <w:t xml:space="preserve"> </w:t>
      </w:r>
      <w:r w:rsidR="00F35DD8" w:rsidRPr="00773EEA">
        <w:t xml:space="preserve">handover </w:t>
      </w:r>
      <w:r w:rsidR="002C250C" w:rsidRPr="00773EEA">
        <w:t xml:space="preserve">to municipal governments of tools and systems developed by the program </w:t>
      </w:r>
      <w:r w:rsidR="00F35DD8" w:rsidRPr="00773EEA">
        <w:t>remains challenging</w:t>
      </w:r>
      <w:r w:rsidR="00836D5D" w:rsidRPr="00773EEA">
        <w:t>.</w:t>
      </w:r>
      <w:r w:rsidR="00F35DD8" w:rsidRPr="00773EEA">
        <w:t xml:space="preserve"> </w:t>
      </w:r>
    </w:p>
    <w:p w14:paraId="2DA4EED7" w14:textId="5E170B29" w:rsidR="00FA3C4D" w:rsidRPr="00773EEA" w:rsidRDefault="00D7301D" w:rsidP="00DE15CB">
      <w:pPr>
        <w:spacing w:line="257" w:lineRule="auto"/>
        <w:jc w:val="both"/>
      </w:pPr>
      <w:r w:rsidRPr="00773EEA">
        <w:rPr>
          <w:rStyle w:val="BookTitle"/>
          <w:b w:val="0"/>
          <w:bCs w:val="0"/>
          <w:color w:val="auto"/>
        </w:rPr>
        <w:t>Risk 2: Lack of coverage and results related to financial management</w:t>
      </w:r>
      <w:r w:rsidR="00C36E6A" w:rsidRPr="00773EEA">
        <w:rPr>
          <w:rStyle w:val="BookTitle"/>
          <w:b w:val="0"/>
          <w:bCs w:val="0"/>
          <w:color w:val="auto"/>
        </w:rPr>
        <w:t>:</w:t>
      </w:r>
      <w:r w:rsidR="00C36E6A" w:rsidRPr="00773EEA">
        <w:rPr>
          <w:rStyle w:val="BookTitle"/>
          <w:color w:val="auto"/>
        </w:rPr>
        <w:t xml:space="preserve"> </w:t>
      </w:r>
      <w:r w:rsidRPr="00773EEA">
        <w:t xml:space="preserve">While time </w:t>
      </w:r>
      <w:r w:rsidR="003B60CD" w:rsidRPr="00773EEA">
        <w:t xml:space="preserve">remains for AASCTF </w:t>
      </w:r>
      <w:r w:rsidRPr="00773EEA">
        <w:t xml:space="preserve">to implement </w:t>
      </w:r>
      <w:r w:rsidR="00486B30" w:rsidRPr="00773EEA">
        <w:t xml:space="preserve">further </w:t>
      </w:r>
      <w:r w:rsidRPr="00773EEA">
        <w:t xml:space="preserve">interventions that meet the </w:t>
      </w:r>
      <w:r w:rsidR="00486B30" w:rsidRPr="00773EEA">
        <w:t xml:space="preserve">financial management </w:t>
      </w:r>
      <w:r w:rsidRPr="00773EEA">
        <w:t xml:space="preserve">targets </w:t>
      </w:r>
      <w:r w:rsidR="003B60CD" w:rsidRPr="00773EEA">
        <w:t>of pillar</w:t>
      </w:r>
      <w:r w:rsidR="00B92121" w:rsidRPr="00773EEA">
        <w:t xml:space="preserve"> three</w:t>
      </w:r>
      <w:r w:rsidRPr="00773EEA">
        <w:t xml:space="preserve">, it </w:t>
      </w:r>
      <w:r w:rsidR="00B92121" w:rsidRPr="00773EEA">
        <w:t>i</w:t>
      </w:r>
      <w:r w:rsidRPr="00773EEA">
        <w:t xml:space="preserve">s unlikely that the city government </w:t>
      </w:r>
      <w:r w:rsidR="00486B30" w:rsidRPr="00773EEA">
        <w:t>preference for</w:t>
      </w:r>
      <w:r w:rsidRPr="00773EEA">
        <w:t xml:space="preserve"> urban planning and service delivery interventions will change</w:t>
      </w:r>
      <w:r w:rsidR="00B92121" w:rsidRPr="00773EEA">
        <w:t xml:space="preserve"> considerably</w:t>
      </w:r>
      <w:r w:rsidRPr="00773EEA">
        <w:t>. Furthermore, the Ramboll budget for A</w:t>
      </w:r>
      <w:r w:rsidR="00DC210C" w:rsidRPr="00773EEA">
        <w:t>A</w:t>
      </w:r>
      <w:r w:rsidRPr="00773EEA">
        <w:t xml:space="preserve">SCTF </w:t>
      </w:r>
      <w:r w:rsidR="00486B30" w:rsidRPr="00773EEA">
        <w:t>will be</w:t>
      </w:r>
      <w:r w:rsidRPr="00773EEA">
        <w:t xml:space="preserve"> exhausted</w:t>
      </w:r>
      <w:r w:rsidR="00486B30" w:rsidRPr="00773EEA">
        <w:t xml:space="preserve"> by the currently endorsed TOs</w:t>
      </w:r>
      <w:r w:rsidRPr="00773EEA">
        <w:t>, meaning that more funds would need to be allocated from ADB</w:t>
      </w:r>
      <w:r w:rsidR="004B45BF" w:rsidRPr="00773EEA">
        <w:t>, or the overall budget increased by</w:t>
      </w:r>
      <w:r w:rsidRPr="00773EEA">
        <w:t xml:space="preserve"> DFAT</w:t>
      </w:r>
      <w:r w:rsidR="004B45BF" w:rsidRPr="00773EEA">
        <w:t>, in order</w:t>
      </w:r>
      <w:r w:rsidRPr="00773EEA">
        <w:t xml:space="preserve"> to continue work in this area. </w:t>
      </w:r>
      <w:r w:rsidR="00FA3C4D" w:rsidRPr="00773EEA">
        <w:t>DFAT and ADB should either put in place measures to increase the program focus on financial management in order to meet the DMF targets, or a re-framing of the DMF targets in collaboration with DFAT to reflect a greater focus on the first two pillars.</w:t>
      </w:r>
    </w:p>
    <w:p w14:paraId="54264CE1" w14:textId="5C21D1B9" w:rsidR="00D7301D" w:rsidRPr="00773EEA" w:rsidRDefault="00D7301D" w:rsidP="00DE15CB">
      <w:pPr>
        <w:spacing w:after="100" w:line="257" w:lineRule="auto"/>
        <w:jc w:val="both"/>
      </w:pPr>
      <w:r w:rsidRPr="00773EEA">
        <w:rPr>
          <w:rStyle w:val="BookTitle"/>
          <w:b w:val="0"/>
          <w:bCs w:val="0"/>
          <w:color w:val="auto"/>
        </w:rPr>
        <w:t>Risk 3: Lack of a clear pathway to implement Gold</w:t>
      </w:r>
      <w:r w:rsidR="00CB6F36" w:rsidRPr="00773EEA">
        <w:rPr>
          <w:rStyle w:val="BookTitle"/>
          <w:b w:val="0"/>
          <w:bCs w:val="0"/>
          <w:color w:val="auto"/>
        </w:rPr>
        <w:t>-</w:t>
      </w:r>
      <w:r w:rsidRPr="00773EEA">
        <w:rPr>
          <w:rStyle w:val="BookTitle"/>
          <w:b w:val="0"/>
          <w:bCs w:val="0"/>
          <w:color w:val="auto"/>
        </w:rPr>
        <w:t>level investments</w:t>
      </w:r>
      <w:r w:rsidR="00535DE6" w:rsidRPr="00773EEA">
        <w:rPr>
          <w:rStyle w:val="BookTitle"/>
          <w:b w:val="0"/>
          <w:bCs w:val="0"/>
          <w:color w:val="auto"/>
        </w:rPr>
        <w:t>.</w:t>
      </w:r>
      <w:r w:rsidR="00535DE6" w:rsidRPr="00773EEA">
        <w:rPr>
          <w:rStyle w:val="BookTitle"/>
          <w:color w:val="auto"/>
        </w:rPr>
        <w:t xml:space="preserve"> </w:t>
      </w:r>
      <w:r w:rsidR="00535DE6" w:rsidRPr="00773EEA">
        <w:t>T</w:t>
      </w:r>
      <w:r w:rsidRPr="00773EEA">
        <w:t xml:space="preserve">he program has not </w:t>
      </w:r>
      <w:r w:rsidR="00535DE6" w:rsidRPr="00773EEA">
        <w:t xml:space="preserve">yet been able to </w:t>
      </w:r>
      <w:r w:rsidR="008721BB" w:rsidRPr="00773EEA">
        <w:t xml:space="preserve">articulate and </w:t>
      </w:r>
      <w:r w:rsidRPr="00773EEA">
        <w:t xml:space="preserve">define a clear process and </w:t>
      </w:r>
      <w:r w:rsidR="008721BB" w:rsidRPr="00773EEA">
        <w:t xml:space="preserve">desired </w:t>
      </w:r>
      <w:r w:rsidRPr="00773EEA">
        <w:t>outcome</w:t>
      </w:r>
      <w:r w:rsidR="008721BB" w:rsidRPr="00773EEA">
        <w:t>s</w:t>
      </w:r>
      <w:r w:rsidRPr="00773EEA">
        <w:t xml:space="preserve"> for </w:t>
      </w:r>
      <w:r w:rsidR="008721BB" w:rsidRPr="00773EEA">
        <w:t>G</w:t>
      </w:r>
      <w:r w:rsidRPr="00773EEA">
        <w:t>old-level investments.</w:t>
      </w:r>
      <w:r w:rsidR="00535DE6" w:rsidRPr="00773EEA">
        <w:t xml:space="preserve"> T</w:t>
      </w:r>
      <w:r w:rsidRPr="00773EEA">
        <w:t xml:space="preserve">here is very limited time </w:t>
      </w:r>
      <w:r w:rsidR="008721BB" w:rsidRPr="00773EEA">
        <w:t xml:space="preserve">now </w:t>
      </w:r>
      <w:r w:rsidRPr="00773EEA">
        <w:t xml:space="preserve">available to implement </w:t>
      </w:r>
      <w:r w:rsidR="008721BB" w:rsidRPr="00773EEA">
        <w:t>G</w:t>
      </w:r>
      <w:r w:rsidRPr="00773EEA">
        <w:t>old-level investments</w:t>
      </w:r>
      <w:r w:rsidR="00535DE6" w:rsidRPr="00773EEA">
        <w:t xml:space="preserve"> </w:t>
      </w:r>
      <w:r w:rsidR="008721BB" w:rsidRPr="00773EEA">
        <w:t xml:space="preserve">in a meaningful way </w:t>
      </w:r>
      <w:r w:rsidR="00535DE6" w:rsidRPr="00773EEA">
        <w:t>before the end of 2024</w:t>
      </w:r>
      <w:r w:rsidR="00A0065D" w:rsidRPr="00773EEA">
        <w:t>. The</w:t>
      </w:r>
      <w:r w:rsidR="00535DE6" w:rsidRPr="00773EEA">
        <w:t xml:space="preserve"> result</w:t>
      </w:r>
      <w:r w:rsidR="00A0065D" w:rsidRPr="00773EEA">
        <w:t>ant</w:t>
      </w:r>
      <w:r w:rsidR="00535DE6" w:rsidRPr="00773EEA">
        <w:t xml:space="preserve"> risk</w:t>
      </w:r>
      <w:r w:rsidR="00A0065D" w:rsidRPr="00773EEA">
        <w:t xml:space="preserve">s </w:t>
      </w:r>
      <w:r w:rsidR="00DC65C1" w:rsidRPr="00773EEA">
        <w:t>are</w:t>
      </w:r>
      <w:r w:rsidR="00535DE6" w:rsidRPr="00773EEA">
        <w:t xml:space="preserve"> that this </w:t>
      </w:r>
      <w:r w:rsidR="00A0065D" w:rsidRPr="00773EEA">
        <w:t xml:space="preserve">phase </w:t>
      </w:r>
      <w:r w:rsidR="00535DE6" w:rsidRPr="00773EEA">
        <w:t xml:space="preserve">of AASCTF will </w:t>
      </w:r>
      <w:r w:rsidR="00A0065D" w:rsidRPr="00773EEA">
        <w:t xml:space="preserve">either </w:t>
      </w:r>
      <w:r w:rsidR="00535DE6" w:rsidRPr="00773EEA">
        <w:t>not go ahead</w:t>
      </w:r>
      <w:r w:rsidR="00A0065D" w:rsidRPr="00773EEA">
        <w:t>, or proceed</w:t>
      </w:r>
      <w:r w:rsidR="00FF28F1" w:rsidRPr="00773EEA">
        <w:t>, but in</w:t>
      </w:r>
      <w:r w:rsidR="00A0065D" w:rsidRPr="00773EEA">
        <w:t xml:space="preserve"> a less impactful</w:t>
      </w:r>
      <w:r w:rsidR="00FF28F1" w:rsidRPr="00773EEA">
        <w:t xml:space="preserve"> manner than the design envisaged</w:t>
      </w:r>
      <w:r w:rsidRPr="00773EEA">
        <w:t>.</w:t>
      </w:r>
    </w:p>
    <w:p w14:paraId="2865061B" w14:textId="3513FCD6" w:rsidR="006D0B2C" w:rsidRPr="00773EEA" w:rsidRDefault="00D7301D" w:rsidP="00DE15CB">
      <w:pPr>
        <w:spacing w:after="100" w:line="257" w:lineRule="auto"/>
        <w:jc w:val="both"/>
        <w:rPr>
          <w:rStyle w:val="BookTitle"/>
          <w:b w:val="0"/>
          <w:bCs w:val="0"/>
          <w:color w:val="auto"/>
        </w:rPr>
      </w:pPr>
      <w:r w:rsidRPr="00773EEA">
        <w:rPr>
          <w:rStyle w:val="BookTitle"/>
          <w:b w:val="0"/>
          <w:bCs w:val="0"/>
          <w:color w:val="auto"/>
        </w:rPr>
        <w:t xml:space="preserve">Risk 4: Notable resources spent on influencing activities may fail to produce impact. </w:t>
      </w:r>
      <w:r w:rsidR="00535DE6" w:rsidRPr="00773EEA">
        <w:t xml:space="preserve">Influencing </w:t>
      </w:r>
      <w:r w:rsidR="00FF28F1" w:rsidRPr="00773EEA">
        <w:t>activities</w:t>
      </w:r>
      <w:r w:rsidR="00535DE6" w:rsidRPr="00773EEA">
        <w:t xml:space="preserve"> are delivered to a high quality across the AASCTF. However, </w:t>
      </w:r>
      <w:r w:rsidRPr="00773EEA">
        <w:t xml:space="preserve">their impact </w:t>
      </w:r>
      <w:r w:rsidR="00535DE6" w:rsidRPr="00773EEA">
        <w:t>is likely to</w:t>
      </w:r>
      <w:r w:rsidRPr="00773EEA">
        <w:t xml:space="preserve"> remain rather limited without any </w:t>
      </w:r>
      <w:r w:rsidRPr="00773EEA">
        <w:lastRenderedPageBreak/>
        <w:t>sustained program support from A</w:t>
      </w:r>
      <w:r w:rsidR="00DC210C" w:rsidRPr="00773EEA">
        <w:t>A</w:t>
      </w:r>
      <w:r w:rsidRPr="00773EEA">
        <w:t>SCTF to help put into practice some of the key elements being advocated.</w:t>
      </w:r>
      <w:r w:rsidR="00535DE6" w:rsidRPr="00773EEA">
        <w:t xml:space="preserve"> There is also a risk that the networks of participants </w:t>
      </w:r>
      <w:r w:rsidRPr="00773EEA">
        <w:t xml:space="preserve">will be lost once the AASCTF comes to an end. </w:t>
      </w:r>
    </w:p>
    <w:p w14:paraId="3C9ADEBC" w14:textId="3A13E5D6" w:rsidR="000A2ED3" w:rsidRPr="00773EEA" w:rsidRDefault="000A2ED3" w:rsidP="002B63A4">
      <w:pPr>
        <w:spacing w:before="180"/>
        <w:rPr>
          <w:rStyle w:val="BookTitle"/>
          <w:rFonts w:asciiTheme="majorHAnsi" w:hAnsiTheme="majorHAnsi"/>
          <w:b w:val="0"/>
          <w:bCs w:val="0"/>
          <w:i/>
          <w:iCs w:val="0"/>
          <w:color w:val="auto"/>
        </w:rPr>
      </w:pPr>
      <w:r w:rsidRPr="00773EEA">
        <w:rPr>
          <w:rStyle w:val="BookTitle"/>
          <w:rFonts w:asciiTheme="majorHAnsi" w:hAnsiTheme="majorHAnsi"/>
          <w:b w:val="0"/>
          <w:bCs w:val="0"/>
          <w:i/>
          <w:iCs w:val="0"/>
          <w:color w:val="auto"/>
        </w:rPr>
        <w:t xml:space="preserve">KEQ5: </w:t>
      </w:r>
      <w:r w:rsidR="003C3181" w:rsidRPr="00773EEA">
        <w:rPr>
          <w:rStyle w:val="BookTitle"/>
          <w:rFonts w:asciiTheme="majorHAnsi" w:hAnsiTheme="majorHAnsi"/>
          <w:b w:val="0"/>
          <w:bCs w:val="0"/>
          <w:i/>
          <w:iCs w:val="0"/>
          <w:color w:val="auto"/>
        </w:rPr>
        <w:t>How effectively has the program pivoted to address the impacts of COVID 19?</w:t>
      </w:r>
    </w:p>
    <w:p w14:paraId="13B20AA8" w14:textId="370F8F13" w:rsidR="006D0B2C" w:rsidRPr="00773EEA" w:rsidRDefault="004333C3" w:rsidP="00DD1B1D">
      <w:pPr>
        <w:spacing w:after="100" w:line="257" w:lineRule="auto"/>
        <w:jc w:val="both"/>
        <w:rPr>
          <w:rStyle w:val="BookTitle"/>
          <w:b w:val="0"/>
          <w:bCs w:val="0"/>
          <w:color w:val="auto"/>
        </w:rPr>
      </w:pPr>
      <w:r w:rsidRPr="00773EEA">
        <w:t>COVID</w:t>
      </w:r>
      <w:r w:rsidR="009F47E2" w:rsidRPr="00773EEA">
        <w:t xml:space="preserve">-19 reemphasised how </w:t>
      </w:r>
      <w:r w:rsidR="005F75F3" w:rsidRPr="00773EEA">
        <w:t>critical</w:t>
      </w:r>
      <w:r w:rsidR="009F47E2" w:rsidRPr="00773EEA">
        <w:t xml:space="preserve"> AASCTF </w:t>
      </w:r>
      <w:r w:rsidR="005F75F3" w:rsidRPr="00773EEA">
        <w:t xml:space="preserve">objectives </w:t>
      </w:r>
      <w:r w:rsidR="009F47E2" w:rsidRPr="00773EEA">
        <w:t>of sustainable urban planning and service delivery</w:t>
      </w:r>
      <w:r w:rsidR="008E7762" w:rsidRPr="00773EEA">
        <w:t xml:space="preserve"> are for targeted cities</w:t>
      </w:r>
      <w:r w:rsidR="009F47E2" w:rsidRPr="00773EEA">
        <w:t>.</w:t>
      </w:r>
      <w:r w:rsidR="009F47E2" w:rsidRPr="00773EEA">
        <w:rPr>
          <w:iCs/>
        </w:rPr>
        <w:t xml:space="preserve"> </w:t>
      </w:r>
      <w:r w:rsidR="00F9030F" w:rsidRPr="00773EEA">
        <w:t xml:space="preserve">ADB and </w:t>
      </w:r>
      <w:r w:rsidR="009F47E2" w:rsidRPr="00773EEA">
        <w:t xml:space="preserve">Ramboll </w:t>
      </w:r>
      <w:r w:rsidR="008E7762" w:rsidRPr="00773EEA">
        <w:t>held</w:t>
      </w:r>
      <w:r w:rsidR="009F47E2" w:rsidRPr="00773EEA">
        <w:t xml:space="preserve"> strategic discussions on how to address </w:t>
      </w:r>
      <w:r w:rsidRPr="00773EEA">
        <w:t>COVID</w:t>
      </w:r>
      <w:r w:rsidR="00F9030F" w:rsidRPr="00773EEA">
        <w:t>-19</w:t>
      </w:r>
      <w:r w:rsidR="009F47E2" w:rsidRPr="00773EEA">
        <w:t xml:space="preserve">, </w:t>
      </w:r>
      <w:r w:rsidR="00FA3C4D" w:rsidRPr="00773EEA">
        <w:t xml:space="preserve">but </w:t>
      </w:r>
      <w:r w:rsidR="009F47E2" w:rsidRPr="00773EEA">
        <w:t xml:space="preserve">a significant program pivot was not </w:t>
      </w:r>
      <w:r w:rsidR="007041A6" w:rsidRPr="00773EEA">
        <w:t xml:space="preserve">deemed </w:t>
      </w:r>
      <w:r w:rsidR="009F47E2" w:rsidRPr="00773EEA">
        <w:t xml:space="preserve">necessary </w:t>
      </w:r>
      <w:r w:rsidR="007041A6" w:rsidRPr="00773EEA">
        <w:t>to meet</w:t>
      </w:r>
      <w:r w:rsidR="009F47E2" w:rsidRPr="00773EEA">
        <w:t xml:space="preserve"> </w:t>
      </w:r>
      <w:r w:rsidR="007041A6" w:rsidRPr="00773EEA">
        <w:t>AASCTF</w:t>
      </w:r>
      <w:r w:rsidR="009F47E2" w:rsidRPr="00773EEA">
        <w:t xml:space="preserve"> objectives. </w:t>
      </w:r>
      <w:r w:rsidR="00B700CE" w:rsidRPr="00773EEA">
        <w:rPr>
          <w:iCs/>
        </w:rPr>
        <w:t xml:space="preserve">This assessment appears </w:t>
      </w:r>
      <w:r w:rsidR="008D2946" w:rsidRPr="00773EEA">
        <w:rPr>
          <w:iCs/>
        </w:rPr>
        <w:t>valid, and</w:t>
      </w:r>
      <w:r w:rsidR="009F47E2" w:rsidRPr="00773EEA">
        <w:rPr>
          <w:iCs/>
        </w:rPr>
        <w:t xml:space="preserve"> </w:t>
      </w:r>
      <w:r w:rsidR="008D2946" w:rsidRPr="00773EEA">
        <w:rPr>
          <w:iCs/>
        </w:rPr>
        <w:t xml:space="preserve">the </w:t>
      </w:r>
      <w:r w:rsidR="009F47E2" w:rsidRPr="00773EEA">
        <w:rPr>
          <w:iCs/>
        </w:rPr>
        <w:t>program is broadly aligned with Covid-19 recovery strategies</w:t>
      </w:r>
      <w:r w:rsidR="008E7762" w:rsidRPr="00773EEA">
        <w:rPr>
          <w:iCs/>
        </w:rPr>
        <w:t xml:space="preserve">, </w:t>
      </w:r>
      <w:r w:rsidR="00E510CE" w:rsidRPr="00773EEA">
        <w:rPr>
          <w:iCs/>
        </w:rPr>
        <w:t xml:space="preserve">however, there remains </w:t>
      </w:r>
      <w:r w:rsidR="008D2946" w:rsidRPr="00773EEA">
        <w:rPr>
          <w:iCs/>
        </w:rPr>
        <w:t>room for more</w:t>
      </w:r>
      <w:r w:rsidR="009F47E2" w:rsidRPr="00773EEA">
        <w:rPr>
          <w:iCs/>
        </w:rPr>
        <w:t xml:space="preserve"> explicit </w:t>
      </w:r>
      <w:r w:rsidR="008D2946" w:rsidRPr="00773EEA">
        <w:rPr>
          <w:iCs/>
        </w:rPr>
        <w:t>alignment</w:t>
      </w:r>
      <w:r w:rsidR="009F47E2" w:rsidRPr="00773EEA">
        <w:rPr>
          <w:iCs/>
        </w:rPr>
        <w:t xml:space="preserve">. </w:t>
      </w:r>
      <w:r w:rsidR="00EB4C93" w:rsidRPr="00773EEA">
        <w:t xml:space="preserve">Although limitations to </w:t>
      </w:r>
      <w:r w:rsidR="00EB4C93" w:rsidRPr="00773EEA">
        <w:rPr>
          <w:iCs/>
        </w:rPr>
        <w:t xml:space="preserve">relationship building and </w:t>
      </w:r>
      <w:r w:rsidR="00EB4C93" w:rsidRPr="00773EEA">
        <w:t>stakeholder engagement</w:t>
      </w:r>
      <w:r w:rsidR="008D2946" w:rsidRPr="00773EEA">
        <w:t xml:space="preserve"> are apparent</w:t>
      </w:r>
      <w:r w:rsidR="00EB4C93" w:rsidRPr="00773EEA">
        <w:t xml:space="preserve">, AASCTF </w:t>
      </w:r>
      <w:r w:rsidR="009F47E2" w:rsidRPr="00773EEA">
        <w:t xml:space="preserve">has progressed well </w:t>
      </w:r>
      <w:r w:rsidR="00B84320" w:rsidRPr="00773EEA">
        <w:t>against the backdrop</w:t>
      </w:r>
      <w:r w:rsidR="009F47E2" w:rsidRPr="00773EEA">
        <w:t xml:space="preserve"> of the pandemic</w:t>
      </w:r>
      <w:r w:rsidR="00B84320" w:rsidRPr="00773EEA">
        <w:t xml:space="preserve"> and</w:t>
      </w:r>
      <w:r w:rsidR="009F47E2" w:rsidRPr="00773EEA">
        <w:t xml:space="preserve"> </w:t>
      </w:r>
      <w:r w:rsidR="008D2946" w:rsidRPr="00773EEA">
        <w:t>resultant</w:t>
      </w:r>
      <w:r w:rsidR="009F47E2" w:rsidRPr="00773EEA">
        <w:t xml:space="preserve"> travel restrictions. </w:t>
      </w:r>
      <w:r w:rsidR="009A638A" w:rsidRPr="00773EEA">
        <w:t>Some</w:t>
      </w:r>
      <w:r w:rsidR="009F47E2" w:rsidRPr="00773EEA">
        <w:t xml:space="preserve"> positive outcomes </w:t>
      </w:r>
      <w:r w:rsidR="009A638A" w:rsidRPr="00773EEA">
        <w:t xml:space="preserve">are </w:t>
      </w:r>
      <w:r w:rsidR="00FA3C4D" w:rsidRPr="00773EEA">
        <w:t>observed</w:t>
      </w:r>
      <w:r w:rsidR="009F47E2" w:rsidRPr="00773EEA">
        <w:t xml:space="preserve">, such as the accelerated acceptance </w:t>
      </w:r>
      <w:r w:rsidR="001770D6" w:rsidRPr="00773EEA">
        <w:t>and us</w:t>
      </w:r>
      <w:r w:rsidR="009A638A" w:rsidRPr="00773EEA">
        <w:t>age</w:t>
      </w:r>
      <w:r w:rsidR="001770D6" w:rsidRPr="00773EEA">
        <w:t xml:space="preserve"> </w:t>
      </w:r>
      <w:r w:rsidR="009F47E2" w:rsidRPr="00773EEA">
        <w:t xml:space="preserve">of digital tools by city </w:t>
      </w:r>
      <w:r w:rsidR="001770D6" w:rsidRPr="00773EEA">
        <w:t>officials</w:t>
      </w:r>
      <w:r w:rsidR="009F47E2" w:rsidRPr="00773EEA">
        <w:t xml:space="preserve"> and stakeholders. New ways of working</w:t>
      </w:r>
      <w:r w:rsidR="001770D6" w:rsidRPr="00773EEA">
        <w:t>,</w:t>
      </w:r>
      <w:r w:rsidR="009F47E2" w:rsidRPr="00773EEA">
        <w:t xml:space="preserve"> such as video c</w:t>
      </w:r>
      <w:r w:rsidR="001770D6" w:rsidRPr="00773EEA">
        <w:t>onferencing</w:t>
      </w:r>
      <w:r w:rsidR="009E679B" w:rsidRPr="00773EEA">
        <w:t xml:space="preserve"> and</w:t>
      </w:r>
      <w:r w:rsidR="009F47E2" w:rsidRPr="00773EEA">
        <w:t xml:space="preserve"> </w:t>
      </w:r>
      <w:r w:rsidR="00965EBA" w:rsidRPr="00773EEA">
        <w:rPr>
          <w:iCs/>
        </w:rPr>
        <w:t>virtual</w:t>
      </w:r>
      <w:r w:rsidR="009F47E2" w:rsidRPr="00773EEA">
        <w:rPr>
          <w:iCs/>
        </w:rPr>
        <w:t xml:space="preserve"> </w:t>
      </w:r>
      <w:r w:rsidR="00965EBA" w:rsidRPr="00773EEA">
        <w:rPr>
          <w:iCs/>
        </w:rPr>
        <w:t>work</w:t>
      </w:r>
      <w:r w:rsidR="009F47E2" w:rsidRPr="00773EEA">
        <w:rPr>
          <w:iCs/>
        </w:rPr>
        <w:t>shops attended by participants in multiple locations</w:t>
      </w:r>
      <w:r w:rsidR="00965EBA" w:rsidRPr="00773EEA">
        <w:rPr>
          <w:iCs/>
        </w:rPr>
        <w:t xml:space="preserve"> </w:t>
      </w:r>
      <w:r w:rsidR="00965EBA" w:rsidRPr="00773EEA">
        <w:t>have maintain</w:t>
      </w:r>
      <w:r w:rsidR="00B8759A" w:rsidRPr="00773EEA">
        <w:t xml:space="preserve">ed </w:t>
      </w:r>
      <w:r w:rsidR="00965EBA" w:rsidRPr="00773EEA">
        <w:t>engagement</w:t>
      </w:r>
      <w:r w:rsidR="009A638A" w:rsidRPr="00773EEA">
        <w:t xml:space="preserve"> well</w:t>
      </w:r>
      <w:r w:rsidR="009F47E2" w:rsidRPr="00773EEA">
        <w:rPr>
          <w:iCs/>
        </w:rPr>
        <w:t xml:space="preserve">. </w:t>
      </w:r>
    </w:p>
    <w:p w14:paraId="6324DBD0" w14:textId="59D25FC8" w:rsidR="003C3181" w:rsidRPr="00773EEA" w:rsidRDefault="006D0B2C" w:rsidP="00B7602B">
      <w:pPr>
        <w:spacing w:before="180"/>
        <w:rPr>
          <w:rStyle w:val="BookTitle"/>
          <w:rFonts w:asciiTheme="majorHAnsi" w:hAnsiTheme="majorHAnsi"/>
          <w:color w:val="auto"/>
        </w:rPr>
      </w:pPr>
      <w:r w:rsidRPr="00773EEA">
        <w:rPr>
          <w:rStyle w:val="BookTitle"/>
          <w:rFonts w:asciiTheme="majorHAnsi" w:hAnsiTheme="majorHAnsi"/>
          <w:color w:val="auto"/>
        </w:rPr>
        <w:t xml:space="preserve">Conclusions and </w:t>
      </w:r>
      <w:r w:rsidR="003C3181" w:rsidRPr="00773EEA">
        <w:rPr>
          <w:rStyle w:val="BookTitle"/>
          <w:rFonts w:asciiTheme="majorHAnsi" w:hAnsiTheme="majorHAnsi"/>
          <w:color w:val="auto"/>
        </w:rPr>
        <w:t>Recommendations</w:t>
      </w:r>
    </w:p>
    <w:p w14:paraId="3C40FE48" w14:textId="77777777" w:rsidR="00E510CE" w:rsidRPr="00773EEA" w:rsidRDefault="002C250C" w:rsidP="00DD1B1D">
      <w:pPr>
        <w:spacing w:after="100" w:line="257" w:lineRule="auto"/>
        <w:jc w:val="both"/>
      </w:pPr>
      <w:r w:rsidRPr="00773EEA">
        <w:t xml:space="preserve">Overall, the AASCTF is implementing innovative smart city solutions that meet the need of governments in the selected ASEAN cities. Sustainability of the interventions is generally likely to be enhanced with targeted capacity building activities, although </w:t>
      </w:r>
      <w:proofErr w:type="gramStart"/>
      <w:r w:rsidRPr="00773EEA">
        <w:t>a number of</w:t>
      </w:r>
      <w:proofErr w:type="gramEnd"/>
      <w:r w:rsidRPr="00773EEA">
        <w:t xml:space="preserve"> risks remain such as tools and systems being integrated effectively into institutional processes in a city. While influencing activities and Silver city TOs are progressing well, there is a lack of clarity on the progression to </w:t>
      </w:r>
      <w:proofErr w:type="gramStart"/>
      <w:r w:rsidRPr="00773EEA">
        <w:t>Gold</w:t>
      </w:r>
      <w:proofErr w:type="gramEnd"/>
      <w:r w:rsidRPr="00773EEA">
        <w:t xml:space="preserve"> level investments and limited time to implement this in practice. </w:t>
      </w:r>
    </w:p>
    <w:p w14:paraId="468B64CC" w14:textId="45EFC429" w:rsidR="0051561A" w:rsidRPr="00773EEA" w:rsidRDefault="002C250C" w:rsidP="00DD1B1D">
      <w:pPr>
        <w:spacing w:after="100" w:line="257" w:lineRule="auto"/>
        <w:jc w:val="both"/>
      </w:pPr>
      <w:r w:rsidRPr="00773EEA">
        <w:t xml:space="preserve">The modality of outsourcing AASCTF to ADB is working well and Ramboll </w:t>
      </w:r>
      <w:r w:rsidR="00B313A4" w:rsidRPr="00773EEA">
        <w:t xml:space="preserve">has </w:t>
      </w:r>
      <w:r w:rsidRPr="00773EEA">
        <w:t xml:space="preserve">provided </w:t>
      </w:r>
      <w:r w:rsidR="00E510CE" w:rsidRPr="00773EEA">
        <w:t xml:space="preserve">a </w:t>
      </w:r>
      <w:r w:rsidRPr="00773EEA">
        <w:t>comprehensive program</w:t>
      </w:r>
      <w:r w:rsidR="00E510CE" w:rsidRPr="00773EEA">
        <w:t xml:space="preserve"> that </w:t>
      </w:r>
      <w:r w:rsidRPr="00773EEA">
        <w:t xml:space="preserve">is making appropriate use of Australia’s time and resources to achieve the outputs. This is supported by strong program and risk management processes, flexibility and responsiveness to city government needs, </w:t>
      </w:r>
      <w:r w:rsidR="00E510CE" w:rsidRPr="00773EEA">
        <w:t xml:space="preserve">and </w:t>
      </w:r>
      <w:r w:rsidRPr="00773EEA">
        <w:t xml:space="preserve">strong internal learning processes. </w:t>
      </w:r>
      <w:r w:rsidR="00135113" w:rsidRPr="00773EEA">
        <w:t xml:space="preserve">However, there is room for improvement in </w:t>
      </w:r>
      <w:r w:rsidR="00E510CE" w:rsidRPr="00773EEA">
        <w:t>several</w:t>
      </w:r>
      <w:r w:rsidR="00135113" w:rsidRPr="00773EEA">
        <w:t xml:space="preserve"> </w:t>
      </w:r>
      <w:r w:rsidR="00A04C99" w:rsidRPr="00773EEA">
        <w:t xml:space="preserve">key </w:t>
      </w:r>
      <w:r w:rsidR="00135113" w:rsidRPr="00773EEA">
        <w:t xml:space="preserve">areas. </w:t>
      </w:r>
      <w:r w:rsidR="00B97742" w:rsidRPr="00773EEA">
        <w:t xml:space="preserve">The MTR </w:t>
      </w:r>
      <w:r w:rsidR="0051561A" w:rsidRPr="00773EEA">
        <w:t xml:space="preserve">has identified </w:t>
      </w:r>
      <w:r w:rsidR="00A04C99" w:rsidRPr="00773EEA">
        <w:t>a set of</w:t>
      </w:r>
      <w:r w:rsidR="00B97742" w:rsidRPr="00773EEA">
        <w:t xml:space="preserve"> actionable recommendations for the current program, structured by effectiveness, efficiency and GESI </w:t>
      </w:r>
      <w:r w:rsidR="00A04C99" w:rsidRPr="00773EEA">
        <w:t>considerations</w:t>
      </w:r>
      <w:r w:rsidR="0079304A" w:rsidRPr="00773EEA">
        <w:t xml:space="preserve">. </w:t>
      </w:r>
      <w:r w:rsidR="0051561A" w:rsidRPr="00773EEA">
        <w:t>These are</w:t>
      </w:r>
      <w:r w:rsidR="0079304A" w:rsidRPr="00773EEA">
        <w:t xml:space="preserve"> expanded upon in Section </w:t>
      </w:r>
      <w:r w:rsidR="00BE5ABB" w:rsidRPr="00773EEA">
        <w:t>4</w:t>
      </w:r>
      <w:r w:rsidR="0079304A" w:rsidRPr="00773EEA">
        <w:t>, though can be summarised as follows</w:t>
      </w:r>
      <w:r w:rsidR="007533CA" w:rsidRPr="00773EEA">
        <w:t>, with high priority</w:t>
      </w:r>
      <w:r w:rsidR="00B26D35" w:rsidRPr="00773EEA">
        <w:t xml:space="preserve"> recommendations </w:t>
      </w:r>
      <w:r w:rsidR="00405F1F" w:rsidRPr="00773EEA">
        <w:t xml:space="preserve">listed </w:t>
      </w:r>
      <w:r w:rsidR="00B26D35" w:rsidRPr="00773EEA">
        <w:t>first</w:t>
      </w:r>
      <w:r w:rsidR="0079304A" w:rsidRPr="00773EEA">
        <w:t>:</w:t>
      </w:r>
      <w:r w:rsidR="0051561A" w:rsidRPr="00773EEA">
        <w:t xml:space="preserve"> </w:t>
      </w:r>
    </w:p>
    <w:p w14:paraId="59C65C40" w14:textId="77777777" w:rsidR="00AB73A4" w:rsidRPr="00773EEA" w:rsidRDefault="00BE5ABB" w:rsidP="00B7602B">
      <w:pPr>
        <w:spacing w:before="120" w:line="276" w:lineRule="auto"/>
        <w:jc w:val="both"/>
        <w:rPr>
          <w:b/>
          <w:bCs/>
          <w:i/>
          <w:iCs/>
        </w:rPr>
      </w:pPr>
      <w:r w:rsidRPr="00773EEA">
        <w:rPr>
          <w:b/>
          <w:bCs/>
          <w:i/>
          <w:iCs/>
        </w:rPr>
        <w:t xml:space="preserve">Effectiveness: </w:t>
      </w:r>
    </w:p>
    <w:p w14:paraId="518120AB" w14:textId="10A4EC09" w:rsidR="006A0C53" w:rsidRPr="00773EEA" w:rsidRDefault="000A19EC" w:rsidP="00177735">
      <w:pPr>
        <w:pStyle w:val="ListParagraph"/>
        <w:numPr>
          <w:ilvl w:val="0"/>
          <w:numId w:val="8"/>
        </w:numPr>
        <w:spacing w:before="60" w:after="60" w:line="257" w:lineRule="auto"/>
        <w:ind w:left="884" w:hanging="357"/>
        <w:contextualSpacing w:val="0"/>
        <w:jc w:val="both"/>
      </w:pPr>
      <w:r w:rsidRPr="00773EEA">
        <w:t xml:space="preserve">Review program strategy and results framework relating to delivery of </w:t>
      </w:r>
      <w:r w:rsidR="00CE2165" w:rsidRPr="00773EEA">
        <w:t xml:space="preserve">targets under Pillar 3 on </w:t>
      </w:r>
      <w:r w:rsidRPr="00773EEA">
        <w:t>integrated financial management information systems.</w:t>
      </w:r>
    </w:p>
    <w:p w14:paraId="6514B6A5" w14:textId="4282061F" w:rsidR="006A0C53" w:rsidRPr="00773EEA" w:rsidRDefault="006A0C53" w:rsidP="00177735">
      <w:pPr>
        <w:pStyle w:val="ListParagraph"/>
        <w:numPr>
          <w:ilvl w:val="0"/>
          <w:numId w:val="8"/>
        </w:numPr>
        <w:spacing w:before="60" w:after="60" w:line="257" w:lineRule="auto"/>
        <w:ind w:left="884" w:hanging="357"/>
        <w:contextualSpacing w:val="0"/>
        <w:jc w:val="both"/>
      </w:pPr>
      <w:r w:rsidRPr="00773EEA">
        <w:t xml:space="preserve">Clarify the linkages and ‘graduation process’ from </w:t>
      </w:r>
      <w:r w:rsidR="00010678" w:rsidRPr="00773EEA">
        <w:t>B</w:t>
      </w:r>
      <w:r w:rsidRPr="00773EEA">
        <w:t>ronze</w:t>
      </w:r>
      <w:r w:rsidR="00E510CE" w:rsidRPr="00773EEA">
        <w:t>,</w:t>
      </w:r>
      <w:r w:rsidRPr="00773EEA">
        <w:t xml:space="preserve"> to </w:t>
      </w:r>
      <w:r w:rsidR="00010678" w:rsidRPr="00773EEA">
        <w:t>S</w:t>
      </w:r>
      <w:r w:rsidRPr="00773EEA">
        <w:t>ilver</w:t>
      </w:r>
      <w:r w:rsidR="00E510CE" w:rsidRPr="00773EEA">
        <w:t>,</w:t>
      </w:r>
      <w:r w:rsidRPr="00773EEA">
        <w:t xml:space="preserve"> to </w:t>
      </w:r>
      <w:r w:rsidR="00010678" w:rsidRPr="00773EEA">
        <w:t>G</w:t>
      </w:r>
      <w:r w:rsidRPr="00773EEA">
        <w:t xml:space="preserve">old tiers and clarify the possible options and timeframes for </w:t>
      </w:r>
      <w:r w:rsidR="00010678" w:rsidRPr="00773EEA">
        <w:t>G</w:t>
      </w:r>
      <w:r w:rsidRPr="00773EEA">
        <w:t>old</w:t>
      </w:r>
      <w:r w:rsidR="00010678" w:rsidRPr="00773EEA">
        <w:t>-</w:t>
      </w:r>
      <w:r w:rsidRPr="00773EEA">
        <w:t xml:space="preserve">level investments. </w:t>
      </w:r>
    </w:p>
    <w:p w14:paraId="66AFBCA5" w14:textId="745E175B" w:rsidR="006A0C53" w:rsidRPr="00773EEA" w:rsidRDefault="006A0C53" w:rsidP="00177735">
      <w:pPr>
        <w:pStyle w:val="ListParagraph"/>
        <w:numPr>
          <w:ilvl w:val="0"/>
          <w:numId w:val="8"/>
        </w:numPr>
        <w:spacing w:before="60" w:after="60" w:line="257" w:lineRule="auto"/>
        <w:ind w:left="884" w:hanging="357"/>
        <w:contextualSpacing w:val="0"/>
        <w:jc w:val="both"/>
      </w:pPr>
      <w:r w:rsidRPr="00773EEA">
        <w:t>Further increase focus on capacity development to reduce knowledge gaps between Ramboll experts and city government staff during the process of working together, as well as to maximise chances of success as tools and services developed by TOs are handed over to city governments.</w:t>
      </w:r>
    </w:p>
    <w:p w14:paraId="6B508612" w14:textId="373B05DA" w:rsidR="006A0C53" w:rsidRPr="00773EEA" w:rsidRDefault="006A0C53" w:rsidP="00177735">
      <w:pPr>
        <w:pStyle w:val="ListParagraph"/>
        <w:numPr>
          <w:ilvl w:val="0"/>
          <w:numId w:val="8"/>
        </w:numPr>
        <w:spacing w:before="60" w:after="60" w:line="257" w:lineRule="auto"/>
        <w:ind w:left="884" w:hanging="357"/>
        <w:contextualSpacing w:val="0"/>
        <w:jc w:val="both"/>
      </w:pPr>
      <w:r w:rsidRPr="00773EEA">
        <w:t xml:space="preserve">Improve the visibility of </w:t>
      </w:r>
      <w:proofErr w:type="gramStart"/>
      <w:r w:rsidR="00D92B24" w:rsidRPr="00773EEA">
        <w:t>Bronze</w:t>
      </w:r>
      <w:r w:rsidRPr="00773EEA">
        <w:t xml:space="preserve"> and </w:t>
      </w:r>
      <w:r w:rsidR="003E4034" w:rsidRPr="00773EEA">
        <w:t>Silver</w:t>
      </w:r>
      <w:proofErr w:type="gramEnd"/>
      <w:r w:rsidRPr="00773EEA">
        <w:t xml:space="preserve"> level activities to a wider audience and increase engagement and synergies with ASEAN institutions as well as other DFAT programs that focus on sustainable cities and infrastructure in the ASEAN region. </w:t>
      </w:r>
    </w:p>
    <w:p w14:paraId="0BDB2500" w14:textId="6E5C507D" w:rsidR="004240AA" w:rsidRPr="00773EEA" w:rsidRDefault="00BE5ABB" w:rsidP="00B7602B">
      <w:pPr>
        <w:spacing w:before="120" w:line="276" w:lineRule="auto"/>
        <w:jc w:val="both"/>
        <w:rPr>
          <w:i/>
          <w:iCs/>
        </w:rPr>
      </w:pPr>
      <w:r w:rsidRPr="00773EEA">
        <w:rPr>
          <w:b/>
          <w:bCs/>
          <w:i/>
          <w:iCs/>
        </w:rPr>
        <w:t>Efficiency</w:t>
      </w:r>
      <w:r w:rsidRPr="00773EEA">
        <w:rPr>
          <w:i/>
          <w:iCs/>
        </w:rPr>
        <w:t xml:space="preserve">: </w:t>
      </w:r>
    </w:p>
    <w:p w14:paraId="74112275" w14:textId="31E2D1B0"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Ensure that M&amp;E processes are clearly understood and appreciated by all team members.</w:t>
      </w:r>
    </w:p>
    <w:p w14:paraId="5063D931" w14:textId="5ED2A29A"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Consider implementing a more systematic internal learning database or knowledge hub for program learning points that can, for example, help team members navigate common challenges or access useful resources</w:t>
      </w:r>
      <w:r w:rsidR="00E510CE" w:rsidRPr="00773EEA">
        <w:t>.</w:t>
      </w:r>
    </w:p>
    <w:p w14:paraId="28907E41" w14:textId="46ECAE8C" w:rsidR="009E7D4B" w:rsidRPr="00773EEA" w:rsidRDefault="00E510CE" w:rsidP="00177735">
      <w:pPr>
        <w:pStyle w:val="ListParagraph"/>
        <w:numPr>
          <w:ilvl w:val="0"/>
          <w:numId w:val="8"/>
        </w:numPr>
        <w:spacing w:before="60" w:after="60" w:line="257" w:lineRule="auto"/>
        <w:ind w:left="884" w:hanging="357"/>
        <w:contextualSpacing w:val="0"/>
        <w:jc w:val="both"/>
      </w:pPr>
      <w:r w:rsidRPr="00773EEA">
        <w:t>S</w:t>
      </w:r>
      <w:r w:rsidR="009E7D4B" w:rsidRPr="00773EEA">
        <w:t>eek more proactive interaction with DFAT posts, particularly the ASEAN mission in Indonesia</w:t>
      </w:r>
      <w:r w:rsidRPr="00773EEA">
        <w:t>.</w:t>
      </w:r>
    </w:p>
    <w:p w14:paraId="2BBDA5E0" w14:textId="75E5E530"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Ensure that DFAT branding is made clear to external audiences and stakeholders on all communications</w:t>
      </w:r>
      <w:r w:rsidR="00E510CE" w:rsidRPr="00773EEA">
        <w:t>.</w:t>
      </w:r>
    </w:p>
    <w:p w14:paraId="516C5F9B" w14:textId="21FFC3CD"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 xml:space="preserve">Carefully consider how best to interact with city staff to avoid over-burdening them, while maintaining close collaboration and clarify the role of their Country </w:t>
      </w:r>
      <w:r w:rsidR="00AF0B64" w:rsidRPr="00773EEA">
        <w:t xml:space="preserve">Focal Points </w:t>
      </w:r>
      <w:r w:rsidRPr="00773EEA">
        <w:t xml:space="preserve">and maximise their visibility to stakeholders. </w:t>
      </w:r>
    </w:p>
    <w:p w14:paraId="459C9174" w14:textId="47009DC9"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 xml:space="preserve">Ensure that communications are clear with city government and other relevant stakeholders, following any decisions to end, postpone or continue an intervention. </w:t>
      </w:r>
    </w:p>
    <w:p w14:paraId="2284E84F" w14:textId="7450BE29" w:rsidR="00C9533B" w:rsidRPr="00773EEA" w:rsidRDefault="00C9533B" w:rsidP="00177735">
      <w:pPr>
        <w:pStyle w:val="ListParagraph"/>
        <w:numPr>
          <w:ilvl w:val="0"/>
          <w:numId w:val="8"/>
        </w:numPr>
        <w:spacing w:before="60" w:after="60" w:line="257" w:lineRule="auto"/>
        <w:ind w:left="884" w:hanging="357"/>
        <w:contextualSpacing w:val="0"/>
        <w:jc w:val="both"/>
      </w:pPr>
      <w:r w:rsidRPr="00773EEA">
        <w:t xml:space="preserve">Continue to accommodate the city government and stakeholders’ general preference for face-to-face engagement for </w:t>
      </w:r>
      <w:r w:rsidR="003E4034" w:rsidRPr="00773EEA">
        <w:t>Silver</w:t>
      </w:r>
      <w:r w:rsidRPr="00773EEA">
        <w:t xml:space="preserve"> TO workshops where possible</w:t>
      </w:r>
      <w:r w:rsidR="00E510CE" w:rsidRPr="00773EEA">
        <w:t>.</w:t>
      </w:r>
    </w:p>
    <w:p w14:paraId="7860C6B1" w14:textId="77777777" w:rsidR="00AB73A4" w:rsidRPr="00773EEA" w:rsidRDefault="00BE5ABB" w:rsidP="00B7602B">
      <w:pPr>
        <w:spacing w:before="120" w:line="276" w:lineRule="auto"/>
        <w:jc w:val="both"/>
        <w:rPr>
          <w:b/>
          <w:bCs/>
          <w:i/>
          <w:iCs/>
        </w:rPr>
      </w:pPr>
      <w:r w:rsidRPr="00773EEA">
        <w:rPr>
          <w:b/>
          <w:bCs/>
          <w:i/>
          <w:iCs/>
        </w:rPr>
        <w:t xml:space="preserve">GESI Impact: </w:t>
      </w:r>
    </w:p>
    <w:p w14:paraId="5A724B23" w14:textId="17264EB9" w:rsidR="009E7D4B" w:rsidRPr="00773EEA" w:rsidRDefault="009E7D4B" w:rsidP="00177735">
      <w:pPr>
        <w:pStyle w:val="ListParagraph"/>
        <w:numPr>
          <w:ilvl w:val="0"/>
          <w:numId w:val="8"/>
        </w:numPr>
        <w:spacing w:before="60" w:after="60" w:line="257" w:lineRule="auto"/>
        <w:ind w:left="884" w:hanging="357"/>
        <w:contextualSpacing w:val="0"/>
        <w:jc w:val="both"/>
      </w:pPr>
      <w:r w:rsidRPr="00773EEA">
        <w:t xml:space="preserve">DFAT to clarify </w:t>
      </w:r>
      <w:r w:rsidR="00405F1F" w:rsidRPr="00773EEA">
        <w:t xml:space="preserve">GESI </w:t>
      </w:r>
      <w:r w:rsidRPr="00773EEA">
        <w:t>reporting requirements and address effectiveness of program monitoring.</w:t>
      </w:r>
    </w:p>
    <w:p w14:paraId="0527BA72" w14:textId="1D670328" w:rsidR="00AB73A4" w:rsidRPr="00773EEA" w:rsidRDefault="006A0C53" w:rsidP="00177735">
      <w:pPr>
        <w:pStyle w:val="ListParagraph"/>
        <w:numPr>
          <w:ilvl w:val="0"/>
          <w:numId w:val="8"/>
        </w:numPr>
        <w:spacing w:before="60" w:after="60" w:line="257" w:lineRule="auto"/>
        <w:ind w:left="884" w:hanging="357"/>
        <w:contextualSpacing w:val="0"/>
        <w:jc w:val="both"/>
        <w:rPr>
          <w:b/>
          <w:bCs/>
        </w:rPr>
      </w:pPr>
      <w:r w:rsidRPr="00773EEA">
        <w:t>Conduct j</w:t>
      </w:r>
      <w:r w:rsidR="00AB73A4" w:rsidRPr="00773EEA">
        <w:t xml:space="preserve">oint training for Ramboll/ADB teams on GESI mainstreaming, outputs, outcomes and evidence, with participation of representative NGOs. </w:t>
      </w:r>
    </w:p>
    <w:p w14:paraId="314BE308" w14:textId="63531BC3" w:rsidR="003A3F10" w:rsidRPr="00773EEA" w:rsidRDefault="006A0C53" w:rsidP="00177735">
      <w:pPr>
        <w:pStyle w:val="ListParagraph"/>
        <w:numPr>
          <w:ilvl w:val="0"/>
          <w:numId w:val="8"/>
        </w:numPr>
        <w:spacing w:before="60" w:after="60" w:line="257" w:lineRule="auto"/>
        <w:ind w:left="884" w:hanging="357"/>
        <w:contextualSpacing w:val="0"/>
        <w:jc w:val="both"/>
      </w:pPr>
      <w:r w:rsidRPr="00773EEA">
        <w:t>Conduct a j</w:t>
      </w:r>
      <w:r w:rsidR="00AB73A4" w:rsidRPr="00773EEA">
        <w:t>oint review of GESI Strategy implementation</w:t>
      </w:r>
      <w:r w:rsidR="00405F1F" w:rsidRPr="00773EEA">
        <w:t xml:space="preserve"> across the AASCTF</w:t>
      </w:r>
      <w:r w:rsidR="00AB73A4" w:rsidRPr="00773EEA">
        <w:t xml:space="preserve">. </w:t>
      </w:r>
    </w:p>
    <w:p w14:paraId="44870920" w14:textId="77777777" w:rsidR="003A3F10" w:rsidRPr="00773EEA" w:rsidRDefault="003A3F10" w:rsidP="003A3F10">
      <w:pPr>
        <w:spacing w:before="120" w:line="276" w:lineRule="auto"/>
        <w:sectPr w:rsidR="003A3F10" w:rsidRPr="00773EEA" w:rsidSect="00784112">
          <w:footerReference w:type="default" r:id="rId17"/>
          <w:headerReference w:type="first" r:id="rId18"/>
          <w:footerReference w:type="first" r:id="rId19"/>
          <w:pgSz w:w="11906" w:h="16838" w:code="9"/>
          <w:pgMar w:top="720" w:right="720" w:bottom="720" w:left="720" w:header="567" w:footer="408" w:gutter="0"/>
          <w:pgNumType w:start="0"/>
          <w:cols w:space="340"/>
          <w:titlePg/>
          <w:docGrid w:linePitch="360"/>
        </w:sectPr>
      </w:pPr>
    </w:p>
    <w:p w14:paraId="0DB20E74" w14:textId="182F6B62" w:rsidR="002B47AA" w:rsidRPr="00773EEA" w:rsidRDefault="00BF7033" w:rsidP="00177735">
      <w:pPr>
        <w:pStyle w:val="Heading1"/>
        <w:numPr>
          <w:ilvl w:val="0"/>
          <w:numId w:val="7"/>
        </w:numPr>
        <w:rPr>
          <w:color w:val="auto"/>
        </w:rPr>
      </w:pPr>
      <w:bookmarkStart w:id="5" w:name="_Toc110683197"/>
      <w:bookmarkStart w:id="6" w:name="_Toc110692256"/>
      <w:bookmarkStart w:id="7" w:name="_Toc110683198"/>
      <w:bookmarkStart w:id="8" w:name="_Toc110692257"/>
      <w:bookmarkStart w:id="9" w:name="_Toc110683199"/>
      <w:bookmarkStart w:id="10" w:name="_Toc110692258"/>
      <w:bookmarkStart w:id="11" w:name="_Toc110683200"/>
      <w:bookmarkStart w:id="12" w:name="_Toc110692259"/>
      <w:bookmarkStart w:id="13" w:name="_Toc110683201"/>
      <w:bookmarkStart w:id="14" w:name="_Toc110692260"/>
      <w:bookmarkStart w:id="15" w:name="_Toc123633707"/>
      <w:bookmarkEnd w:id="5"/>
      <w:bookmarkEnd w:id="6"/>
      <w:bookmarkEnd w:id="7"/>
      <w:bookmarkEnd w:id="8"/>
      <w:bookmarkEnd w:id="9"/>
      <w:bookmarkEnd w:id="10"/>
      <w:bookmarkEnd w:id="11"/>
      <w:bookmarkEnd w:id="12"/>
      <w:bookmarkEnd w:id="13"/>
      <w:bookmarkEnd w:id="14"/>
      <w:r w:rsidRPr="00773EEA">
        <w:rPr>
          <w:color w:val="auto"/>
        </w:rPr>
        <w:lastRenderedPageBreak/>
        <w:t>I</w:t>
      </w:r>
      <w:r w:rsidR="002B47AA" w:rsidRPr="00773EEA">
        <w:rPr>
          <w:color w:val="auto"/>
        </w:rPr>
        <w:t>ntroduction</w:t>
      </w:r>
      <w:bookmarkEnd w:id="15"/>
    </w:p>
    <w:p w14:paraId="04D5D9B6" w14:textId="1B0DCDEC" w:rsidR="00401AF8" w:rsidRPr="00773EEA" w:rsidRDefault="00401AF8" w:rsidP="00401AF8"/>
    <w:p w14:paraId="71B6758B" w14:textId="6CAF5CD8" w:rsidR="00AB1B55" w:rsidRPr="00773EEA" w:rsidRDefault="009740B8" w:rsidP="00AB1B55">
      <w:pPr>
        <w:jc w:val="both"/>
        <w:rPr>
          <w:rFonts w:cstheme="minorHAnsi"/>
          <w:bCs/>
        </w:rPr>
      </w:pPr>
      <w:r w:rsidRPr="00773EEA">
        <w:t>The</w:t>
      </w:r>
      <w:r w:rsidR="007A7ED7" w:rsidRPr="00773EEA">
        <w:t xml:space="preserve"> AASCT</w:t>
      </w:r>
      <w:r w:rsidR="00E971CC" w:rsidRPr="00773EEA">
        <w:t>F is</w:t>
      </w:r>
      <w:r w:rsidR="007A7ED7" w:rsidRPr="00773EEA">
        <w:t xml:space="preserve"> a five-year, AU$20m (approx. US$1</w:t>
      </w:r>
      <w:r w:rsidR="00394337" w:rsidRPr="00773EEA">
        <w:t>4</w:t>
      </w:r>
      <w:r w:rsidR="007A7ED7" w:rsidRPr="00773EEA">
        <w:t xml:space="preserve">m) initiative, funded by </w:t>
      </w:r>
      <w:r w:rsidR="008734DA" w:rsidRPr="00773EEA">
        <w:t xml:space="preserve">DFAT </w:t>
      </w:r>
      <w:r w:rsidR="007A7ED7" w:rsidRPr="00773EEA">
        <w:t>and managed by ADB</w:t>
      </w:r>
      <w:r w:rsidR="0002260F" w:rsidRPr="00773EEA">
        <w:t>.</w:t>
      </w:r>
      <w:r w:rsidR="00AB1B55" w:rsidRPr="00773EEA">
        <w:t xml:space="preserve"> Running from </w:t>
      </w:r>
      <w:r w:rsidR="00FE35C9" w:rsidRPr="00773EEA">
        <w:t>April</w:t>
      </w:r>
      <w:r w:rsidR="00AB1B55" w:rsidRPr="00773EEA">
        <w:t xml:space="preserve"> 201</w:t>
      </w:r>
      <w:r w:rsidR="00FE35C9" w:rsidRPr="00773EEA">
        <w:t>9</w:t>
      </w:r>
      <w:r w:rsidR="00AB1B55" w:rsidRPr="00773EEA">
        <w:t xml:space="preserve"> until </w:t>
      </w:r>
      <w:r w:rsidR="00FE35C9" w:rsidRPr="00773EEA">
        <w:t xml:space="preserve">June </w:t>
      </w:r>
      <w:r w:rsidR="00AB1B55" w:rsidRPr="00773EEA">
        <w:t>2024, t</w:t>
      </w:r>
      <w:r w:rsidR="00AB1B55" w:rsidRPr="00773EEA">
        <w:rPr>
          <w:rFonts w:cstheme="minorHAnsi"/>
          <w:bCs/>
        </w:rPr>
        <w:t xml:space="preserve">he overarching objective of the AASCTF is to improve city-level systems and governance through digital solutions in ASEAN Member States. To achieve this, the program aims to enable the development of liveable cities that are green, competitive, inclusive, and resilient, promoting high quality of life for citizens, competitive economies, and sustainable environments. The key </w:t>
      </w:r>
      <w:r w:rsidR="00BE3E3A" w:rsidRPr="00773EEA">
        <w:rPr>
          <w:rFonts w:cstheme="minorHAnsi"/>
          <w:bCs/>
        </w:rPr>
        <w:t>EOIOs</w:t>
      </w:r>
      <w:r w:rsidR="00AB1B55" w:rsidRPr="00773EEA">
        <w:rPr>
          <w:rFonts w:cstheme="minorHAnsi"/>
          <w:bCs/>
        </w:rPr>
        <w:t xml:space="preserve"> are improved: 1) planning systems; 2) service delivery; and 3) financial management.</w:t>
      </w:r>
    </w:p>
    <w:p w14:paraId="586F6C14" w14:textId="4B837052" w:rsidR="00077BE0" w:rsidRPr="00773EEA" w:rsidRDefault="003B406F" w:rsidP="00FC02D9">
      <w:pPr>
        <w:jc w:val="both"/>
        <w:rPr>
          <w:rFonts w:cstheme="minorHAnsi"/>
          <w:bCs/>
        </w:rPr>
      </w:pPr>
      <w:r w:rsidRPr="00773EEA">
        <w:rPr>
          <w:rFonts w:cstheme="minorHAnsi"/>
          <w:bCs/>
        </w:rPr>
        <w:t>The AASCTF is being implemented in 24 cities in Cambodia, Indonesia, Lao</w:t>
      </w:r>
      <w:r w:rsidR="00D76797" w:rsidRPr="00773EEA">
        <w:rPr>
          <w:rFonts w:cstheme="minorHAnsi"/>
          <w:bCs/>
        </w:rPr>
        <w:t xml:space="preserve"> PDR</w:t>
      </w:r>
      <w:r w:rsidRPr="00773EEA">
        <w:rPr>
          <w:rFonts w:cstheme="minorHAnsi"/>
          <w:bCs/>
        </w:rPr>
        <w:t xml:space="preserve">, Malaysia, Myanmar, Philippines, Thailand, and Vietnam, as detailed in </w:t>
      </w:r>
      <w:r w:rsidRPr="00773EEA">
        <w:rPr>
          <w:rFonts w:cstheme="minorHAnsi"/>
          <w:b/>
        </w:rPr>
        <w:t xml:space="preserve">Table </w:t>
      </w:r>
      <w:r w:rsidR="00286E4B" w:rsidRPr="00773EEA">
        <w:rPr>
          <w:rFonts w:cstheme="minorHAnsi"/>
          <w:b/>
        </w:rPr>
        <w:t>2</w:t>
      </w:r>
      <w:r w:rsidRPr="00773EEA">
        <w:rPr>
          <w:rFonts w:cstheme="minorHAnsi"/>
          <w:bCs/>
        </w:rPr>
        <w:t xml:space="preserve">. All the cities participate in Bronze-level influencing and training activities, while there are 11 </w:t>
      </w:r>
      <w:r w:rsidR="003E4034" w:rsidRPr="00773EEA">
        <w:rPr>
          <w:rFonts w:cstheme="minorHAnsi"/>
          <w:bCs/>
        </w:rPr>
        <w:t>Silver</w:t>
      </w:r>
      <w:r w:rsidRPr="00773EEA">
        <w:rPr>
          <w:rFonts w:cstheme="minorHAnsi"/>
          <w:bCs/>
        </w:rPr>
        <w:t xml:space="preserve"> cities, and it is envisaged that three of these will eventually become </w:t>
      </w:r>
      <w:proofErr w:type="gramStart"/>
      <w:r w:rsidRPr="00773EEA">
        <w:rPr>
          <w:rFonts w:cstheme="minorHAnsi"/>
          <w:bCs/>
        </w:rPr>
        <w:t>Gold</w:t>
      </w:r>
      <w:proofErr w:type="gramEnd"/>
      <w:r w:rsidRPr="00773EEA">
        <w:rPr>
          <w:rFonts w:cstheme="minorHAnsi"/>
          <w:bCs/>
        </w:rPr>
        <w:t xml:space="preserve"> tier cities, receiving targeted AASCTF investment to further realise their smart city ambitions. </w:t>
      </w:r>
      <w:r w:rsidR="00FC02D9" w:rsidRPr="00773EEA">
        <w:t xml:space="preserve">ADB directly implements several components, such as </w:t>
      </w:r>
      <w:r w:rsidR="00FC02D9" w:rsidRPr="00773EEA">
        <w:rPr>
          <w:rFonts w:cstheme="minorBidi"/>
        </w:rPr>
        <w:t>Resource Person Contracts and Direct Charge Projects</w:t>
      </w:r>
      <w:r w:rsidR="00FC02D9" w:rsidRPr="00773EEA">
        <w:t xml:space="preserve">, as well as Gold-level city investments, </w:t>
      </w:r>
      <w:r w:rsidR="00405F1F" w:rsidRPr="00773EEA">
        <w:t xml:space="preserve">initially </w:t>
      </w:r>
      <w:r w:rsidR="00FC02D9" w:rsidRPr="00773EEA">
        <w:t>accounting for US$</w:t>
      </w:r>
      <w:r w:rsidR="00A57E16" w:rsidRPr="00773EEA">
        <w:t xml:space="preserve">4.5m </w:t>
      </w:r>
      <w:r w:rsidR="00D3443F" w:rsidRPr="00773EEA">
        <w:t>of the budget allocation</w:t>
      </w:r>
      <w:r w:rsidR="00FC02D9" w:rsidRPr="00773EEA">
        <w:t xml:space="preserve">, as </w:t>
      </w:r>
      <w:r w:rsidR="00D3443F" w:rsidRPr="00773EEA">
        <w:t>discussed further</w:t>
      </w:r>
      <w:r w:rsidR="00FC02D9" w:rsidRPr="00773EEA">
        <w:t xml:space="preserve"> in </w:t>
      </w:r>
      <w:r w:rsidR="00FC02D9" w:rsidRPr="00773EEA">
        <w:rPr>
          <w:b/>
          <w:bCs/>
        </w:rPr>
        <w:t>Section 2</w:t>
      </w:r>
      <w:r w:rsidR="00FC02D9" w:rsidRPr="00773EEA">
        <w:t xml:space="preserve">. ADB have </w:t>
      </w:r>
      <w:r w:rsidR="00D3443F" w:rsidRPr="00773EEA">
        <w:t xml:space="preserve">also </w:t>
      </w:r>
      <w:r w:rsidR="00FC02D9" w:rsidRPr="00773EEA">
        <w:t>engaged the engineering firm Ramboll to implement a significant component of the AASCTF</w:t>
      </w:r>
      <w:r w:rsidR="00D3443F" w:rsidRPr="00773EEA">
        <w:t xml:space="preserve">, </w:t>
      </w:r>
      <w:r w:rsidR="00A57E16" w:rsidRPr="00773EEA">
        <w:t>including overall program management, implementation of city intervention task orders (TOs) and influencing activities</w:t>
      </w:r>
      <w:r w:rsidR="00FC02D9" w:rsidRPr="00773EEA">
        <w:t xml:space="preserve">, accounting for </w:t>
      </w:r>
      <w:r w:rsidR="00C615AA" w:rsidRPr="00773EEA">
        <w:t xml:space="preserve">approx. </w:t>
      </w:r>
      <w:r w:rsidR="00FC02D9" w:rsidRPr="00773EEA">
        <w:t>US$9.5m</w:t>
      </w:r>
      <w:r w:rsidR="00D3443F" w:rsidRPr="00773EEA">
        <w:t xml:space="preserve"> of the budget</w:t>
      </w:r>
      <w:r w:rsidR="00FC02D9" w:rsidRPr="00773EEA">
        <w:t>.</w:t>
      </w:r>
    </w:p>
    <w:p w14:paraId="3BC684E9" w14:textId="12377E14" w:rsidR="007A7ED7" w:rsidRPr="00773EEA" w:rsidRDefault="7C8EDEC0" w:rsidP="00177735">
      <w:pPr>
        <w:pStyle w:val="Heading2"/>
        <w:numPr>
          <w:ilvl w:val="1"/>
          <w:numId w:val="7"/>
        </w:numPr>
      </w:pPr>
      <w:r w:rsidRPr="00773EEA">
        <w:t xml:space="preserve"> </w:t>
      </w:r>
      <w:bookmarkStart w:id="16" w:name="_Toc123633708"/>
      <w:r w:rsidRPr="00773EEA">
        <w:t>Purpose and Scope of the AASCTF MTR</w:t>
      </w:r>
      <w:bookmarkEnd w:id="16"/>
    </w:p>
    <w:p w14:paraId="1A28AF02" w14:textId="220F6167" w:rsidR="001B5800" w:rsidRPr="00773EEA" w:rsidRDefault="7C8EDEC0" w:rsidP="00D3443F">
      <w:pPr>
        <w:jc w:val="both"/>
      </w:pPr>
      <w:r w:rsidRPr="00773EEA">
        <w:t xml:space="preserve">DFAT have commissioned ASI to conduct the MTR of the AASCTF. The overall purpose of the </w:t>
      </w:r>
      <w:r w:rsidR="00136E62" w:rsidRPr="00773EEA">
        <w:t>review</w:t>
      </w:r>
      <w:r w:rsidRPr="00773EEA">
        <w:t xml:space="preserve"> is to facilitate program improvement</w:t>
      </w:r>
      <w:r w:rsidR="00136E62" w:rsidRPr="00773EEA">
        <w:t xml:space="preserve"> through </w:t>
      </w:r>
      <w:r w:rsidRPr="00773EEA">
        <w:t xml:space="preserve">an assessment of the program’s effectiveness and efficiency of program management arrangements. The MTR </w:t>
      </w:r>
      <w:r w:rsidR="00A4571F" w:rsidRPr="00773EEA">
        <w:t xml:space="preserve">has </w:t>
      </w:r>
      <w:r w:rsidRPr="00773EEA">
        <w:t>assess</w:t>
      </w:r>
      <w:r w:rsidR="00A4571F" w:rsidRPr="00773EEA">
        <w:t>ed</w:t>
      </w:r>
      <w:r w:rsidRPr="00773EEA">
        <w:t xml:space="preserve"> </w:t>
      </w:r>
      <w:r w:rsidR="00064EEE" w:rsidRPr="00773EEA">
        <w:t xml:space="preserve">progress against desired objectives </w:t>
      </w:r>
      <w:r w:rsidR="00EB18DF" w:rsidRPr="00773EEA">
        <w:t>and</w:t>
      </w:r>
      <w:r w:rsidRPr="00773EEA">
        <w:t xml:space="preserve"> review</w:t>
      </w:r>
      <w:r w:rsidR="00A4571F" w:rsidRPr="00773EEA">
        <w:t>ed</w:t>
      </w:r>
      <w:r w:rsidRPr="00773EEA">
        <w:t xml:space="preserve"> lessons learned </w:t>
      </w:r>
      <w:r w:rsidR="00EB18DF" w:rsidRPr="00773EEA">
        <w:t xml:space="preserve">to </w:t>
      </w:r>
      <w:r w:rsidR="00064EEE" w:rsidRPr="00773EEA">
        <w:t>identify</w:t>
      </w:r>
      <w:r w:rsidR="005074AB" w:rsidRPr="00773EEA">
        <w:t xml:space="preserve"> recommendations for</w:t>
      </w:r>
      <w:r w:rsidR="00EB18DF" w:rsidRPr="00773EEA">
        <w:t xml:space="preserve"> appropriate adaptation to </w:t>
      </w:r>
      <w:r w:rsidR="00D65E97" w:rsidRPr="00773EEA">
        <w:t>improve</w:t>
      </w:r>
      <w:r w:rsidR="00E92077" w:rsidRPr="00773EEA">
        <w:t xml:space="preserve"> program</w:t>
      </w:r>
      <w:r w:rsidR="00D65E97" w:rsidRPr="00773EEA">
        <w:t xml:space="preserve"> implementation and </w:t>
      </w:r>
      <w:r w:rsidR="00EB18DF" w:rsidRPr="00773EEA">
        <w:t xml:space="preserve">enhance the sustainable impact of </w:t>
      </w:r>
      <w:r w:rsidR="00E92077" w:rsidRPr="00773EEA">
        <w:t>interventions</w:t>
      </w:r>
      <w:r w:rsidRPr="00773EEA">
        <w:t xml:space="preserve">. The MTR </w:t>
      </w:r>
      <w:r w:rsidR="000B42FC" w:rsidRPr="00773EEA">
        <w:t>R</w:t>
      </w:r>
      <w:r w:rsidR="00064EEE" w:rsidRPr="00773EEA">
        <w:t>eport</w:t>
      </w:r>
      <w:r w:rsidR="001F6E61" w:rsidRPr="00773EEA">
        <w:t xml:space="preserve"> further </w:t>
      </w:r>
      <w:r w:rsidR="000B42FC" w:rsidRPr="00773EEA">
        <w:t xml:space="preserve">presents </w:t>
      </w:r>
      <w:r w:rsidR="001F6E61" w:rsidRPr="00773EEA">
        <w:t>considerations to help inform DFAT’s decision-making around funding arrangements</w:t>
      </w:r>
      <w:r w:rsidR="00064EEE" w:rsidRPr="00773EEA">
        <w:t xml:space="preserve"> for future investments.</w:t>
      </w:r>
      <w:r w:rsidR="006B2470" w:rsidRPr="00773EEA">
        <w:t xml:space="preserve"> </w:t>
      </w:r>
      <w:r w:rsidRPr="00773EEA">
        <w:t xml:space="preserve">DFAT, ADB and Ramboll, </w:t>
      </w:r>
      <w:r w:rsidR="00A4571F" w:rsidRPr="00773EEA">
        <w:t>are</w:t>
      </w:r>
      <w:r w:rsidRPr="00773EEA">
        <w:t xml:space="preserve"> the primary </w:t>
      </w:r>
      <w:r w:rsidR="00F34841" w:rsidRPr="00773EEA">
        <w:t xml:space="preserve">audience and </w:t>
      </w:r>
      <w:r w:rsidRPr="00773EEA">
        <w:t xml:space="preserve">users of the MTR findings and recommendations. </w:t>
      </w:r>
      <w:r w:rsidR="002027D5" w:rsidRPr="00773EEA">
        <w:t>However</w:t>
      </w:r>
      <w:r w:rsidR="00771B43" w:rsidRPr="00773EEA">
        <w:t>, to maximise efficacy,</w:t>
      </w:r>
      <w:r w:rsidR="002027D5" w:rsidRPr="00773EEA">
        <w:t xml:space="preserve"> </w:t>
      </w:r>
      <w:r w:rsidR="003D4C6A" w:rsidRPr="00773EEA">
        <w:t xml:space="preserve">it is advisable that </w:t>
      </w:r>
      <w:r w:rsidRPr="00773EEA">
        <w:t>th</w:t>
      </w:r>
      <w:r w:rsidR="002027D5" w:rsidRPr="00773EEA">
        <w:t>is report</w:t>
      </w:r>
      <w:r w:rsidR="00D965AB" w:rsidRPr="00773EEA">
        <w:t xml:space="preserve"> </w:t>
      </w:r>
      <w:r w:rsidRPr="00773EEA">
        <w:t xml:space="preserve">be </w:t>
      </w:r>
      <w:r w:rsidR="00B64A33" w:rsidRPr="00773EEA">
        <w:t xml:space="preserve">published on the DFAT website and </w:t>
      </w:r>
      <w:r w:rsidRPr="00773EEA">
        <w:t>disseminated</w:t>
      </w:r>
      <w:r w:rsidR="00D965AB" w:rsidRPr="00773EEA">
        <w:t xml:space="preserve"> </w:t>
      </w:r>
      <w:r w:rsidRPr="00773EEA">
        <w:t xml:space="preserve">to partners and stakeholders involved in the AASCTF implementation. </w:t>
      </w:r>
    </w:p>
    <w:p w14:paraId="25CEA8DC" w14:textId="02B8469C" w:rsidR="001B5800" w:rsidRPr="00773EEA" w:rsidRDefault="001B5800" w:rsidP="00D3443F">
      <w:pPr>
        <w:jc w:val="both"/>
      </w:pPr>
      <w:r w:rsidRPr="00773EEA">
        <w:t>The MTR assess</w:t>
      </w:r>
      <w:r w:rsidR="003D4C6A" w:rsidRPr="00773EEA">
        <w:t>e</w:t>
      </w:r>
      <w:r w:rsidR="00D12B09" w:rsidRPr="00773EEA">
        <w:t>d</w:t>
      </w:r>
      <w:r w:rsidRPr="00773EEA">
        <w:t xml:space="preserve"> and </w:t>
      </w:r>
      <w:r w:rsidR="004333C3" w:rsidRPr="00773EEA">
        <w:t xml:space="preserve">now </w:t>
      </w:r>
      <w:r w:rsidRPr="00773EEA">
        <w:t>provide</w:t>
      </w:r>
      <w:r w:rsidR="00BE3E3A" w:rsidRPr="00773EEA">
        <w:t>s</w:t>
      </w:r>
      <w:r w:rsidRPr="00773EEA">
        <w:t xml:space="preserve"> recommendations regarding the </w:t>
      </w:r>
      <w:r w:rsidR="00E1467D" w:rsidRPr="00773EEA">
        <w:t>p</w:t>
      </w:r>
      <w:r w:rsidRPr="00773EEA">
        <w:t xml:space="preserve">rogram’s performance towards achieving outputs and </w:t>
      </w:r>
      <w:r w:rsidR="00BE3E3A" w:rsidRPr="00773EEA">
        <w:t>EOIOs</w:t>
      </w:r>
      <w:r w:rsidRPr="00773EEA">
        <w:t xml:space="preserve"> under Year 1 and 2 implementation schedule</w:t>
      </w:r>
      <w:r w:rsidR="00BE3E3A" w:rsidRPr="00773EEA">
        <w:t>s</w:t>
      </w:r>
      <w:r w:rsidRPr="00773EEA">
        <w:t>, includin</w:t>
      </w:r>
      <w:r w:rsidR="00BE3E3A" w:rsidRPr="00773EEA">
        <w:t>g,</w:t>
      </w:r>
      <w:r w:rsidRPr="00773EEA">
        <w:t xml:space="preserve"> but not limited to, the quality criteria of the Australian Aid Program, particularly</w:t>
      </w:r>
      <w:r w:rsidR="00BE3E3A" w:rsidRPr="00773EEA">
        <w:t xml:space="preserve"> related to</w:t>
      </w:r>
      <w:r w:rsidRPr="00773EEA">
        <w:t xml:space="preserve"> effectiveness (including M&amp;E), efficiency, </w:t>
      </w:r>
      <w:r w:rsidR="00BE3E3A" w:rsidRPr="00773EEA">
        <w:t>GESI,</w:t>
      </w:r>
      <w:r w:rsidRPr="00773EEA">
        <w:t xml:space="preserve"> and risk. The assessment also include</w:t>
      </w:r>
      <w:r w:rsidR="004333C3" w:rsidRPr="00773EEA">
        <w:t>d</w:t>
      </w:r>
      <w:r w:rsidRPr="00773EEA">
        <w:t xml:space="preserve"> the relevance of the program’s objectives and structures in the context of </w:t>
      </w:r>
      <w:r w:rsidR="00F424C8" w:rsidRPr="00773EEA">
        <w:t>the shifting</w:t>
      </w:r>
      <w:r w:rsidRPr="00773EEA">
        <w:t xml:space="preserve"> policy environment </w:t>
      </w:r>
      <w:r w:rsidR="00767625" w:rsidRPr="00773EEA">
        <w:t>arising from the</w:t>
      </w:r>
      <w:r w:rsidRPr="00773EEA">
        <w:t xml:space="preserve"> C</w:t>
      </w:r>
      <w:r w:rsidR="004333C3" w:rsidRPr="00773EEA">
        <w:t>OVID</w:t>
      </w:r>
      <w:r w:rsidRPr="00773EEA">
        <w:t>-19 pandemic.</w:t>
      </w:r>
    </w:p>
    <w:p w14:paraId="0430BE31" w14:textId="3EA74292" w:rsidR="001B5800" w:rsidRPr="00773EEA" w:rsidRDefault="001B5800" w:rsidP="00D3443F">
      <w:pPr>
        <w:jc w:val="both"/>
      </w:pPr>
      <w:r w:rsidRPr="00773EEA">
        <w:t xml:space="preserve">The following key evaluation questions (KEQs) </w:t>
      </w:r>
      <w:r w:rsidR="004333C3" w:rsidRPr="00773EEA">
        <w:t>were</w:t>
      </w:r>
      <w:r w:rsidRPr="00773EEA">
        <w:t xml:space="preserve"> addressed by the MTR. These also comprise</w:t>
      </w:r>
      <w:r w:rsidR="00E02EBB" w:rsidRPr="00773EEA">
        <w:t>d</w:t>
      </w:r>
      <w:r w:rsidRPr="00773EEA">
        <w:t xml:space="preserve"> </w:t>
      </w:r>
      <w:r w:rsidR="00E02EBB" w:rsidRPr="00773EEA">
        <w:t xml:space="preserve">of </w:t>
      </w:r>
      <w:r w:rsidRPr="00773EEA">
        <w:t xml:space="preserve">additional sub-questions which have guided the MTR data collection and </w:t>
      </w:r>
      <w:r w:rsidR="00E02EBB" w:rsidRPr="00773EEA">
        <w:t>help structure</w:t>
      </w:r>
      <w:r w:rsidRPr="00773EEA">
        <w:t xml:space="preserve"> the </w:t>
      </w:r>
      <w:r w:rsidR="004333C3" w:rsidRPr="00773EEA">
        <w:t xml:space="preserve">MTR </w:t>
      </w:r>
      <w:r w:rsidRPr="00773EEA">
        <w:t xml:space="preserve">findings </w:t>
      </w:r>
      <w:r w:rsidR="004333C3" w:rsidRPr="00773EEA">
        <w:t xml:space="preserve">set out </w:t>
      </w:r>
      <w:r w:rsidRPr="00773EEA">
        <w:t xml:space="preserve">in Section 3. </w:t>
      </w:r>
    </w:p>
    <w:p w14:paraId="5CFD0F1A" w14:textId="4E1A92AE" w:rsidR="001B5800" w:rsidRPr="00773EEA" w:rsidRDefault="001B5800" w:rsidP="00177735">
      <w:pPr>
        <w:pStyle w:val="ListParagraph"/>
        <w:numPr>
          <w:ilvl w:val="0"/>
          <w:numId w:val="8"/>
        </w:numPr>
        <w:spacing w:line="276" w:lineRule="auto"/>
        <w:ind w:left="884" w:hanging="357"/>
        <w:contextualSpacing w:val="0"/>
      </w:pPr>
      <w:r w:rsidRPr="00773EEA">
        <w:rPr>
          <w:b/>
          <w:bCs/>
        </w:rPr>
        <w:t>KEQ 1:</w:t>
      </w:r>
      <w:r w:rsidRPr="00773EEA">
        <w:t xml:space="preserve"> How likely and to what extent is AASCTF expected to achieve the objectives of the program? </w:t>
      </w:r>
      <w:r w:rsidR="00394337" w:rsidRPr="00773EEA">
        <w:t>(Criterion – Effectiveness).</w:t>
      </w:r>
    </w:p>
    <w:p w14:paraId="73394636" w14:textId="4E90594F" w:rsidR="001B5800" w:rsidRPr="00773EEA" w:rsidRDefault="001B5800" w:rsidP="00177735">
      <w:pPr>
        <w:pStyle w:val="ListParagraph"/>
        <w:numPr>
          <w:ilvl w:val="0"/>
          <w:numId w:val="8"/>
        </w:numPr>
        <w:spacing w:line="276" w:lineRule="auto"/>
        <w:ind w:left="884" w:hanging="357"/>
        <w:contextualSpacing w:val="0"/>
      </w:pPr>
      <w:r w:rsidRPr="00773EEA">
        <w:rPr>
          <w:b/>
          <w:bCs/>
        </w:rPr>
        <w:t>KEQ 2:</w:t>
      </w:r>
      <w:r w:rsidRPr="00773EEA">
        <w:t xml:space="preserve"> How efficiently is AASCTF managing its resources? (Criterion – Efficiency). Is the program making appropriate use of Australia’s time and resources to achieve outcomes? </w:t>
      </w:r>
    </w:p>
    <w:p w14:paraId="774789CA" w14:textId="454170EF" w:rsidR="001B5800" w:rsidRPr="00773EEA" w:rsidRDefault="001B5800" w:rsidP="00177735">
      <w:pPr>
        <w:pStyle w:val="ListParagraph"/>
        <w:numPr>
          <w:ilvl w:val="0"/>
          <w:numId w:val="8"/>
        </w:numPr>
        <w:spacing w:line="276" w:lineRule="auto"/>
        <w:ind w:left="884" w:hanging="357"/>
        <w:contextualSpacing w:val="0"/>
      </w:pPr>
      <w:r w:rsidRPr="00773EEA">
        <w:rPr>
          <w:b/>
          <w:bCs/>
        </w:rPr>
        <w:t>KEQ 3:</w:t>
      </w:r>
      <w:r w:rsidRPr="00773EEA">
        <w:t xml:space="preserve"> Is the program making progress in effectively promoting gender equality and women’s empowerment in the program implementation? (Criterion – Gender Equality)</w:t>
      </w:r>
    </w:p>
    <w:p w14:paraId="0E7DF41C" w14:textId="75ADD717" w:rsidR="001B5800" w:rsidRPr="00773EEA" w:rsidRDefault="001B5800" w:rsidP="00177735">
      <w:pPr>
        <w:pStyle w:val="ListParagraph"/>
        <w:numPr>
          <w:ilvl w:val="0"/>
          <w:numId w:val="8"/>
        </w:numPr>
        <w:spacing w:line="276" w:lineRule="auto"/>
        <w:ind w:left="884" w:hanging="357"/>
        <w:contextualSpacing w:val="0"/>
      </w:pPr>
      <w:r w:rsidRPr="00773EEA">
        <w:rPr>
          <w:b/>
          <w:bCs/>
        </w:rPr>
        <w:t>KEQ 4:</w:t>
      </w:r>
      <w:r w:rsidRPr="00773EEA">
        <w:t xml:space="preserve"> What are the key program risks (up to three) that may affect successfully achieving end of program outcomes? (Criterion – Risk).</w:t>
      </w:r>
    </w:p>
    <w:p w14:paraId="7253B41D" w14:textId="295EF42E" w:rsidR="007A7ED7" w:rsidRPr="00773EEA" w:rsidRDefault="001B5800" w:rsidP="00177735">
      <w:pPr>
        <w:pStyle w:val="ListParagraph"/>
        <w:numPr>
          <w:ilvl w:val="0"/>
          <w:numId w:val="8"/>
        </w:numPr>
        <w:spacing w:after="0" w:line="276" w:lineRule="auto"/>
        <w:ind w:left="884" w:hanging="357"/>
      </w:pPr>
      <w:r w:rsidRPr="00773EEA">
        <w:rPr>
          <w:b/>
          <w:bCs/>
        </w:rPr>
        <w:t>KEQ 5:</w:t>
      </w:r>
      <w:r w:rsidRPr="00773EEA">
        <w:t xml:space="preserve"> How effectively has the program pivoted to address the impacts of COVID 19?</w:t>
      </w:r>
    </w:p>
    <w:p w14:paraId="3ACA61A7" w14:textId="6F517006" w:rsidR="00233DEA" w:rsidRPr="00773EEA" w:rsidRDefault="00A20CAF" w:rsidP="00177735">
      <w:pPr>
        <w:pStyle w:val="Heading2"/>
        <w:numPr>
          <w:ilvl w:val="1"/>
          <w:numId w:val="7"/>
        </w:numPr>
      </w:pPr>
      <w:r w:rsidRPr="00773EEA">
        <w:t xml:space="preserve"> </w:t>
      </w:r>
      <w:bookmarkStart w:id="17" w:name="_Toc123633709"/>
      <w:r w:rsidR="00233DEA" w:rsidRPr="00773EEA">
        <w:t>MTR Methodology</w:t>
      </w:r>
      <w:bookmarkEnd w:id="17"/>
    </w:p>
    <w:p w14:paraId="418EA4B8" w14:textId="7F2CEED5" w:rsidR="00B915FF" w:rsidRPr="00773EEA" w:rsidRDefault="00425A9B" w:rsidP="00DD1B1D">
      <w:pPr>
        <w:ind w:left="170"/>
        <w:jc w:val="both"/>
        <w:rPr>
          <w:rStyle w:val="BookTitle"/>
          <w:b w:val="0"/>
          <w:bCs w:val="0"/>
          <w:iCs w:val="0"/>
          <w:color w:val="auto"/>
          <w:spacing w:val="0"/>
        </w:rPr>
      </w:pPr>
      <w:r w:rsidRPr="00773EEA">
        <w:t xml:space="preserve">The </w:t>
      </w:r>
      <w:r w:rsidR="006E5A11" w:rsidRPr="00773EEA">
        <w:t xml:space="preserve">ASI </w:t>
      </w:r>
      <w:r w:rsidRPr="00773EEA">
        <w:t xml:space="preserve">MTR </w:t>
      </w:r>
      <w:r w:rsidR="00B71D26" w:rsidRPr="00773EEA">
        <w:t>Evaluation T</w:t>
      </w:r>
      <w:r w:rsidRPr="00773EEA">
        <w:t>eam comprise</w:t>
      </w:r>
      <w:r w:rsidR="00031341" w:rsidRPr="00773EEA">
        <w:t>d</w:t>
      </w:r>
      <w:r w:rsidR="00C01EAE" w:rsidRPr="00773EEA">
        <w:t xml:space="preserve"> of</w:t>
      </w:r>
      <w:r w:rsidRPr="00773EEA">
        <w:t xml:space="preserve"> three experts who </w:t>
      </w:r>
      <w:r w:rsidR="00B71D26" w:rsidRPr="00773EEA">
        <w:t>brought</w:t>
      </w:r>
      <w:r w:rsidRPr="00773EEA">
        <w:t xml:space="preserve"> extensive </w:t>
      </w:r>
      <w:r w:rsidR="006E5A11" w:rsidRPr="00773EEA">
        <w:t xml:space="preserve">technical </w:t>
      </w:r>
      <w:r w:rsidRPr="00773EEA">
        <w:t xml:space="preserve">experience in sustainable urban development, digital and smart city solutions for sustainable outcomes, </w:t>
      </w:r>
      <w:r w:rsidR="006E5A11" w:rsidRPr="00773EEA">
        <w:t xml:space="preserve">deep knowledge and practical experience of </w:t>
      </w:r>
      <w:r w:rsidR="00B71D26" w:rsidRPr="00773EEA">
        <w:t>DFAT</w:t>
      </w:r>
      <w:r w:rsidR="00521909" w:rsidRPr="00773EEA">
        <w:t>’s</w:t>
      </w:r>
      <w:r w:rsidR="00B71D26" w:rsidRPr="00773EEA">
        <w:t xml:space="preserve"> </w:t>
      </w:r>
      <w:r w:rsidR="00323BC6" w:rsidRPr="00773EEA">
        <w:t>program management</w:t>
      </w:r>
      <w:r w:rsidR="006E5A11" w:rsidRPr="00773EEA">
        <w:t>,</w:t>
      </w:r>
      <w:r w:rsidR="00B71D26" w:rsidRPr="00773EEA">
        <w:t xml:space="preserve"> </w:t>
      </w:r>
      <w:r w:rsidR="00521909" w:rsidRPr="00773EEA">
        <w:t>and</w:t>
      </w:r>
      <w:r w:rsidR="00323BC6" w:rsidRPr="00773EEA">
        <w:t xml:space="preserve"> </w:t>
      </w:r>
      <w:r w:rsidRPr="00773EEA">
        <w:t>monitoring and evaluation</w:t>
      </w:r>
      <w:r w:rsidR="00521909" w:rsidRPr="00773EEA">
        <w:t xml:space="preserve"> practices,</w:t>
      </w:r>
      <w:r w:rsidR="00394337" w:rsidRPr="00773EEA">
        <w:t xml:space="preserve"> a</w:t>
      </w:r>
      <w:r w:rsidR="006E5A11" w:rsidRPr="00773EEA">
        <w:t>s well as</w:t>
      </w:r>
      <w:r w:rsidRPr="00773EEA">
        <w:t xml:space="preserve"> </w:t>
      </w:r>
      <w:r w:rsidR="004C1B72" w:rsidRPr="00773EEA">
        <w:t>cross-cutting themes such as GESI and climate change</w:t>
      </w:r>
      <w:r w:rsidRPr="00773EEA">
        <w:t xml:space="preserve">. They have worked in consultation with DFAT, ADB and Ramboll, making use of virtual meetings with relevant key informants. </w:t>
      </w:r>
      <w:r w:rsidR="003033F6" w:rsidRPr="00773EEA">
        <w:t>T</w:t>
      </w:r>
      <w:r w:rsidRPr="00773EEA">
        <w:t>he MTR Methodology includ</w:t>
      </w:r>
      <w:r w:rsidR="003033F6" w:rsidRPr="00773EEA">
        <w:t>ed a</w:t>
      </w:r>
      <w:r w:rsidRPr="00773EEA">
        <w:t xml:space="preserve"> desk review of relevant documentation</w:t>
      </w:r>
      <w:r w:rsidR="004C1B72" w:rsidRPr="00773EEA">
        <w:t>s</w:t>
      </w:r>
      <w:r w:rsidRPr="00773EEA">
        <w:t xml:space="preserve">, analysis of secondary data, primary data collection, including development of a sampling method for </w:t>
      </w:r>
      <w:r w:rsidR="003E4034" w:rsidRPr="00773EEA">
        <w:lastRenderedPageBreak/>
        <w:t>Silver</w:t>
      </w:r>
      <w:r w:rsidRPr="00773EEA">
        <w:t>-level TOs</w:t>
      </w:r>
      <w:r w:rsidR="00614210" w:rsidRPr="00773EEA">
        <w:t>,</w:t>
      </w:r>
      <w:r w:rsidRPr="00773EEA">
        <w:t xml:space="preserve"> corresponding </w:t>
      </w:r>
      <w:r w:rsidR="003033F6" w:rsidRPr="00773EEA">
        <w:t>Key Informant I</w:t>
      </w:r>
      <w:r w:rsidRPr="00773EEA">
        <w:t xml:space="preserve">nterviews </w:t>
      </w:r>
      <w:r w:rsidR="003033F6" w:rsidRPr="00773EEA">
        <w:t xml:space="preserve">(KIIs) </w:t>
      </w:r>
      <w:r w:rsidRPr="00773EEA">
        <w:t>and Focus Group Discussions (FGDs)</w:t>
      </w:r>
      <w:r w:rsidR="00614210" w:rsidRPr="00773EEA">
        <w:t>,</w:t>
      </w:r>
      <w:r w:rsidRPr="00773EEA">
        <w:t xml:space="preserve"> and analysis and triangulation of data collected, </w:t>
      </w:r>
      <w:r w:rsidR="00614210" w:rsidRPr="00773EEA">
        <w:t xml:space="preserve">which </w:t>
      </w:r>
      <w:r w:rsidR="00E41BBD" w:rsidRPr="00773EEA">
        <w:t>then contributed to</w:t>
      </w:r>
      <w:r w:rsidRPr="00773EEA">
        <w:t xml:space="preserve"> the</w:t>
      </w:r>
      <w:r w:rsidR="003033F6" w:rsidRPr="00773EEA">
        <w:t xml:space="preserve"> evidence-base underpinning the</w:t>
      </w:r>
      <w:r w:rsidRPr="00773EEA">
        <w:t xml:space="preserve"> MTR </w:t>
      </w:r>
      <w:r w:rsidR="003033F6" w:rsidRPr="00773EEA">
        <w:t>outputs</w:t>
      </w:r>
      <w:r w:rsidRPr="00773EEA">
        <w:t>.</w:t>
      </w:r>
    </w:p>
    <w:p w14:paraId="7F5032C5" w14:textId="40F99324" w:rsidR="00425A9B" w:rsidRPr="00773EEA" w:rsidRDefault="00425A9B" w:rsidP="00DD1B1D">
      <w:pPr>
        <w:spacing w:after="0"/>
        <w:ind w:left="170"/>
        <w:rPr>
          <w:rStyle w:val="BookTitle"/>
          <w:rFonts w:asciiTheme="majorHAnsi" w:hAnsiTheme="majorHAnsi"/>
          <w:color w:val="auto"/>
        </w:rPr>
      </w:pPr>
      <w:r w:rsidRPr="00773EEA">
        <w:rPr>
          <w:rStyle w:val="BookTitle"/>
          <w:rFonts w:asciiTheme="majorHAnsi" w:hAnsiTheme="majorHAnsi"/>
          <w:color w:val="auto"/>
        </w:rPr>
        <w:t>Desk Review of Secondary Data / Evidence Analysis</w:t>
      </w:r>
    </w:p>
    <w:p w14:paraId="0A76D914" w14:textId="1B9D9FCE" w:rsidR="000626AA" w:rsidRPr="00773EEA" w:rsidRDefault="7C8EDEC0" w:rsidP="00321369">
      <w:pPr>
        <w:ind w:left="170"/>
        <w:jc w:val="both"/>
      </w:pPr>
      <w:r w:rsidRPr="00773EEA">
        <w:t xml:space="preserve">An expansive desk review was undertaken as an input to this MTR. This included all program-level reporting such as Annual and Semi-Annual Progress Reports and the core strategy documents, such as GESI and </w:t>
      </w:r>
      <w:r w:rsidR="00321369" w:rsidRPr="00773EEA">
        <w:t xml:space="preserve">the </w:t>
      </w:r>
      <w:r w:rsidRPr="00773EEA">
        <w:t xml:space="preserve">March 2022 Mid-term Program Level Self- Evaluation Report (Mid-term PLSER). A full list of documents reviewed is </w:t>
      </w:r>
      <w:r w:rsidR="00321369" w:rsidRPr="00773EEA">
        <w:t>found</w:t>
      </w:r>
      <w:r w:rsidRPr="00773EEA">
        <w:t xml:space="preserve"> in Annex 1. The purpose was to assess implementation progress against timeframes, achievements (i.e., activities delivered, outputs</w:t>
      </w:r>
      <w:r w:rsidR="0082301B" w:rsidRPr="00773EEA">
        <w:t xml:space="preserve"> produced</w:t>
      </w:r>
      <w:r w:rsidRPr="00773EEA">
        <w:t xml:space="preserve">, </w:t>
      </w:r>
      <w:r w:rsidR="0082301B" w:rsidRPr="00773EEA">
        <w:t xml:space="preserve">and </w:t>
      </w:r>
      <w:r w:rsidRPr="00773EEA">
        <w:t>any intermediate outcomes)</w:t>
      </w:r>
      <w:r w:rsidR="004B55AD" w:rsidRPr="00773EEA">
        <w:t>,</w:t>
      </w:r>
      <w:r w:rsidRPr="00773EEA">
        <w:t xml:space="preserve"> the quality of work </w:t>
      </w:r>
      <w:r w:rsidR="004B55AD" w:rsidRPr="00773EEA">
        <w:t>produced,</w:t>
      </w:r>
      <w:r w:rsidRPr="00773EEA">
        <w:t xml:space="preserve"> and likely progress to</w:t>
      </w:r>
      <w:r w:rsidR="004B55AD" w:rsidRPr="00773EEA">
        <w:t>wards EOIOs</w:t>
      </w:r>
      <w:r w:rsidRPr="00773EEA">
        <w:t xml:space="preserve">. The desk review has allowed a comprehensive understanding of the TOs, Resource Person Contracts and Direct Charge Projects. These </w:t>
      </w:r>
      <w:r w:rsidR="004B55AD" w:rsidRPr="00773EEA">
        <w:t>are</w:t>
      </w:r>
      <w:r w:rsidRPr="00773EEA">
        <w:t xml:space="preserve"> explored throughout th</w:t>
      </w:r>
      <w:r w:rsidR="004B55AD" w:rsidRPr="00773EEA">
        <w:t>is</w:t>
      </w:r>
      <w:r w:rsidRPr="00773EEA">
        <w:t xml:space="preserve"> MTR Report in </w:t>
      </w:r>
      <w:r w:rsidR="004B55AD" w:rsidRPr="00773EEA">
        <w:t>greater</w:t>
      </w:r>
      <w:r w:rsidRPr="00773EEA">
        <w:t xml:space="preserve"> detail, with a particular focus on the sampled cities and interventions, </w:t>
      </w:r>
      <w:r w:rsidR="00C80B72" w:rsidRPr="00773EEA">
        <w:t>as per</w:t>
      </w:r>
      <w:r w:rsidRPr="00773EEA">
        <w:t xml:space="preserve"> the sampling strategy </w:t>
      </w:r>
      <w:r w:rsidR="004B55AD" w:rsidRPr="00773EEA">
        <w:t xml:space="preserve">set out in </w:t>
      </w:r>
      <w:r w:rsidRPr="00773EEA">
        <w:rPr>
          <w:b/>
          <w:bCs/>
        </w:rPr>
        <w:t>Box 1</w:t>
      </w:r>
      <w:r w:rsidR="004B55AD" w:rsidRPr="00773EEA">
        <w:rPr>
          <w:b/>
          <w:bCs/>
        </w:rPr>
        <w:t xml:space="preserve"> </w:t>
      </w:r>
      <w:r w:rsidR="004B55AD" w:rsidRPr="00773EEA">
        <w:t>below</w:t>
      </w:r>
      <w:r w:rsidR="00C80B72" w:rsidRPr="00773EEA">
        <w:t>.</w:t>
      </w:r>
      <w:r w:rsidRPr="00773EEA">
        <w:t xml:space="preserve"> </w:t>
      </w:r>
    </w:p>
    <w:p w14:paraId="0ECB6B1D" w14:textId="0D7D37C4" w:rsidR="005B2B00" w:rsidRPr="00773EEA" w:rsidRDefault="00684500" w:rsidP="004B55AD">
      <w:pPr>
        <w:ind w:left="170"/>
        <w:jc w:val="both"/>
        <w:rPr>
          <w:iCs/>
        </w:rPr>
      </w:pPr>
      <w:r w:rsidRPr="00773EEA">
        <w:rPr>
          <w:rFonts w:cstheme="minorHAnsi"/>
          <w:lang w:val="en-US"/>
        </w:rPr>
        <w:t xml:space="preserve">The </w:t>
      </w:r>
      <w:r w:rsidR="004B55AD" w:rsidRPr="00773EEA">
        <w:rPr>
          <w:rFonts w:cstheme="minorHAnsi"/>
          <w:lang w:val="en-US"/>
        </w:rPr>
        <w:t>E</w:t>
      </w:r>
      <w:r w:rsidRPr="00773EEA">
        <w:rPr>
          <w:rFonts w:cstheme="minorHAnsi"/>
          <w:lang w:val="en-US"/>
        </w:rPr>
        <w:t xml:space="preserve">valuation </w:t>
      </w:r>
      <w:r w:rsidR="004B55AD" w:rsidRPr="00773EEA">
        <w:rPr>
          <w:rFonts w:cstheme="minorHAnsi"/>
          <w:lang w:val="en-US"/>
        </w:rPr>
        <w:t>T</w:t>
      </w:r>
      <w:r w:rsidRPr="00773EEA">
        <w:rPr>
          <w:rFonts w:cstheme="minorHAnsi"/>
          <w:lang w:val="en-US"/>
        </w:rPr>
        <w:t xml:space="preserve">eam also conducted an analysis of implementation and reporting evidence against </w:t>
      </w:r>
      <w:r w:rsidR="00993948" w:rsidRPr="00773EEA">
        <w:rPr>
          <w:rFonts w:cstheme="minorHAnsi"/>
          <w:lang w:val="en-US"/>
        </w:rPr>
        <w:t>AASCTF</w:t>
      </w:r>
      <w:r w:rsidRPr="00773EEA">
        <w:rPr>
          <w:rFonts w:cstheme="minorHAnsi"/>
          <w:lang w:val="en-US"/>
        </w:rPr>
        <w:t xml:space="preserve">’s design, </w:t>
      </w:r>
      <w:r w:rsidR="00C80B72" w:rsidRPr="00773EEA">
        <w:rPr>
          <w:rFonts w:cstheme="minorHAnsi"/>
          <w:lang w:val="en-US"/>
        </w:rPr>
        <w:t xml:space="preserve">baseline assessments, </w:t>
      </w:r>
      <w:r w:rsidRPr="00773EEA">
        <w:rPr>
          <w:rFonts w:cstheme="minorHAnsi"/>
          <w:lang w:val="en-US"/>
        </w:rPr>
        <w:t>M&amp;E Framework, GESI Strategy and other key program guidance document</w:t>
      </w:r>
      <w:r w:rsidR="00993948" w:rsidRPr="00773EEA">
        <w:rPr>
          <w:rFonts w:cstheme="minorHAnsi"/>
          <w:lang w:val="en-US"/>
        </w:rPr>
        <w:t>s</w:t>
      </w:r>
      <w:r w:rsidRPr="00773EEA">
        <w:rPr>
          <w:rFonts w:cstheme="minorHAnsi"/>
          <w:lang w:val="en-US"/>
        </w:rPr>
        <w:t xml:space="preserve"> to assess quality and progress towards </w:t>
      </w:r>
      <w:r w:rsidR="00993948" w:rsidRPr="00773EEA">
        <w:rPr>
          <w:rFonts w:cstheme="minorHAnsi"/>
          <w:lang w:val="en-US"/>
        </w:rPr>
        <w:t>EOIOs</w:t>
      </w:r>
      <w:r w:rsidRPr="00773EEA">
        <w:rPr>
          <w:rFonts w:cstheme="minorHAnsi"/>
          <w:lang w:val="en-US"/>
        </w:rPr>
        <w:t xml:space="preserve">. </w:t>
      </w:r>
      <w:r w:rsidR="00993948" w:rsidRPr="00773EEA">
        <w:rPr>
          <w:rFonts w:cstheme="minorHAnsi"/>
          <w:lang w:val="en-US"/>
        </w:rPr>
        <w:t>A</w:t>
      </w:r>
      <w:r w:rsidRPr="00773EEA">
        <w:rPr>
          <w:rFonts w:cstheme="minorHAnsi"/>
          <w:lang w:val="en-US"/>
        </w:rPr>
        <w:t xml:space="preserve"> robust assessment </w:t>
      </w:r>
      <w:r w:rsidR="00092318" w:rsidRPr="00773EEA">
        <w:rPr>
          <w:rFonts w:cstheme="minorHAnsi"/>
          <w:lang w:val="en-US"/>
        </w:rPr>
        <w:t xml:space="preserve">was made </w:t>
      </w:r>
      <w:r w:rsidRPr="00773EEA">
        <w:rPr>
          <w:rFonts w:cstheme="minorHAnsi"/>
          <w:lang w:val="en-US"/>
        </w:rPr>
        <w:t xml:space="preserve">of the extent to which </w:t>
      </w:r>
      <w:r w:rsidRPr="00773EEA">
        <w:rPr>
          <w:rFonts w:cstheme="minorHAnsi"/>
        </w:rPr>
        <w:t>disaggregated data for gender and other relevant sub-groups has been collected, analysed, inform</w:t>
      </w:r>
      <w:r w:rsidR="00092318" w:rsidRPr="00773EEA">
        <w:rPr>
          <w:rFonts w:cstheme="minorHAnsi"/>
        </w:rPr>
        <w:t>ed</w:t>
      </w:r>
      <w:r w:rsidRPr="00773EEA">
        <w:rPr>
          <w:rFonts w:cstheme="minorHAnsi"/>
        </w:rPr>
        <w:t xml:space="preserve"> implementation</w:t>
      </w:r>
      <w:r w:rsidR="00092318" w:rsidRPr="00773EEA">
        <w:rPr>
          <w:rFonts w:cstheme="minorHAnsi"/>
        </w:rPr>
        <w:t>,</w:t>
      </w:r>
      <w:r w:rsidRPr="00773EEA">
        <w:rPr>
          <w:rFonts w:cstheme="minorHAnsi"/>
        </w:rPr>
        <w:t xml:space="preserve"> and </w:t>
      </w:r>
      <w:r w:rsidR="00092318" w:rsidRPr="00773EEA">
        <w:rPr>
          <w:rFonts w:cstheme="minorHAnsi"/>
        </w:rPr>
        <w:t xml:space="preserve">effectively </w:t>
      </w:r>
      <w:r w:rsidR="00F253C4" w:rsidRPr="00773EEA">
        <w:rPr>
          <w:rFonts w:cstheme="minorHAnsi"/>
        </w:rPr>
        <w:t>reported</w:t>
      </w:r>
      <w:r w:rsidR="00C80B72" w:rsidRPr="00773EEA">
        <w:rPr>
          <w:rFonts w:cstheme="minorHAnsi"/>
        </w:rPr>
        <w:t xml:space="preserve"> to DFAT</w:t>
      </w:r>
      <w:r w:rsidR="00F253C4" w:rsidRPr="00773EEA">
        <w:rPr>
          <w:rFonts w:cstheme="minorHAnsi"/>
        </w:rPr>
        <w:t>.</w:t>
      </w:r>
      <w:r w:rsidR="00F253C4" w:rsidRPr="00773EEA">
        <w:rPr>
          <w:iCs/>
        </w:rPr>
        <w:t xml:space="preserve"> </w:t>
      </w:r>
      <w:r w:rsidR="000626AA" w:rsidRPr="00773EEA">
        <w:rPr>
          <w:iCs/>
        </w:rPr>
        <w:t xml:space="preserve">The </w:t>
      </w:r>
      <w:r w:rsidR="00961684" w:rsidRPr="00773EEA">
        <w:rPr>
          <w:iCs/>
        </w:rPr>
        <w:t>d</w:t>
      </w:r>
      <w:r w:rsidR="000626AA" w:rsidRPr="00773EEA">
        <w:rPr>
          <w:iCs/>
        </w:rPr>
        <w:t xml:space="preserve">esk </w:t>
      </w:r>
      <w:r w:rsidR="00961684" w:rsidRPr="00773EEA">
        <w:rPr>
          <w:iCs/>
        </w:rPr>
        <w:t>r</w:t>
      </w:r>
      <w:r w:rsidR="000626AA" w:rsidRPr="00773EEA">
        <w:rPr>
          <w:iCs/>
        </w:rPr>
        <w:t xml:space="preserve">eview provided the </w:t>
      </w:r>
      <w:r w:rsidR="00092318" w:rsidRPr="00773EEA">
        <w:rPr>
          <w:iCs/>
        </w:rPr>
        <w:t>Evaluation Team</w:t>
      </w:r>
      <w:r w:rsidR="000626AA" w:rsidRPr="00773EEA">
        <w:rPr>
          <w:iCs/>
        </w:rPr>
        <w:t xml:space="preserve"> with a strong understanding of how the AASCTF fits into the wider context of DFAT</w:t>
      </w:r>
      <w:r w:rsidR="00961684" w:rsidRPr="00773EEA">
        <w:rPr>
          <w:iCs/>
        </w:rPr>
        <w:t>’s</w:t>
      </w:r>
      <w:r w:rsidR="000626AA" w:rsidRPr="00773EEA">
        <w:rPr>
          <w:iCs/>
        </w:rPr>
        <w:t xml:space="preserve"> and ADB</w:t>
      </w:r>
      <w:r w:rsidR="00961684" w:rsidRPr="00773EEA">
        <w:rPr>
          <w:iCs/>
        </w:rPr>
        <w:t>’s</w:t>
      </w:r>
      <w:r w:rsidR="000626AA" w:rsidRPr="00773EEA">
        <w:rPr>
          <w:iCs/>
        </w:rPr>
        <w:t xml:space="preserve"> strategic priorities and investments, as well as ASEAN initiatives</w:t>
      </w:r>
      <w:r w:rsidR="00304DF3" w:rsidRPr="00773EEA">
        <w:rPr>
          <w:iCs/>
        </w:rPr>
        <w:t xml:space="preserve"> such as</w:t>
      </w:r>
      <w:r w:rsidR="00C80B72" w:rsidRPr="00773EEA">
        <w:rPr>
          <w:iCs/>
        </w:rPr>
        <w:t xml:space="preserve"> the </w:t>
      </w:r>
      <w:r w:rsidR="000626AA" w:rsidRPr="00773EEA">
        <w:t>ASEAN Sustainable Urbanisation Strategy</w:t>
      </w:r>
      <w:r w:rsidR="00C80B72" w:rsidRPr="00773EEA">
        <w:t xml:space="preserve"> and </w:t>
      </w:r>
      <w:r w:rsidR="000626AA" w:rsidRPr="00773EEA">
        <w:t>DFAT’s C</w:t>
      </w:r>
      <w:r w:rsidR="005761BB" w:rsidRPr="00773EEA">
        <w:t>OVID</w:t>
      </w:r>
      <w:r w:rsidR="000626AA" w:rsidRPr="00773EEA">
        <w:t>-19 Recovery Program.</w:t>
      </w:r>
      <w:r w:rsidR="000626AA" w:rsidRPr="00773EEA">
        <w:rPr>
          <w:iCs/>
        </w:rPr>
        <w:t xml:space="preserve"> The context in which the program operates has enabled an assessment of the strengths of synergies, likely outcomes and impact.</w:t>
      </w:r>
    </w:p>
    <w:p w14:paraId="0BB5D465" w14:textId="0F7ABF50" w:rsidR="000626AA" w:rsidRPr="00773EEA" w:rsidRDefault="00DB1F86" w:rsidP="0055158A">
      <w:pPr>
        <w:spacing w:after="0"/>
        <w:ind w:left="170"/>
        <w:rPr>
          <w:rStyle w:val="BookTitle"/>
          <w:rFonts w:asciiTheme="majorHAnsi" w:hAnsiTheme="majorHAnsi"/>
          <w:color w:val="auto"/>
        </w:rPr>
      </w:pPr>
      <w:r w:rsidRPr="00773EEA">
        <w:rPr>
          <w:rStyle w:val="BookTitle"/>
          <w:rFonts w:asciiTheme="majorHAnsi" w:hAnsiTheme="majorHAnsi"/>
          <w:color w:val="auto"/>
        </w:rPr>
        <w:t>Primary Data Collection and Analysis</w:t>
      </w:r>
    </w:p>
    <w:p w14:paraId="34A7E10E" w14:textId="50A4AD14" w:rsidR="00C62655" w:rsidRPr="00773EEA" w:rsidRDefault="00C62655" w:rsidP="0055158A">
      <w:pPr>
        <w:ind w:left="170"/>
        <w:jc w:val="both"/>
        <w:rPr>
          <w:rStyle w:val="BookTitle"/>
          <w:b w:val="0"/>
          <w:bCs w:val="0"/>
          <w:color w:val="auto"/>
        </w:rPr>
      </w:pPr>
      <w:r w:rsidRPr="00773EEA">
        <w:rPr>
          <w:rStyle w:val="BookTitle"/>
          <w:b w:val="0"/>
          <w:bCs w:val="0"/>
          <w:color w:val="auto"/>
        </w:rPr>
        <w:t xml:space="preserve">Primary data </w:t>
      </w:r>
      <w:r w:rsidR="0055158A" w:rsidRPr="00773EEA">
        <w:rPr>
          <w:rStyle w:val="BookTitle"/>
          <w:b w:val="0"/>
          <w:bCs w:val="0"/>
          <w:color w:val="auto"/>
        </w:rPr>
        <w:t>was</w:t>
      </w:r>
      <w:r w:rsidRPr="00773EEA">
        <w:rPr>
          <w:rStyle w:val="BookTitle"/>
          <w:b w:val="0"/>
          <w:bCs w:val="0"/>
          <w:color w:val="auto"/>
        </w:rPr>
        <w:t xml:space="preserve"> collected remotely, through semi-structured qualitative </w:t>
      </w:r>
      <w:r w:rsidR="0055158A" w:rsidRPr="00773EEA">
        <w:rPr>
          <w:rStyle w:val="BookTitle"/>
          <w:b w:val="0"/>
          <w:bCs w:val="0"/>
          <w:color w:val="auto"/>
        </w:rPr>
        <w:t>KIIs</w:t>
      </w:r>
      <w:r w:rsidRPr="00773EEA">
        <w:rPr>
          <w:rStyle w:val="BookTitle"/>
          <w:b w:val="0"/>
          <w:bCs w:val="0"/>
          <w:color w:val="auto"/>
        </w:rPr>
        <w:t xml:space="preserve">, </w:t>
      </w:r>
      <w:r w:rsidR="0055158A" w:rsidRPr="00773EEA">
        <w:rPr>
          <w:rStyle w:val="BookTitle"/>
          <w:b w:val="0"/>
          <w:bCs w:val="0"/>
          <w:color w:val="auto"/>
        </w:rPr>
        <w:t>FGDs</w:t>
      </w:r>
      <w:r w:rsidRPr="00773EEA">
        <w:rPr>
          <w:rStyle w:val="BookTitle"/>
          <w:b w:val="0"/>
          <w:bCs w:val="0"/>
          <w:color w:val="auto"/>
        </w:rPr>
        <w:t xml:space="preserve"> and survey questions, using video meetings, voice calls</w:t>
      </w:r>
      <w:r w:rsidR="00E9637A" w:rsidRPr="00773EEA">
        <w:rPr>
          <w:rStyle w:val="BookTitle"/>
          <w:b w:val="0"/>
          <w:bCs w:val="0"/>
          <w:color w:val="auto"/>
        </w:rPr>
        <w:t>,</w:t>
      </w:r>
      <w:r w:rsidRPr="00773EEA">
        <w:rPr>
          <w:rStyle w:val="BookTitle"/>
          <w:b w:val="0"/>
          <w:bCs w:val="0"/>
          <w:color w:val="auto"/>
        </w:rPr>
        <w:t xml:space="preserve"> email</w:t>
      </w:r>
      <w:r w:rsidR="00E9637A" w:rsidRPr="00773EEA">
        <w:rPr>
          <w:rStyle w:val="BookTitle"/>
          <w:b w:val="0"/>
          <w:bCs w:val="0"/>
          <w:color w:val="auto"/>
        </w:rPr>
        <w:t xml:space="preserve"> and online surveying tools</w:t>
      </w:r>
      <w:r w:rsidRPr="00773EEA">
        <w:rPr>
          <w:rStyle w:val="BookTitle"/>
          <w:b w:val="0"/>
          <w:bCs w:val="0"/>
          <w:color w:val="auto"/>
        </w:rPr>
        <w:t xml:space="preserve">. The number and extent of </w:t>
      </w:r>
      <w:r w:rsidR="00E9637A" w:rsidRPr="00773EEA">
        <w:rPr>
          <w:rStyle w:val="BookTitle"/>
          <w:b w:val="0"/>
          <w:bCs w:val="0"/>
          <w:color w:val="auto"/>
        </w:rPr>
        <w:t>KIIs</w:t>
      </w:r>
      <w:r w:rsidRPr="00773EEA">
        <w:rPr>
          <w:rStyle w:val="BookTitle"/>
          <w:b w:val="0"/>
          <w:bCs w:val="0"/>
          <w:color w:val="auto"/>
        </w:rPr>
        <w:t xml:space="preserve"> and </w:t>
      </w:r>
      <w:r w:rsidR="00E9637A" w:rsidRPr="00773EEA">
        <w:rPr>
          <w:rStyle w:val="BookTitle"/>
          <w:b w:val="0"/>
          <w:bCs w:val="0"/>
          <w:color w:val="auto"/>
        </w:rPr>
        <w:t>FGDs was</w:t>
      </w:r>
      <w:r w:rsidRPr="00773EEA">
        <w:rPr>
          <w:rStyle w:val="BookTitle"/>
          <w:b w:val="0"/>
          <w:bCs w:val="0"/>
          <w:color w:val="auto"/>
        </w:rPr>
        <w:t xml:space="preserve"> determined by the MTR’s timeframe and availability of</w:t>
      </w:r>
      <w:r w:rsidR="00E72F50" w:rsidRPr="00773EEA">
        <w:rPr>
          <w:rStyle w:val="BookTitle"/>
          <w:b w:val="0"/>
          <w:bCs w:val="0"/>
          <w:color w:val="auto"/>
        </w:rPr>
        <w:t xml:space="preserve"> </w:t>
      </w:r>
      <w:r w:rsidRPr="00773EEA">
        <w:rPr>
          <w:rStyle w:val="BookTitle"/>
          <w:b w:val="0"/>
          <w:bCs w:val="0"/>
          <w:color w:val="auto"/>
        </w:rPr>
        <w:t xml:space="preserve">relevant </w:t>
      </w:r>
      <w:r w:rsidR="00E72F50" w:rsidRPr="00773EEA">
        <w:rPr>
          <w:rStyle w:val="BookTitle"/>
          <w:b w:val="0"/>
          <w:bCs w:val="0"/>
          <w:color w:val="auto"/>
        </w:rPr>
        <w:t>key informants</w:t>
      </w:r>
      <w:r w:rsidRPr="00773EEA">
        <w:rPr>
          <w:rStyle w:val="BookTitle"/>
          <w:b w:val="0"/>
          <w:bCs w:val="0"/>
          <w:color w:val="auto"/>
        </w:rPr>
        <w:t xml:space="preserve">. Field visits to view AASCTF activities in participating countries and interact with local implementing partners or potential citizen beneficiaries were not included in </w:t>
      </w:r>
      <w:r w:rsidR="000F44AB" w:rsidRPr="00773EEA">
        <w:rPr>
          <w:rStyle w:val="BookTitle"/>
          <w:b w:val="0"/>
          <w:bCs w:val="0"/>
          <w:color w:val="auto"/>
        </w:rPr>
        <w:t>DFAT’s</w:t>
      </w:r>
      <w:r w:rsidRPr="00773EEA">
        <w:rPr>
          <w:rStyle w:val="BookTitle"/>
          <w:b w:val="0"/>
          <w:bCs w:val="0"/>
          <w:color w:val="auto"/>
        </w:rPr>
        <w:t xml:space="preserve"> </w:t>
      </w:r>
      <w:r w:rsidR="00B824AB" w:rsidRPr="00773EEA">
        <w:rPr>
          <w:rStyle w:val="BookTitle"/>
          <w:b w:val="0"/>
          <w:bCs w:val="0"/>
          <w:color w:val="auto"/>
        </w:rPr>
        <w:t>ToR and</w:t>
      </w:r>
      <w:r w:rsidRPr="00773EEA">
        <w:rPr>
          <w:rStyle w:val="BookTitle"/>
          <w:b w:val="0"/>
          <w:bCs w:val="0"/>
          <w:color w:val="auto"/>
        </w:rPr>
        <w:t xml:space="preserve"> </w:t>
      </w:r>
      <w:r w:rsidR="00F249A4" w:rsidRPr="00773EEA">
        <w:rPr>
          <w:rStyle w:val="BookTitle"/>
          <w:b w:val="0"/>
          <w:bCs w:val="0"/>
          <w:color w:val="auto"/>
        </w:rPr>
        <w:t>w</w:t>
      </w:r>
      <w:r w:rsidR="00C80B72" w:rsidRPr="00773EEA">
        <w:rPr>
          <w:rStyle w:val="BookTitle"/>
          <w:b w:val="0"/>
          <w:bCs w:val="0"/>
          <w:color w:val="auto"/>
        </w:rPr>
        <w:t>ere</w:t>
      </w:r>
      <w:r w:rsidR="00F249A4" w:rsidRPr="00773EEA">
        <w:rPr>
          <w:rStyle w:val="BookTitle"/>
          <w:b w:val="0"/>
          <w:bCs w:val="0"/>
          <w:color w:val="auto"/>
        </w:rPr>
        <w:t xml:space="preserve"> </w:t>
      </w:r>
      <w:r w:rsidR="000F44AB" w:rsidRPr="00773EEA">
        <w:rPr>
          <w:rStyle w:val="BookTitle"/>
          <w:b w:val="0"/>
          <w:bCs w:val="0"/>
          <w:color w:val="auto"/>
        </w:rPr>
        <w:t xml:space="preserve">therefore </w:t>
      </w:r>
      <w:r w:rsidR="00F249A4" w:rsidRPr="00773EEA">
        <w:rPr>
          <w:rStyle w:val="BookTitle"/>
          <w:b w:val="0"/>
          <w:bCs w:val="0"/>
          <w:color w:val="auto"/>
        </w:rPr>
        <w:t xml:space="preserve">not </w:t>
      </w:r>
      <w:r w:rsidR="000F44AB" w:rsidRPr="00773EEA">
        <w:rPr>
          <w:rStyle w:val="BookTitle"/>
          <w:b w:val="0"/>
          <w:bCs w:val="0"/>
          <w:color w:val="auto"/>
        </w:rPr>
        <w:t xml:space="preserve">included as </w:t>
      </w:r>
      <w:r w:rsidR="00F249A4" w:rsidRPr="00773EEA">
        <w:rPr>
          <w:rStyle w:val="BookTitle"/>
          <w:b w:val="0"/>
          <w:bCs w:val="0"/>
          <w:color w:val="auto"/>
        </w:rPr>
        <w:t>part of the MTR</w:t>
      </w:r>
      <w:r w:rsidR="003F7D83" w:rsidRPr="00773EEA">
        <w:rPr>
          <w:rStyle w:val="BookTitle"/>
          <w:b w:val="0"/>
          <w:bCs w:val="0"/>
          <w:color w:val="auto"/>
        </w:rPr>
        <w:t xml:space="preserve">. </w:t>
      </w:r>
    </w:p>
    <w:p w14:paraId="27719BC5" w14:textId="6B5A3D9E" w:rsidR="00C62655" w:rsidRPr="00773EEA" w:rsidRDefault="00C62655" w:rsidP="000F44AB">
      <w:pPr>
        <w:ind w:left="170"/>
        <w:jc w:val="both"/>
        <w:rPr>
          <w:rStyle w:val="BookTitle"/>
          <w:b w:val="0"/>
          <w:bCs w:val="0"/>
          <w:color w:val="auto"/>
        </w:rPr>
      </w:pPr>
      <w:r w:rsidRPr="00773EEA">
        <w:rPr>
          <w:rStyle w:val="BookTitle"/>
          <w:b w:val="0"/>
          <w:bCs w:val="0"/>
          <w:color w:val="auto"/>
        </w:rPr>
        <w:t>Group interviews were conducted with key representatives of AASCTF implementing partners, the ADB and Ramboll. KIIs were conducted with select</w:t>
      </w:r>
      <w:r w:rsidR="000F44AB" w:rsidRPr="00773EEA">
        <w:rPr>
          <w:rStyle w:val="BookTitle"/>
          <w:b w:val="0"/>
          <w:bCs w:val="0"/>
          <w:color w:val="auto"/>
        </w:rPr>
        <w:t>ed</w:t>
      </w:r>
      <w:r w:rsidRPr="00773EEA">
        <w:rPr>
          <w:rStyle w:val="BookTitle"/>
          <w:b w:val="0"/>
          <w:bCs w:val="0"/>
          <w:color w:val="auto"/>
        </w:rPr>
        <w:t xml:space="preserve"> individuals, including a </w:t>
      </w:r>
      <w:r w:rsidR="00C80B72" w:rsidRPr="00773EEA">
        <w:rPr>
          <w:rStyle w:val="BookTitle"/>
          <w:b w:val="0"/>
          <w:bCs w:val="0"/>
          <w:color w:val="auto"/>
        </w:rPr>
        <w:t xml:space="preserve">government </w:t>
      </w:r>
      <w:r w:rsidRPr="00773EEA">
        <w:rPr>
          <w:rStyle w:val="BookTitle"/>
          <w:b w:val="0"/>
          <w:bCs w:val="0"/>
          <w:color w:val="auto"/>
        </w:rPr>
        <w:t xml:space="preserve">representative of each </w:t>
      </w:r>
      <w:r w:rsidR="003E4034" w:rsidRPr="00773EEA">
        <w:rPr>
          <w:rStyle w:val="BookTitle"/>
          <w:b w:val="0"/>
          <w:bCs w:val="0"/>
          <w:color w:val="auto"/>
        </w:rPr>
        <w:t>Silver</w:t>
      </w:r>
      <w:r w:rsidRPr="00773EEA">
        <w:rPr>
          <w:rStyle w:val="BookTitle"/>
          <w:b w:val="0"/>
          <w:bCs w:val="0"/>
          <w:color w:val="auto"/>
        </w:rPr>
        <w:t xml:space="preserve"> city (excluding Yangon)</w:t>
      </w:r>
      <w:r w:rsidR="00FE7C44" w:rsidRPr="00773EEA">
        <w:rPr>
          <w:rStyle w:val="FootnoteReference"/>
          <w:iCs/>
          <w:color w:val="auto"/>
          <w:spacing w:val="5"/>
        </w:rPr>
        <w:footnoteReference w:id="2"/>
      </w:r>
      <w:r w:rsidRPr="00773EEA">
        <w:rPr>
          <w:rStyle w:val="BookTitle"/>
          <w:b w:val="0"/>
          <w:bCs w:val="0"/>
          <w:color w:val="auto"/>
        </w:rPr>
        <w:t xml:space="preserve"> and </w:t>
      </w:r>
      <w:r w:rsidR="00CA6040" w:rsidRPr="00773EEA">
        <w:rPr>
          <w:rStyle w:val="BookTitle"/>
          <w:b w:val="0"/>
          <w:bCs w:val="0"/>
          <w:color w:val="auto"/>
        </w:rPr>
        <w:t>associated</w:t>
      </w:r>
      <w:r w:rsidRPr="00773EEA">
        <w:rPr>
          <w:rStyle w:val="BookTitle"/>
          <w:b w:val="0"/>
          <w:bCs w:val="0"/>
          <w:color w:val="auto"/>
        </w:rPr>
        <w:t xml:space="preserve"> Ramboll TTL; DFAT’s AASCTF Program Manager; selected DFAT in-country representatives; and</w:t>
      </w:r>
      <w:r w:rsidR="00CA6040" w:rsidRPr="00773EEA">
        <w:rPr>
          <w:rStyle w:val="BookTitle"/>
          <w:b w:val="0"/>
          <w:bCs w:val="0"/>
          <w:color w:val="auto"/>
        </w:rPr>
        <w:t>,</w:t>
      </w:r>
      <w:r w:rsidRPr="00773EEA">
        <w:rPr>
          <w:rStyle w:val="BookTitle"/>
          <w:b w:val="0"/>
          <w:bCs w:val="0"/>
          <w:color w:val="auto"/>
        </w:rPr>
        <w:t xml:space="preserve"> where feasible, representatives of other AASCTF partners, such as Practical Action in Baguio. The </w:t>
      </w:r>
      <w:r w:rsidR="001657A8" w:rsidRPr="00773EEA">
        <w:rPr>
          <w:rStyle w:val="BookTitle"/>
          <w:b w:val="0"/>
          <w:bCs w:val="0"/>
          <w:color w:val="auto"/>
        </w:rPr>
        <w:t>Evaluation Team</w:t>
      </w:r>
      <w:r w:rsidRPr="00773EEA">
        <w:rPr>
          <w:rStyle w:val="BookTitle"/>
          <w:b w:val="0"/>
          <w:bCs w:val="0"/>
          <w:color w:val="auto"/>
        </w:rPr>
        <w:t xml:space="preserve"> </w:t>
      </w:r>
      <w:r w:rsidR="00D75CFA" w:rsidRPr="00773EEA">
        <w:rPr>
          <w:rStyle w:val="BookTitle"/>
          <w:b w:val="0"/>
          <w:bCs w:val="0"/>
          <w:color w:val="auto"/>
        </w:rPr>
        <w:t xml:space="preserve">made </w:t>
      </w:r>
      <w:r w:rsidRPr="00773EEA">
        <w:rPr>
          <w:rStyle w:val="BookTitle"/>
          <w:b w:val="0"/>
          <w:bCs w:val="0"/>
          <w:color w:val="auto"/>
        </w:rPr>
        <w:t xml:space="preserve">use of </w:t>
      </w:r>
      <w:r w:rsidR="00B848BD" w:rsidRPr="00773EEA">
        <w:rPr>
          <w:rStyle w:val="BookTitle"/>
          <w:b w:val="0"/>
          <w:bCs w:val="0"/>
          <w:color w:val="auto"/>
        </w:rPr>
        <w:t>an</w:t>
      </w:r>
      <w:r w:rsidRPr="00773EEA">
        <w:rPr>
          <w:rStyle w:val="BookTitle"/>
          <w:b w:val="0"/>
          <w:bCs w:val="0"/>
          <w:color w:val="auto"/>
        </w:rPr>
        <w:t xml:space="preserve"> interview tracker</w:t>
      </w:r>
      <w:r w:rsidR="000A67F0" w:rsidRPr="00773EEA">
        <w:rPr>
          <w:rStyle w:val="FootnoteReference"/>
          <w:iCs/>
          <w:color w:val="auto"/>
          <w:spacing w:val="5"/>
        </w:rPr>
        <w:footnoteReference w:id="3"/>
      </w:r>
      <w:r w:rsidRPr="00773EEA">
        <w:rPr>
          <w:rStyle w:val="BookTitle"/>
          <w:b w:val="0"/>
          <w:bCs w:val="0"/>
          <w:color w:val="auto"/>
        </w:rPr>
        <w:t xml:space="preserve">, to </w:t>
      </w:r>
      <w:r w:rsidR="006A4D5B" w:rsidRPr="00773EEA">
        <w:rPr>
          <w:rStyle w:val="BookTitle"/>
          <w:b w:val="0"/>
          <w:bCs w:val="0"/>
          <w:color w:val="auto"/>
        </w:rPr>
        <w:t xml:space="preserve">capture ongoing </w:t>
      </w:r>
      <w:r w:rsidRPr="00773EEA">
        <w:rPr>
          <w:rStyle w:val="BookTitle"/>
          <w:b w:val="0"/>
          <w:bCs w:val="0"/>
          <w:color w:val="auto"/>
        </w:rPr>
        <w:t xml:space="preserve">progress </w:t>
      </w:r>
      <w:r w:rsidR="006A4D5B" w:rsidRPr="00773EEA">
        <w:rPr>
          <w:rStyle w:val="BookTitle"/>
          <w:b w:val="0"/>
          <w:bCs w:val="0"/>
          <w:color w:val="auto"/>
        </w:rPr>
        <w:t>in</w:t>
      </w:r>
      <w:r w:rsidRPr="00773EEA">
        <w:rPr>
          <w:rStyle w:val="BookTitle"/>
          <w:b w:val="0"/>
          <w:bCs w:val="0"/>
          <w:color w:val="auto"/>
        </w:rPr>
        <w:t xml:space="preserve"> </w:t>
      </w:r>
      <w:proofErr w:type="gramStart"/>
      <w:r w:rsidRPr="00773EEA">
        <w:rPr>
          <w:rStyle w:val="BookTitle"/>
          <w:b w:val="0"/>
          <w:bCs w:val="0"/>
          <w:color w:val="auto"/>
        </w:rPr>
        <w:t>making contact with</w:t>
      </w:r>
      <w:proofErr w:type="gramEnd"/>
      <w:r w:rsidRPr="00773EEA">
        <w:rPr>
          <w:rStyle w:val="BookTitle"/>
          <w:b w:val="0"/>
          <w:bCs w:val="0"/>
          <w:color w:val="auto"/>
        </w:rPr>
        <w:t xml:space="preserve"> key informants, scheduling interviews, and </w:t>
      </w:r>
      <w:r w:rsidR="00D75CFA" w:rsidRPr="00773EEA">
        <w:rPr>
          <w:rStyle w:val="BookTitle"/>
          <w:b w:val="0"/>
          <w:bCs w:val="0"/>
          <w:color w:val="auto"/>
        </w:rPr>
        <w:t>complet</w:t>
      </w:r>
      <w:r w:rsidR="006A4D5B" w:rsidRPr="00773EEA">
        <w:rPr>
          <w:rStyle w:val="BookTitle"/>
          <w:b w:val="0"/>
          <w:bCs w:val="0"/>
          <w:color w:val="auto"/>
        </w:rPr>
        <w:t>ing</w:t>
      </w:r>
      <w:r w:rsidR="000A67F0" w:rsidRPr="00773EEA">
        <w:rPr>
          <w:rStyle w:val="BookTitle"/>
          <w:b w:val="0"/>
          <w:bCs w:val="0"/>
          <w:color w:val="auto"/>
        </w:rPr>
        <w:t xml:space="preserve"> </w:t>
      </w:r>
      <w:r w:rsidRPr="00773EEA">
        <w:rPr>
          <w:rStyle w:val="BookTitle"/>
          <w:b w:val="0"/>
          <w:bCs w:val="0"/>
          <w:color w:val="auto"/>
        </w:rPr>
        <w:t xml:space="preserve">the KIIs. </w:t>
      </w:r>
    </w:p>
    <w:p w14:paraId="730A17E2" w14:textId="1008681A" w:rsidR="00B64349" w:rsidRPr="00773EEA" w:rsidRDefault="00EF5703" w:rsidP="00C62655">
      <w:pPr>
        <w:ind w:left="170"/>
        <w:rPr>
          <w:rStyle w:val="BookTitle"/>
          <w:b w:val="0"/>
          <w:bCs w:val="0"/>
          <w:color w:val="auto"/>
        </w:rPr>
      </w:pPr>
      <w:r w:rsidRPr="00773EEA">
        <w:rPr>
          <w:rStyle w:val="BookTitle"/>
          <w:b w:val="0"/>
          <w:bCs w:val="0"/>
          <w:color w:val="auto"/>
        </w:rPr>
        <w:t>The</w:t>
      </w:r>
      <w:r w:rsidR="00C62655" w:rsidRPr="00773EEA">
        <w:rPr>
          <w:rStyle w:val="BookTitle"/>
          <w:b w:val="0"/>
          <w:bCs w:val="0"/>
          <w:color w:val="auto"/>
        </w:rPr>
        <w:t xml:space="preserve"> AASCTF is a complex program with many components and considerations</w:t>
      </w:r>
      <w:r w:rsidR="00A039E4" w:rsidRPr="00773EEA">
        <w:rPr>
          <w:rStyle w:val="BookTitle"/>
          <w:b w:val="0"/>
          <w:bCs w:val="0"/>
          <w:color w:val="auto"/>
        </w:rPr>
        <w:t>.</w:t>
      </w:r>
      <w:r w:rsidR="00C80B72" w:rsidRPr="00773EEA">
        <w:rPr>
          <w:rStyle w:val="BookTitle"/>
          <w:b w:val="0"/>
          <w:bCs w:val="0"/>
          <w:color w:val="auto"/>
        </w:rPr>
        <w:t xml:space="preserve"> </w:t>
      </w:r>
      <w:r w:rsidR="00A039E4" w:rsidRPr="00773EEA">
        <w:rPr>
          <w:rStyle w:val="BookTitle"/>
          <w:b w:val="0"/>
          <w:bCs w:val="0"/>
          <w:color w:val="auto"/>
        </w:rPr>
        <w:t xml:space="preserve">This necessitated a </w:t>
      </w:r>
      <w:r w:rsidR="00C62655" w:rsidRPr="00773EEA">
        <w:rPr>
          <w:rStyle w:val="BookTitle"/>
          <w:b w:val="0"/>
          <w:bCs w:val="0"/>
          <w:color w:val="auto"/>
        </w:rPr>
        <w:t xml:space="preserve">sampling strategy to ensure that the MTR uses its resources </w:t>
      </w:r>
      <w:r w:rsidR="007D5B34" w:rsidRPr="00773EEA">
        <w:rPr>
          <w:rStyle w:val="BookTitle"/>
          <w:b w:val="0"/>
          <w:bCs w:val="0"/>
          <w:color w:val="auto"/>
        </w:rPr>
        <w:t xml:space="preserve">sparingly </w:t>
      </w:r>
      <w:r w:rsidR="00C62655" w:rsidRPr="00773EEA">
        <w:rPr>
          <w:rStyle w:val="BookTitle"/>
          <w:b w:val="0"/>
          <w:bCs w:val="0"/>
          <w:color w:val="auto"/>
        </w:rPr>
        <w:t>to assess the KEQs in an appropriate sample of cities and intervention types. The strategy guid</w:t>
      </w:r>
      <w:r w:rsidR="007D5B34" w:rsidRPr="00773EEA">
        <w:rPr>
          <w:rStyle w:val="BookTitle"/>
          <w:b w:val="0"/>
          <w:bCs w:val="0"/>
          <w:color w:val="auto"/>
        </w:rPr>
        <w:t>ing</w:t>
      </w:r>
      <w:r w:rsidR="00C62655" w:rsidRPr="00773EEA">
        <w:rPr>
          <w:rStyle w:val="BookTitle"/>
          <w:b w:val="0"/>
          <w:bCs w:val="0"/>
          <w:color w:val="auto"/>
        </w:rPr>
        <w:t xml:space="preserve"> this process</w:t>
      </w:r>
      <w:r w:rsidR="007D5B34" w:rsidRPr="00773EEA">
        <w:rPr>
          <w:rStyle w:val="BookTitle"/>
          <w:b w:val="0"/>
          <w:bCs w:val="0"/>
          <w:color w:val="auto"/>
        </w:rPr>
        <w:t xml:space="preserve"> is set out below</w:t>
      </w:r>
      <w:r w:rsidR="00C62655" w:rsidRPr="00773EEA">
        <w:rPr>
          <w:rStyle w:val="BookTitle"/>
          <w:b w:val="0"/>
          <w:bCs w:val="0"/>
          <w:color w:val="auto"/>
        </w:rPr>
        <w:t>.</w:t>
      </w:r>
      <w:r w:rsidR="00B64349" w:rsidRPr="00773EEA">
        <w:rPr>
          <w:rStyle w:val="BookTitle"/>
          <w:b w:val="0"/>
          <w:bCs w:val="0"/>
          <w:color w:val="auto"/>
        </w:rPr>
        <w:br/>
      </w:r>
    </w:p>
    <w:p w14:paraId="162C52C3" w14:textId="77777777" w:rsidR="002E42B4" w:rsidRPr="00773EEA" w:rsidRDefault="002E42B4" w:rsidP="002E42B4">
      <w:pPr>
        <w:spacing w:before="240" w:line="276" w:lineRule="auto"/>
        <w:ind w:left="227" w:right="227"/>
        <w:jc w:val="both"/>
        <w:rPr>
          <w:rFonts w:asciiTheme="majorHAnsi" w:hAnsiTheme="majorHAnsi" w:cstheme="minorHAnsi"/>
          <w:b/>
          <w:bCs/>
          <w:sz w:val="22"/>
          <w:szCs w:val="20"/>
        </w:rPr>
      </w:pPr>
      <w:r w:rsidRPr="00773EEA">
        <w:rPr>
          <w:rFonts w:asciiTheme="majorHAnsi" w:hAnsiTheme="majorHAnsi" w:cstheme="minorHAnsi"/>
          <w:b/>
          <w:bCs/>
          <w:sz w:val="22"/>
          <w:szCs w:val="20"/>
        </w:rPr>
        <w:t>Box 1. Sampling Strategy</w:t>
      </w:r>
    </w:p>
    <w:p w14:paraId="3D6FB112" w14:textId="77777777" w:rsidR="002E42B4" w:rsidRPr="00773EEA" w:rsidRDefault="002E42B4" w:rsidP="002E42B4">
      <w:pPr>
        <w:spacing w:before="80" w:after="80" w:line="276" w:lineRule="auto"/>
        <w:ind w:left="227" w:right="227"/>
        <w:jc w:val="both"/>
        <w:rPr>
          <w:rFonts w:cstheme="minorHAnsi"/>
          <w:b/>
          <w:bCs/>
          <w:szCs w:val="20"/>
        </w:rPr>
      </w:pPr>
      <w:r w:rsidRPr="00773EEA">
        <w:rPr>
          <w:rFonts w:cstheme="minorHAnsi"/>
          <w:b/>
          <w:bCs/>
          <w:szCs w:val="20"/>
        </w:rPr>
        <w:t>Gold and Silver Cities</w:t>
      </w:r>
    </w:p>
    <w:p w14:paraId="00E8DC28" w14:textId="77777777" w:rsidR="002E42B4" w:rsidRPr="00773EEA" w:rsidRDefault="002E42B4" w:rsidP="002E42B4">
      <w:pPr>
        <w:spacing w:before="80" w:after="80" w:line="240" w:lineRule="auto"/>
        <w:ind w:left="227" w:right="227"/>
        <w:jc w:val="both"/>
        <w:rPr>
          <w:rFonts w:cstheme="minorHAnsi"/>
          <w:szCs w:val="20"/>
        </w:rPr>
      </w:pPr>
      <w:r w:rsidRPr="00773EEA">
        <w:rPr>
          <w:rFonts w:cstheme="minorHAnsi"/>
          <w:szCs w:val="20"/>
        </w:rPr>
        <w:t xml:space="preserve">While </w:t>
      </w:r>
      <w:proofErr w:type="spellStart"/>
      <w:r w:rsidRPr="00773EEA">
        <w:rPr>
          <w:rFonts w:cstheme="minorHAnsi"/>
          <w:szCs w:val="20"/>
        </w:rPr>
        <w:t>Luang</w:t>
      </w:r>
      <w:proofErr w:type="spellEnd"/>
      <w:r w:rsidRPr="00773EEA">
        <w:rPr>
          <w:rFonts w:cstheme="minorHAnsi"/>
          <w:szCs w:val="20"/>
        </w:rPr>
        <w:t xml:space="preserve"> Prabang (Lao PDR) Davao (Philippines) and Ho Chi Minh City (Vietnam) are identified as potential </w:t>
      </w:r>
      <w:proofErr w:type="gramStart"/>
      <w:r w:rsidRPr="00773EEA">
        <w:rPr>
          <w:rFonts w:cstheme="minorHAnsi"/>
          <w:szCs w:val="20"/>
        </w:rPr>
        <w:t>Gold</w:t>
      </w:r>
      <w:proofErr w:type="gramEnd"/>
      <w:r w:rsidRPr="00773EEA">
        <w:rPr>
          <w:rFonts w:cstheme="minorHAnsi"/>
          <w:szCs w:val="20"/>
        </w:rPr>
        <w:t xml:space="preserve"> cities in the Mid-term PLSER, the AASCTF team have confirmed that no cities have yet progressed to Gold-level status. The TOs in these three cities are at a very early stage of endorsement or initial implementation. As such, our sampling has not included any </w:t>
      </w:r>
      <w:proofErr w:type="gramStart"/>
      <w:r w:rsidRPr="00773EEA">
        <w:rPr>
          <w:rFonts w:cstheme="minorHAnsi"/>
          <w:szCs w:val="20"/>
        </w:rPr>
        <w:t>Gold</w:t>
      </w:r>
      <w:proofErr w:type="gramEnd"/>
      <w:r w:rsidRPr="00773EEA">
        <w:rPr>
          <w:rFonts w:cstheme="minorHAnsi"/>
          <w:szCs w:val="20"/>
        </w:rPr>
        <w:t xml:space="preserve"> cities. </w:t>
      </w:r>
    </w:p>
    <w:p w14:paraId="00528B21" w14:textId="77777777" w:rsidR="002E42B4" w:rsidRPr="00773EEA" w:rsidRDefault="002E42B4" w:rsidP="002E42B4">
      <w:pPr>
        <w:spacing w:before="80" w:after="80" w:line="240" w:lineRule="auto"/>
        <w:ind w:left="227" w:right="227"/>
        <w:jc w:val="both"/>
        <w:rPr>
          <w:rFonts w:cstheme="minorHAnsi"/>
          <w:szCs w:val="20"/>
        </w:rPr>
      </w:pPr>
      <w:r w:rsidRPr="00773EEA">
        <w:rPr>
          <w:rFonts w:cstheme="minorHAnsi"/>
          <w:szCs w:val="20"/>
        </w:rPr>
        <w:t xml:space="preserve">The </w:t>
      </w:r>
      <w:r w:rsidRPr="00773EEA">
        <w:rPr>
          <w:rFonts w:cstheme="minorHAnsi"/>
          <w:szCs w:val="20"/>
          <w:u w:val="single"/>
        </w:rPr>
        <w:t xml:space="preserve">sampling strategy for </w:t>
      </w:r>
      <w:proofErr w:type="gramStart"/>
      <w:r w:rsidRPr="00773EEA">
        <w:rPr>
          <w:rFonts w:cstheme="minorHAnsi"/>
          <w:szCs w:val="20"/>
          <w:u w:val="single"/>
        </w:rPr>
        <w:t>Silver</w:t>
      </w:r>
      <w:proofErr w:type="gramEnd"/>
      <w:r w:rsidRPr="00773EEA">
        <w:rPr>
          <w:rFonts w:cstheme="minorHAnsi"/>
          <w:szCs w:val="20"/>
          <w:u w:val="single"/>
        </w:rPr>
        <w:t xml:space="preserve"> cities</w:t>
      </w:r>
      <w:r w:rsidRPr="00773EEA">
        <w:rPr>
          <w:rFonts w:cstheme="minorHAnsi"/>
          <w:szCs w:val="20"/>
        </w:rPr>
        <w:t xml:space="preserve"> is premised on three key principles:</w:t>
      </w:r>
    </w:p>
    <w:p w14:paraId="79B024FD" w14:textId="77777777" w:rsidR="002E42B4" w:rsidRPr="00773EEA" w:rsidRDefault="002E42B4" w:rsidP="00177735">
      <w:pPr>
        <w:pStyle w:val="ListParagraph"/>
        <w:numPr>
          <w:ilvl w:val="0"/>
          <w:numId w:val="9"/>
        </w:numPr>
        <w:spacing w:before="80" w:after="80" w:line="240" w:lineRule="auto"/>
        <w:ind w:left="604" w:right="227" w:hanging="357"/>
        <w:contextualSpacing w:val="0"/>
        <w:jc w:val="both"/>
        <w:rPr>
          <w:rFonts w:cstheme="minorHAnsi"/>
          <w:szCs w:val="20"/>
        </w:rPr>
      </w:pPr>
      <w:r w:rsidRPr="00773EEA">
        <w:rPr>
          <w:rFonts w:cstheme="minorHAnsi"/>
          <w:b/>
          <w:bCs/>
          <w:szCs w:val="20"/>
        </w:rPr>
        <w:t xml:space="preserve">Degree of investment </w:t>
      </w:r>
      <w:r w:rsidRPr="00773EEA">
        <w:rPr>
          <w:rFonts w:cstheme="minorHAnsi"/>
          <w:szCs w:val="20"/>
        </w:rPr>
        <w:t xml:space="preserve">– the amount of time, resources, and support the AASCTF has provided to these cities is a key consideration, in line with probability-proportional-to-size principle. Active TOs are used as a proxy for investment values.  </w:t>
      </w:r>
    </w:p>
    <w:p w14:paraId="7587E57E" w14:textId="77777777" w:rsidR="002E42B4" w:rsidRPr="00773EEA" w:rsidRDefault="002E42B4" w:rsidP="00177735">
      <w:pPr>
        <w:pStyle w:val="ListParagraph"/>
        <w:numPr>
          <w:ilvl w:val="0"/>
          <w:numId w:val="9"/>
        </w:numPr>
        <w:spacing w:before="80" w:after="80" w:line="240" w:lineRule="auto"/>
        <w:ind w:left="604" w:right="227" w:hanging="357"/>
        <w:contextualSpacing w:val="0"/>
        <w:jc w:val="both"/>
        <w:rPr>
          <w:rFonts w:cstheme="minorHAnsi"/>
          <w:szCs w:val="20"/>
        </w:rPr>
      </w:pPr>
      <w:r w:rsidRPr="00773EEA">
        <w:rPr>
          <w:rFonts w:cstheme="minorHAnsi"/>
          <w:b/>
          <w:bCs/>
          <w:szCs w:val="20"/>
        </w:rPr>
        <w:t>Level of engagement</w:t>
      </w:r>
      <w:r w:rsidRPr="00773EEA">
        <w:rPr>
          <w:rFonts w:cstheme="minorHAnsi"/>
          <w:szCs w:val="20"/>
        </w:rPr>
        <w:t xml:space="preserve"> – the higher the degree of engagement, the higher the chance to be selected as sample. Active TOs are used as a proxy for level of engagement.</w:t>
      </w:r>
    </w:p>
    <w:p w14:paraId="797C1692" w14:textId="77777777" w:rsidR="002E42B4" w:rsidRPr="00773EEA" w:rsidRDefault="002E42B4" w:rsidP="00177735">
      <w:pPr>
        <w:pStyle w:val="ListParagraph"/>
        <w:numPr>
          <w:ilvl w:val="0"/>
          <w:numId w:val="9"/>
        </w:numPr>
        <w:spacing w:before="80" w:after="80" w:line="240" w:lineRule="auto"/>
        <w:ind w:left="604" w:right="227" w:hanging="357"/>
        <w:contextualSpacing w:val="0"/>
        <w:jc w:val="both"/>
        <w:rPr>
          <w:rFonts w:cstheme="minorHAnsi"/>
          <w:szCs w:val="20"/>
        </w:rPr>
      </w:pPr>
      <w:r w:rsidRPr="00773EEA">
        <w:rPr>
          <w:rFonts w:cstheme="minorHAnsi"/>
          <w:b/>
          <w:bCs/>
          <w:szCs w:val="20"/>
        </w:rPr>
        <w:lastRenderedPageBreak/>
        <w:t>Nature of the project</w:t>
      </w:r>
      <w:r w:rsidRPr="00773EEA">
        <w:rPr>
          <w:rFonts w:cstheme="minorHAnsi"/>
          <w:szCs w:val="20"/>
        </w:rPr>
        <w:t xml:space="preserve"> – to allow more meaningful analysis of results, cities were selected that tackle a particular thematic issue or focus, with consideration given to its respective contribution to the program’s three core functional areas.  </w:t>
      </w:r>
    </w:p>
    <w:p w14:paraId="287ACC5C" w14:textId="77777777" w:rsidR="002E42B4" w:rsidRPr="00773EEA" w:rsidRDefault="002E42B4" w:rsidP="002E42B4">
      <w:pPr>
        <w:spacing w:before="80" w:after="80" w:line="240" w:lineRule="auto"/>
        <w:ind w:left="227" w:right="227"/>
        <w:jc w:val="both"/>
        <w:rPr>
          <w:rFonts w:cstheme="minorHAnsi"/>
          <w:szCs w:val="20"/>
        </w:rPr>
      </w:pPr>
      <w:r w:rsidRPr="00773EEA">
        <w:rPr>
          <w:rFonts w:cstheme="minorHAnsi"/>
          <w:szCs w:val="20"/>
        </w:rPr>
        <w:t xml:space="preserve">Based on these, the cities selected were Baguio (Philippines), </w:t>
      </w:r>
      <w:proofErr w:type="spellStart"/>
      <w:r w:rsidRPr="00773EEA">
        <w:rPr>
          <w:rFonts w:cstheme="minorHAnsi"/>
          <w:szCs w:val="20"/>
        </w:rPr>
        <w:t>Kaysone</w:t>
      </w:r>
      <w:proofErr w:type="spellEnd"/>
      <w:r w:rsidRPr="00773EEA">
        <w:rPr>
          <w:rFonts w:cstheme="minorHAnsi"/>
          <w:szCs w:val="20"/>
        </w:rPr>
        <w:t xml:space="preserve"> (Laos), Makassar (Indonesia) Georgetown (Malaysia) and Battambang (Cambodia). These cities were also specified in the </w:t>
      </w:r>
      <w:proofErr w:type="spellStart"/>
      <w:r w:rsidRPr="00773EEA">
        <w:rPr>
          <w:rFonts w:cstheme="minorHAnsi"/>
          <w:szCs w:val="20"/>
        </w:rPr>
        <w:t>ToR</w:t>
      </w:r>
      <w:proofErr w:type="spellEnd"/>
      <w:r w:rsidRPr="00773EEA">
        <w:rPr>
          <w:rFonts w:cstheme="minorHAnsi"/>
          <w:szCs w:val="20"/>
        </w:rPr>
        <w:t xml:space="preserve"> as city of interest and represent five different ASEAN countries. Some cities have, or are likely to have, more than one TO, such as Baguio and Battambang, and synergies and coherence between them was also explored.    </w:t>
      </w:r>
    </w:p>
    <w:tbl>
      <w:tblPr>
        <w:tblStyle w:val="ListTable4-Accent4"/>
        <w:tblW w:w="963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620" w:firstRow="1" w:lastRow="0" w:firstColumn="0" w:lastColumn="0" w:noHBand="1" w:noVBand="1"/>
      </w:tblPr>
      <w:tblGrid>
        <w:gridCol w:w="1515"/>
        <w:gridCol w:w="1238"/>
        <w:gridCol w:w="2064"/>
        <w:gridCol w:w="1607"/>
        <w:gridCol w:w="1607"/>
        <w:gridCol w:w="1607"/>
      </w:tblGrid>
      <w:tr w:rsidR="002E42B4" w:rsidRPr="00773EEA" w14:paraId="10846051" w14:textId="77777777" w:rsidTr="002E42B4">
        <w:trPr>
          <w:cnfStyle w:val="100000000000" w:firstRow="1" w:lastRow="0" w:firstColumn="0" w:lastColumn="0" w:oddVBand="0" w:evenVBand="0" w:oddHBand="0" w:evenHBand="0" w:firstRowFirstColumn="0" w:firstRowLastColumn="0" w:lastRowFirstColumn="0" w:lastRowLastColumn="0"/>
          <w:trHeight w:val="500"/>
          <w:jc w:val="center"/>
        </w:trPr>
        <w:tc>
          <w:tcPr>
            <w:tcW w:w="1515" w:type="dxa"/>
            <w:shd w:val="clear" w:color="auto" w:fill="D9D9D9" w:themeFill="background1" w:themeFillShade="D9"/>
          </w:tcPr>
          <w:p w14:paraId="09FEBFDD" w14:textId="77777777" w:rsidR="002E42B4" w:rsidRPr="00773EEA" w:rsidRDefault="002E42B4" w:rsidP="002E42B4">
            <w:pPr>
              <w:spacing w:before="40" w:after="40"/>
              <w:rPr>
                <w:rFonts w:ascii="Arial" w:hAnsi="Arial" w:cs="Arial"/>
                <w:b w:val="0"/>
                <w:bCs w:val="0"/>
                <w:sz w:val="18"/>
              </w:rPr>
            </w:pPr>
            <w:bookmarkStart w:id="18" w:name="_Hlk121136818"/>
            <w:r w:rsidRPr="00773EEA">
              <w:rPr>
                <w:rFonts w:ascii="Arial" w:hAnsi="Arial" w:cs="Arial"/>
                <w:sz w:val="18"/>
              </w:rPr>
              <w:t>Classification</w:t>
            </w:r>
          </w:p>
        </w:tc>
        <w:tc>
          <w:tcPr>
            <w:tcW w:w="1238" w:type="dxa"/>
            <w:shd w:val="clear" w:color="auto" w:fill="D9D9D9" w:themeFill="background1" w:themeFillShade="D9"/>
          </w:tcPr>
          <w:p w14:paraId="0D133DFB" w14:textId="77777777" w:rsidR="002E42B4" w:rsidRPr="00773EEA" w:rsidRDefault="002E42B4" w:rsidP="002E42B4">
            <w:pPr>
              <w:spacing w:before="40" w:after="40"/>
              <w:rPr>
                <w:rFonts w:ascii="Arial" w:hAnsi="Arial" w:cs="Arial"/>
                <w:b w:val="0"/>
                <w:bCs w:val="0"/>
                <w:sz w:val="18"/>
              </w:rPr>
            </w:pPr>
            <w:r w:rsidRPr="00773EEA">
              <w:rPr>
                <w:rFonts w:ascii="Arial" w:hAnsi="Arial" w:cs="Arial"/>
                <w:sz w:val="18"/>
              </w:rPr>
              <w:t>Cities Selected</w:t>
            </w:r>
          </w:p>
        </w:tc>
        <w:tc>
          <w:tcPr>
            <w:tcW w:w="2064" w:type="dxa"/>
            <w:shd w:val="clear" w:color="auto" w:fill="D9D9D9" w:themeFill="background1" w:themeFillShade="D9"/>
          </w:tcPr>
          <w:p w14:paraId="363D7E9B" w14:textId="77777777" w:rsidR="002E42B4" w:rsidRPr="00773EEA" w:rsidRDefault="002E42B4" w:rsidP="002E42B4">
            <w:pPr>
              <w:spacing w:before="40" w:after="40"/>
              <w:rPr>
                <w:rFonts w:ascii="Arial" w:hAnsi="Arial" w:cs="Arial"/>
                <w:b w:val="0"/>
                <w:bCs w:val="0"/>
                <w:sz w:val="18"/>
              </w:rPr>
            </w:pPr>
            <w:r w:rsidRPr="00773EEA">
              <w:rPr>
                <w:rFonts w:ascii="Arial" w:hAnsi="Arial" w:cs="Arial"/>
                <w:sz w:val="18"/>
              </w:rPr>
              <w:t>Justification</w:t>
            </w:r>
          </w:p>
        </w:tc>
        <w:tc>
          <w:tcPr>
            <w:tcW w:w="1607" w:type="dxa"/>
            <w:shd w:val="clear" w:color="auto" w:fill="D9D9D9" w:themeFill="background1" w:themeFillShade="D9"/>
          </w:tcPr>
          <w:p w14:paraId="702ED187" w14:textId="77777777" w:rsidR="002E42B4" w:rsidRPr="00773EEA" w:rsidRDefault="002E42B4" w:rsidP="002E42B4">
            <w:pPr>
              <w:spacing w:before="40" w:after="40"/>
              <w:jc w:val="center"/>
              <w:rPr>
                <w:rFonts w:ascii="Arial" w:hAnsi="Arial" w:cs="Arial"/>
                <w:b w:val="0"/>
                <w:bCs w:val="0"/>
                <w:sz w:val="18"/>
              </w:rPr>
            </w:pPr>
            <w:r w:rsidRPr="00773EEA">
              <w:rPr>
                <w:rFonts w:ascii="Arial" w:hAnsi="Arial" w:cs="Arial"/>
                <w:sz w:val="18"/>
              </w:rPr>
              <w:t>Planning Systems</w:t>
            </w:r>
          </w:p>
        </w:tc>
        <w:tc>
          <w:tcPr>
            <w:tcW w:w="1607" w:type="dxa"/>
            <w:shd w:val="clear" w:color="auto" w:fill="D9D9D9" w:themeFill="background1" w:themeFillShade="D9"/>
          </w:tcPr>
          <w:p w14:paraId="4F292459" w14:textId="77777777" w:rsidR="002E42B4" w:rsidRPr="00773EEA" w:rsidRDefault="002E42B4" w:rsidP="002E42B4">
            <w:pPr>
              <w:spacing w:before="40" w:after="40"/>
              <w:jc w:val="center"/>
              <w:rPr>
                <w:rFonts w:ascii="Arial" w:hAnsi="Arial" w:cs="Arial"/>
                <w:b w:val="0"/>
                <w:bCs w:val="0"/>
                <w:sz w:val="18"/>
              </w:rPr>
            </w:pPr>
            <w:r w:rsidRPr="00773EEA">
              <w:rPr>
                <w:rFonts w:ascii="Arial" w:hAnsi="Arial" w:cs="Arial"/>
                <w:sz w:val="18"/>
              </w:rPr>
              <w:t>Service Delivery</w:t>
            </w:r>
          </w:p>
        </w:tc>
        <w:tc>
          <w:tcPr>
            <w:tcW w:w="1607" w:type="dxa"/>
            <w:shd w:val="clear" w:color="auto" w:fill="D9D9D9" w:themeFill="background1" w:themeFillShade="D9"/>
          </w:tcPr>
          <w:p w14:paraId="7864515B" w14:textId="77777777" w:rsidR="002E42B4" w:rsidRPr="00773EEA" w:rsidRDefault="002E42B4" w:rsidP="002E42B4">
            <w:pPr>
              <w:spacing w:before="40" w:after="40"/>
              <w:jc w:val="center"/>
              <w:rPr>
                <w:rFonts w:ascii="Arial" w:hAnsi="Arial" w:cs="Arial"/>
                <w:b w:val="0"/>
                <w:bCs w:val="0"/>
                <w:sz w:val="18"/>
              </w:rPr>
            </w:pPr>
            <w:r w:rsidRPr="00773EEA">
              <w:rPr>
                <w:rFonts w:ascii="Arial" w:hAnsi="Arial" w:cs="Arial"/>
                <w:sz w:val="18"/>
              </w:rPr>
              <w:t>Financial Management</w:t>
            </w:r>
          </w:p>
        </w:tc>
      </w:tr>
      <w:tr w:rsidR="002E42B4" w:rsidRPr="00773EEA" w14:paraId="3EF8BABE" w14:textId="77777777" w:rsidTr="002E42B4">
        <w:trPr>
          <w:trHeight w:val="500"/>
          <w:jc w:val="center"/>
        </w:trPr>
        <w:tc>
          <w:tcPr>
            <w:tcW w:w="1515" w:type="dxa"/>
            <w:shd w:val="clear" w:color="auto" w:fill="FBF2D6" w:themeFill="accent1" w:themeFillTint="33"/>
          </w:tcPr>
          <w:p w14:paraId="6C1F5C53" w14:textId="77777777" w:rsidR="002E42B4" w:rsidRPr="00773EEA" w:rsidRDefault="002E42B4" w:rsidP="002E42B4">
            <w:pPr>
              <w:spacing w:before="40" w:after="40"/>
              <w:rPr>
                <w:rFonts w:ascii="Arial" w:hAnsi="Arial" w:cs="Arial"/>
                <w:sz w:val="18"/>
              </w:rPr>
            </w:pPr>
            <w:r w:rsidRPr="00773EEA">
              <w:rPr>
                <w:rFonts w:ascii="Arial" w:hAnsi="Arial" w:cs="Arial"/>
                <w:sz w:val="18"/>
              </w:rPr>
              <w:t>Silver</w:t>
            </w:r>
          </w:p>
        </w:tc>
        <w:tc>
          <w:tcPr>
            <w:tcW w:w="1238" w:type="dxa"/>
            <w:shd w:val="clear" w:color="auto" w:fill="FBF2D6" w:themeFill="accent1" w:themeFillTint="33"/>
          </w:tcPr>
          <w:p w14:paraId="0A25D3E4" w14:textId="77777777" w:rsidR="002E42B4" w:rsidRPr="00773EEA" w:rsidRDefault="002E42B4" w:rsidP="002E42B4">
            <w:pPr>
              <w:spacing w:before="40" w:after="40"/>
              <w:rPr>
                <w:rFonts w:ascii="Arial" w:hAnsi="Arial" w:cs="Arial"/>
                <w:sz w:val="18"/>
              </w:rPr>
            </w:pPr>
            <w:r w:rsidRPr="00773EEA">
              <w:rPr>
                <w:rFonts w:ascii="Arial" w:hAnsi="Arial" w:cs="Arial"/>
                <w:sz w:val="18"/>
              </w:rPr>
              <w:t>Baguio (Philippines)</w:t>
            </w:r>
          </w:p>
        </w:tc>
        <w:tc>
          <w:tcPr>
            <w:tcW w:w="2064" w:type="dxa"/>
            <w:shd w:val="clear" w:color="auto" w:fill="FBF2D6" w:themeFill="accent1" w:themeFillTint="33"/>
          </w:tcPr>
          <w:p w14:paraId="683E8F7E" w14:textId="77777777" w:rsidR="002E42B4" w:rsidRPr="00773EEA" w:rsidRDefault="002E42B4" w:rsidP="002E42B4">
            <w:pPr>
              <w:spacing w:before="40" w:after="40"/>
              <w:rPr>
                <w:rFonts w:ascii="Arial" w:hAnsi="Arial" w:cs="Arial"/>
                <w:sz w:val="18"/>
              </w:rPr>
            </w:pPr>
            <w:r w:rsidRPr="00773EEA">
              <w:rPr>
                <w:rFonts w:ascii="Arial" w:hAnsi="Arial" w:cs="Arial"/>
                <w:sz w:val="18"/>
              </w:rPr>
              <w:t>1, 2, 3 (gender + environment)</w:t>
            </w:r>
          </w:p>
        </w:tc>
        <w:tc>
          <w:tcPr>
            <w:tcW w:w="1607" w:type="dxa"/>
            <w:shd w:val="clear" w:color="auto" w:fill="FBF2D6" w:themeFill="accent1" w:themeFillTint="33"/>
            <w:vAlign w:val="center"/>
          </w:tcPr>
          <w:p w14:paraId="4313C16B" w14:textId="77777777" w:rsidR="002E42B4" w:rsidRPr="00773EEA" w:rsidRDefault="002E42B4" w:rsidP="002E42B4">
            <w:pPr>
              <w:spacing w:before="40" w:after="40"/>
              <w:jc w:val="center"/>
              <w:rPr>
                <w:rFonts w:ascii="Arial" w:hAnsi="Arial" w:cs="Arial"/>
                <w:sz w:val="18"/>
              </w:rPr>
            </w:pPr>
            <w:r w:rsidRPr="00773EEA">
              <w:rPr>
                <w:rFonts w:cs="Arial"/>
                <w:noProof/>
                <w:sz w:val="18"/>
                <w:lang w:eastAsia="en-AU"/>
              </w:rPr>
              <mc:AlternateContent>
                <mc:Choice Requires="wps">
                  <w:drawing>
                    <wp:anchor distT="0" distB="0" distL="114300" distR="114300" simplePos="0" relativeHeight="251682304" behindDoc="0" locked="0" layoutInCell="1" allowOverlap="1" wp14:anchorId="3308057C" wp14:editId="55C73745">
                      <wp:simplePos x="0" y="0"/>
                      <wp:positionH relativeFrom="column">
                        <wp:posOffset>-66040</wp:posOffset>
                      </wp:positionH>
                      <wp:positionV relativeFrom="paragraph">
                        <wp:posOffset>102870</wp:posOffset>
                      </wp:positionV>
                      <wp:extent cx="2033905" cy="0"/>
                      <wp:effectExtent l="38100" t="114300" r="61595" b="1143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33905" cy="0"/>
                              </a:xfrm>
                              <a:prstGeom prst="line">
                                <a:avLst/>
                              </a:prstGeom>
                              <a:ln w="146050">
                                <a:solidFill>
                                  <a:schemeClr val="accent1">
                                    <a:lumMod val="75000"/>
                                  </a:schemeClr>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DAF1D" id="Straight Connector 22" o:spid="_x0000_s1026" alt="&quot;&quot;"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8.1pt" to="154.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" strokecolor="#c29a13 [2404]" strokeweight="11.5pt">
                      <v:stroke joinstyle="miter"/>
                    </v:line>
                  </w:pict>
                </mc:Fallback>
              </mc:AlternateContent>
            </w:r>
          </w:p>
        </w:tc>
        <w:tc>
          <w:tcPr>
            <w:tcW w:w="1607" w:type="dxa"/>
            <w:shd w:val="clear" w:color="auto" w:fill="FBF2D6" w:themeFill="accent1" w:themeFillTint="33"/>
            <w:vAlign w:val="center"/>
          </w:tcPr>
          <w:p w14:paraId="67F00E3E" w14:textId="77777777" w:rsidR="002E42B4" w:rsidRPr="00773EEA" w:rsidRDefault="002E42B4" w:rsidP="002E42B4">
            <w:pPr>
              <w:spacing w:before="40" w:after="40"/>
              <w:jc w:val="center"/>
              <w:rPr>
                <w:rFonts w:ascii="Arial" w:hAnsi="Arial" w:cs="Arial"/>
                <w:sz w:val="18"/>
              </w:rPr>
            </w:pPr>
          </w:p>
        </w:tc>
        <w:tc>
          <w:tcPr>
            <w:tcW w:w="1607" w:type="dxa"/>
            <w:shd w:val="clear" w:color="auto" w:fill="FBF2D6" w:themeFill="accent1" w:themeFillTint="33"/>
            <w:vAlign w:val="center"/>
          </w:tcPr>
          <w:p w14:paraId="7F5F61B2" w14:textId="77777777" w:rsidR="002E42B4" w:rsidRPr="00773EEA" w:rsidRDefault="002E42B4" w:rsidP="002E42B4">
            <w:pPr>
              <w:spacing w:before="40" w:after="40"/>
              <w:jc w:val="center"/>
              <w:rPr>
                <w:rFonts w:ascii="Arial" w:hAnsi="Arial" w:cs="Arial"/>
                <w:sz w:val="18"/>
              </w:rPr>
            </w:pPr>
          </w:p>
        </w:tc>
      </w:tr>
      <w:tr w:rsidR="002E42B4" w:rsidRPr="00773EEA" w14:paraId="4DC8171B" w14:textId="77777777" w:rsidTr="002E42B4">
        <w:trPr>
          <w:trHeight w:val="513"/>
          <w:jc w:val="center"/>
        </w:trPr>
        <w:tc>
          <w:tcPr>
            <w:tcW w:w="1515" w:type="dxa"/>
            <w:shd w:val="clear" w:color="auto" w:fill="FFFFFF" w:themeFill="background1"/>
          </w:tcPr>
          <w:p w14:paraId="287A3191" w14:textId="77777777" w:rsidR="002E42B4" w:rsidRPr="00773EEA" w:rsidRDefault="002E42B4" w:rsidP="002E42B4">
            <w:pPr>
              <w:spacing w:before="40" w:after="40"/>
              <w:rPr>
                <w:rFonts w:ascii="Arial" w:hAnsi="Arial" w:cs="Arial"/>
                <w:sz w:val="18"/>
              </w:rPr>
            </w:pPr>
            <w:r w:rsidRPr="00773EEA">
              <w:rPr>
                <w:rFonts w:ascii="Arial" w:hAnsi="Arial" w:cs="Arial"/>
                <w:sz w:val="18"/>
              </w:rPr>
              <w:t>Silver</w:t>
            </w:r>
          </w:p>
        </w:tc>
        <w:tc>
          <w:tcPr>
            <w:tcW w:w="1238" w:type="dxa"/>
            <w:shd w:val="clear" w:color="auto" w:fill="FFFFFF" w:themeFill="background1"/>
          </w:tcPr>
          <w:p w14:paraId="72CC61BD" w14:textId="77777777" w:rsidR="002E42B4" w:rsidRPr="00773EEA" w:rsidRDefault="002E42B4" w:rsidP="002E42B4">
            <w:pPr>
              <w:spacing w:before="40" w:after="40"/>
              <w:rPr>
                <w:rFonts w:ascii="Arial" w:hAnsi="Arial" w:cs="Arial"/>
                <w:sz w:val="18"/>
              </w:rPr>
            </w:pPr>
            <w:proofErr w:type="spellStart"/>
            <w:r w:rsidRPr="00773EEA">
              <w:rPr>
                <w:rFonts w:ascii="Arial" w:hAnsi="Arial" w:cs="Arial"/>
                <w:sz w:val="18"/>
              </w:rPr>
              <w:t>Kaysone</w:t>
            </w:r>
            <w:proofErr w:type="spellEnd"/>
            <w:r w:rsidRPr="00773EEA">
              <w:rPr>
                <w:rFonts w:ascii="Arial" w:hAnsi="Arial" w:cs="Arial"/>
                <w:sz w:val="18"/>
              </w:rPr>
              <w:t xml:space="preserve"> (Lao PDR)</w:t>
            </w:r>
          </w:p>
        </w:tc>
        <w:tc>
          <w:tcPr>
            <w:tcW w:w="2064" w:type="dxa"/>
            <w:shd w:val="clear" w:color="auto" w:fill="FFFFFF" w:themeFill="background1"/>
          </w:tcPr>
          <w:p w14:paraId="25CE763D" w14:textId="77777777" w:rsidR="002E42B4" w:rsidRPr="00773EEA" w:rsidRDefault="002E42B4" w:rsidP="002E42B4">
            <w:pPr>
              <w:spacing w:before="40" w:after="40"/>
              <w:rPr>
                <w:rFonts w:ascii="Arial" w:hAnsi="Arial" w:cs="Arial"/>
                <w:sz w:val="18"/>
              </w:rPr>
            </w:pPr>
            <w:r w:rsidRPr="00773EEA">
              <w:rPr>
                <w:rFonts w:ascii="Arial" w:hAnsi="Arial" w:cs="Arial"/>
                <w:sz w:val="18"/>
              </w:rPr>
              <w:t>1, 2, 3 (economic development)</w:t>
            </w:r>
          </w:p>
        </w:tc>
        <w:tc>
          <w:tcPr>
            <w:tcW w:w="1607" w:type="dxa"/>
            <w:shd w:val="clear" w:color="auto" w:fill="FFFFFF" w:themeFill="background1"/>
            <w:vAlign w:val="center"/>
          </w:tcPr>
          <w:p w14:paraId="7C9ACF42" w14:textId="77777777" w:rsidR="002E42B4" w:rsidRPr="00773EEA" w:rsidRDefault="002E42B4" w:rsidP="002E42B4">
            <w:pPr>
              <w:spacing w:before="40" w:after="40"/>
              <w:jc w:val="center"/>
              <w:rPr>
                <w:rFonts w:ascii="Arial" w:hAnsi="Arial" w:cs="Arial"/>
                <w:sz w:val="18"/>
              </w:rPr>
            </w:pPr>
          </w:p>
        </w:tc>
        <w:tc>
          <w:tcPr>
            <w:tcW w:w="1607" w:type="dxa"/>
            <w:shd w:val="clear" w:color="auto" w:fill="FFFFFF" w:themeFill="background1"/>
            <w:vAlign w:val="center"/>
          </w:tcPr>
          <w:p w14:paraId="5A0E13A8" w14:textId="77777777" w:rsidR="002E42B4" w:rsidRPr="00773EEA" w:rsidRDefault="002E42B4" w:rsidP="002E42B4">
            <w:pPr>
              <w:spacing w:before="40" w:after="40"/>
              <w:jc w:val="center"/>
              <w:rPr>
                <w:rFonts w:ascii="Arial" w:hAnsi="Arial" w:cs="Arial"/>
                <w:sz w:val="18"/>
              </w:rPr>
            </w:pPr>
            <w:r w:rsidRPr="00773EEA">
              <w:rPr>
                <w:rFonts w:cs="Arial"/>
                <w:noProof/>
                <w:sz w:val="18"/>
                <w:lang w:eastAsia="en-AU"/>
              </w:rPr>
              <mc:AlternateContent>
                <mc:Choice Requires="wps">
                  <w:drawing>
                    <wp:anchor distT="0" distB="0" distL="114300" distR="114300" simplePos="0" relativeHeight="251678208" behindDoc="0" locked="0" layoutInCell="1" allowOverlap="1" wp14:anchorId="56A02802" wp14:editId="592BBBAD">
                      <wp:simplePos x="0" y="0"/>
                      <wp:positionH relativeFrom="column">
                        <wp:posOffset>-58420</wp:posOffset>
                      </wp:positionH>
                      <wp:positionV relativeFrom="paragraph">
                        <wp:posOffset>120015</wp:posOffset>
                      </wp:positionV>
                      <wp:extent cx="1006475" cy="0"/>
                      <wp:effectExtent l="38100" t="101600" r="47625" b="1016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06475" cy="0"/>
                              </a:xfrm>
                              <a:prstGeom prst="line">
                                <a:avLst/>
                              </a:prstGeom>
                              <a:ln w="146050">
                                <a:solidFill>
                                  <a:schemeClr val="accent1">
                                    <a:lumMod val="75000"/>
                                  </a:schemeClr>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A9074" id="Straight Connector 17" o:spid="_x0000_s1026" alt="&quot;&quot;"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9.45pt" to="74.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" strokecolor="#c29a13 [2404]" strokeweight="11.5pt">
                      <v:stroke joinstyle="miter"/>
                    </v:line>
                  </w:pict>
                </mc:Fallback>
              </mc:AlternateContent>
            </w:r>
          </w:p>
        </w:tc>
        <w:tc>
          <w:tcPr>
            <w:tcW w:w="1607" w:type="dxa"/>
            <w:shd w:val="clear" w:color="auto" w:fill="FFFFFF" w:themeFill="background1"/>
            <w:vAlign w:val="center"/>
          </w:tcPr>
          <w:p w14:paraId="6914F775" w14:textId="77777777" w:rsidR="002E42B4" w:rsidRPr="00773EEA" w:rsidRDefault="002E42B4" w:rsidP="002E42B4">
            <w:pPr>
              <w:spacing w:before="40" w:after="40"/>
              <w:jc w:val="center"/>
              <w:rPr>
                <w:rFonts w:ascii="Arial" w:hAnsi="Arial" w:cs="Arial"/>
                <w:sz w:val="18"/>
              </w:rPr>
            </w:pPr>
          </w:p>
        </w:tc>
      </w:tr>
      <w:tr w:rsidR="002E42B4" w:rsidRPr="00773EEA" w14:paraId="25D74D77" w14:textId="77777777" w:rsidTr="002E42B4">
        <w:trPr>
          <w:trHeight w:val="500"/>
          <w:jc w:val="center"/>
        </w:trPr>
        <w:tc>
          <w:tcPr>
            <w:tcW w:w="1515" w:type="dxa"/>
            <w:shd w:val="clear" w:color="auto" w:fill="FBF2D6" w:themeFill="accent1" w:themeFillTint="33"/>
          </w:tcPr>
          <w:p w14:paraId="4276E5F8" w14:textId="77777777" w:rsidR="002E42B4" w:rsidRPr="00773EEA" w:rsidRDefault="002E42B4" w:rsidP="002E42B4">
            <w:pPr>
              <w:spacing w:before="40" w:after="40"/>
              <w:rPr>
                <w:rFonts w:ascii="Arial" w:hAnsi="Arial" w:cs="Arial"/>
                <w:sz w:val="18"/>
              </w:rPr>
            </w:pPr>
            <w:r w:rsidRPr="00773EEA">
              <w:rPr>
                <w:rFonts w:ascii="Arial" w:hAnsi="Arial" w:cs="Arial"/>
                <w:sz w:val="18"/>
              </w:rPr>
              <w:t>Silver</w:t>
            </w:r>
          </w:p>
        </w:tc>
        <w:tc>
          <w:tcPr>
            <w:tcW w:w="1238" w:type="dxa"/>
            <w:shd w:val="clear" w:color="auto" w:fill="FBF2D6" w:themeFill="accent1" w:themeFillTint="33"/>
          </w:tcPr>
          <w:p w14:paraId="666132E8" w14:textId="77777777" w:rsidR="002E42B4" w:rsidRPr="00773EEA" w:rsidRDefault="002E42B4" w:rsidP="002E42B4">
            <w:pPr>
              <w:spacing w:before="40" w:after="40"/>
              <w:rPr>
                <w:rFonts w:ascii="Arial" w:hAnsi="Arial" w:cs="Arial"/>
                <w:sz w:val="18"/>
              </w:rPr>
            </w:pPr>
            <w:r w:rsidRPr="00773EEA">
              <w:rPr>
                <w:rFonts w:ascii="Arial" w:hAnsi="Arial" w:cs="Arial"/>
                <w:sz w:val="18"/>
              </w:rPr>
              <w:t>Makassar (Indonesia)</w:t>
            </w:r>
          </w:p>
        </w:tc>
        <w:tc>
          <w:tcPr>
            <w:tcW w:w="2064" w:type="dxa"/>
            <w:shd w:val="clear" w:color="auto" w:fill="FBF2D6" w:themeFill="accent1" w:themeFillTint="33"/>
          </w:tcPr>
          <w:p w14:paraId="39EAE9FD" w14:textId="77777777" w:rsidR="002E42B4" w:rsidRPr="00773EEA" w:rsidRDefault="002E42B4" w:rsidP="002E42B4">
            <w:pPr>
              <w:spacing w:before="40" w:after="40"/>
              <w:rPr>
                <w:rFonts w:ascii="Arial" w:hAnsi="Arial" w:cs="Arial"/>
                <w:sz w:val="18"/>
              </w:rPr>
            </w:pPr>
            <w:r w:rsidRPr="00773EEA">
              <w:rPr>
                <w:rFonts w:ascii="Arial" w:hAnsi="Arial" w:cs="Arial"/>
                <w:sz w:val="18"/>
              </w:rPr>
              <w:t>1, 2, 3 (urban planning)</w:t>
            </w:r>
          </w:p>
        </w:tc>
        <w:tc>
          <w:tcPr>
            <w:tcW w:w="1607" w:type="dxa"/>
            <w:shd w:val="clear" w:color="auto" w:fill="FBF2D6" w:themeFill="accent1" w:themeFillTint="33"/>
            <w:vAlign w:val="center"/>
          </w:tcPr>
          <w:p w14:paraId="041F647B" w14:textId="77777777" w:rsidR="002E42B4" w:rsidRPr="00773EEA" w:rsidRDefault="002E42B4" w:rsidP="002E42B4">
            <w:pPr>
              <w:spacing w:before="40" w:after="40"/>
              <w:jc w:val="center"/>
              <w:rPr>
                <w:rFonts w:ascii="Arial" w:hAnsi="Arial" w:cs="Arial"/>
                <w:sz w:val="18"/>
              </w:rPr>
            </w:pPr>
          </w:p>
        </w:tc>
        <w:tc>
          <w:tcPr>
            <w:tcW w:w="1607" w:type="dxa"/>
            <w:shd w:val="clear" w:color="auto" w:fill="FBF2D6" w:themeFill="accent1" w:themeFillTint="33"/>
            <w:vAlign w:val="center"/>
          </w:tcPr>
          <w:p w14:paraId="435E86CB" w14:textId="77777777" w:rsidR="002E42B4" w:rsidRPr="00773EEA" w:rsidRDefault="002E42B4" w:rsidP="002E42B4">
            <w:pPr>
              <w:spacing w:before="40" w:after="40"/>
              <w:jc w:val="center"/>
              <w:rPr>
                <w:rFonts w:ascii="Arial" w:hAnsi="Arial" w:cs="Arial"/>
                <w:sz w:val="18"/>
              </w:rPr>
            </w:pPr>
          </w:p>
        </w:tc>
        <w:tc>
          <w:tcPr>
            <w:tcW w:w="1607" w:type="dxa"/>
            <w:shd w:val="clear" w:color="auto" w:fill="FBF2D6" w:themeFill="accent1" w:themeFillTint="33"/>
            <w:vAlign w:val="center"/>
          </w:tcPr>
          <w:p w14:paraId="1C65F7DC" w14:textId="77777777" w:rsidR="002E42B4" w:rsidRPr="00773EEA" w:rsidRDefault="002E42B4" w:rsidP="002E42B4">
            <w:pPr>
              <w:spacing w:before="40" w:after="40"/>
              <w:jc w:val="center"/>
              <w:rPr>
                <w:rFonts w:ascii="Arial" w:hAnsi="Arial" w:cs="Arial"/>
                <w:sz w:val="18"/>
              </w:rPr>
            </w:pPr>
            <w:r w:rsidRPr="00773EEA">
              <w:rPr>
                <w:rFonts w:cs="Arial"/>
                <w:noProof/>
                <w:sz w:val="18"/>
                <w:lang w:eastAsia="en-AU"/>
              </w:rPr>
              <mc:AlternateContent>
                <mc:Choice Requires="wps">
                  <w:drawing>
                    <wp:anchor distT="0" distB="0" distL="114300" distR="114300" simplePos="0" relativeHeight="251681280" behindDoc="0" locked="0" layoutInCell="1" allowOverlap="1" wp14:anchorId="7DCBCBB6" wp14:editId="0E530C97">
                      <wp:simplePos x="0" y="0"/>
                      <wp:positionH relativeFrom="column">
                        <wp:posOffset>-2131060</wp:posOffset>
                      </wp:positionH>
                      <wp:positionV relativeFrom="paragraph">
                        <wp:posOffset>124460</wp:posOffset>
                      </wp:positionV>
                      <wp:extent cx="3067685" cy="12700"/>
                      <wp:effectExtent l="57150" t="114300" r="56515" b="1206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67685" cy="12700"/>
                              </a:xfrm>
                              <a:prstGeom prst="line">
                                <a:avLst/>
                              </a:prstGeom>
                              <a:ln w="146050">
                                <a:solidFill>
                                  <a:schemeClr val="accent1">
                                    <a:lumMod val="75000"/>
                                  </a:schemeClr>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7DFB9" id="Straight Connector 21" o:spid="_x0000_s1026" alt="&quot;&quot;"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9.8pt" to="73.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" strokecolor="#c29a13 [2404]" strokeweight="11.5pt">
                      <v:stroke joinstyle="miter"/>
                    </v:line>
                  </w:pict>
                </mc:Fallback>
              </mc:AlternateContent>
            </w:r>
          </w:p>
        </w:tc>
      </w:tr>
      <w:tr w:rsidR="002E42B4" w:rsidRPr="00773EEA" w14:paraId="1B93A5AD" w14:textId="77777777" w:rsidTr="002E42B4">
        <w:trPr>
          <w:trHeight w:val="513"/>
          <w:jc w:val="center"/>
        </w:trPr>
        <w:tc>
          <w:tcPr>
            <w:tcW w:w="1515" w:type="dxa"/>
            <w:shd w:val="clear" w:color="auto" w:fill="FFFFFF" w:themeFill="background1"/>
          </w:tcPr>
          <w:p w14:paraId="1F4E1F6B" w14:textId="77777777" w:rsidR="002E42B4" w:rsidRPr="00773EEA" w:rsidRDefault="002E42B4" w:rsidP="002E42B4">
            <w:pPr>
              <w:spacing w:before="40" w:after="40"/>
              <w:rPr>
                <w:rFonts w:ascii="Arial" w:hAnsi="Arial" w:cs="Arial"/>
                <w:sz w:val="18"/>
              </w:rPr>
            </w:pPr>
            <w:r w:rsidRPr="00773EEA">
              <w:rPr>
                <w:rFonts w:ascii="Arial" w:hAnsi="Arial" w:cs="Arial"/>
                <w:sz w:val="18"/>
              </w:rPr>
              <w:t>Silver</w:t>
            </w:r>
          </w:p>
        </w:tc>
        <w:tc>
          <w:tcPr>
            <w:tcW w:w="1238" w:type="dxa"/>
            <w:shd w:val="clear" w:color="auto" w:fill="FFFFFF" w:themeFill="background1"/>
          </w:tcPr>
          <w:p w14:paraId="13180917" w14:textId="77777777" w:rsidR="002E42B4" w:rsidRPr="00773EEA" w:rsidRDefault="002E42B4" w:rsidP="002E42B4">
            <w:pPr>
              <w:spacing w:before="40" w:after="40"/>
              <w:rPr>
                <w:rFonts w:ascii="Arial" w:hAnsi="Arial" w:cs="Arial"/>
                <w:sz w:val="18"/>
              </w:rPr>
            </w:pPr>
            <w:r w:rsidRPr="00773EEA">
              <w:rPr>
                <w:rFonts w:ascii="Arial" w:hAnsi="Arial" w:cs="Arial"/>
                <w:sz w:val="18"/>
              </w:rPr>
              <w:t>Penang (Malaysia)</w:t>
            </w:r>
          </w:p>
        </w:tc>
        <w:tc>
          <w:tcPr>
            <w:tcW w:w="2064" w:type="dxa"/>
            <w:shd w:val="clear" w:color="auto" w:fill="FFFFFF" w:themeFill="background1"/>
          </w:tcPr>
          <w:p w14:paraId="1C217A32" w14:textId="77777777" w:rsidR="002E42B4" w:rsidRPr="00773EEA" w:rsidRDefault="002E42B4" w:rsidP="002E42B4">
            <w:pPr>
              <w:spacing w:before="40" w:after="40"/>
              <w:rPr>
                <w:rFonts w:ascii="Arial" w:hAnsi="Arial" w:cs="Arial"/>
                <w:sz w:val="18"/>
              </w:rPr>
            </w:pPr>
            <w:r w:rsidRPr="00773EEA">
              <w:rPr>
                <w:rFonts w:ascii="Arial" w:hAnsi="Arial" w:cs="Arial"/>
                <w:sz w:val="18"/>
              </w:rPr>
              <w:t>1, 2, 3 (transport)</w:t>
            </w:r>
          </w:p>
        </w:tc>
        <w:tc>
          <w:tcPr>
            <w:tcW w:w="1607" w:type="dxa"/>
            <w:shd w:val="clear" w:color="auto" w:fill="FFFFFF" w:themeFill="background1"/>
            <w:vAlign w:val="center"/>
          </w:tcPr>
          <w:p w14:paraId="4B59848A" w14:textId="77777777" w:rsidR="002E42B4" w:rsidRPr="00773EEA" w:rsidRDefault="002E42B4" w:rsidP="002E42B4">
            <w:pPr>
              <w:spacing w:before="40" w:after="40"/>
              <w:jc w:val="center"/>
              <w:rPr>
                <w:rFonts w:ascii="Arial" w:hAnsi="Arial" w:cs="Arial"/>
                <w:sz w:val="18"/>
              </w:rPr>
            </w:pPr>
            <w:r w:rsidRPr="00773EEA">
              <w:rPr>
                <w:rFonts w:cs="Arial"/>
                <w:noProof/>
                <w:sz w:val="18"/>
                <w:lang w:eastAsia="en-AU"/>
              </w:rPr>
              <mc:AlternateContent>
                <mc:Choice Requires="wps">
                  <w:drawing>
                    <wp:anchor distT="0" distB="0" distL="114300" distR="114300" simplePos="0" relativeHeight="251679232" behindDoc="0" locked="0" layoutInCell="1" allowOverlap="1" wp14:anchorId="2316BFEB" wp14:editId="3ACD63A7">
                      <wp:simplePos x="0" y="0"/>
                      <wp:positionH relativeFrom="column">
                        <wp:posOffset>-68580</wp:posOffset>
                      </wp:positionH>
                      <wp:positionV relativeFrom="paragraph">
                        <wp:posOffset>113030</wp:posOffset>
                      </wp:positionV>
                      <wp:extent cx="2033905" cy="0"/>
                      <wp:effectExtent l="38100" t="114300" r="61595" b="1143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33905" cy="0"/>
                              </a:xfrm>
                              <a:prstGeom prst="line">
                                <a:avLst/>
                              </a:prstGeom>
                              <a:ln w="146050">
                                <a:solidFill>
                                  <a:schemeClr val="accent1">
                                    <a:lumMod val="75000"/>
                                  </a:schemeClr>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79492" id="Straight Connector 19" o:spid="_x0000_s1026" alt="&quot;&quot;"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9pt" to="154.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" strokecolor="#c29a13 [2404]" strokeweight="11.5pt">
                      <v:stroke joinstyle="miter"/>
                    </v:line>
                  </w:pict>
                </mc:Fallback>
              </mc:AlternateContent>
            </w:r>
          </w:p>
        </w:tc>
        <w:tc>
          <w:tcPr>
            <w:tcW w:w="1607" w:type="dxa"/>
            <w:shd w:val="clear" w:color="auto" w:fill="FFFFFF" w:themeFill="background1"/>
            <w:vAlign w:val="center"/>
          </w:tcPr>
          <w:p w14:paraId="443E7AB3" w14:textId="77777777" w:rsidR="002E42B4" w:rsidRPr="00773EEA" w:rsidRDefault="002E42B4" w:rsidP="002E42B4">
            <w:pPr>
              <w:spacing w:before="40" w:after="40"/>
              <w:jc w:val="center"/>
              <w:rPr>
                <w:rFonts w:ascii="Arial" w:hAnsi="Arial" w:cs="Arial"/>
                <w:sz w:val="18"/>
              </w:rPr>
            </w:pPr>
          </w:p>
        </w:tc>
        <w:tc>
          <w:tcPr>
            <w:tcW w:w="1607" w:type="dxa"/>
            <w:shd w:val="clear" w:color="auto" w:fill="FFFFFF" w:themeFill="background1"/>
            <w:vAlign w:val="center"/>
          </w:tcPr>
          <w:p w14:paraId="2BF5F354" w14:textId="77777777" w:rsidR="002E42B4" w:rsidRPr="00773EEA" w:rsidRDefault="002E42B4" w:rsidP="002E42B4">
            <w:pPr>
              <w:spacing w:before="40" w:after="40"/>
              <w:jc w:val="center"/>
              <w:rPr>
                <w:rFonts w:ascii="Arial" w:hAnsi="Arial" w:cs="Arial"/>
                <w:sz w:val="18"/>
              </w:rPr>
            </w:pPr>
          </w:p>
        </w:tc>
      </w:tr>
      <w:tr w:rsidR="002E42B4" w:rsidRPr="00773EEA" w14:paraId="2CC9BF34" w14:textId="77777777" w:rsidTr="002E42B4">
        <w:trPr>
          <w:trHeight w:val="500"/>
          <w:jc w:val="center"/>
        </w:trPr>
        <w:tc>
          <w:tcPr>
            <w:tcW w:w="1515" w:type="dxa"/>
            <w:shd w:val="clear" w:color="auto" w:fill="FBF2D6" w:themeFill="accent1" w:themeFillTint="33"/>
          </w:tcPr>
          <w:p w14:paraId="1E69DC05" w14:textId="77777777" w:rsidR="002E42B4" w:rsidRPr="00773EEA" w:rsidRDefault="002E42B4" w:rsidP="002E42B4">
            <w:pPr>
              <w:spacing w:before="40" w:after="40"/>
              <w:rPr>
                <w:rFonts w:ascii="Arial" w:hAnsi="Arial" w:cs="Arial"/>
                <w:sz w:val="18"/>
              </w:rPr>
            </w:pPr>
            <w:r w:rsidRPr="00773EEA">
              <w:rPr>
                <w:rFonts w:ascii="Arial" w:hAnsi="Arial" w:cs="Arial"/>
                <w:sz w:val="18"/>
              </w:rPr>
              <w:t>Silver</w:t>
            </w:r>
          </w:p>
        </w:tc>
        <w:tc>
          <w:tcPr>
            <w:tcW w:w="1238" w:type="dxa"/>
            <w:shd w:val="clear" w:color="auto" w:fill="FBF2D6" w:themeFill="accent1" w:themeFillTint="33"/>
          </w:tcPr>
          <w:p w14:paraId="5E2A66B5" w14:textId="77777777" w:rsidR="002E42B4" w:rsidRPr="00773EEA" w:rsidRDefault="002E42B4" w:rsidP="002E42B4">
            <w:pPr>
              <w:spacing w:before="40" w:after="40"/>
              <w:rPr>
                <w:rFonts w:ascii="Arial" w:hAnsi="Arial" w:cs="Arial"/>
                <w:sz w:val="18"/>
              </w:rPr>
            </w:pPr>
            <w:r w:rsidRPr="00773EEA">
              <w:rPr>
                <w:rFonts w:ascii="Arial" w:hAnsi="Arial" w:cs="Arial"/>
                <w:sz w:val="18"/>
              </w:rPr>
              <w:t>Battambang (Cambodia)</w:t>
            </w:r>
          </w:p>
        </w:tc>
        <w:tc>
          <w:tcPr>
            <w:tcW w:w="2064" w:type="dxa"/>
            <w:shd w:val="clear" w:color="auto" w:fill="FBF2D6" w:themeFill="accent1" w:themeFillTint="33"/>
          </w:tcPr>
          <w:p w14:paraId="1BB3251E" w14:textId="77777777" w:rsidR="002E42B4" w:rsidRPr="00773EEA" w:rsidRDefault="002E42B4" w:rsidP="002E42B4">
            <w:pPr>
              <w:spacing w:before="40" w:after="40"/>
              <w:rPr>
                <w:rFonts w:ascii="Arial" w:hAnsi="Arial" w:cs="Arial"/>
                <w:sz w:val="18"/>
              </w:rPr>
            </w:pPr>
            <w:r w:rsidRPr="00773EEA">
              <w:rPr>
                <w:rFonts w:ascii="Arial" w:hAnsi="Arial" w:cs="Arial"/>
                <w:sz w:val="18"/>
              </w:rPr>
              <w:t>1, 2, 3 (environment)</w:t>
            </w:r>
          </w:p>
        </w:tc>
        <w:tc>
          <w:tcPr>
            <w:tcW w:w="1607" w:type="dxa"/>
            <w:shd w:val="clear" w:color="auto" w:fill="FBF2D6" w:themeFill="accent1" w:themeFillTint="33"/>
            <w:vAlign w:val="center"/>
          </w:tcPr>
          <w:p w14:paraId="42A3B0F0" w14:textId="77777777" w:rsidR="002E42B4" w:rsidRPr="00773EEA" w:rsidRDefault="002E42B4" w:rsidP="002E42B4">
            <w:pPr>
              <w:spacing w:before="40" w:after="40"/>
              <w:jc w:val="center"/>
              <w:rPr>
                <w:rFonts w:ascii="Arial" w:hAnsi="Arial" w:cs="Arial"/>
                <w:sz w:val="18"/>
              </w:rPr>
            </w:pPr>
          </w:p>
        </w:tc>
        <w:tc>
          <w:tcPr>
            <w:tcW w:w="1607" w:type="dxa"/>
            <w:shd w:val="clear" w:color="auto" w:fill="FBF2D6" w:themeFill="accent1" w:themeFillTint="33"/>
            <w:vAlign w:val="center"/>
          </w:tcPr>
          <w:p w14:paraId="1CC7B424" w14:textId="77777777" w:rsidR="002E42B4" w:rsidRPr="00773EEA" w:rsidRDefault="002E42B4" w:rsidP="002E42B4">
            <w:pPr>
              <w:spacing w:before="40" w:after="40"/>
              <w:jc w:val="center"/>
              <w:rPr>
                <w:rFonts w:ascii="Arial" w:hAnsi="Arial" w:cs="Arial"/>
                <w:sz w:val="18"/>
              </w:rPr>
            </w:pPr>
            <w:r w:rsidRPr="00773EEA">
              <w:rPr>
                <w:rFonts w:cs="Arial"/>
                <w:noProof/>
                <w:sz w:val="18"/>
                <w:lang w:eastAsia="en-AU"/>
              </w:rPr>
              <mc:AlternateContent>
                <mc:Choice Requires="wps">
                  <w:drawing>
                    <wp:anchor distT="0" distB="0" distL="114300" distR="114300" simplePos="0" relativeHeight="251680256" behindDoc="0" locked="0" layoutInCell="1" allowOverlap="1" wp14:anchorId="7474C9DE" wp14:editId="3F713F70">
                      <wp:simplePos x="0" y="0"/>
                      <wp:positionH relativeFrom="column">
                        <wp:posOffset>-1102360</wp:posOffset>
                      </wp:positionH>
                      <wp:positionV relativeFrom="paragraph">
                        <wp:posOffset>117475</wp:posOffset>
                      </wp:positionV>
                      <wp:extent cx="3067685" cy="12700"/>
                      <wp:effectExtent l="57150" t="114300" r="56515" b="1206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67685" cy="12700"/>
                              </a:xfrm>
                              <a:prstGeom prst="line">
                                <a:avLst/>
                              </a:prstGeom>
                              <a:ln w="146050">
                                <a:solidFill>
                                  <a:schemeClr val="accent1">
                                    <a:lumMod val="75000"/>
                                  </a:schemeClr>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B89EF" id="Straight Connector 18" o:spid="_x0000_s1026" alt="&quot;&quot;"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pt,9.25pt" to="15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" strokecolor="#c29a13 [2404]" strokeweight="11.5pt">
                      <v:stroke joinstyle="miter"/>
                    </v:line>
                  </w:pict>
                </mc:Fallback>
              </mc:AlternateContent>
            </w:r>
          </w:p>
        </w:tc>
        <w:tc>
          <w:tcPr>
            <w:tcW w:w="1607" w:type="dxa"/>
            <w:shd w:val="clear" w:color="auto" w:fill="FBF2D6" w:themeFill="accent1" w:themeFillTint="33"/>
            <w:vAlign w:val="center"/>
          </w:tcPr>
          <w:p w14:paraId="34569176" w14:textId="77777777" w:rsidR="002E42B4" w:rsidRPr="00773EEA" w:rsidRDefault="002E42B4" w:rsidP="002E42B4">
            <w:pPr>
              <w:spacing w:before="40" w:after="40"/>
              <w:jc w:val="center"/>
              <w:rPr>
                <w:rFonts w:ascii="Arial" w:hAnsi="Arial" w:cs="Arial"/>
                <w:sz w:val="18"/>
              </w:rPr>
            </w:pPr>
          </w:p>
        </w:tc>
      </w:tr>
    </w:tbl>
    <w:bookmarkEnd w:id="18"/>
    <w:p w14:paraId="2A6095DD" w14:textId="77777777" w:rsidR="002E42B4" w:rsidRPr="00773EEA" w:rsidRDefault="002E42B4" w:rsidP="002E42B4">
      <w:pPr>
        <w:spacing w:before="80" w:after="80" w:line="240" w:lineRule="auto"/>
        <w:ind w:left="227" w:right="227"/>
        <w:jc w:val="both"/>
        <w:rPr>
          <w:rFonts w:cstheme="minorHAnsi"/>
          <w:szCs w:val="20"/>
        </w:rPr>
      </w:pPr>
      <w:r w:rsidRPr="00773EEA">
        <w:rPr>
          <w:rFonts w:cstheme="minorHAnsi"/>
          <w:szCs w:val="20"/>
        </w:rPr>
        <w:t xml:space="preserve">To better understand GESI considerations and the likelihood of the interventions achieving their intended gender and inclusion outcomes, </w:t>
      </w:r>
      <w:r w:rsidRPr="00773EEA">
        <w:rPr>
          <w:rFonts w:cstheme="minorHAnsi"/>
          <w:b/>
          <w:bCs/>
          <w:szCs w:val="20"/>
        </w:rPr>
        <w:t xml:space="preserve">a </w:t>
      </w:r>
      <w:proofErr w:type="gramStart"/>
      <w:r w:rsidRPr="00773EEA">
        <w:rPr>
          <w:rFonts w:cstheme="minorHAnsi"/>
          <w:b/>
          <w:bCs/>
          <w:szCs w:val="20"/>
        </w:rPr>
        <w:t>deep-dive</w:t>
      </w:r>
      <w:proofErr w:type="gramEnd"/>
      <w:r w:rsidRPr="00773EEA">
        <w:rPr>
          <w:rFonts w:cstheme="minorHAnsi"/>
          <w:b/>
          <w:bCs/>
          <w:szCs w:val="20"/>
        </w:rPr>
        <w:t xml:space="preserve"> was conducted in two of these cities: Baguio and Makassar</w:t>
      </w:r>
      <w:r w:rsidRPr="00773EEA">
        <w:rPr>
          <w:rFonts w:cstheme="minorHAnsi"/>
          <w:szCs w:val="20"/>
        </w:rPr>
        <w:t xml:space="preserve">. AASCTF is at an advanced level of implementation in these cities. A handful of additional KIIs were completed in each of these two cities, with city government and external, academic, or civil society stakeholders. </w:t>
      </w:r>
    </w:p>
    <w:p w14:paraId="566202F2" w14:textId="77777777" w:rsidR="002E42B4" w:rsidRPr="00773EEA" w:rsidRDefault="002E42B4" w:rsidP="002E42B4">
      <w:pPr>
        <w:spacing w:before="80" w:after="80" w:line="240" w:lineRule="auto"/>
        <w:ind w:left="227" w:right="227"/>
        <w:jc w:val="both"/>
        <w:rPr>
          <w:rFonts w:cstheme="minorHAnsi"/>
          <w:b/>
          <w:bCs/>
          <w:szCs w:val="20"/>
        </w:rPr>
      </w:pPr>
      <w:r w:rsidRPr="00773EEA">
        <w:rPr>
          <w:rFonts w:cstheme="minorHAnsi"/>
          <w:b/>
          <w:bCs/>
          <w:szCs w:val="20"/>
        </w:rPr>
        <w:t>Bronze Cities</w:t>
      </w:r>
    </w:p>
    <w:p w14:paraId="0917D895" w14:textId="77777777" w:rsidR="002E42B4" w:rsidRPr="00773EEA" w:rsidRDefault="002E42B4" w:rsidP="002E42B4">
      <w:pPr>
        <w:spacing w:before="80" w:after="80" w:line="240" w:lineRule="auto"/>
        <w:ind w:left="227" w:right="227"/>
        <w:jc w:val="both"/>
        <w:rPr>
          <w:rFonts w:cstheme="minorHAnsi"/>
          <w:szCs w:val="20"/>
        </w:rPr>
      </w:pPr>
      <w:r w:rsidRPr="00773EEA">
        <w:rPr>
          <w:rFonts w:cstheme="minorHAnsi"/>
          <w:szCs w:val="20"/>
        </w:rPr>
        <w:t xml:space="preserve">All Bronze cities have been included in a survey which explored their level of interest and involvement in the AASCTF, as well as the value and effectiveness of capacity development sessions. In addition to the survey, KIIs were held with city representatives from four selected </w:t>
      </w:r>
      <w:proofErr w:type="gramStart"/>
      <w:r w:rsidRPr="00773EEA">
        <w:rPr>
          <w:rFonts w:cstheme="minorHAnsi"/>
          <w:szCs w:val="20"/>
        </w:rPr>
        <w:t>Bronze</w:t>
      </w:r>
      <w:proofErr w:type="gramEnd"/>
      <w:r w:rsidRPr="00773EEA">
        <w:rPr>
          <w:rFonts w:cstheme="minorHAnsi"/>
          <w:szCs w:val="20"/>
        </w:rPr>
        <w:t xml:space="preserve"> cities, shown below, to assess the degree to which municipal staff are participating in program activities. </w:t>
      </w:r>
    </w:p>
    <w:tbl>
      <w:tblPr>
        <w:tblStyle w:val="ListTable4-Accent4"/>
        <w:tblW w:w="9092"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620" w:firstRow="1" w:lastRow="0" w:firstColumn="0" w:lastColumn="0" w:noHBand="1" w:noVBand="1"/>
      </w:tblPr>
      <w:tblGrid>
        <w:gridCol w:w="3030"/>
        <w:gridCol w:w="3031"/>
        <w:gridCol w:w="3031"/>
      </w:tblGrid>
      <w:tr w:rsidR="002E42B4" w:rsidRPr="00773EEA" w14:paraId="0226AD30" w14:textId="77777777" w:rsidTr="002E42B4">
        <w:trPr>
          <w:cnfStyle w:val="100000000000" w:firstRow="1" w:lastRow="0" w:firstColumn="0" w:lastColumn="0" w:oddVBand="0" w:evenVBand="0" w:oddHBand="0" w:evenHBand="0" w:firstRowFirstColumn="0" w:firstRowLastColumn="0" w:lastRowFirstColumn="0" w:lastRowLastColumn="0"/>
          <w:trHeight w:val="494"/>
          <w:jc w:val="center"/>
        </w:trPr>
        <w:tc>
          <w:tcPr>
            <w:tcW w:w="3030" w:type="dxa"/>
            <w:shd w:val="clear" w:color="auto" w:fill="D9D9D9" w:themeFill="background1" w:themeFillShade="D9"/>
          </w:tcPr>
          <w:p w14:paraId="72DC775C" w14:textId="77777777" w:rsidR="002E42B4" w:rsidRPr="00773EEA" w:rsidRDefault="002E42B4" w:rsidP="002E42B4">
            <w:pPr>
              <w:spacing w:before="40" w:after="40"/>
              <w:rPr>
                <w:rFonts w:ascii="Arial" w:hAnsi="Arial" w:cs="Arial"/>
                <w:b w:val="0"/>
                <w:bCs w:val="0"/>
                <w:sz w:val="18"/>
              </w:rPr>
            </w:pPr>
            <w:bookmarkStart w:id="19" w:name="_Hlk122689102"/>
            <w:r w:rsidRPr="00773EEA">
              <w:rPr>
                <w:rFonts w:ascii="Arial" w:hAnsi="Arial" w:cs="Arial"/>
                <w:sz w:val="18"/>
              </w:rPr>
              <w:t>Country</w:t>
            </w:r>
          </w:p>
        </w:tc>
        <w:tc>
          <w:tcPr>
            <w:tcW w:w="3031" w:type="dxa"/>
            <w:shd w:val="clear" w:color="auto" w:fill="D9D9D9" w:themeFill="background1" w:themeFillShade="D9"/>
          </w:tcPr>
          <w:p w14:paraId="0EDBFD36" w14:textId="77777777" w:rsidR="002E42B4" w:rsidRPr="00773EEA" w:rsidRDefault="002E42B4" w:rsidP="002E42B4">
            <w:pPr>
              <w:spacing w:before="40" w:after="40"/>
              <w:rPr>
                <w:rFonts w:ascii="Arial" w:hAnsi="Arial" w:cs="Arial"/>
                <w:b w:val="0"/>
                <w:bCs w:val="0"/>
                <w:sz w:val="18"/>
              </w:rPr>
            </w:pPr>
            <w:r w:rsidRPr="00773EEA">
              <w:rPr>
                <w:rFonts w:ascii="Arial" w:hAnsi="Arial" w:cs="Arial"/>
                <w:sz w:val="18"/>
              </w:rPr>
              <w:t>Cities Selected</w:t>
            </w:r>
          </w:p>
        </w:tc>
        <w:tc>
          <w:tcPr>
            <w:tcW w:w="3031" w:type="dxa"/>
            <w:shd w:val="clear" w:color="auto" w:fill="D9D9D9" w:themeFill="background1" w:themeFillShade="D9"/>
          </w:tcPr>
          <w:p w14:paraId="288DAC9A" w14:textId="77777777" w:rsidR="002E42B4" w:rsidRPr="00773EEA" w:rsidRDefault="002E42B4" w:rsidP="002E42B4">
            <w:pPr>
              <w:spacing w:before="40" w:after="40"/>
              <w:rPr>
                <w:rFonts w:ascii="Arial" w:hAnsi="Arial" w:cs="Arial"/>
                <w:b w:val="0"/>
                <w:bCs w:val="0"/>
                <w:sz w:val="18"/>
              </w:rPr>
            </w:pPr>
            <w:r w:rsidRPr="00773EEA">
              <w:rPr>
                <w:rFonts w:ascii="Arial" w:hAnsi="Arial" w:cs="Arial"/>
                <w:sz w:val="18"/>
              </w:rPr>
              <w:t>Justification</w:t>
            </w:r>
          </w:p>
        </w:tc>
      </w:tr>
      <w:tr w:rsidR="002E42B4" w:rsidRPr="00773EEA" w14:paraId="146FAADF" w14:textId="77777777" w:rsidTr="002E42B4">
        <w:trPr>
          <w:trHeight w:val="494"/>
          <w:jc w:val="center"/>
        </w:trPr>
        <w:tc>
          <w:tcPr>
            <w:tcW w:w="3030" w:type="dxa"/>
            <w:shd w:val="clear" w:color="auto" w:fill="FBF2D6" w:themeFill="accent1" w:themeFillTint="33"/>
          </w:tcPr>
          <w:p w14:paraId="0D734EA8" w14:textId="77777777" w:rsidR="002E42B4" w:rsidRPr="00773EEA" w:rsidRDefault="002E42B4" w:rsidP="002E42B4">
            <w:pPr>
              <w:spacing w:before="40" w:after="40"/>
              <w:rPr>
                <w:rFonts w:ascii="Arial" w:hAnsi="Arial" w:cs="Arial"/>
                <w:sz w:val="18"/>
              </w:rPr>
            </w:pPr>
            <w:r w:rsidRPr="00773EEA">
              <w:rPr>
                <w:rFonts w:ascii="Arial" w:hAnsi="Arial" w:cs="Arial"/>
                <w:sz w:val="18"/>
              </w:rPr>
              <w:t>Cambodia</w:t>
            </w:r>
          </w:p>
        </w:tc>
        <w:tc>
          <w:tcPr>
            <w:tcW w:w="3031" w:type="dxa"/>
            <w:shd w:val="clear" w:color="auto" w:fill="FBF2D6" w:themeFill="accent1" w:themeFillTint="33"/>
          </w:tcPr>
          <w:p w14:paraId="1B9D2BCB" w14:textId="77777777" w:rsidR="002E42B4" w:rsidRPr="00773EEA" w:rsidRDefault="002E42B4" w:rsidP="002E42B4">
            <w:pPr>
              <w:spacing w:before="40" w:after="40"/>
              <w:rPr>
                <w:rFonts w:ascii="Arial" w:hAnsi="Arial" w:cs="Arial"/>
                <w:sz w:val="18"/>
              </w:rPr>
            </w:pPr>
            <w:r w:rsidRPr="00773EEA">
              <w:rPr>
                <w:rFonts w:ascii="Arial" w:hAnsi="Arial" w:cs="Arial"/>
                <w:sz w:val="18"/>
              </w:rPr>
              <w:t>Phnom Penh</w:t>
            </w:r>
          </w:p>
        </w:tc>
        <w:tc>
          <w:tcPr>
            <w:tcW w:w="3031" w:type="dxa"/>
            <w:shd w:val="clear" w:color="auto" w:fill="FBF2D6" w:themeFill="accent1" w:themeFillTint="33"/>
          </w:tcPr>
          <w:p w14:paraId="77A5DD64" w14:textId="77777777" w:rsidR="002E42B4" w:rsidRPr="00773EEA" w:rsidRDefault="002E42B4" w:rsidP="002E42B4">
            <w:pPr>
              <w:spacing w:before="40" w:after="40"/>
              <w:rPr>
                <w:rFonts w:ascii="Arial" w:hAnsi="Arial" w:cs="Arial"/>
                <w:sz w:val="18"/>
              </w:rPr>
            </w:pPr>
            <w:r w:rsidRPr="00773EEA">
              <w:rPr>
                <w:rFonts w:ascii="Arial" w:hAnsi="Arial" w:cs="Arial"/>
                <w:sz w:val="18"/>
              </w:rPr>
              <w:t>Participation in TO9 D1; Not a Silver city</w:t>
            </w:r>
          </w:p>
        </w:tc>
      </w:tr>
      <w:tr w:rsidR="002E42B4" w:rsidRPr="00773EEA" w14:paraId="0006E19F" w14:textId="77777777" w:rsidTr="002E42B4">
        <w:trPr>
          <w:trHeight w:val="494"/>
          <w:jc w:val="center"/>
        </w:trPr>
        <w:tc>
          <w:tcPr>
            <w:tcW w:w="3030" w:type="dxa"/>
            <w:shd w:val="clear" w:color="auto" w:fill="FFFFFF" w:themeFill="background1"/>
          </w:tcPr>
          <w:p w14:paraId="605A0F4B" w14:textId="77777777" w:rsidR="002E42B4" w:rsidRPr="00773EEA" w:rsidRDefault="002E42B4" w:rsidP="002E42B4">
            <w:pPr>
              <w:spacing w:before="40" w:after="40"/>
              <w:rPr>
                <w:rFonts w:ascii="Arial" w:hAnsi="Arial" w:cs="Arial"/>
                <w:sz w:val="18"/>
              </w:rPr>
            </w:pPr>
            <w:r w:rsidRPr="00773EEA">
              <w:rPr>
                <w:rFonts w:ascii="Arial" w:hAnsi="Arial" w:cs="Arial"/>
                <w:sz w:val="18"/>
              </w:rPr>
              <w:t>Indonesia</w:t>
            </w:r>
          </w:p>
        </w:tc>
        <w:tc>
          <w:tcPr>
            <w:tcW w:w="3031" w:type="dxa"/>
            <w:shd w:val="clear" w:color="auto" w:fill="FFFFFF" w:themeFill="background1"/>
          </w:tcPr>
          <w:p w14:paraId="7A098ECD" w14:textId="77777777" w:rsidR="002E42B4" w:rsidRPr="00773EEA" w:rsidRDefault="002E42B4" w:rsidP="002E42B4">
            <w:pPr>
              <w:spacing w:before="40" w:after="40"/>
              <w:rPr>
                <w:rFonts w:ascii="Arial" w:hAnsi="Arial" w:cs="Arial"/>
                <w:sz w:val="18"/>
              </w:rPr>
            </w:pPr>
            <w:r w:rsidRPr="00773EEA">
              <w:rPr>
                <w:rFonts w:ascii="Arial" w:hAnsi="Arial" w:cs="Arial"/>
                <w:sz w:val="18"/>
              </w:rPr>
              <w:t>Semarang</w:t>
            </w:r>
          </w:p>
        </w:tc>
        <w:tc>
          <w:tcPr>
            <w:tcW w:w="3031" w:type="dxa"/>
            <w:shd w:val="clear" w:color="auto" w:fill="FFFFFF" w:themeFill="background1"/>
          </w:tcPr>
          <w:p w14:paraId="5BB85784" w14:textId="77777777" w:rsidR="002E42B4" w:rsidRPr="00773EEA" w:rsidRDefault="002E42B4" w:rsidP="002E42B4">
            <w:pPr>
              <w:spacing w:before="40" w:after="40"/>
              <w:rPr>
                <w:rFonts w:ascii="Arial" w:hAnsi="Arial" w:cs="Arial"/>
                <w:sz w:val="18"/>
              </w:rPr>
            </w:pPr>
            <w:r w:rsidRPr="00773EEA">
              <w:rPr>
                <w:rFonts w:ascii="Arial" w:hAnsi="Arial" w:cs="Arial"/>
                <w:sz w:val="18"/>
              </w:rPr>
              <w:t>Participation in T09 D1; Not a Silver city</w:t>
            </w:r>
          </w:p>
        </w:tc>
      </w:tr>
      <w:tr w:rsidR="002E42B4" w:rsidRPr="00773EEA" w14:paraId="21AA30AB" w14:textId="77777777" w:rsidTr="002E42B4">
        <w:trPr>
          <w:trHeight w:val="494"/>
          <w:jc w:val="center"/>
        </w:trPr>
        <w:tc>
          <w:tcPr>
            <w:tcW w:w="3030" w:type="dxa"/>
            <w:shd w:val="clear" w:color="auto" w:fill="FBF2D6" w:themeFill="accent1" w:themeFillTint="33"/>
          </w:tcPr>
          <w:p w14:paraId="542ABAAD" w14:textId="77777777" w:rsidR="002E42B4" w:rsidRPr="00773EEA" w:rsidRDefault="002E42B4" w:rsidP="002E42B4">
            <w:pPr>
              <w:spacing w:before="40" w:after="40"/>
              <w:rPr>
                <w:rFonts w:ascii="Arial" w:hAnsi="Arial" w:cs="Arial"/>
                <w:sz w:val="18"/>
              </w:rPr>
            </w:pPr>
            <w:r w:rsidRPr="00773EEA">
              <w:rPr>
                <w:rFonts w:ascii="Arial" w:hAnsi="Arial" w:cs="Arial"/>
                <w:sz w:val="18"/>
              </w:rPr>
              <w:t>Philippines</w:t>
            </w:r>
          </w:p>
        </w:tc>
        <w:tc>
          <w:tcPr>
            <w:tcW w:w="3031" w:type="dxa"/>
            <w:shd w:val="clear" w:color="auto" w:fill="FBF2D6" w:themeFill="accent1" w:themeFillTint="33"/>
          </w:tcPr>
          <w:p w14:paraId="06484ECD" w14:textId="77777777" w:rsidR="002E42B4" w:rsidRPr="00773EEA" w:rsidRDefault="002E42B4" w:rsidP="002E42B4">
            <w:pPr>
              <w:spacing w:before="40" w:after="40"/>
              <w:rPr>
                <w:rFonts w:ascii="Arial" w:hAnsi="Arial" w:cs="Arial"/>
                <w:sz w:val="18"/>
              </w:rPr>
            </w:pPr>
            <w:r w:rsidRPr="00773EEA">
              <w:rPr>
                <w:rFonts w:ascii="Arial" w:hAnsi="Arial" w:cs="Arial"/>
                <w:sz w:val="18"/>
              </w:rPr>
              <w:t xml:space="preserve">El </w:t>
            </w:r>
            <w:proofErr w:type="spellStart"/>
            <w:r w:rsidRPr="00773EEA">
              <w:rPr>
                <w:rFonts w:ascii="Arial" w:hAnsi="Arial" w:cs="Arial"/>
                <w:sz w:val="18"/>
              </w:rPr>
              <w:t>Nido</w:t>
            </w:r>
            <w:proofErr w:type="spellEnd"/>
            <w:r w:rsidRPr="00773EEA">
              <w:rPr>
                <w:rFonts w:ascii="Arial" w:hAnsi="Arial" w:cs="Arial"/>
                <w:sz w:val="18"/>
              </w:rPr>
              <w:t xml:space="preserve"> / </w:t>
            </w:r>
            <w:proofErr w:type="spellStart"/>
            <w:r w:rsidRPr="00773EEA">
              <w:rPr>
                <w:rFonts w:ascii="Arial" w:hAnsi="Arial" w:cs="Arial"/>
                <w:sz w:val="18"/>
              </w:rPr>
              <w:t>Coron</w:t>
            </w:r>
            <w:proofErr w:type="spellEnd"/>
            <w:r w:rsidRPr="00773EEA">
              <w:rPr>
                <w:rFonts w:ascii="Arial" w:hAnsi="Arial" w:cs="Arial"/>
                <w:sz w:val="18"/>
              </w:rPr>
              <w:t xml:space="preserve"> (TBC)</w:t>
            </w:r>
          </w:p>
        </w:tc>
        <w:tc>
          <w:tcPr>
            <w:tcW w:w="3031" w:type="dxa"/>
            <w:shd w:val="clear" w:color="auto" w:fill="FBF2D6" w:themeFill="accent1" w:themeFillTint="33"/>
          </w:tcPr>
          <w:p w14:paraId="1F03BAAF" w14:textId="77777777" w:rsidR="002E42B4" w:rsidRPr="00773EEA" w:rsidRDefault="002E42B4" w:rsidP="002E42B4">
            <w:pPr>
              <w:spacing w:before="40" w:after="40"/>
              <w:rPr>
                <w:rFonts w:ascii="Arial" w:hAnsi="Arial" w:cs="Arial"/>
                <w:sz w:val="18"/>
              </w:rPr>
            </w:pPr>
            <w:r w:rsidRPr="00773EEA">
              <w:rPr>
                <w:rFonts w:ascii="Arial" w:hAnsi="Arial" w:cs="Arial"/>
                <w:sz w:val="18"/>
              </w:rPr>
              <w:t>Participation in T09 D1; Not a Silver city</w:t>
            </w:r>
            <w:r w:rsidRPr="00773EEA" w:rsidDel="00B8108F">
              <w:rPr>
                <w:rFonts w:ascii="Arial" w:hAnsi="Arial" w:cs="Arial"/>
                <w:sz w:val="18"/>
              </w:rPr>
              <w:t xml:space="preserve"> </w:t>
            </w:r>
          </w:p>
        </w:tc>
      </w:tr>
      <w:tr w:rsidR="002E42B4" w:rsidRPr="00773EEA" w14:paraId="09B1808B" w14:textId="77777777" w:rsidTr="002E42B4">
        <w:trPr>
          <w:trHeight w:val="494"/>
          <w:jc w:val="center"/>
        </w:trPr>
        <w:tc>
          <w:tcPr>
            <w:tcW w:w="3030" w:type="dxa"/>
            <w:shd w:val="clear" w:color="auto" w:fill="FFFFFF" w:themeFill="background1"/>
          </w:tcPr>
          <w:p w14:paraId="20971C46" w14:textId="77777777" w:rsidR="002E42B4" w:rsidRPr="00773EEA" w:rsidRDefault="002E42B4" w:rsidP="002E42B4">
            <w:pPr>
              <w:spacing w:before="40" w:after="40"/>
              <w:rPr>
                <w:rFonts w:ascii="Arial" w:hAnsi="Arial" w:cs="Arial"/>
                <w:b/>
                <w:bCs/>
                <w:sz w:val="18"/>
              </w:rPr>
            </w:pPr>
            <w:r w:rsidRPr="00773EEA">
              <w:rPr>
                <w:rFonts w:ascii="Arial" w:hAnsi="Arial" w:cs="Arial"/>
                <w:sz w:val="18"/>
              </w:rPr>
              <w:t>Vietnam</w:t>
            </w:r>
          </w:p>
        </w:tc>
        <w:tc>
          <w:tcPr>
            <w:tcW w:w="3031" w:type="dxa"/>
            <w:shd w:val="clear" w:color="auto" w:fill="FFFFFF" w:themeFill="background1"/>
          </w:tcPr>
          <w:p w14:paraId="602479AD" w14:textId="77777777" w:rsidR="002E42B4" w:rsidRPr="00773EEA" w:rsidRDefault="002E42B4" w:rsidP="002E42B4">
            <w:pPr>
              <w:spacing w:before="40" w:after="40"/>
              <w:rPr>
                <w:rFonts w:ascii="Arial" w:hAnsi="Arial" w:cs="Arial"/>
                <w:sz w:val="18"/>
              </w:rPr>
            </w:pPr>
            <w:r w:rsidRPr="00773EEA">
              <w:rPr>
                <w:rFonts w:ascii="Arial" w:hAnsi="Arial" w:cs="Arial"/>
                <w:sz w:val="18"/>
              </w:rPr>
              <w:t xml:space="preserve">Phan </w:t>
            </w:r>
            <w:proofErr w:type="spellStart"/>
            <w:r w:rsidRPr="00773EEA">
              <w:rPr>
                <w:rFonts w:ascii="Arial" w:hAnsi="Arial" w:cs="Arial"/>
                <w:sz w:val="18"/>
              </w:rPr>
              <w:t>Thiet</w:t>
            </w:r>
            <w:proofErr w:type="spellEnd"/>
            <w:r w:rsidRPr="00773EEA">
              <w:rPr>
                <w:rFonts w:ascii="Arial" w:hAnsi="Arial" w:cs="Arial"/>
                <w:sz w:val="18"/>
              </w:rPr>
              <w:t xml:space="preserve"> </w:t>
            </w:r>
          </w:p>
        </w:tc>
        <w:tc>
          <w:tcPr>
            <w:tcW w:w="3031" w:type="dxa"/>
            <w:shd w:val="clear" w:color="auto" w:fill="FFFFFF" w:themeFill="background1"/>
          </w:tcPr>
          <w:p w14:paraId="725CD04A" w14:textId="77777777" w:rsidR="002E42B4" w:rsidRPr="00773EEA" w:rsidRDefault="002E42B4" w:rsidP="002E42B4">
            <w:pPr>
              <w:spacing w:before="40" w:after="40"/>
              <w:rPr>
                <w:rFonts w:ascii="Arial" w:hAnsi="Arial" w:cs="Arial"/>
                <w:sz w:val="18"/>
              </w:rPr>
            </w:pPr>
            <w:r w:rsidRPr="00773EEA">
              <w:rPr>
                <w:rFonts w:ascii="Arial" w:hAnsi="Arial" w:cs="Arial"/>
                <w:sz w:val="18"/>
              </w:rPr>
              <w:t>Participation in T09 D1; Not a Silver city</w:t>
            </w:r>
            <w:r w:rsidRPr="00773EEA" w:rsidDel="00B8108F">
              <w:rPr>
                <w:rFonts w:ascii="Arial" w:hAnsi="Arial" w:cs="Arial"/>
                <w:sz w:val="18"/>
              </w:rPr>
              <w:t xml:space="preserve"> </w:t>
            </w:r>
          </w:p>
        </w:tc>
      </w:tr>
      <w:bookmarkEnd w:id="19"/>
    </w:tbl>
    <w:p w14:paraId="70448753" w14:textId="2E10D0B2" w:rsidR="00DB1F86" w:rsidRPr="00773EEA" w:rsidRDefault="00DB1F86" w:rsidP="005F1785">
      <w:pPr>
        <w:rPr>
          <w:rStyle w:val="BookTitle"/>
          <w:b w:val="0"/>
          <w:bCs w:val="0"/>
          <w:color w:val="auto"/>
        </w:rPr>
      </w:pPr>
    </w:p>
    <w:p w14:paraId="7669AE0D" w14:textId="44A102DB" w:rsidR="00A677E2" w:rsidRPr="00773EEA" w:rsidRDefault="00B609F0" w:rsidP="00096F73">
      <w:pPr>
        <w:ind w:left="170"/>
        <w:jc w:val="both"/>
        <w:rPr>
          <w:rFonts w:cstheme="minorHAnsi"/>
        </w:rPr>
      </w:pPr>
      <w:r w:rsidRPr="00773EEA">
        <w:rPr>
          <w:rStyle w:val="BookTitle"/>
          <w:color w:val="auto"/>
        </w:rPr>
        <w:t>Bronze activity survey:</w:t>
      </w:r>
      <w:r w:rsidRPr="00773EEA">
        <w:rPr>
          <w:rFonts w:cstheme="minorHAnsi"/>
        </w:rPr>
        <w:t xml:space="preserve"> </w:t>
      </w:r>
      <w:r w:rsidR="00A677E2" w:rsidRPr="00773EEA">
        <w:rPr>
          <w:rFonts w:cstheme="minorHAnsi"/>
        </w:rPr>
        <w:t xml:space="preserve">To assess </w:t>
      </w:r>
      <w:r w:rsidR="00096F73" w:rsidRPr="00773EEA">
        <w:rPr>
          <w:rFonts w:cstheme="minorHAnsi"/>
        </w:rPr>
        <w:t>B</w:t>
      </w:r>
      <w:r w:rsidR="00A677E2" w:rsidRPr="00773EEA">
        <w:rPr>
          <w:rFonts w:cstheme="minorHAnsi"/>
        </w:rPr>
        <w:t xml:space="preserve">ronze </w:t>
      </w:r>
      <w:r w:rsidR="001D17CC" w:rsidRPr="00773EEA">
        <w:rPr>
          <w:rFonts w:cstheme="minorHAnsi"/>
        </w:rPr>
        <w:t>city influencing</w:t>
      </w:r>
      <w:r w:rsidR="00A677E2" w:rsidRPr="00773EEA">
        <w:rPr>
          <w:rFonts w:cstheme="minorHAnsi"/>
        </w:rPr>
        <w:t xml:space="preserve"> activities, a brief survey was sent to all city officials </w:t>
      </w:r>
      <w:r w:rsidR="001D17CC" w:rsidRPr="00773EEA">
        <w:rPr>
          <w:rFonts w:cstheme="minorHAnsi"/>
        </w:rPr>
        <w:t xml:space="preserve">and staff </w:t>
      </w:r>
      <w:r w:rsidR="00A677E2" w:rsidRPr="00773EEA">
        <w:rPr>
          <w:rFonts w:cstheme="minorHAnsi"/>
        </w:rPr>
        <w:t>who participated in Bronze-level knowledge-sharing and capacity building activities</w:t>
      </w:r>
      <w:r w:rsidR="001D17CC" w:rsidRPr="00773EEA">
        <w:rPr>
          <w:rFonts w:cstheme="minorHAnsi"/>
        </w:rPr>
        <w:t xml:space="preserve"> (including TO-08 and TO-09)</w:t>
      </w:r>
      <w:r w:rsidR="00A677E2" w:rsidRPr="00773EEA">
        <w:rPr>
          <w:rFonts w:cstheme="minorHAnsi"/>
        </w:rPr>
        <w:t>, to seek their views on how well-targeted and well executed these activities were</w:t>
      </w:r>
      <w:r w:rsidR="00096F73" w:rsidRPr="00773EEA">
        <w:rPr>
          <w:rFonts w:cstheme="minorHAnsi"/>
        </w:rPr>
        <w:t>,</w:t>
      </w:r>
      <w:r w:rsidR="00A677E2" w:rsidRPr="00773EEA">
        <w:rPr>
          <w:rFonts w:cstheme="minorHAnsi"/>
        </w:rPr>
        <w:t xml:space="preserve"> and whether and how their participation resulted in changes to the way they</w:t>
      </w:r>
      <w:r w:rsidR="00096F73" w:rsidRPr="00773EEA">
        <w:rPr>
          <w:rFonts w:cstheme="minorHAnsi"/>
        </w:rPr>
        <w:t>,</w:t>
      </w:r>
      <w:r w:rsidR="00A677E2" w:rsidRPr="00773EEA">
        <w:rPr>
          <w:rFonts w:cstheme="minorHAnsi"/>
        </w:rPr>
        <w:t xml:space="preserve"> or their organisations</w:t>
      </w:r>
      <w:r w:rsidR="00096F73" w:rsidRPr="00773EEA">
        <w:rPr>
          <w:rFonts w:cstheme="minorHAnsi"/>
        </w:rPr>
        <w:t>,</w:t>
      </w:r>
      <w:r w:rsidR="00A677E2" w:rsidRPr="00773EEA">
        <w:rPr>
          <w:rFonts w:cstheme="minorHAnsi"/>
        </w:rPr>
        <w:t xml:space="preserve"> </w:t>
      </w:r>
      <w:r w:rsidR="006522CC" w:rsidRPr="00773EEA">
        <w:rPr>
          <w:rFonts w:cstheme="minorHAnsi"/>
        </w:rPr>
        <w:t>view</w:t>
      </w:r>
      <w:r w:rsidR="00A677E2" w:rsidRPr="00773EEA">
        <w:rPr>
          <w:rFonts w:cstheme="minorHAnsi"/>
        </w:rPr>
        <w:t xml:space="preserve"> or conduct their work. The survey was</w:t>
      </w:r>
      <w:r w:rsidR="00A677E2" w:rsidRPr="00773EEA">
        <w:t xml:space="preserve"> disseminated by the Ramboll team, following the AASCTF’s Smart Cities Networking Days 2022 event on 21</w:t>
      </w:r>
      <w:r w:rsidR="00A677E2" w:rsidRPr="00773EEA">
        <w:rPr>
          <w:vertAlign w:val="superscript"/>
        </w:rPr>
        <w:t>st</w:t>
      </w:r>
      <w:r w:rsidR="00A677E2" w:rsidRPr="00773EEA">
        <w:t xml:space="preserve"> and 22</w:t>
      </w:r>
      <w:r w:rsidR="00A677E2" w:rsidRPr="00773EEA">
        <w:rPr>
          <w:vertAlign w:val="superscript"/>
        </w:rPr>
        <w:t>nd</w:t>
      </w:r>
      <w:r w:rsidR="00A677E2" w:rsidRPr="00773EEA">
        <w:t xml:space="preserve"> June</w:t>
      </w:r>
      <w:r w:rsidR="006522CC" w:rsidRPr="00773EEA">
        <w:t xml:space="preserve"> 2022</w:t>
      </w:r>
      <w:r w:rsidR="00A677E2" w:rsidRPr="00773EEA">
        <w:t xml:space="preserve">. The survey was available in English for Malaysia, the Philippines and Thailand and was translated into local languages for Cambodia, Indonesia, Lao PDR and Vietnam. A total of 50 responses (out of </w:t>
      </w:r>
      <w:r w:rsidR="001D17CC" w:rsidRPr="00773EEA">
        <w:t>approx. 300</w:t>
      </w:r>
      <w:r w:rsidR="00A677E2" w:rsidRPr="00773EEA">
        <w:t xml:space="preserve"> </w:t>
      </w:r>
      <w:r w:rsidR="001D17CC" w:rsidRPr="00773EEA">
        <w:t>municipal staff</w:t>
      </w:r>
      <w:r w:rsidR="00A677E2" w:rsidRPr="00773EEA">
        <w:t xml:space="preserve"> attendees) were received, and the breakdown is provided in </w:t>
      </w:r>
      <w:r w:rsidR="00A677E2" w:rsidRPr="00773EEA">
        <w:rPr>
          <w:b/>
          <w:bCs/>
        </w:rPr>
        <w:t>Table 1</w:t>
      </w:r>
      <w:r w:rsidR="00A677E2" w:rsidRPr="00773EEA">
        <w:t>.</w:t>
      </w:r>
    </w:p>
    <w:p w14:paraId="6E57B2E6" w14:textId="22E0388C" w:rsidR="00C17321" w:rsidRPr="00773EEA" w:rsidRDefault="00C17321" w:rsidP="00C17321">
      <w:pPr>
        <w:pStyle w:val="Caption"/>
        <w:rPr>
          <w:rFonts w:asciiTheme="majorHAnsi" w:hAnsiTheme="majorHAnsi"/>
          <w:color w:val="auto"/>
        </w:rPr>
      </w:pPr>
      <w:bookmarkStart w:id="20" w:name="_Toc109841742"/>
      <w:r w:rsidRPr="00773EEA">
        <w:rPr>
          <w:rStyle w:val="BookTitle"/>
          <w:rFonts w:asciiTheme="majorHAnsi" w:hAnsiTheme="majorHAnsi"/>
          <w:b/>
          <w:bCs/>
          <w:iCs w:val="0"/>
          <w:color w:val="auto"/>
          <w:spacing w:val="0"/>
        </w:rPr>
        <w:t>Table</w:t>
      </w:r>
      <w:r w:rsidRPr="00773EEA">
        <w:rPr>
          <w:rFonts w:asciiTheme="majorHAnsi" w:hAnsiTheme="majorHAnsi"/>
          <w:color w:val="auto"/>
        </w:rPr>
        <w:t xml:space="preserve"> </w:t>
      </w:r>
      <w:r w:rsidRPr="00773EEA">
        <w:rPr>
          <w:rFonts w:asciiTheme="majorHAnsi" w:hAnsiTheme="majorHAnsi"/>
          <w:color w:val="auto"/>
        </w:rPr>
        <w:fldChar w:fldCharType="begin"/>
      </w:r>
      <w:r w:rsidRPr="00773EEA">
        <w:rPr>
          <w:rFonts w:asciiTheme="majorHAnsi" w:hAnsiTheme="majorHAnsi"/>
          <w:color w:val="auto"/>
        </w:rPr>
        <w:instrText xml:space="preserve"> SEQ Table \* ARABIC </w:instrText>
      </w:r>
      <w:r w:rsidRPr="00773EEA">
        <w:rPr>
          <w:rFonts w:asciiTheme="majorHAnsi" w:hAnsiTheme="majorHAnsi"/>
          <w:color w:val="auto"/>
        </w:rPr>
        <w:fldChar w:fldCharType="separate"/>
      </w:r>
      <w:r w:rsidR="00AC7E0F" w:rsidRPr="00773EEA">
        <w:rPr>
          <w:rFonts w:asciiTheme="majorHAnsi" w:hAnsiTheme="majorHAnsi"/>
          <w:noProof/>
          <w:color w:val="auto"/>
        </w:rPr>
        <w:t>1</w:t>
      </w:r>
      <w:r w:rsidRPr="00773EEA">
        <w:rPr>
          <w:rFonts w:asciiTheme="majorHAnsi" w:hAnsiTheme="majorHAnsi"/>
          <w:color w:val="auto"/>
        </w:rPr>
        <w:fldChar w:fldCharType="end"/>
      </w:r>
      <w:r w:rsidRPr="00773EEA">
        <w:rPr>
          <w:rFonts w:asciiTheme="majorHAnsi" w:hAnsiTheme="majorHAnsi"/>
          <w:color w:val="auto"/>
        </w:rPr>
        <w:t xml:space="preserve">: Bronze </w:t>
      </w:r>
      <w:r w:rsidR="003F7D49" w:rsidRPr="00773EEA">
        <w:rPr>
          <w:rFonts w:asciiTheme="majorHAnsi" w:hAnsiTheme="majorHAnsi"/>
          <w:color w:val="auto"/>
        </w:rPr>
        <w:t>City Survey Response Rate</w:t>
      </w:r>
      <w:bookmarkEnd w:id="20"/>
    </w:p>
    <w:tbl>
      <w:tblPr>
        <w:tblStyle w:val="GridTable4-Accent1"/>
        <w:tblW w:w="0" w:type="auto"/>
        <w:tblInd w:w="137" w:type="dxa"/>
        <w:tblLook w:val="04A0" w:firstRow="1" w:lastRow="0" w:firstColumn="1" w:lastColumn="0" w:noHBand="0" w:noVBand="1"/>
      </w:tblPr>
      <w:tblGrid>
        <w:gridCol w:w="2835"/>
        <w:gridCol w:w="3969"/>
        <w:gridCol w:w="2687"/>
      </w:tblGrid>
      <w:tr w:rsidR="00773EEA" w:rsidRPr="00773EEA" w14:paraId="4F233D94" w14:textId="77777777" w:rsidTr="00570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43F3BF8"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Survey language</w:t>
            </w:r>
          </w:p>
        </w:tc>
        <w:tc>
          <w:tcPr>
            <w:tcW w:w="3969" w:type="dxa"/>
          </w:tcPr>
          <w:p w14:paraId="48EC6273" w14:textId="77777777" w:rsidR="00FF1EBF" w:rsidRPr="00773EEA" w:rsidRDefault="00FF1EBF" w:rsidP="00394337">
            <w:pPr>
              <w:spacing w:before="40" w:after="40"/>
              <w:jc w:val="both"/>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Countries Covered</w:t>
            </w:r>
          </w:p>
        </w:tc>
        <w:tc>
          <w:tcPr>
            <w:tcW w:w="2687" w:type="dxa"/>
          </w:tcPr>
          <w:p w14:paraId="2F89A8F3" w14:textId="77777777" w:rsidR="00FF1EBF" w:rsidRPr="00773EEA" w:rsidRDefault="00FF1EBF" w:rsidP="00394337">
            <w:pPr>
              <w:spacing w:before="40" w:after="40"/>
              <w:jc w:val="both"/>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Responses received</w:t>
            </w:r>
          </w:p>
        </w:tc>
      </w:tr>
      <w:tr w:rsidR="00773EEA" w:rsidRPr="00773EEA" w14:paraId="4CA24F9B" w14:textId="77777777" w:rsidTr="0057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5FE45AA"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English</w:t>
            </w:r>
          </w:p>
        </w:tc>
        <w:tc>
          <w:tcPr>
            <w:tcW w:w="3969" w:type="dxa"/>
          </w:tcPr>
          <w:p w14:paraId="56C337A4"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Malaysia, Philippines, Thailand</w:t>
            </w:r>
          </w:p>
        </w:tc>
        <w:tc>
          <w:tcPr>
            <w:tcW w:w="2687" w:type="dxa"/>
          </w:tcPr>
          <w:p w14:paraId="1A3A60DA"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13</w:t>
            </w:r>
          </w:p>
        </w:tc>
      </w:tr>
      <w:tr w:rsidR="00773EEA" w:rsidRPr="00773EEA" w14:paraId="1D7ECE84" w14:textId="77777777" w:rsidTr="0057056C">
        <w:tc>
          <w:tcPr>
            <w:cnfStyle w:val="001000000000" w:firstRow="0" w:lastRow="0" w:firstColumn="1" w:lastColumn="0" w:oddVBand="0" w:evenVBand="0" w:oddHBand="0" w:evenHBand="0" w:firstRowFirstColumn="0" w:firstRowLastColumn="0" w:lastRowFirstColumn="0" w:lastRowLastColumn="0"/>
            <w:tcW w:w="2835" w:type="dxa"/>
          </w:tcPr>
          <w:p w14:paraId="09D4C0EF"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Bahasa</w:t>
            </w:r>
          </w:p>
        </w:tc>
        <w:tc>
          <w:tcPr>
            <w:tcW w:w="3969" w:type="dxa"/>
          </w:tcPr>
          <w:p w14:paraId="41FA3936"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Indonesia</w:t>
            </w:r>
          </w:p>
        </w:tc>
        <w:tc>
          <w:tcPr>
            <w:tcW w:w="2687" w:type="dxa"/>
          </w:tcPr>
          <w:p w14:paraId="3771A2C9"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6</w:t>
            </w:r>
          </w:p>
        </w:tc>
      </w:tr>
      <w:tr w:rsidR="00773EEA" w:rsidRPr="00773EEA" w14:paraId="24C42CE8" w14:textId="77777777" w:rsidTr="0057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4C55B19"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Khmer</w:t>
            </w:r>
          </w:p>
        </w:tc>
        <w:tc>
          <w:tcPr>
            <w:tcW w:w="3969" w:type="dxa"/>
          </w:tcPr>
          <w:p w14:paraId="424489F3"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Cambodia</w:t>
            </w:r>
          </w:p>
        </w:tc>
        <w:tc>
          <w:tcPr>
            <w:tcW w:w="2687" w:type="dxa"/>
          </w:tcPr>
          <w:p w14:paraId="5A6D0E23"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11</w:t>
            </w:r>
          </w:p>
        </w:tc>
      </w:tr>
      <w:tr w:rsidR="00773EEA" w:rsidRPr="00773EEA" w14:paraId="6A26F082" w14:textId="77777777" w:rsidTr="0057056C">
        <w:tc>
          <w:tcPr>
            <w:cnfStyle w:val="001000000000" w:firstRow="0" w:lastRow="0" w:firstColumn="1" w:lastColumn="0" w:oddVBand="0" w:evenVBand="0" w:oddHBand="0" w:evenHBand="0" w:firstRowFirstColumn="0" w:firstRowLastColumn="0" w:lastRowFirstColumn="0" w:lastRowLastColumn="0"/>
            <w:tcW w:w="2835" w:type="dxa"/>
          </w:tcPr>
          <w:p w14:paraId="14FB921B"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Laotian</w:t>
            </w:r>
          </w:p>
        </w:tc>
        <w:tc>
          <w:tcPr>
            <w:tcW w:w="3969" w:type="dxa"/>
          </w:tcPr>
          <w:p w14:paraId="1220D6C6"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Lao PDR</w:t>
            </w:r>
          </w:p>
        </w:tc>
        <w:tc>
          <w:tcPr>
            <w:tcW w:w="2687" w:type="dxa"/>
          </w:tcPr>
          <w:p w14:paraId="10DC2FEA"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szCs w:val="20"/>
                <w:lang w:eastAsia="en-GB"/>
              </w:rPr>
              <w:t>18</w:t>
            </w:r>
          </w:p>
        </w:tc>
      </w:tr>
      <w:tr w:rsidR="00773EEA" w:rsidRPr="00773EEA" w14:paraId="5E18FC1F" w14:textId="77777777" w:rsidTr="00570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2E59685"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Vietnamese</w:t>
            </w:r>
          </w:p>
        </w:tc>
        <w:tc>
          <w:tcPr>
            <w:tcW w:w="3969" w:type="dxa"/>
          </w:tcPr>
          <w:p w14:paraId="6CCC70B6"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Vietnam</w:t>
            </w:r>
          </w:p>
        </w:tc>
        <w:tc>
          <w:tcPr>
            <w:tcW w:w="2687" w:type="dxa"/>
          </w:tcPr>
          <w:p w14:paraId="7A0CF4D1" w14:textId="77777777" w:rsidR="00FF1EBF" w:rsidRPr="00773EEA" w:rsidRDefault="00FF1EBF" w:rsidP="00394337">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773EEA">
              <w:rPr>
                <w:rFonts w:cstheme="minorHAnsi"/>
                <w:szCs w:val="20"/>
                <w:lang w:eastAsia="en-GB"/>
              </w:rPr>
              <w:t>2</w:t>
            </w:r>
          </w:p>
        </w:tc>
      </w:tr>
      <w:tr w:rsidR="00773EEA" w:rsidRPr="00773EEA" w14:paraId="7FF1E419" w14:textId="77777777" w:rsidTr="0057056C">
        <w:tc>
          <w:tcPr>
            <w:cnfStyle w:val="001000000000" w:firstRow="0" w:lastRow="0" w:firstColumn="1" w:lastColumn="0" w:oddVBand="0" w:evenVBand="0" w:oddHBand="0" w:evenHBand="0" w:firstRowFirstColumn="0" w:firstRowLastColumn="0" w:lastRowFirstColumn="0" w:lastRowLastColumn="0"/>
            <w:tcW w:w="2835" w:type="dxa"/>
          </w:tcPr>
          <w:p w14:paraId="7F8D1763" w14:textId="77777777" w:rsidR="00FF1EBF" w:rsidRPr="00773EEA" w:rsidRDefault="00FF1EBF" w:rsidP="00394337">
            <w:pPr>
              <w:spacing w:before="40" w:after="40"/>
              <w:jc w:val="both"/>
              <w:rPr>
                <w:rFonts w:ascii="Calibri" w:hAnsi="Calibri" w:cs="Calibri"/>
                <w:szCs w:val="20"/>
              </w:rPr>
            </w:pPr>
            <w:r w:rsidRPr="00773EEA">
              <w:rPr>
                <w:rFonts w:cstheme="minorHAnsi"/>
                <w:szCs w:val="20"/>
                <w:lang w:eastAsia="en-GB"/>
              </w:rPr>
              <w:t>TOTAL</w:t>
            </w:r>
          </w:p>
        </w:tc>
        <w:tc>
          <w:tcPr>
            <w:tcW w:w="3969" w:type="dxa"/>
          </w:tcPr>
          <w:p w14:paraId="62C720E8"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2687" w:type="dxa"/>
          </w:tcPr>
          <w:p w14:paraId="0C464C83" w14:textId="77777777" w:rsidR="00FF1EBF" w:rsidRPr="00773EEA" w:rsidRDefault="00FF1EBF" w:rsidP="00394337">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773EEA">
              <w:rPr>
                <w:rFonts w:cstheme="minorHAnsi"/>
                <w:b/>
                <w:bCs/>
                <w:szCs w:val="20"/>
                <w:lang w:eastAsia="en-GB"/>
              </w:rPr>
              <w:t>50</w:t>
            </w:r>
          </w:p>
        </w:tc>
      </w:tr>
    </w:tbl>
    <w:p w14:paraId="657D90AE" w14:textId="5919F874" w:rsidR="00246B15" w:rsidRPr="00773EEA" w:rsidRDefault="00246B15" w:rsidP="00246B15">
      <w:pPr>
        <w:ind w:left="170"/>
        <w:rPr>
          <w:rFonts w:cstheme="minorHAnsi"/>
          <w:i/>
          <w:iCs/>
          <w:sz w:val="21"/>
          <w:szCs w:val="21"/>
        </w:rPr>
      </w:pPr>
      <w:r w:rsidRPr="00773EEA">
        <w:rPr>
          <w:rFonts w:cstheme="minorHAnsi"/>
          <w:i/>
          <w:iCs/>
          <w:sz w:val="21"/>
          <w:szCs w:val="21"/>
        </w:rPr>
        <w:t>Source: MTR Team Analysis</w:t>
      </w:r>
    </w:p>
    <w:p w14:paraId="4D434D84" w14:textId="5FC176D0" w:rsidR="002D7741" w:rsidRPr="00773EEA" w:rsidRDefault="002D7741" w:rsidP="00D76797">
      <w:pPr>
        <w:ind w:left="170"/>
        <w:jc w:val="both"/>
        <w:rPr>
          <w:rFonts w:cstheme="minorHAnsi"/>
          <w:szCs w:val="20"/>
        </w:rPr>
      </w:pPr>
      <w:r w:rsidRPr="00773EEA">
        <w:rPr>
          <w:rStyle w:val="BookTitle"/>
          <w:color w:val="auto"/>
        </w:rPr>
        <w:lastRenderedPageBreak/>
        <w:t>Translation and interpretation requirements:</w:t>
      </w:r>
      <w:r w:rsidRPr="00773EEA">
        <w:rPr>
          <w:rFonts w:cstheme="minorHAnsi"/>
          <w:sz w:val="21"/>
          <w:szCs w:val="21"/>
        </w:rPr>
        <w:t xml:space="preserve"> </w:t>
      </w:r>
      <w:r w:rsidR="00D76797" w:rsidRPr="00773EEA">
        <w:rPr>
          <w:rFonts w:cstheme="minorHAnsi"/>
          <w:szCs w:val="20"/>
        </w:rPr>
        <w:t>T</w:t>
      </w:r>
      <w:r w:rsidRPr="00773EEA">
        <w:rPr>
          <w:rFonts w:cstheme="minorHAnsi"/>
          <w:szCs w:val="20"/>
        </w:rPr>
        <w:t xml:space="preserve">ranslation and interpretation budget was allocated by </w:t>
      </w:r>
      <w:r w:rsidR="00AD4046" w:rsidRPr="00773EEA">
        <w:rPr>
          <w:rFonts w:cstheme="minorHAnsi"/>
          <w:szCs w:val="20"/>
        </w:rPr>
        <w:t xml:space="preserve">DFAT to </w:t>
      </w:r>
      <w:r w:rsidRPr="00773EEA">
        <w:rPr>
          <w:rFonts w:cstheme="minorHAnsi"/>
          <w:szCs w:val="20"/>
        </w:rPr>
        <w:t xml:space="preserve">the MTR for </w:t>
      </w:r>
      <w:r w:rsidR="00BA60F6" w:rsidRPr="00773EEA">
        <w:rPr>
          <w:rFonts w:cstheme="minorHAnsi"/>
          <w:szCs w:val="20"/>
        </w:rPr>
        <w:t xml:space="preserve">the </w:t>
      </w:r>
      <w:r w:rsidRPr="00773EEA">
        <w:rPr>
          <w:rFonts w:cstheme="minorHAnsi"/>
          <w:szCs w:val="20"/>
        </w:rPr>
        <w:t xml:space="preserve">translation of interview guides, interpretation during interviews and translation of the survey responses. This was </w:t>
      </w:r>
      <w:r w:rsidR="00AD4046" w:rsidRPr="00773EEA">
        <w:rPr>
          <w:rFonts w:cstheme="minorHAnsi"/>
          <w:szCs w:val="20"/>
        </w:rPr>
        <w:t>especially</w:t>
      </w:r>
      <w:r w:rsidRPr="00773EEA">
        <w:rPr>
          <w:rFonts w:cstheme="minorHAnsi"/>
          <w:szCs w:val="20"/>
        </w:rPr>
        <w:t xml:space="preserve"> </w:t>
      </w:r>
      <w:r w:rsidR="005D1082" w:rsidRPr="00773EEA">
        <w:rPr>
          <w:rFonts w:cstheme="minorHAnsi"/>
          <w:szCs w:val="20"/>
        </w:rPr>
        <w:t>valuable to</w:t>
      </w:r>
      <w:r w:rsidR="00636A75" w:rsidRPr="00773EEA">
        <w:rPr>
          <w:rFonts w:cstheme="minorHAnsi"/>
          <w:szCs w:val="20"/>
        </w:rPr>
        <w:t xml:space="preserve"> the analysis of the survey responses from </w:t>
      </w:r>
      <w:r w:rsidR="00FB4772" w:rsidRPr="00773EEA">
        <w:rPr>
          <w:rFonts w:cstheme="minorHAnsi"/>
          <w:szCs w:val="20"/>
        </w:rPr>
        <w:t>Lao PDR, Cambodia, Indonesia</w:t>
      </w:r>
      <w:r w:rsidR="005D1082" w:rsidRPr="00773EEA">
        <w:rPr>
          <w:rFonts w:cstheme="minorHAnsi"/>
          <w:szCs w:val="20"/>
        </w:rPr>
        <w:t>,</w:t>
      </w:r>
      <w:r w:rsidR="00FB4772" w:rsidRPr="00773EEA">
        <w:rPr>
          <w:rFonts w:cstheme="minorHAnsi"/>
          <w:szCs w:val="20"/>
        </w:rPr>
        <w:t xml:space="preserve"> and Vietnam</w:t>
      </w:r>
      <w:r w:rsidR="00F2445F" w:rsidRPr="00773EEA">
        <w:rPr>
          <w:rFonts w:cstheme="minorHAnsi"/>
          <w:szCs w:val="20"/>
        </w:rPr>
        <w:t xml:space="preserve">. The </w:t>
      </w:r>
      <w:r w:rsidR="005D1082" w:rsidRPr="00773EEA">
        <w:rPr>
          <w:rFonts w:cstheme="minorHAnsi"/>
          <w:szCs w:val="20"/>
        </w:rPr>
        <w:t>Evaluation</w:t>
      </w:r>
      <w:r w:rsidR="00F2445F" w:rsidRPr="00773EEA">
        <w:rPr>
          <w:rFonts w:cstheme="minorHAnsi"/>
          <w:szCs w:val="20"/>
        </w:rPr>
        <w:t xml:space="preserve"> </w:t>
      </w:r>
      <w:r w:rsidR="005D1082" w:rsidRPr="00773EEA">
        <w:rPr>
          <w:rFonts w:cstheme="minorHAnsi"/>
          <w:szCs w:val="20"/>
        </w:rPr>
        <w:t>T</w:t>
      </w:r>
      <w:r w:rsidR="00F2445F" w:rsidRPr="00773EEA">
        <w:rPr>
          <w:rFonts w:cstheme="minorHAnsi"/>
          <w:szCs w:val="20"/>
        </w:rPr>
        <w:t xml:space="preserve">eam were able to </w:t>
      </w:r>
      <w:r w:rsidR="002A38B8" w:rsidRPr="00773EEA">
        <w:rPr>
          <w:rFonts w:cstheme="minorHAnsi"/>
          <w:szCs w:val="20"/>
        </w:rPr>
        <w:t>review the</w:t>
      </w:r>
      <w:r w:rsidR="00172555" w:rsidRPr="00773EEA">
        <w:rPr>
          <w:rFonts w:cstheme="minorHAnsi"/>
          <w:szCs w:val="20"/>
        </w:rPr>
        <w:t xml:space="preserve"> </w:t>
      </w:r>
      <w:r w:rsidR="002A38B8" w:rsidRPr="00773EEA">
        <w:rPr>
          <w:rFonts w:cstheme="minorHAnsi"/>
          <w:szCs w:val="20"/>
        </w:rPr>
        <w:t>detail</w:t>
      </w:r>
      <w:r w:rsidR="00172555" w:rsidRPr="00773EEA">
        <w:rPr>
          <w:rFonts w:cstheme="minorHAnsi"/>
          <w:szCs w:val="20"/>
        </w:rPr>
        <w:t>ed English translations of</w:t>
      </w:r>
      <w:r w:rsidR="002A38B8" w:rsidRPr="00773EEA">
        <w:rPr>
          <w:rFonts w:cstheme="minorHAnsi"/>
          <w:szCs w:val="20"/>
        </w:rPr>
        <w:t xml:space="preserve"> responses</w:t>
      </w:r>
      <w:r w:rsidR="00C1551F" w:rsidRPr="00773EEA">
        <w:rPr>
          <w:rFonts w:cstheme="minorHAnsi"/>
          <w:szCs w:val="20"/>
        </w:rPr>
        <w:t xml:space="preserve"> </w:t>
      </w:r>
      <w:r w:rsidR="0053580C" w:rsidRPr="00773EEA">
        <w:rPr>
          <w:rFonts w:cstheme="minorHAnsi"/>
          <w:szCs w:val="20"/>
        </w:rPr>
        <w:t>received in</w:t>
      </w:r>
      <w:r w:rsidR="00C1551F" w:rsidRPr="00773EEA">
        <w:rPr>
          <w:rFonts w:cstheme="minorHAnsi"/>
          <w:szCs w:val="20"/>
        </w:rPr>
        <w:t xml:space="preserve"> </w:t>
      </w:r>
      <w:r w:rsidR="00172555" w:rsidRPr="00773EEA">
        <w:rPr>
          <w:rFonts w:cstheme="minorHAnsi"/>
          <w:szCs w:val="20"/>
        </w:rPr>
        <w:t xml:space="preserve">native </w:t>
      </w:r>
      <w:r w:rsidR="00AE17A5" w:rsidRPr="00773EEA">
        <w:rPr>
          <w:rFonts w:cstheme="minorHAnsi"/>
          <w:szCs w:val="20"/>
        </w:rPr>
        <w:t>Bahasa</w:t>
      </w:r>
      <w:r w:rsidR="0063128B" w:rsidRPr="00773EEA">
        <w:rPr>
          <w:rFonts w:cstheme="minorHAnsi"/>
          <w:szCs w:val="20"/>
        </w:rPr>
        <w:t>-Indonesia</w:t>
      </w:r>
      <w:r w:rsidR="00AE17A5" w:rsidRPr="00773EEA">
        <w:rPr>
          <w:rFonts w:cstheme="minorHAnsi"/>
          <w:szCs w:val="20"/>
        </w:rPr>
        <w:t xml:space="preserve">, </w:t>
      </w:r>
      <w:r w:rsidR="00C1551F" w:rsidRPr="00773EEA">
        <w:rPr>
          <w:rFonts w:cstheme="minorHAnsi"/>
          <w:szCs w:val="20"/>
        </w:rPr>
        <w:t xml:space="preserve">Khmer, </w:t>
      </w:r>
      <w:r w:rsidR="00AE17A5" w:rsidRPr="00773EEA">
        <w:rPr>
          <w:rFonts w:cstheme="minorHAnsi"/>
          <w:szCs w:val="20"/>
        </w:rPr>
        <w:t>Laotian, and Vietnamese</w:t>
      </w:r>
      <w:r w:rsidR="00481F82" w:rsidRPr="00773EEA">
        <w:rPr>
          <w:rFonts w:cstheme="minorHAnsi"/>
          <w:szCs w:val="20"/>
        </w:rPr>
        <w:t xml:space="preserve">, </w:t>
      </w:r>
      <w:r w:rsidR="00172555" w:rsidRPr="00773EEA">
        <w:rPr>
          <w:rFonts w:cstheme="minorHAnsi"/>
          <w:szCs w:val="20"/>
        </w:rPr>
        <w:t>affording</w:t>
      </w:r>
      <w:r w:rsidR="00636A75" w:rsidRPr="00773EEA">
        <w:rPr>
          <w:rFonts w:cstheme="minorHAnsi"/>
          <w:szCs w:val="20"/>
        </w:rPr>
        <w:t xml:space="preserve"> </w:t>
      </w:r>
      <w:r w:rsidR="00CD153A" w:rsidRPr="00773EEA">
        <w:rPr>
          <w:rFonts w:cstheme="minorHAnsi"/>
          <w:szCs w:val="20"/>
        </w:rPr>
        <w:t xml:space="preserve">the MTR </w:t>
      </w:r>
      <w:r w:rsidR="00172555" w:rsidRPr="00773EEA">
        <w:rPr>
          <w:rFonts w:cstheme="minorHAnsi"/>
          <w:szCs w:val="20"/>
        </w:rPr>
        <w:t>valuable</w:t>
      </w:r>
      <w:r w:rsidR="00F2445F" w:rsidRPr="00773EEA">
        <w:rPr>
          <w:rFonts w:cstheme="minorHAnsi"/>
          <w:szCs w:val="20"/>
        </w:rPr>
        <w:t xml:space="preserve"> </w:t>
      </w:r>
      <w:r w:rsidR="004B0B87" w:rsidRPr="00773EEA">
        <w:rPr>
          <w:rFonts w:cstheme="minorHAnsi"/>
          <w:szCs w:val="20"/>
        </w:rPr>
        <w:t xml:space="preserve">feedback on the Bronze-level activities. </w:t>
      </w:r>
      <w:r w:rsidRPr="00773EEA">
        <w:rPr>
          <w:rFonts w:cstheme="minorHAnsi"/>
          <w:szCs w:val="20"/>
        </w:rPr>
        <w:t>Although</w:t>
      </w:r>
      <w:r w:rsidR="00C22C94" w:rsidRPr="00773EEA">
        <w:rPr>
          <w:rFonts w:cstheme="minorHAnsi"/>
          <w:szCs w:val="20"/>
        </w:rPr>
        <w:t>, the MTR had</w:t>
      </w:r>
      <w:r w:rsidRPr="00773EEA">
        <w:rPr>
          <w:rFonts w:cstheme="minorHAnsi"/>
          <w:szCs w:val="20"/>
        </w:rPr>
        <w:t xml:space="preserve"> </w:t>
      </w:r>
      <w:r w:rsidR="000157BF" w:rsidRPr="00773EEA">
        <w:rPr>
          <w:rFonts w:cstheme="minorHAnsi"/>
          <w:szCs w:val="20"/>
        </w:rPr>
        <w:t xml:space="preserve">allocated </w:t>
      </w:r>
      <w:r w:rsidRPr="00773EEA">
        <w:rPr>
          <w:rFonts w:cstheme="minorHAnsi"/>
          <w:szCs w:val="20"/>
        </w:rPr>
        <w:t xml:space="preserve">budget </w:t>
      </w:r>
      <w:r w:rsidR="00C22C94" w:rsidRPr="00773EEA">
        <w:rPr>
          <w:rFonts w:cstheme="minorHAnsi"/>
          <w:szCs w:val="20"/>
        </w:rPr>
        <w:t>for</w:t>
      </w:r>
      <w:r w:rsidRPr="00773EEA">
        <w:rPr>
          <w:rFonts w:cstheme="minorHAnsi"/>
          <w:szCs w:val="20"/>
        </w:rPr>
        <w:t xml:space="preserve"> </w:t>
      </w:r>
      <w:r w:rsidR="000157BF" w:rsidRPr="00773EEA">
        <w:rPr>
          <w:rFonts w:cstheme="minorHAnsi"/>
          <w:szCs w:val="20"/>
        </w:rPr>
        <w:t xml:space="preserve">live </w:t>
      </w:r>
      <w:r w:rsidRPr="00773EEA">
        <w:rPr>
          <w:rFonts w:cstheme="minorHAnsi"/>
          <w:szCs w:val="20"/>
        </w:rPr>
        <w:t>interpretation of</w:t>
      </w:r>
      <w:r w:rsidR="00954D27" w:rsidRPr="00773EEA">
        <w:rPr>
          <w:rFonts w:cstheme="minorHAnsi"/>
          <w:szCs w:val="20"/>
        </w:rPr>
        <w:t xml:space="preserve"> the </w:t>
      </w:r>
      <w:r w:rsidRPr="00773EEA">
        <w:rPr>
          <w:rFonts w:cstheme="minorHAnsi"/>
          <w:szCs w:val="20"/>
        </w:rPr>
        <w:t xml:space="preserve">interviews in </w:t>
      </w:r>
      <w:r w:rsidR="000157BF" w:rsidRPr="00773EEA">
        <w:rPr>
          <w:rFonts w:cstheme="minorHAnsi"/>
          <w:szCs w:val="20"/>
        </w:rPr>
        <w:t>all</w:t>
      </w:r>
      <w:r w:rsidRPr="00773EEA">
        <w:rPr>
          <w:rFonts w:cstheme="minorHAnsi"/>
          <w:szCs w:val="20"/>
        </w:rPr>
        <w:t xml:space="preserve"> four countries, </w:t>
      </w:r>
      <w:r w:rsidR="001D17CC" w:rsidRPr="00773EEA">
        <w:rPr>
          <w:rFonts w:cstheme="minorHAnsi"/>
          <w:szCs w:val="20"/>
        </w:rPr>
        <w:t xml:space="preserve">interviewees were asked </w:t>
      </w:r>
      <w:r w:rsidR="000157BF" w:rsidRPr="00773EEA">
        <w:rPr>
          <w:rFonts w:cstheme="minorHAnsi"/>
          <w:szCs w:val="20"/>
        </w:rPr>
        <w:t>for</w:t>
      </w:r>
      <w:r w:rsidR="001D17CC" w:rsidRPr="00773EEA">
        <w:rPr>
          <w:rFonts w:cstheme="minorHAnsi"/>
          <w:szCs w:val="20"/>
        </w:rPr>
        <w:t xml:space="preserve"> their language preference, </w:t>
      </w:r>
      <w:r w:rsidR="00D75242" w:rsidRPr="00773EEA">
        <w:rPr>
          <w:rFonts w:cstheme="minorHAnsi"/>
          <w:szCs w:val="20"/>
        </w:rPr>
        <w:t xml:space="preserve">and </w:t>
      </w:r>
      <w:r w:rsidR="00EB527A" w:rsidRPr="00773EEA">
        <w:rPr>
          <w:rFonts w:cstheme="minorHAnsi"/>
          <w:szCs w:val="20"/>
        </w:rPr>
        <w:t xml:space="preserve">only </w:t>
      </w:r>
      <w:r w:rsidR="00EC6689" w:rsidRPr="00773EEA">
        <w:rPr>
          <w:rFonts w:cstheme="minorHAnsi"/>
          <w:szCs w:val="20"/>
        </w:rPr>
        <w:t xml:space="preserve">one request </w:t>
      </w:r>
      <w:r w:rsidR="00D75242" w:rsidRPr="00773EEA">
        <w:rPr>
          <w:rFonts w:cstheme="minorHAnsi"/>
          <w:szCs w:val="20"/>
        </w:rPr>
        <w:t xml:space="preserve">was received </w:t>
      </w:r>
      <w:r w:rsidR="00EC6689" w:rsidRPr="00773EEA">
        <w:rPr>
          <w:rFonts w:cstheme="minorHAnsi"/>
          <w:szCs w:val="20"/>
        </w:rPr>
        <w:t xml:space="preserve">from a </w:t>
      </w:r>
      <w:r w:rsidR="00D75242" w:rsidRPr="00773EEA">
        <w:rPr>
          <w:rFonts w:cstheme="minorHAnsi"/>
          <w:szCs w:val="20"/>
        </w:rPr>
        <w:t xml:space="preserve">Vietnamese </w:t>
      </w:r>
      <w:r w:rsidR="00EB527A" w:rsidRPr="00773EEA">
        <w:rPr>
          <w:rFonts w:cstheme="minorHAnsi"/>
          <w:szCs w:val="20"/>
        </w:rPr>
        <w:t xml:space="preserve">participant </w:t>
      </w:r>
      <w:r w:rsidR="00EC6689" w:rsidRPr="00773EEA">
        <w:rPr>
          <w:rFonts w:cstheme="minorHAnsi"/>
          <w:szCs w:val="20"/>
        </w:rPr>
        <w:t xml:space="preserve">to have an </w:t>
      </w:r>
      <w:r w:rsidR="00EB527A" w:rsidRPr="00773EEA">
        <w:rPr>
          <w:rFonts w:cstheme="minorHAnsi"/>
          <w:szCs w:val="20"/>
        </w:rPr>
        <w:t>interpreter present</w:t>
      </w:r>
      <w:r w:rsidR="00D75242" w:rsidRPr="00773EEA">
        <w:rPr>
          <w:rFonts w:cstheme="minorHAnsi"/>
          <w:szCs w:val="20"/>
        </w:rPr>
        <w:t>.</w:t>
      </w:r>
      <w:r w:rsidRPr="00773EEA">
        <w:rPr>
          <w:rFonts w:cstheme="minorHAnsi"/>
          <w:szCs w:val="20"/>
        </w:rPr>
        <w:t xml:space="preserve"> </w:t>
      </w:r>
      <w:r w:rsidR="00D75242" w:rsidRPr="00773EEA">
        <w:rPr>
          <w:rFonts w:cstheme="minorHAnsi"/>
          <w:szCs w:val="20"/>
        </w:rPr>
        <w:t>All other interviews were</w:t>
      </w:r>
      <w:r w:rsidR="00300C9F" w:rsidRPr="00773EEA">
        <w:rPr>
          <w:rFonts w:cstheme="minorHAnsi"/>
          <w:szCs w:val="20"/>
        </w:rPr>
        <w:t xml:space="preserve"> conducted in English. </w:t>
      </w:r>
    </w:p>
    <w:p w14:paraId="2A019446" w14:textId="7D573B2D" w:rsidR="002D7741" w:rsidRPr="00773EEA" w:rsidRDefault="002D7741" w:rsidP="00D75242">
      <w:pPr>
        <w:ind w:left="170"/>
        <w:jc w:val="both"/>
        <w:rPr>
          <w:rFonts w:cstheme="minorHAnsi"/>
          <w:szCs w:val="20"/>
        </w:rPr>
      </w:pPr>
      <w:r w:rsidRPr="00773EEA">
        <w:rPr>
          <w:rStyle w:val="BookTitle"/>
          <w:color w:val="auto"/>
        </w:rPr>
        <w:t>Data analysis:</w:t>
      </w:r>
      <w:r w:rsidRPr="00773EEA">
        <w:rPr>
          <w:rFonts w:cstheme="minorHAnsi"/>
          <w:sz w:val="21"/>
          <w:szCs w:val="21"/>
        </w:rPr>
        <w:t xml:space="preserve"> </w:t>
      </w:r>
      <w:r w:rsidRPr="00773EEA">
        <w:rPr>
          <w:rFonts w:cstheme="minorHAnsi"/>
          <w:szCs w:val="20"/>
        </w:rPr>
        <w:t xml:space="preserve">Primary data has been </w:t>
      </w:r>
      <w:r w:rsidR="00323229" w:rsidRPr="00773EEA">
        <w:rPr>
          <w:rFonts w:cstheme="minorHAnsi"/>
          <w:szCs w:val="20"/>
        </w:rPr>
        <w:t xml:space="preserve">collated and </w:t>
      </w:r>
      <w:r w:rsidRPr="00773EEA">
        <w:rPr>
          <w:rFonts w:cstheme="minorHAnsi"/>
          <w:szCs w:val="20"/>
        </w:rPr>
        <w:t>analysed to identify common themes, country/city specific issues</w:t>
      </w:r>
      <w:r w:rsidR="00323229" w:rsidRPr="00773EEA">
        <w:rPr>
          <w:rFonts w:cstheme="minorHAnsi"/>
          <w:szCs w:val="20"/>
        </w:rPr>
        <w:t>,</w:t>
      </w:r>
      <w:r w:rsidRPr="00773EEA">
        <w:rPr>
          <w:rFonts w:cstheme="minorHAnsi"/>
          <w:szCs w:val="20"/>
        </w:rPr>
        <w:t xml:space="preserve"> and any useful outlier responses. Interviews and surveys have provided a robust means of triangulating the AASCTF’s reported progress and achievements </w:t>
      </w:r>
      <w:r w:rsidR="008B7ECE" w:rsidRPr="00773EEA">
        <w:rPr>
          <w:rFonts w:cstheme="minorHAnsi"/>
          <w:szCs w:val="20"/>
        </w:rPr>
        <w:t xml:space="preserve">from a </w:t>
      </w:r>
      <w:r w:rsidRPr="00773EEA">
        <w:rPr>
          <w:rFonts w:cstheme="minorHAnsi"/>
          <w:szCs w:val="20"/>
        </w:rPr>
        <w:t>program stakeholder</w:t>
      </w:r>
      <w:r w:rsidR="008B7ECE" w:rsidRPr="00773EEA">
        <w:rPr>
          <w:rFonts w:cstheme="minorHAnsi"/>
          <w:szCs w:val="20"/>
        </w:rPr>
        <w:t>’s</w:t>
      </w:r>
      <w:r w:rsidRPr="00773EEA">
        <w:rPr>
          <w:rFonts w:cstheme="minorHAnsi"/>
          <w:szCs w:val="20"/>
        </w:rPr>
        <w:t xml:space="preserve"> view</w:t>
      </w:r>
      <w:r w:rsidR="008B7ECE" w:rsidRPr="00773EEA">
        <w:rPr>
          <w:rFonts w:cstheme="minorHAnsi"/>
          <w:szCs w:val="20"/>
        </w:rPr>
        <w:t>point</w:t>
      </w:r>
      <w:r w:rsidRPr="00773EEA">
        <w:rPr>
          <w:rFonts w:cstheme="minorHAnsi"/>
          <w:szCs w:val="20"/>
        </w:rPr>
        <w:t xml:space="preserve">. </w:t>
      </w:r>
      <w:r w:rsidR="00A51BF0" w:rsidRPr="00773EEA">
        <w:rPr>
          <w:rFonts w:cstheme="minorHAnsi"/>
          <w:szCs w:val="20"/>
        </w:rPr>
        <w:t xml:space="preserve">The responses have helped </w:t>
      </w:r>
      <w:r w:rsidR="00D654AD" w:rsidRPr="00773EEA">
        <w:rPr>
          <w:rFonts w:cstheme="minorHAnsi"/>
          <w:szCs w:val="20"/>
        </w:rPr>
        <w:t>cross-reference</w:t>
      </w:r>
      <w:r w:rsidR="00323229" w:rsidRPr="00773EEA">
        <w:rPr>
          <w:rFonts w:cstheme="minorHAnsi"/>
          <w:szCs w:val="20"/>
        </w:rPr>
        <w:t xml:space="preserve"> </w:t>
      </w:r>
      <w:r w:rsidR="00A51BF0" w:rsidRPr="00773EEA">
        <w:rPr>
          <w:rFonts w:cstheme="minorHAnsi"/>
          <w:szCs w:val="20"/>
        </w:rPr>
        <w:t xml:space="preserve">and correct any </w:t>
      </w:r>
      <w:r w:rsidR="00440744" w:rsidRPr="00773EEA">
        <w:rPr>
          <w:rFonts w:cstheme="minorHAnsi"/>
          <w:szCs w:val="20"/>
        </w:rPr>
        <w:t>reporting</w:t>
      </w:r>
      <w:r w:rsidR="00D654AD" w:rsidRPr="00773EEA">
        <w:rPr>
          <w:rFonts w:cstheme="minorHAnsi"/>
          <w:szCs w:val="20"/>
        </w:rPr>
        <w:t xml:space="preserve"> </w:t>
      </w:r>
      <w:r w:rsidR="00A51BF0" w:rsidRPr="00773EEA">
        <w:rPr>
          <w:rFonts w:cstheme="minorHAnsi"/>
          <w:szCs w:val="20"/>
        </w:rPr>
        <w:t>errors</w:t>
      </w:r>
      <w:r w:rsidR="00D654AD" w:rsidRPr="00773EEA">
        <w:rPr>
          <w:rFonts w:cstheme="minorHAnsi"/>
          <w:szCs w:val="20"/>
        </w:rPr>
        <w:t>;</w:t>
      </w:r>
      <w:r w:rsidR="00A51BF0" w:rsidRPr="00773EEA">
        <w:rPr>
          <w:rFonts w:cstheme="minorHAnsi"/>
          <w:szCs w:val="20"/>
        </w:rPr>
        <w:t xml:space="preserve"> </w:t>
      </w:r>
      <w:r w:rsidR="009E68CB" w:rsidRPr="00773EEA">
        <w:rPr>
          <w:rFonts w:cstheme="minorHAnsi"/>
          <w:szCs w:val="20"/>
        </w:rPr>
        <w:t xml:space="preserve">convey </w:t>
      </w:r>
      <w:r w:rsidR="00A51BF0" w:rsidRPr="00773EEA">
        <w:rPr>
          <w:rFonts w:cstheme="minorHAnsi"/>
          <w:szCs w:val="20"/>
        </w:rPr>
        <w:t xml:space="preserve">achievements </w:t>
      </w:r>
      <w:r w:rsidR="00323229" w:rsidRPr="00773EEA">
        <w:rPr>
          <w:rFonts w:cstheme="minorHAnsi"/>
          <w:szCs w:val="20"/>
        </w:rPr>
        <w:t>otherwise</w:t>
      </w:r>
      <w:r w:rsidR="00A51BF0" w:rsidRPr="00773EEA">
        <w:rPr>
          <w:rFonts w:cstheme="minorHAnsi"/>
          <w:szCs w:val="20"/>
        </w:rPr>
        <w:t xml:space="preserve"> </w:t>
      </w:r>
      <w:r w:rsidR="00323229" w:rsidRPr="00773EEA">
        <w:rPr>
          <w:rFonts w:cstheme="minorHAnsi"/>
          <w:szCs w:val="20"/>
        </w:rPr>
        <w:t>uncaptured</w:t>
      </w:r>
      <w:r w:rsidR="00D654AD" w:rsidRPr="00773EEA">
        <w:rPr>
          <w:rFonts w:cstheme="minorHAnsi"/>
          <w:szCs w:val="20"/>
        </w:rPr>
        <w:t>;</w:t>
      </w:r>
      <w:r w:rsidR="00354FCE" w:rsidRPr="00773EEA">
        <w:rPr>
          <w:rFonts w:cstheme="minorHAnsi"/>
          <w:szCs w:val="20"/>
        </w:rPr>
        <w:t xml:space="preserve"> </w:t>
      </w:r>
      <w:r w:rsidR="00136A08" w:rsidRPr="00773EEA">
        <w:rPr>
          <w:rFonts w:cstheme="minorHAnsi"/>
          <w:szCs w:val="20"/>
        </w:rPr>
        <w:t xml:space="preserve">opportunities </w:t>
      </w:r>
      <w:r w:rsidR="00323229" w:rsidRPr="00773EEA">
        <w:rPr>
          <w:rFonts w:cstheme="minorHAnsi"/>
          <w:szCs w:val="20"/>
        </w:rPr>
        <w:t>for</w:t>
      </w:r>
      <w:r w:rsidR="00136A08" w:rsidRPr="00773EEA">
        <w:rPr>
          <w:rFonts w:cstheme="minorHAnsi"/>
          <w:szCs w:val="20"/>
        </w:rPr>
        <w:t xml:space="preserve"> improve</w:t>
      </w:r>
      <w:r w:rsidR="00323229" w:rsidRPr="00773EEA">
        <w:rPr>
          <w:rFonts w:cstheme="minorHAnsi"/>
          <w:szCs w:val="20"/>
        </w:rPr>
        <w:t>d</w:t>
      </w:r>
      <w:r w:rsidR="00136A08" w:rsidRPr="00773EEA">
        <w:rPr>
          <w:rFonts w:cstheme="minorHAnsi"/>
          <w:szCs w:val="20"/>
        </w:rPr>
        <w:t xml:space="preserve"> implementation</w:t>
      </w:r>
      <w:r w:rsidR="00D654AD" w:rsidRPr="00773EEA">
        <w:rPr>
          <w:rFonts w:cstheme="minorHAnsi"/>
          <w:szCs w:val="20"/>
        </w:rPr>
        <w:t>;</w:t>
      </w:r>
      <w:r w:rsidR="00136A08" w:rsidRPr="00773EEA">
        <w:rPr>
          <w:rFonts w:cstheme="minorHAnsi"/>
          <w:szCs w:val="20"/>
        </w:rPr>
        <w:t xml:space="preserve"> </w:t>
      </w:r>
      <w:r w:rsidR="00FF4067" w:rsidRPr="00773EEA">
        <w:rPr>
          <w:rFonts w:cstheme="minorHAnsi"/>
          <w:szCs w:val="20"/>
        </w:rPr>
        <w:t xml:space="preserve">unintended </w:t>
      </w:r>
      <w:r w:rsidRPr="00773EEA">
        <w:rPr>
          <w:rFonts w:cstheme="minorHAnsi"/>
          <w:szCs w:val="20"/>
        </w:rPr>
        <w:t>consequences (both positive and negative)</w:t>
      </w:r>
      <w:r w:rsidR="00D654AD" w:rsidRPr="00773EEA">
        <w:rPr>
          <w:rFonts w:cstheme="minorHAnsi"/>
          <w:szCs w:val="20"/>
        </w:rPr>
        <w:t>;</w:t>
      </w:r>
      <w:r w:rsidR="00136A08" w:rsidRPr="00773EEA">
        <w:rPr>
          <w:rFonts w:cstheme="minorHAnsi"/>
          <w:szCs w:val="20"/>
        </w:rPr>
        <w:t xml:space="preserve"> and</w:t>
      </w:r>
      <w:r w:rsidR="00D654AD" w:rsidRPr="00773EEA">
        <w:rPr>
          <w:rFonts w:cstheme="minorHAnsi"/>
          <w:szCs w:val="20"/>
        </w:rPr>
        <w:t>,</w:t>
      </w:r>
      <w:r w:rsidR="00136A08" w:rsidRPr="00773EEA">
        <w:rPr>
          <w:rFonts w:cstheme="minorHAnsi"/>
          <w:szCs w:val="20"/>
        </w:rPr>
        <w:t xml:space="preserve"> </w:t>
      </w:r>
      <w:r w:rsidR="00323229" w:rsidRPr="00773EEA">
        <w:rPr>
          <w:rFonts w:cstheme="minorHAnsi"/>
          <w:szCs w:val="20"/>
        </w:rPr>
        <w:t>critically</w:t>
      </w:r>
      <w:r w:rsidR="00136A08" w:rsidRPr="00773EEA">
        <w:rPr>
          <w:rFonts w:cstheme="minorHAnsi"/>
          <w:szCs w:val="20"/>
        </w:rPr>
        <w:t>, provide feedback on recommendations and lessons</w:t>
      </w:r>
      <w:r w:rsidR="0022073E" w:rsidRPr="00773EEA">
        <w:rPr>
          <w:rFonts w:cstheme="minorHAnsi"/>
          <w:szCs w:val="20"/>
        </w:rPr>
        <w:t xml:space="preserve"> learn</w:t>
      </w:r>
      <w:r w:rsidR="00D32EA6" w:rsidRPr="00773EEA">
        <w:rPr>
          <w:rFonts w:cstheme="minorHAnsi"/>
          <w:szCs w:val="20"/>
        </w:rPr>
        <w:t>ed</w:t>
      </w:r>
      <w:r w:rsidR="00136A08" w:rsidRPr="00773EEA">
        <w:rPr>
          <w:rFonts w:cstheme="minorHAnsi"/>
          <w:szCs w:val="20"/>
        </w:rPr>
        <w:t>.</w:t>
      </w:r>
      <w:r w:rsidRPr="00773EEA">
        <w:rPr>
          <w:rFonts w:cstheme="minorHAnsi"/>
          <w:szCs w:val="20"/>
        </w:rPr>
        <w:t xml:space="preserve"> Challenges or risks to achieving outcomes and impact</w:t>
      </w:r>
      <w:r w:rsidR="0075646A" w:rsidRPr="00773EEA">
        <w:rPr>
          <w:rFonts w:cstheme="minorHAnsi"/>
          <w:szCs w:val="20"/>
        </w:rPr>
        <w:t xml:space="preserve"> were also</w:t>
      </w:r>
      <w:r w:rsidRPr="00773EEA">
        <w:rPr>
          <w:rFonts w:cstheme="minorHAnsi"/>
          <w:szCs w:val="20"/>
        </w:rPr>
        <w:t xml:space="preserve"> identified. The desk review, detailed document/evidence analysis and data collection/analysis have all informed </w:t>
      </w:r>
      <w:r w:rsidR="009E68CB" w:rsidRPr="00773EEA">
        <w:rPr>
          <w:rFonts w:cstheme="minorHAnsi"/>
          <w:szCs w:val="20"/>
        </w:rPr>
        <w:t xml:space="preserve">the </w:t>
      </w:r>
      <w:r w:rsidRPr="00773EEA">
        <w:rPr>
          <w:rFonts w:cstheme="minorHAnsi"/>
          <w:szCs w:val="20"/>
        </w:rPr>
        <w:t>MTR findings, recommendations and lessons</w:t>
      </w:r>
      <w:r w:rsidR="005D48F6" w:rsidRPr="00773EEA">
        <w:rPr>
          <w:rFonts w:cstheme="minorHAnsi"/>
          <w:szCs w:val="20"/>
        </w:rPr>
        <w:t xml:space="preserve"> presented</w:t>
      </w:r>
      <w:r w:rsidRPr="00773EEA">
        <w:rPr>
          <w:rFonts w:cstheme="minorHAnsi"/>
          <w:szCs w:val="20"/>
        </w:rPr>
        <w:t>.</w:t>
      </w:r>
    </w:p>
    <w:p w14:paraId="19A21AAC" w14:textId="3E4E893B" w:rsidR="002D7741" w:rsidRPr="00773EEA" w:rsidRDefault="002D7741" w:rsidP="005D48F6">
      <w:pPr>
        <w:ind w:left="170"/>
        <w:jc w:val="both"/>
        <w:rPr>
          <w:rFonts w:cstheme="minorHAnsi"/>
          <w:szCs w:val="20"/>
        </w:rPr>
      </w:pPr>
      <w:r w:rsidRPr="00773EEA">
        <w:rPr>
          <w:rStyle w:val="BookTitle"/>
          <w:color w:val="auto"/>
        </w:rPr>
        <w:t>Ethical Considerations:</w:t>
      </w:r>
      <w:r w:rsidRPr="00773EEA">
        <w:rPr>
          <w:rFonts w:cstheme="minorHAnsi"/>
          <w:sz w:val="21"/>
          <w:szCs w:val="21"/>
        </w:rPr>
        <w:t xml:space="preserve"> </w:t>
      </w:r>
      <w:r w:rsidRPr="00773EEA">
        <w:rPr>
          <w:rFonts w:cstheme="minorHAnsi"/>
          <w:szCs w:val="20"/>
        </w:rPr>
        <w:t xml:space="preserve">All data collection and deliverables comply with DFAT’s M&amp;E Standards for Evaluation Reports (Standard 6) and DFAT’s Ethical Research and Evaluation Guidance Note. The main </w:t>
      </w:r>
      <w:r w:rsidR="00E60316" w:rsidRPr="00773EEA">
        <w:rPr>
          <w:rFonts w:cstheme="minorHAnsi"/>
          <w:szCs w:val="20"/>
        </w:rPr>
        <w:t>consideration</w:t>
      </w:r>
      <w:r w:rsidRPr="00773EEA">
        <w:rPr>
          <w:rFonts w:cstheme="minorHAnsi"/>
          <w:szCs w:val="20"/>
        </w:rPr>
        <w:t xml:space="preserve"> for this MTR </w:t>
      </w:r>
      <w:r w:rsidR="00023A2A" w:rsidRPr="00773EEA">
        <w:rPr>
          <w:rFonts w:cstheme="minorHAnsi"/>
          <w:szCs w:val="20"/>
        </w:rPr>
        <w:t>w</w:t>
      </w:r>
      <w:r w:rsidR="00E60316" w:rsidRPr="00773EEA">
        <w:rPr>
          <w:rFonts w:cstheme="minorHAnsi"/>
          <w:szCs w:val="20"/>
        </w:rPr>
        <w:t>as</w:t>
      </w:r>
      <w:r w:rsidRPr="00773EEA">
        <w:rPr>
          <w:rFonts w:cstheme="minorHAnsi"/>
          <w:szCs w:val="20"/>
        </w:rPr>
        <w:t xml:space="preserve"> ensuring a safe and ethical process for arranging and conducting </w:t>
      </w:r>
      <w:r w:rsidR="00E90CCB" w:rsidRPr="00773EEA">
        <w:rPr>
          <w:rFonts w:cstheme="minorHAnsi"/>
          <w:szCs w:val="20"/>
        </w:rPr>
        <w:t>KIIs</w:t>
      </w:r>
      <w:r w:rsidRPr="00773EEA">
        <w:rPr>
          <w:rFonts w:cstheme="minorHAnsi"/>
          <w:szCs w:val="20"/>
        </w:rPr>
        <w:t xml:space="preserve"> and FGDs. All interviewees were informed of the objectives of the interview and provided with the opportunity to give or withhold their informed consent to proceed with the </w:t>
      </w:r>
      <w:r w:rsidR="00440744" w:rsidRPr="00773EEA">
        <w:rPr>
          <w:rFonts w:cstheme="minorHAnsi"/>
          <w:szCs w:val="20"/>
        </w:rPr>
        <w:t>KII</w:t>
      </w:r>
      <w:r w:rsidRPr="00773EEA">
        <w:rPr>
          <w:rFonts w:cstheme="minorHAnsi"/>
          <w:szCs w:val="20"/>
        </w:rPr>
        <w:t xml:space="preserve"> or FGD. </w:t>
      </w:r>
    </w:p>
    <w:p w14:paraId="39841C6E" w14:textId="5B87BDC5" w:rsidR="00F82A8A" w:rsidRPr="00773EEA" w:rsidRDefault="002D7741" w:rsidP="00E60316">
      <w:pPr>
        <w:ind w:left="170"/>
        <w:jc w:val="both"/>
        <w:rPr>
          <w:rFonts w:cstheme="minorHAnsi"/>
          <w:szCs w:val="20"/>
        </w:rPr>
      </w:pPr>
      <w:r w:rsidRPr="00773EEA">
        <w:rPr>
          <w:rStyle w:val="BookTitle"/>
          <w:color w:val="auto"/>
        </w:rPr>
        <w:t>Secure data management:</w:t>
      </w:r>
      <w:r w:rsidRPr="00773EEA">
        <w:rPr>
          <w:rFonts w:cstheme="minorHAnsi"/>
          <w:sz w:val="21"/>
          <w:szCs w:val="21"/>
        </w:rPr>
        <w:t xml:space="preserve"> </w:t>
      </w:r>
      <w:r w:rsidRPr="00773EEA">
        <w:rPr>
          <w:rFonts w:cstheme="minorHAnsi"/>
          <w:szCs w:val="20"/>
        </w:rPr>
        <w:t xml:space="preserve">The </w:t>
      </w:r>
      <w:r w:rsidR="00E60316" w:rsidRPr="00773EEA">
        <w:rPr>
          <w:rFonts w:cstheme="minorHAnsi"/>
          <w:szCs w:val="20"/>
        </w:rPr>
        <w:t>KII</w:t>
      </w:r>
      <w:r w:rsidR="00440744" w:rsidRPr="00773EEA">
        <w:rPr>
          <w:rFonts w:cstheme="minorHAnsi"/>
          <w:szCs w:val="20"/>
        </w:rPr>
        <w:t>s</w:t>
      </w:r>
      <w:r w:rsidRPr="00773EEA">
        <w:rPr>
          <w:rFonts w:cstheme="minorHAnsi"/>
          <w:szCs w:val="20"/>
        </w:rPr>
        <w:t xml:space="preserve"> and FGDs were </w:t>
      </w:r>
      <w:r w:rsidR="00440744" w:rsidRPr="00773EEA">
        <w:rPr>
          <w:rFonts w:cstheme="minorHAnsi"/>
          <w:szCs w:val="20"/>
        </w:rPr>
        <w:t>conducted</w:t>
      </w:r>
      <w:r w:rsidRPr="00773EEA">
        <w:rPr>
          <w:rFonts w:cstheme="minorHAnsi"/>
          <w:szCs w:val="20"/>
        </w:rPr>
        <w:t xml:space="preserve"> </w:t>
      </w:r>
      <w:r w:rsidR="009B3D69" w:rsidRPr="00773EEA">
        <w:rPr>
          <w:rFonts w:cstheme="minorHAnsi"/>
          <w:szCs w:val="20"/>
        </w:rPr>
        <w:t xml:space="preserve">in </w:t>
      </w:r>
      <w:r w:rsidRPr="00773EEA">
        <w:rPr>
          <w:rFonts w:cstheme="minorHAnsi"/>
          <w:szCs w:val="20"/>
        </w:rPr>
        <w:t>confiden</w:t>
      </w:r>
      <w:r w:rsidR="00440744" w:rsidRPr="00773EEA">
        <w:rPr>
          <w:rFonts w:cstheme="minorHAnsi"/>
          <w:szCs w:val="20"/>
        </w:rPr>
        <w:t>ce</w:t>
      </w:r>
      <w:r w:rsidR="009B3D69" w:rsidRPr="00773EEA">
        <w:rPr>
          <w:rFonts w:cstheme="minorHAnsi"/>
          <w:szCs w:val="20"/>
        </w:rPr>
        <w:t>. N</w:t>
      </w:r>
      <w:r w:rsidRPr="00773EEA">
        <w:rPr>
          <w:rFonts w:cstheme="minorHAnsi"/>
          <w:szCs w:val="20"/>
        </w:rPr>
        <w:t>otes</w:t>
      </w:r>
      <w:r w:rsidR="009B3D69" w:rsidRPr="00773EEA">
        <w:rPr>
          <w:rFonts w:cstheme="minorHAnsi"/>
          <w:szCs w:val="20"/>
        </w:rPr>
        <w:t>,</w:t>
      </w:r>
      <w:r w:rsidR="00023A2A" w:rsidRPr="00773EEA">
        <w:rPr>
          <w:rFonts w:cstheme="minorHAnsi"/>
          <w:szCs w:val="20"/>
        </w:rPr>
        <w:t xml:space="preserve"> </w:t>
      </w:r>
      <w:r w:rsidRPr="00773EEA">
        <w:rPr>
          <w:rFonts w:cstheme="minorHAnsi"/>
          <w:szCs w:val="20"/>
        </w:rPr>
        <w:t xml:space="preserve">recordings and transcripts have not been shared with DFAT, ADB, Ramboll or any other parties. This material will be stored </w:t>
      </w:r>
      <w:r w:rsidR="00440744" w:rsidRPr="00773EEA">
        <w:rPr>
          <w:rFonts w:cstheme="minorHAnsi"/>
          <w:szCs w:val="20"/>
        </w:rPr>
        <w:t xml:space="preserve">securing </w:t>
      </w:r>
      <w:r w:rsidRPr="00773EEA">
        <w:rPr>
          <w:rFonts w:cstheme="minorHAnsi"/>
          <w:szCs w:val="20"/>
        </w:rPr>
        <w:t xml:space="preserve">by ASI for a period of three months beyond the end of the MTR, after which they will be </w:t>
      </w:r>
      <w:r w:rsidR="00440744" w:rsidRPr="00773EEA">
        <w:rPr>
          <w:rFonts w:cstheme="minorHAnsi"/>
          <w:szCs w:val="20"/>
        </w:rPr>
        <w:t xml:space="preserve">permanently </w:t>
      </w:r>
      <w:r w:rsidRPr="00773EEA">
        <w:rPr>
          <w:rFonts w:cstheme="minorHAnsi"/>
          <w:szCs w:val="20"/>
        </w:rPr>
        <w:t>deleted.</w:t>
      </w:r>
    </w:p>
    <w:p w14:paraId="3790D562" w14:textId="3313CCDD" w:rsidR="00C17321" w:rsidRPr="00773EEA" w:rsidRDefault="00A20CAF" w:rsidP="00177735">
      <w:pPr>
        <w:pStyle w:val="Heading2"/>
        <w:numPr>
          <w:ilvl w:val="1"/>
          <w:numId w:val="7"/>
        </w:numPr>
      </w:pPr>
      <w:r w:rsidRPr="00773EEA">
        <w:t xml:space="preserve"> </w:t>
      </w:r>
      <w:bookmarkStart w:id="21" w:name="_Toc123633710"/>
      <w:r w:rsidRPr="00773EEA">
        <w:t>Limitations of the MTR</w:t>
      </w:r>
      <w:bookmarkEnd w:id="21"/>
    </w:p>
    <w:p w14:paraId="3C920BC2" w14:textId="0C5ACBC7" w:rsidR="00AA36E2" w:rsidRPr="00773EEA" w:rsidRDefault="00AA36E2" w:rsidP="00440744">
      <w:pPr>
        <w:ind w:left="170"/>
        <w:jc w:val="both"/>
        <w:rPr>
          <w:rFonts w:cstheme="minorHAnsi"/>
          <w:bCs/>
        </w:rPr>
      </w:pPr>
      <w:r w:rsidRPr="00773EEA">
        <w:rPr>
          <w:rFonts w:cstheme="minorHAnsi"/>
          <w:bCs/>
        </w:rPr>
        <w:t xml:space="preserve">An MTR of a large and complex program, such as the AASCTF, will always be limited by the time and budget available. However, the expertise of the </w:t>
      </w:r>
      <w:r w:rsidR="00AE63C3" w:rsidRPr="00773EEA">
        <w:rPr>
          <w:rFonts w:cstheme="minorHAnsi"/>
          <w:sz w:val="21"/>
          <w:szCs w:val="21"/>
        </w:rPr>
        <w:t xml:space="preserve">Evaluation Team </w:t>
      </w:r>
      <w:r w:rsidRPr="00773EEA">
        <w:rPr>
          <w:rFonts w:cstheme="minorHAnsi"/>
          <w:bCs/>
        </w:rPr>
        <w:t xml:space="preserve">and the ability to review a </w:t>
      </w:r>
      <w:r w:rsidR="00972721" w:rsidRPr="00773EEA">
        <w:rPr>
          <w:rFonts w:cstheme="minorHAnsi"/>
          <w:bCs/>
        </w:rPr>
        <w:t xml:space="preserve">representative </w:t>
      </w:r>
      <w:r w:rsidRPr="00773EEA">
        <w:rPr>
          <w:rFonts w:cstheme="minorHAnsi"/>
          <w:bCs/>
        </w:rPr>
        <w:t xml:space="preserve">sample of program interventions, means that the MTR </w:t>
      </w:r>
      <w:r w:rsidR="00972721" w:rsidRPr="00773EEA">
        <w:rPr>
          <w:rFonts w:cstheme="minorHAnsi"/>
          <w:bCs/>
        </w:rPr>
        <w:t>can</w:t>
      </w:r>
      <w:r w:rsidRPr="00773EEA">
        <w:rPr>
          <w:rFonts w:cstheme="minorHAnsi"/>
          <w:bCs/>
        </w:rPr>
        <w:t xml:space="preserve"> deliver meaningful insights and </w:t>
      </w:r>
      <w:r w:rsidR="00DE0780" w:rsidRPr="00773EEA">
        <w:rPr>
          <w:rFonts w:cstheme="minorHAnsi"/>
          <w:bCs/>
        </w:rPr>
        <w:t xml:space="preserve">comprehensive </w:t>
      </w:r>
      <w:r w:rsidRPr="00773EEA">
        <w:rPr>
          <w:rFonts w:cstheme="minorHAnsi"/>
          <w:bCs/>
        </w:rPr>
        <w:t xml:space="preserve">responses to the </w:t>
      </w:r>
      <w:r w:rsidR="00972721" w:rsidRPr="00773EEA">
        <w:rPr>
          <w:rFonts w:cstheme="minorHAnsi"/>
          <w:bCs/>
        </w:rPr>
        <w:t>KEQs</w:t>
      </w:r>
      <w:r w:rsidRPr="00773EEA">
        <w:rPr>
          <w:rFonts w:cstheme="minorHAnsi"/>
          <w:bCs/>
        </w:rPr>
        <w:t xml:space="preserve">. </w:t>
      </w:r>
    </w:p>
    <w:p w14:paraId="655B54AE" w14:textId="12295FD1" w:rsidR="0076373C" w:rsidRPr="00773EEA" w:rsidRDefault="7C8EDEC0" w:rsidP="00440744">
      <w:pPr>
        <w:ind w:left="170"/>
        <w:jc w:val="both"/>
        <w:rPr>
          <w:rFonts w:cstheme="minorHAnsi"/>
          <w:bCs/>
        </w:rPr>
      </w:pPr>
      <w:r w:rsidRPr="00773EEA">
        <w:rPr>
          <w:rFonts w:cstheme="minorBidi"/>
        </w:rPr>
        <w:t xml:space="preserve">Conducting the MTR remotely limited the ability to interview representatives of civil society and potential citizen beneficiaries of city-level interventions. It also meant </w:t>
      </w:r>
      <w:r w:rsidR="00DE0780" w:rsidRPr="00773EEA">
        <w:rPr>
          <w:rFonts w:cstheme="minorBidi"/>
        </w:rPr>
        <w:t xml:space="preserve">the Evaluation Team has </w:t>
      </w:r>
      <w:r w:rsidRPr="00773EEA">
        <w:rPr>
          <w:rFonts w:cstheme="minorBidi"/>
        </w:rPr>
        <w:t xml:space="preserve">no direct exposure to any of </w:t>
      </w:r>
      <w:r w:rsidR="00DE0780" w:rsidRPr="00773EEA">
        <w:rPr>
          <w:rFonts w:cstheme="minorBidi"/>
        </w:rPr>
        <w:t>AASCTF</w:t>
      </w:r>
      <w:r w:rsidRPr="00773EEA">
        <w:rPr>
          <w:rFonts w:cstheme="minorBidi"/>
        </w:rPr>
        <w:t xml:space="preserve"> activities </w:t>
      </w:r>
      <w:r w:rsidR="00DE0780" w:rsidRPr="00773EEA">
        <w:rPr>
          <w:rFonts w:cstheme="minorBidi"/>
        </w:rPr>
        <w:t xml:space="preserve">in </w:t>
      </w:r>
      <w:r w:rsidRPr="00773EEA">
        <w:rPr>
          <w:rFonts w:cstheme="minorBidi"/>
        </w:rPr>
        <w:t xml:space="preserve">their </w:t>
      </w:r>
      <w:r w:rsidR="005877DB" w:rsidRPr="00773EEA">
        <w:rPr>
          <w:rFonts w:cstheme="minorBidi"/>
        </w:rPr>
        <w:t xml:space="preserve">extant delivery </w:t>
      </w:r>
      <w:r w:rsidRPr="00773EEA">
        <w:rPr>
          <w:rFonts w:cstheme="minorBidi"/>
        </w:rPr>
        <w:t xml:space="preserve">contexts. In-country visits allow better </w:t>
      </w:r>
      <w:r w:rsidR="005877DB" w:rsidRPr="00773EEA">
        <w:rPr>
          <w:rFonts w:cstheme="minorBidi"/>
        </w:rPr>
        <w:t xml:space="preserve">appreciation </w:t>
      </w:r>
      <w:r w:rsidRPr="00773EEA">
        <w:rPr>
          <w:rFonts w:cstheme="minorBidi"/>
        </w:rPr>
        <w:t xml:space="preserve">of the practical realities </w:t>
      </w:r>
      <w:r w:rsidR="005877DB" w:rsidRPr="00773EEA">
        <w:rPr>
          <w:rFonts w:cstheme="minorBidi"/>
        </w:rPr>
        <w:t xml:space="preserve">‘on the ground’ </w:t>
      </w:r>
      <w:r w:rsidRPr="00773EEA">
        <w:rPr>
          <w:rFonts w:cstheme="minorBidi"/>
        </w:rPr>
        <w:t xml:space="preserve">and often result in </w:t>
      </w:r>
      <w:r w:rsidR="00EE2D84" w:rsidRPr="00773EEA">
        <w:rPr>
          <w:rFonts w:cstheme="minorBidi"/>
        </w:rPr>
        <w:t>additional</w:t>
      </w:r>
      <w:r w:rsidR="000D5FA9" w:rsidRPr="00773EEA">
        <w:rPr>
          <w:rFonts w:cstheme="minorBidi"/>
        </w:rPr>
        <w:t xml:space="preserve"> </w:t>
      </w:r>
      <w:r w:rsidRPr="00773EEA">
        <w:rPr>
          <w:rFonts w:cstheme="minorBidi"/>
        </w:rPr>
        <w:t xml:space="preserve">insights and </w:t>
      </w:r>
      <w:r w:rsidR="00EE2D84" w:rsidRPr="00773EEA">
        <w:rPr>
          <w:rFonts w:cstheme="minorBidi"/>
        </w:rPr>
        <w:t xml:space="preserve">further </w:t>
      </w:r>
      <w:r w:rsidRPr="00773EEA">
        <w:rPr>
          <w:rFonts w:cstheme="minorBidi"/>
        </w:rPr>
        <w:t>recommendations.</w:t>
      </w:r>
      <w:r w:rsidR="00394337" w:rsidRPr="00773EEA">
        <w:rPr>
          <w:rFonts w:cstheme="minorBidi"/>
        </w:rPr>
        <w:t xml:space="preserve"> </w:t>
      </w:r>
      <w:r w:rsidR="0076373C" w:rsidRPr="00773EEA">
        <w:rPr>
          <w:rFonts w:cstheme="minorHAnsi"/>
          <w:bCs/>
        </w:rPr>
        <w:t>T</w:t>
      </w:r>
      <w:r w:rsidR="00AA36E2" w:rsidRPr="00773EEA">
        <w:rPr>
          <w:rFonts w:cstheme="minorHAnsi"/>
          <w:bCs/>
        </w:rPr>
        <w:t xml:space="preserve">his has been </w:t>
      </w:r>
      <w:r w:rsidR="0076373C" w:rsidRPr="00773EEA">
        <w:rPr>
          <w:rFonts w:cstheme="minorHAnsi"/>
          <w:bCs/>
        </w:rPr>
        <w:t xml:space="preserve">mitigated to some extent </w:t>
      </w:r>
      <w:r w:rsidR="00EE2D84" w:rsidRPr="00773EEA">
        <w:rPr>
          <w:rFonts w:cstheme="minorHAnsi"/>
          <w:bCs/>
        </w:rPr>
        <w:t xml:space="preserve">by </w:t>
      </w:r>
      <w:r w:rsidR="00AA36E2" w:rsidRPr="00773EEA">
        <w:rPr>
          <w:rFonts w:cstheme="minorHAnsi"/>
          <w:bCs/>
        </w:rPr>
        <w:t xml:space="preserve">the deep-dive </w:t>
      </w:r>
      <w:r w:rsidR="0076373C" w:rsidRPr="00773EEA">
        <w:rPr>
          <w:rFonts w:cstheme="minorHAnsi"/>
          <w:bCs/>
        </w:rPr>
        <w:t>into TO-01 and TO-02/05</w:t>
      </w:r>
      <w:r w:rsidR="00EE2D84" w:rsidRPr="00773EEA">
        <w:rPr>
          <w:rFonts w:cstheme="minorHAnsi"/>
          <w:bCs/>
        </w:rPr>
        <w:t>,</w:t>
      </w:r>
      <w:r w:rsidR="0076373C" w:rsidRPr="00773EEA">
        <w:rPr>
          <w:rFonts w:cstheme="minorHAnsi"/>
          <w:bCs/>
        </w:rPr>
        <w:t xml:space="preserve"> </w:t>
      </w:r>
      <w:r w:rsidR="00AA36E2" w:rsidRPr="00773EEA">
        <w:rPr>
          <w:rFonts w:cstheme="minorHAnsi"/>
          <w:bCs/>
        </w:rPr>
        <w:t>where a handful of additional KIIs explored the awareness and initial outcomes of the program</w:t>
      </w:r>
      <w:r w:rsidR="002A42DB" w:rsidRPr="00773EEA">
        <w:rPr>
          <w:rFonts w:cstheme="minorHAnsi"/>
          <w:bCs/>
        </w:rPr>
        <w:t>,</w:t>
      </w:r>
      <w:r w:rsidR="00AA36E2" w:rsidRPr="00773EEA">
        <w:rPr>
          <w:rFonts w:cstheme="minorHAnsi"/>
          <w:bCs/>
        </w:rPr>
        <w:t xml:space="preserve"> from the </w:t>
      </w:r>
      <w:r w:rsidR="002A42DB" w:rsidRPr="00773EEA">
        <w:rPr>
          <w:rFonts w:cstheme="minorHAnsi"/>
          <w:bCs/>
        </w:rPr>
        <w:t xml:space="preserve">perspective </w:t>
      </w:r>
      <w:r w:rsidR="00AA36E2" w:rsidRPr="00773EEA">
        <w:rPr>
          <w:rFonts w:cstheme="minorHAnsi"/>
          <w:bCs/>
        </w:rPr>
        <w:t xml:space="preserve">of </w:t>
      </w:r>
      <w:r w:rsidR="00394337" w:rsidRPr="00773EEA">
        <w:rPr>
          <w:rFonts w:cstheme="minorHAnsi"/>
          <w:bCs/>
        </w:rPr>
        <w:t>civil society and academic stakeholders</w:t>
      </w:r>
      <w:r w:rsidR="00AA36E2" w:rsidRPr="00773EEA">
        <w:rPr>
          <w:rFonts w:cstheme="minorHAnsi"/>
          <w:bCs/>
        </w:rPr>
        <w:t xml:space="preserve">. </w:t>
      </w:r>
    </w:p>
    <w:p w14:paraId="48984EED" w14:textId="584D7FB5" w:rsidR="00AA36E2" w:rsidRPr="00773EEA" w:rsidRDefault="00AA36E2" w:rsidP="00B7602B">
      <w:pPr>
        <w:ind w:left="170"/>
        <w:jc w:val="both"/>
        <w:rPr>
          <w:rFonts w:cstheme="minorHAnsi"/>
          <w:bCs/>
        </w:rPr>
      </w:pPr>
      <w:r w:rsidRPr="00773EEA">
        <w:rPr>
          <w:rFonts w:cstheme="minorHAnsi"/>
          <w:bCs/>
        </w:rPr>
        <w:t xml:space="preserve">The methodology is primarily qualitative and is not intended to evaluate inferences </w:t>
      </w:r>
      <w:r w:rsidR="00F53EBD" w:rsidRPr="00773EEA">
        <w:rPr>
          <w:rFonts w:cstheme="minorHAnsi"/>
          <w:bCs/>
        </w:rPr>
        <w:t xml:space="preserve">drawn </w:t>
      </w:r>
      <w:r w:rsidRPr="00773EEA">
        <w:rPr>
          <w:rFonts w:cstheme="minorHAnsi"/>
          <w:bCs/>
        </w:rPr>
        <w:t xml:space="preserve">through statistical tests. Nevertheless, the MTR findings are likely to provide a robust basis to identify learning and to guide </w:t>
      </w:r>
      <w:r w:rsidR="00F53EBD" w:rsidRPr="00773EEA">
        <w:rPr>
          <w:rFonts w:cstheme="minorHAnsi"/>
          <w:bCs/>
        </w:rPr>
        <w:t xml:space="preserve">AASCTF </w:t>
      </w:r>
      <w:r w:rsidRPr="00773EEA">
        <w:rPr>
          <w:rFonts w:cstheme="minorHAnsi"/>
          <w:bCs/>
        </w:rPr>
        <w:t>improvements and course-correction</w:t>
      </w:r>
      <w:r w:rsidR="0076373C" w:rsidRPr="00773EEA">
        <w:rPr>
          <w:rFonts w:cstheme="minorHAnsi"/>
          <w:bCs/>
        </w:rPr>
        <w:t>, where needed</w:t>
      </w:r>
      <w:r w:rsidRPr="00773EEA">
        <w:rPr>
          <w:rFonts w:cstheme="minorHAnsi"/>
          <w:bCs/>
        </w:rPr>
        <w:t xml:space="preserve">. </w:t>
      </w:r>
    </w:p>
    <w:p w14:paraId="3A293F7F" w14:textId="77777777" w:rsidR="001C655B" w:rsidRPr="00773EEA" w:rsidRDefault="001C655B" w:rsidP="00547372">
      <w:pPr>
        <w:ind w:left="170"/>
      </w:pPr>
    </w:p>
    <w:p w14:paraId="1F53CDF7" w14:textId="2B24ECB5" w:rsidR="002B47AA" w:rsidRPr="00773EEA" w:rsidRDefault="002B47AA" w:rsidP="00177735">
      <w:pPr>
        <w:pStyle w:val="Heading1"/>
        <w:numPr>
          <w:ilvl w:val="0"/>
          <w:numId w:val="7"/>
        </w:numPr>
        <w:rPr>
          <w:color w:val="auto"/>
        </w:rPr>
      </w:pPr>
      <w:bookmarkStart w:id="22" w:name="_Toc123633711"/>
      <w:r w:rsidRPr="00773EEA">
        <w:rPr>
          <w:color w:val="auto"/>
        </w:rPr>
        <w:lastRenderedPageBreak/>
        <w:t>Overview of the AASCTF</w:t>
      </w:r>
      <w:bookmarkEnd w:id="22"/>
    </w:p>
    <w:p w14:paraId="7E41604B" w14:textId="52BB709F" w:rsidR="002B47AA" w:rsidRPr="00773EEA" w:rsidRDefault="00C370F3" w:rsidP="00177735">
      <w:pPr>
        <w:pStyle w:val="Heading2"/>
        <w:numPr>
          <w:ilvl w:val="1"/>
          <w:numId w:val="7"/>
        </w:numPr>
      </w:pPr>
      <w:r w:rsidRPr="00773EEA">
        <w:t xml:space="preserve"> </w:t>
      </w:r>
      <w:bookmarkStart w:id="23" w:name="_Toc123633712"/>
      <w:r w:rsidR="00075B4C" w:rsidRPr="00773EEA">
        <w:t xml:space="preserve">Urban </w:t>
      </w:r>
      <w:r w:rsidR="00446196" w:rsidRPr="00773EEA">
        <w:t xml:space="preserve">Development Challenges and </w:t>
      </w:r>
      <w:r w:rsidR="0017595F" w:rsidRPr="00773EEA">
        <w:t>O</w:t>
      </w:r>
      <w:r w:rsidR="00446196" w:rsidRPr="00773EEA">
        <w:t xml:space="preserve">bjectives </w:t>
      </w:r>
      <w:r w:rsidR="0017595F" w:rsidRPr="00773EEA">
        <w:t>facing</w:t>
      </w:r>
      <w:r w:rsidR="00446196" w:rsidRPr="00773EEA">
        <w:t xml:space="preserve"> </w:t>
      </w:r>
      <w:r w:rsidR="00075B4C" w:rsidRPr="00773EEA">
        <w:t>ASEAN</w:t>
      </w:r>
      <w:bookmarkEnd w:id="23"/>
      <w:r w:rsidR="00075B4C" w:rsidRPr="00773EEA">
        <w:t xml:space="preserve"> </w:t>
      </w:r>
    </w:p>
    <w:p w14:paraId="33AE2215" w14:textId="7FFA7B25" w:rsidR="00154CCB" w:rsidRPr="00773EEA" w:rsidRDefault="00154CCB" w:rsidP="00B7602B">
      <w:pPr>
        <w:ind w:left="170"/>
        <w:jc w:val="both"/>
        <w:rPr>
          <w:rFonts w:cstheme="minorHAnsi"/>
          <w:bCs/>
        </w:rPr>
      </w:pPr>
      <w:r w:rsidRPr="00773EEA">
        <w:rPr>
          <w:rFonts w:cstheme="minorHAnsi"/>
          <w:bCs/>
        </w:rPr>
        <w:t xml:space="preserve">The ASEAN region is rapidly </w:t>
      </w:r>
      <w:r w:rsidR="00532A1F" w:rsidRPr="00773EEA">
        <w:rPr>
          <w:rFonts w:cstheme="minorHAnsi"/>
          <w:bCs/>
        </w:rPr>
        <w:t>urbanising</w:t>
      </w:r>
      <w:r w:rsidRPr="00773EEA">
        <w:rPr>
          <w:rFonts w:cstheme="minorHAnsi"/>
          <w:bCs/>
        </w:rPr>
        <w:t>. Currently, half of the region’s population is urban</w:t>
      </w:r>
      <w:r w:rsidRPr="00773EEA">
        <w:rPr>
          <w:rStyle w:val="FootnoteReference"/>
          <w:rFonts w:cstheme="minorHAnsi"/>
          <w:bCs/>
          <w:color w:val="auto"/>
        </w:rPr>
        <w:footnoteReference w:id="4"/>
      </w:r>
      <w:r w:rsidRPr="00773EEA">
        <w:rPr>
          <w:rFonts w:cstheme="minorHAnsi"/>
          <w:bCs/>
        </w:rPr>
        <w:t xml:space="preserve"> and by 2050, two thirds of the population will live in cities.</w:t>
      </w:r>
      <w:r w:rsidRPr="00773EEA">
        <w:rPr>
          <w:rStyle w:val="FootnoteReference"/>
          <w:rFonts w:cstheme="minorHAnsi"/>
          <w:bCs/>
          <w:color w:val="auto"/>
        </w:rPr>
        <w:footnoteReference w:id="5"/>
      </w:r>
      <w:r w:rsidRPr="00773EEA">
        <w:rPr>
          <w:rFonts w:cstheme="minorHAnsi"/>
          <w:bCs/>
        </w:rPr>
        <w:t xml:space="preserve"> As in most countries across Asia, UN </w:t>
      </w:r>
      <w:r w:rsidR="00B04D63" w:rsidRPr="00773EEA">
        <w:rPr>
          <w:rFonts w:cstheme="minorHAnsi"/>
          <w:bCs/>
        </w:rPr>
        <w:t>e</w:t>
      </w:r>
      <w:r w:rsidRPr="00773EEA">
        <w:rPr>
          <w:rFonts w:cstheme="minorHAnsi"/>
          <w:bCs/>
        </w:rPr>
        <w:t xml:space="preserve">stimates show that this trend of rapid urbanisation </w:t>
      </w:r>
      <w:r w:rsidR="00CA6BC0" w:rsidRPr="00773EEA">
        <w:rPr>
          <w:rFonts w:cstheme="minorHAnsi"/>
          <w:bCs/>
        </w:rPr>
        <w:t xml:space="preserve">is </w:t>
      </w:r>
      <w:r w:rsidRPr="00773EEA">
        <w:rPr>
          <w:rFonts w:cstheme="minorHAnsi"/>
          <w:bCs/>
        </w:rPr>
        <w:t>especially acute in secondary or intermediary cities.</w:t>
      </w:r>
      <w:r w:rsidRPr="00773EEA">
        <w:rPr>
          <w:rStyle w:val="FootnoteReference"/>
          <w:rFonts w:cstheme="minorHAnsi"/>
          <w:bCs/>
          <w:color w:val="auto"/>
        </w:rPr>
        <w:footnoteReference w:id="6"/>
      </w:r>
      <w:r w:rsidRPr="00773EEA">
        <w:rPr>
          <w:rFonts w:cstheme="minorHAnsi"/>
          <w:bCs/>
        </w:rPr>
        <w:t xml:space="preserve"> This rapid growth generally occurs in a chaotic way and along carbon intensive development pathways. Weak urban planning and a lack of municipal capacity and resources is leading to </w:t>
      </w:r>
      <w:r w:rsidR="002321B3" w:rsidRPr="00773EEA">
        <w:rPr>
          <w:rFonts w:cstheme="minorHAnsi"/>
          <w:bCs/>
        </w:rPr>
        <w:t xml:space="preserve">an </w:t>
      </w:r>
      <w:r w:rsidRPr="00773EEA">
        <w:rPr>
          <w:rFonts w:cstheme="minorHAnsi"/>
          <w:bCs/>
        </w:rPr>
        <w:t xml:space="preserve">increased </w:t>
      </w:r>
      <w:r w:rsidR="002321B3" w:rsidRPr="00773EEA">
        <w:rPr>
          <w:rFonts w:cstheme="minorHAnsi"/>
          <w:bCs/>
        </w:rPr>
        <w:t>lag time</w:t>
      </w:r>
      <w:r w:rsidRPr="00773EEA">
        <w:rPr>
          <w:rFonts w:cstheme="minorHAnsi"/>
          <w:bCs/>
        </w:rPr>
        <w:t xml:space="preserve"> in meeting basic needs for housing and sanitation</w:t>
      </w:r>
      <w:r w:rsidR="002321B3" w:rsidRPr="00773EEA">
        <w:rPr>
          <w:rFonts w:cstheme="minorHAnsi"/>
          <w:bCs/>
        </w:rPr>
        <w:t>,</w:t>
      </w:r>
      <w:r w:rsidRPr="00773EEA">
        <w:rPr>
          <w:rFonts w:cstheme="minorHAnsi"/>
          <w:bCs/>
        </w:rPr>
        <w:t xml:space="preserve"> as well as access to energy and transport services. </w:t>
      </w:r>
    </w:p>
    <w:p w14:paraId="3A5E5D71" w14:textId="5C38427F" w:rsidR="00154CCB" w:rsidRPr="00773EEA" w:rsidRDefault="00154CCB" w:rsidP="00B7602B">
      <w:pPr>
        <w:ind w:left="170"/>
        <w:jc w:val="both"/>
        <w:rPr>
          <w:rFonts w:cstheme="minorHAnsi"/>
          <w:bCs/>
        </w:rPr>
      </w:pPr>
      <w:r w:rsidRPr="00773EEA">
        <w:rPr>
          <w:rFonts w:cstheme="minorHAnsi"/>
          <w:bCs/>
        </w:rPr>
        <w:t xml:space="preserve">ASEAN’s </w:t>
      </w:r>
      <w:r w:rsidR="00E74B03" w:rsidRPr="00773EEA">
        <w:rPr>
          <w:rFonts w:cstheme="minorHAnsi"/>
          <w:bCs/>
        </w:rPr>
        <w:t>greenhouse gas (</w:t>
      </w:r>
      <w:r w:rsidRPr="00773EEA">
        <w:rPr>
          <w:rFonts w:cstheme="minorHAnsi"/>
          <w:bCs/>
        </w:rPr>
        <w:t>GHG</w:t>
      </w:r>
      <w:r w:rsidR="00E74B03" w:rsidRPr="00773EEA">
        <w:rPr>
          <w:rFonts w:cstheme="minorHAnsi"/>
          <w:bCs/>
        </w:rPr>
        <w:t>)</w:t>
      </w:r>
      <w:r w:rsidRPr="00773EEA">
        <w:rPr>
          <w:rFonts w:cstheme="minorHAnsi"/>
          <w:bCs/>
        </w:rPr>
        <w:t xml:space="preserve"> emissions have continued to rise, due to increasing energy-related CO2 emissions and GHG emissions from transport and </w:t>
      </w:r>
      <w:r w:rsidR="0018336F" w:rsidRPr="00773EEA">
        <w:rPr>
          <w:rFonts w:cstheme="minorHAnsi"/>
          <w:bCs/>
        </w:rPr>
        <w:t xml:space="preserve">the </w:t>
      </w:r>
      <w:r w:rsidRPr="00773EEA">
        <w:rPr>
          <w:rFonts w:cstheme="minorHAnsi"/>
          <w:bCs/>
        </w:rPr>
        <w:t xml:space="preserve">exploitation of forests. Decoupling of </w:t>
      </w:r>
      <w:r w:rsidR="00D67468" w:rsidRPr="00773EEA">
        <w:rPr>
          <w:rFonts w:cstheme="minorHAnsi"/>
          <w:bCs/>
        </w:rPr>
        <w:t xml:space="preserve">GDP </w:t>
      </w:r>
      <w:r w:rsidRPr="00773EEA">
        <w:rPr>
          <w:rFonts w:cstheme="minorHAnsi"/>
          <w:bCs/>
        </w:rPr>
        <w:t>growth and energy-related emissions has only been achieved in Singapore.</w:t>
      </w:r>
      <w:r w:rsidRPr="00773EEA">
        <w:rPr>
          <w:rStyle w:val="FootnoteReference"/>
          <w:rFonts w:cstheme="minorHAnsi"/>
          <w:bCs/>
          <w:color w:val="auto"/>
        </w:rPr>
        <w:footnoteReference w:id="7"/>
      </w:r>
      <w:r w:rsidRPr="00773EEA">
        <w:rPr>
          <w:rFonts w:cstheme="minorHAnsi"/>
          <w:bCs/>
        </w:rPr>
        <w:t xml:space="preserve"> ASEAN </w:t>
      </w:r>
      <w:r w:rsidR="00737E96" w:rsidRPr="00773EEA">
        <w:rPr>
          <w:rFonts w:cstheme="minorHAnsi"/>
          <w:bCs/>
        </w:rPr>
        <w:t xml:space="preserve">cities </w:t>
      </w:r>
      <w:r w:rsidRPr="00773EEA">
        <w:rPr>
          <w:rFonts w:cstheme="minorHAnsi"/>
          <w:bCs/>
        </w:rPr>
        <w:t xml:space="preserve">are also responsible for a large share GHG emissions in the region. Therefore, </w:t>
      </w:r>
      <w:r w:rsidRPr="00773EEA">
        <w:t>central to urban development in the Asia-Pacific region is the need for rapid and far-reaching climate action in cities. The most recent IPCC report,</w:t>
      </w:r>
      <w:r w:rsidRPr="00773EEA">
        <w:rPr>
          <w:vertAlign w:val="superscript"/>
        </w:rPr>
        <w:footnoteReference w:id="8"/>
      </w:r>
      <w:r w:rsidRPr="00773EEA">
        <w:t xml:space="preserve"> highlights the urgency to accelerate transitions to low-carbon and resilient development pathways. </w:t>
      </w:r>
      <w:r w:rsidRPr="00773EEA">
        <w:rPr>
          <w:rFonts w:cstheme="minorHAnsi"/>
          <w:bCs/>
        </w:rPr>
        <w:t xml:space="preserve">Air pollution is also a critical issue in </w:t>
      </w:r>
      <w:proofErr w:type="gramStart"/>
      <w:r w:rsidRPr="00773EEA">
        <w:rPr>
          <w:rFonts w:cstheme="minorHAnsi"/>
          <w:bCs/>
        </w:rPr>
        <w:t>the majority of</w:t>
      </w:r>
      <w:proofErr w:type="gramEnd"/>
      <w:r w:rsidRPr="00773EEA">
        <w:rPr>
          <w:rFonts w:cstheme="minorHAnsi"/>
          <w:bCs/>
        </w:rPr>
        <w:t xml:space="preserve"> Asian cities and closely connected to GHG emissions. Pollutants from vehicle emissions, energy generation, industrial emissions, burning waste and burning of agricultural land, all contribute to high levels of air pollution and harmful PM2.5 particulate matters. Across the A</w:t>
      </w:r>
      <w:r w:rsidR="00E74B03" w:rsidRPr="00773EEA">
        <w:rPr>
          <w:rFonts w:cstheme="minorHAnsi"/>
          <w:bCs/>
        </w:rPr>
        <w:t>sia Pacific</w:t>
      </w:r>
      <w:r w:rsidRPr="00773EEA">
        <w:rPr>
          <w:rFonts w:cstheme="minorHAnsi"/>
          <w:bCs/>
        </w:rPr>
        <w:t xml:space="preserve"> region, less than 8 per cent of the region’s people are exposed to levels of air pollution that do not pose a significant risk to their health according to the World Health Organization (WHO) guidelines.</w:t>
      </w:r>
      <w:r w:rsidRPr="00773EEA">
        <w:rPr>
          <w:rStyle w:val="FootnoteReference"/>
          <w:rFonts w:cstheme="minorHAnsi"/>
          <w:bCs/>
          <w:color w:val="auto"/>
        </w:rPr>
        <w:footnoteReference w:id="9"/>
      </w:r>
      <w:r w:rsidRPr="00773EEA">
        <w:rPr>
          <w:rFonts w:cstheme="minorHAnsi"/>
          <w:bCs/>
        </w:rPr>
        <w:t xml:space="preserve"> </w:t>
      </w:r>
    </w:p>
    <w:p w14:paraId="51337B69" w14:textId="6163285C" w:rsidR="00154CCB" w:rsidRPr="00773EEA" w:rsidRDefault="00154CCB" w:rsidP="00B7602B">
      <w:pPr>
        <w:ind w:left="170"/>
        <w:jc w:val="both"/>
        <w:rPr>
          <w:bCs/>
        </w:rPr>
      </w:pPr>
      <w:r w:rsidRPr="00773EEA">
        <w:rPr>
          <w:rFonts w:cstheme="minorHAnsi"/>
          <w:bCs/>
        </w:rPr>
        <w:t xml:space="preserve">ASEAN cities, </w:t>
      </w:r>
      <w:r w:rsidRPr="00773EEA">
        <w:rPr>
          <w:rFonts w:cstheme="minorHAnsi"/>
          <w:bCs/>
          <w:lang w:eastAsia="en-GB"/>
        </w:rPr>
        <w:t>particularly in Indonesia, the Philippines and Thailand,</w:t>
      </w:r>
      <w:r w:rsidRPr="00773EEA">
        <w:rPr>
          <w:rFonts w:ascii="Calibri" w:hAnsi="Calibri" w:cs="Calibri"/>
          <w:bCs/>
          <w:lang w:eastAsia="en-GB"/>
        </w:rPr>
        <w:t xml:space="preserve"> </w:t>
      </w:r>
      <w:r w:rsidRPr="00773EEA">
        <w:rPr>
          <w:rFonts w:cstheme="minorHAnsi"/>
          <w:bCs/>
        </w:rPr>
        <w:t xml:space="preserve">are also particularly vulnerable to risks associated with </w:t>
      </w:r>
      <w:r w:rsidR="00C90526" w:rsidRPr="00773EEA">
        <w:rPr>
          <w:rFonts w:cstheme="minorHAnsi"/>
          <w:bCs/>
        </w:rPr>
        <w:t xml:space="preserve">climate-related </w:t>
      </w:r>
      <w:r w:rsidRPr="00773EEA">
        <w:rPr>
          <w:rFonts w:cstheme="minorHAnsi"/>
          <w:bCs/>
        </w:rPr>
        <w:t>natural disasters.</w:t>
      </w:r>
      <w:r w:rsidRPr="00773EEA">
        <w:rPr>
          <w:rStyle w:val="FootnoteReference"/>
          <w:rFonts w:cstheme="minorHAnsi"/>
          <w:bCs/>
          <w:color w:val="auto"/>
          <w:lang w:eastAsia="en-GB"/>
        </w:rPr>
        <w:footnoteReference w:id="10"/>
      </w:r>
      <w:r w:rsidRPr="00773EEA">
        <w:rPr>
          <w:rFonts w:cstheme="minorHAnsi"/>
          <w:bCs/>
        </w:rPr>
        <w:t xml:space="preserve"> Half of the urban population in the region </w:t>
      </w:r>
      <w:proofErr w:type="gramStart"/>
      <w:r w:rsidRPr="00773EEA">
        <w:rPr>
          <w:rFonts w:cstheme="minorHAnsi"/>
          <w:bCs/>
        </w:rPr>
        <w:t>is located in</w:t>
      </w:r>
      <w:proofErr w:type="gramEnd"/>
      <w:r w:rsidRPr="00773EEA">
        <w:rPr>
          <w:rFonts w:cstheme="minorHAnsi"/>
          <w:bCs/>
        </w:rPr>
        <w:t xml:space="preserve"> low-lying coastal areas vulnerable to </w:t>
      </w:r>
      <w:r w:rsidR="00C90526" w:rsidRPr="00773EEA">
        <w:rPr>
          <w:rFonts w:cstheme="minorHAnsi"/>
          <w:bCs/>
        </w:rPr>
        <w:t xml:space="preserve">rising </w:t>
      </w:r>
      <w:r w:rsidRPr="00773EEA">
        <w:rPr>
          <w:rFonts w:cstheme="minorHAnsi"/>
          <w:bCs/>
        </w:rPr>
        <w:t>sea level</w:t>
      </w:r>
      <w:r w:rsidR="00C90526" w:rsidRPr="00773EEA">
        <w:rPr>
          <w:rFonts w:cstheme="minorHAnsi"/>
          <w:bCs/>
        </w:rPr>
        <w:t>s</w:t>
      </w:r>
      <w:r w:rsidRPr="00773EEA">
        <w:rPr>
          <w:rFonts w:cstheme="minorHAnsi"/>
          <w:bCs/>
        </w:rPr>
        <w:t>.</w:t>
      </w:r>
      <w:r w:rsidRPr="00773EEA">
        <w:rPr>
          <w:rStyle w:val="FootnoteReference"/>
          <w:rFonts w:cstheme="minorHAnsi"/>
          <w:bCs/>
          <w:color w:val="auto"/>
        </w:rPr>
        <w:footnoteReference w:id="11"/>
      </w:r>
      <w:r w:rsidRPr="00773EEA">
        <w:rPr>
          <w:rFonts w:cstheme="minorHAnsi"/>
          <w:bCs/>
        </w:rPr>
        <w:t xml:space="preserve"> </w:t>
      </w:r>
      <w:r w:rsidRPr="00773EEA">
        <w:rPr>
          <w:rFonts w:cstheme="minorHAnsi"/>
          <w:bCs/>
          <w:lang w:eastAsia="en-GB"/>
        </w:rPr>
        <w:t xml:space="preserve">Many cities face increasing impacts from climate change through typhoons, heavy precipitation and flooding, landslides, heat waves, and sea-level rise in coastal areas. </w:t>
      </w:r>
    </w:p>
    <w:p w14:paraId="1A7B312F" w14:textId="70385F5C" w:rsidR="008752F9" w:rsidRPr="00773EEA" w:rsidRDefault="00163CD1" w:rsidP="00B7602B">
      <w:pPr>
        <w:ind w:left="170"/>
        <w:jc w:val="both"/>
        <w:rPr>
          <w:rFonts w:cstheme="minorHAnsi"/>
          <w:bCs/>
        </w:rPr>
      </w:pPr>
      <w:r w:rsidRPr="00773EEA">
        <w:rPr>
          <w:rFonts w:cstheme="minorHAnsi"/>
          <w:bCs/>
        </w:rPr>
        <w:t xml:space="preserve">When addressing the challenges set out above, gender equality and social inclusion must be central to urban development solutions. </w:t>
      </w:r>
      <w:r w:rsidR="008752F9" w:rsidRPr="00773EEA">
        <w:rPr>
          <w:rFonts w:cstheme="minorHAnsi"/>
          <w:bCs/>
        </w:rPr>
        <w:t xml:space="preserve">A high number of urban dwellers still live in informal settlements, without access to basic services such as water and sanitation, clean energy, affordable </w:t>
      </w:r>
      <w:r w:rsidR="00C90526" w:rsidRPr="00773EEA">
        <w:rPr>
          <w:rFonts w:cstheme="minorHAnsi"/>
          <w:bCs/>
        </w:rPr>
        <w:t>transportation,</w:t>
      </w:r>
      <w:r w:rsidR="008752F9" w:rsidRPr="00773EEA">
        <w:rPr>
          <w:rFonts w:cstheme="minorHAnsi"/>
          <w:bCs/>
        </w:rPr>
        <w:t xml:space="preserve"> and open space. Addressing gender</w:t>
      </w:r>
      <w:r w:rsidRPr="00773EEA">
        <w:rPr>
          <w:rFonts w:cstheme="minorHAnsi"/>
          <w:bCs/>
        </w:rPr>
        <w:t xml:space="preserve"> equality</w:t>
      </w:r>
      <w:r w:rsidR="008752F9" w:rsidRPr="00773EEA">
        <w:rPr>
          <w:rFonts w:cstheme="minorHAnsi"/>
          <w:bCs/>
        </w:rPr>
        <w:t xml:space="preserve"> and social inclusion must be integrated into </w:t>
      </w:r>
      <w:r w:rsidR="00394337" w:rsidRPr="00773EEA">
        <w:rPr>
          <w:rFonts w:cstheme="minorHAnsi"/>
          <w:bCs/>
        </w:rPr>
        <w:t>a just transition for the</w:t>
      </w:r>
      <w:r w:rsidR="008752F9" w:rsidRPr="00773EEA">
        <w:rPr>
          <w:rFonts w:cstheme="minorHAnsi"/>
          <w:bCs/>
        </w:rPr>
        <w:t xml:space="preserve"> transform</w:t>
      </w:r>
      <w:r w:rsidR="00394337" w:rsidRPr="00773EEA">
        <w:rPr>
          <w:rFonts w:cstheme="minorHAnsi"/>
          <w:bCs/>
        </w:rPr>
        <w:t>ation of</w:t>
      </w:r>
      <w:r w:rsidR="008752F9" w:rsidRPr="00773EEA">
        <w:rPr>
          <w:rFonts w:cstheme="minorHAnsi"/>
          <w:bCs/>
        </w:rPr>
        <w:t xml:space="preserve"> cities to low-carbon and resilient pathways. </w:t>
      </w:r>
    </w:p>
    <w:p w14:paraId="3C9F55B1" w14:textId="26565987" w:rsidR="00154CCB" w:rsidRPr="00773EEA" w:rsidRDefault="00154CCB" w:rsidP="00B7602B">
      <w:pPr>
        <w:ind w:left="170"/>
        <w:jc w:val="both"/>
      </w:pPr>
      <w:r w:rsidRPr="00773EEA">
        <w:rPr>
          <w:rFonts w:cstheme="minorHAnsi"/>
          <w:bCs/>
        </w:rPr>
        <w:t xml:space="preserve">There are also corelations between sustainable urban development and ‘building back better’ following the </w:t>
      </w:r>
      <w:r w:rsidR="00A01081" w:rsidRPr="00773EEA">
        <w:rPr>
          <w:rFonts w:cstheme="minorHAnsi"/>
          <w:bCs/>
        </w:rPr>
        <w:t>COVID</w:t>
      </w:r>
      <w:r w:rsidRPr="00773EEA">
        <w:rPr>
          <w:rFonts w:cstheme="minorHAnsi"/>
          <w:bCs/>
        </w:rPr>
        <w:t xml:space="preserve">-19 pandemic. </w:t>
      </w:r>
      <w:r w:rsidRPr="00773EEA">
        <w:t xml:space="preserve">As highlighted by the UN Secretary-General in 2021, </w:t>
      </w:r>
      <w:r w:rsidR="00A257D6" w:rsidRPr="00773EEA">
        <w:t xml:space="preserve">the </w:t>
      </w:r>
      <w:r w:rsidRPr="00773EEA">
        <w:t xml:space="preserve">central role </w:t>
      </w:r>
      <w:r w:rsidR="00A257D6" w:rsidRPr="00773EEA">
        <w:t xml:space="preserve">of cities </w:t>
      </w:r>
      <w:r w:rsidRPr="00773EEA">
        <w:t xml:space="preserve">in sustainable COVID-19 recovery </w:t>
      </w:r>
      <w:r w:rsidR="00A257D6" w:rsidRPr="00773EEA">
        <w:t>cannot be understated</w:t>
      </w:r>
      <w:r w:rsidRPr="00773EEA">
        <w:t>.</w:t>
      </w:r>
      <w:r w:rsidRPr="00773EEA">
        <w:rPr>
          <w:rStyle w:val="FootnoteReference"/>
          <w:color w:val="auto"/>
        </w:rPr>
        <w:footnoteReference w:id="12"/>
      </w:r>
      <w:r w:rsidRPr="00773EEA">
        <w:t xml:space="preserve"> City governments and stakeholders can help to build new urban econom</w:t>
      </w:r>
      <w:r w:rsidR="00A257D6" w:rsidRPr="00773EEA">
        <w:t>ies</w:t>
      </w:r>
      <w:r w:rsidRPr="00773EEA">
        <w:t xml:space="preserve"> that invest </w:t>
      </w:r>
      <w:r w:rsidRPr="00773EEA">
        <w:rPr>
          <w:rFonts w:cstheme="minorHAnsi"/>
          <w:bCs/>
        </w:rPr>
        <w:t>in</w:t>
      </w:r>
      <w:r w:rsidRPr="00773EEA">
        <w:t xml:space="preserve"> sustainable infrastructure, which will reduce disaster risk, harness nature-based solutions to address climate change</w:t>
      </w:r>
      <w:r w:rsidR="00A257D6" w:rsidRPr="00773EEA">
        <w:t>,</w:t>
      </w:r>
      <w:r w:rsidRPr="00773EEA">
        <w:t xml:space="preserve"> and ensure digital access, health coverage, schooling and housing for all, leading to a healthier, more inclusive, just, green and gender-equal world for all.</w:t>
      </w:r>
    </w:p>
    <w:p w14:paraId="156FEED0" w14:textId="1062FD0B" w:rsidR="00E71791" w:rsidRPr="00773EEA" w:rsidRDefault="00E71791" w:rsidP="00B7602B">
      <w:pPr>
        <w:ind w:left="170"/>
        <w:jc w:val="both"/>
      </w:pPr>
      <w:r w:rsidRPr="00773EEA">
        <w:t xml:space="preserve">Smart city approaches, including data-driven planning and ICT-based tools and services, are playing an increasingly important role </w:t>
      </w:r>
      <w:r w:rsidR="002805ED" w:rsidRPr="00773EEA">
        <w:t>with</w:t>
      </w:r>
      <w:r w:rsidRPr="00773EEA">
        <w:t xml:space="preserve">in ASEAN </w:t>
      </w:r>
      <w:r w:rsidR="002805ED" w:rsidRPr="00773EEA">
        <w:t>M</w:t>
      </w:r>
      <w:r w:rsidRPr="00773EEA">
        <w:t xml:space="preserve">embers </w:t>
      </w:r>
      <w:r w:rsidR="002805ED" w:rsidRPr="00773EEA">
        <w:t>States</w:t>
      </w:r>
      <w:r w:rsidRPr="00773EEA">
        <w:t>.  If implemented in a participatory way, rapidly evolving digital solutions present a wide range of opportunities to address urban challenges, help cities to take climate action</w:t>
      </w:r>
      <w:r w:rsidR="00A978AA" w:rsidRPr="00773EEA">
        <w:t>,</w:t>
      </w:r>
      <w:r w:rsidRPr="00773EEA">
        <w:t xml:space="preserve"> and deliver services and </w:t>
      </w:r>
      <w:r w:rsidR="00A978AA" w:rsidRPr="00773EEA">
        <w:t xml:space="preserve">provide </w:t>
      </w:r>
      <w:r w:rsidRPr="00773EEA">
        <w:t>liveable urban space</w:t>
      </w:r>
      <w:r w:rsidR="00A978AA" w:rsidRPr="00773EEA">
        <w:t>s</w:t>
      </w:r>
      <w:r w:rsidRPr="00773EEA">
        <w:t xml:space="preserve"> for their citizens.</w:t>
      </w:r>
    </w:p>
    <w:p w14:paraId="1699454F" w14:textId="4D124D5A" w:rsidR="00336E6E" w:rsidRPr="00773EEA" w:rsidRDefault="7C8EDEC0" w:rsidP="00177735">
      <w:pPr>
        <w:pStyle w:val="Heading2"/>
        <w:numPr>
          <w:ilvl w:val="1"/>
          <w:numId w:val="7"/>
        </w:numPr>
      </w:pPr>
      <w:r w:rsidRPr="00773EEA">
        <w:t xml:space="preserve"> </w:t>
      </w:r>
      <w:bookmarkStart w:id="24" w:name="_Toc123633713"/>
      <w:r w:rsidRPr="00773EEA">
        <w:t>Overview of the AASCTF Design</w:t>
      </w:r>
      <w:bookmarkEnd w:id="24"/>
    </w:p>
    <w:p w14:paraId="549873F6" w14:textId="399DB924" w:rsidR="006D5B0A" w:rsidRPr="00773EEA" w:rsidRDefault="006D5B0A" w:rsidP="00B7602B">
      <w:pPr>
        <w:ind w:left="170"/>
        <w:jc w:val="both"/>
        <w:rPr>
          <w:rFonts w:cstheme="minorHAnsi"/>
          <w:bCs/>
        </w:rPr>
      </w:pPr>
      <w:r w:rsidRPr="00773EEA">
        <w:rPr>
          <w:rFonts w:cstheme="minorHAnsi"/>
          <w:bCs/>
        </w:rPr>
        <w:t>Within the context set out above, the AASCTF</w:t>
      </w:r>
      <w:r w:rsidR="0068707D" w:rsidRPr="00773EEA">
        <w:rPr>
          <w:rFonts w:cstheme="minorHAnsi"/>
          <w:bCs/>
        </w:rPr>
        <w:t>’s</w:t>
      </w:r>
      <w:r w:rsidRPr="00773EEA">
        <w:rPr>
          <w:rFonts w:cstheme="minorHAnsi"/>
          <w:bCs/>
        </w:rPr>
        <w:t xml:space="preserve"> key output areas are 1) improved planning systems; 2) improved service delivery; and 3) improved financial management</w:t>
      </w:r>
      <w:r w:rsidR="0068707D" w:rsidRPr="00773EEA">
        <w:rPr>
          <w:rFonts w:cstheme="minorHAnsi"/>
          <w:bCs/>
        </w:rPr>
        <w:t xml:space="preserve">, </w:t>
      </w:r>
      <w:r w:rsidR="0068707D" w:rsidRPr="00773EEA">
        <w:rPr>
          <w:rFonts w:eastAsia="Arial" w:cs="Arial"/>
          <w:szCs w:val="20"/>
        </w:rPr>
        <w:t>through the adoption and adaptation of digital solutions</w:t>
      </w:r>
      <w:r w:rsidRPr="00773EEA">
        <w:rPr>
          <w:rFonts w:cstheme="minorHAnsi"/>
          <w:bCs/>
        </w:rPr>
        <w:t xml:space="preserve">. The program achieves this through three different </w:t>
      </w:r>
      <w:r w:rsidR="00946B5A" w:rsidRPr="00773EEA">
        <w:rPr>
          <w:rFonts w:cstheme="minorHAnsi"/>
          <w:bCs/>
        </w:rPr>
        <w:t xml:space="preserve">tiers </w:t>
      </w:r>
      <w:r w:rsidRPr="00773EEA">
        <w:rPr>
          <w:rFonts w:cstheme="minorHAnsi"/>
          <w:bCs/>
        </w:rPr>
        <w:t xml:space="preserve">of interventions (titled ‘Bronze’, ‘Silver’ and ‘Gold’) with participating </w:t>
      </w:r>
      <w:r w:rsidRPr="00773EEA">
        <w:rPr>
          <w:rFonts w:cstheme="minorHAnsi"/>
          <w:bCs/>
        </w:rPr>
        <w:lastRenderedPageBreak/>
        <w:t xml:space="preserve">ASEAN cities. Bronze cities can participate in regional knowledge sharing and capacity building events, </w:t>
      </w:r>
      <w:proofErr w:type="gramStart"/>
      <w:r w:rsidRPr="00773EEA">
        <w:rPr>
          <w:rFonts w:cstheme="minorHAnsi"/>
          <w:bCs/>
        </w:rPr>
        <w:t>Silver</w:t>
      </w:r>
      <w:proofErr w:type="gramEnd"/>
      <w:r w:rsidRPr="00773EEA">
        <w:rPr>
          <w:rFonts w:cstheme="minorHAnsi"/>
          <w:bCs/>
        </w:rPr>
        <w:t xml:space="preserve"> cities are able to receive technical assistance and pilot proof of concepts, and </w:t>
      </w:r>
      <w:r w:rsidR="00C760A5" w:rsidRPr="00773EEA">
        <w:rPr>
          <w:rFonts w:cstheme="minorHAnsi"/>
          <w:bCs/>
        </w:rPr>
        <w:t xml:space="preserve">Gold </w:t>
      </w:r>
      <w:r w:rsidRPr="00773EEA">
        <w:rPr>
          <w:rFonts w:cstheme="minorHAnsi"/>
          <w:bCs/>
        </w:rPr>
        <w:t>cities are eligible for investment grants (standalone or as part of an ADB partnership or lending program) to be used to support the development of demonstration projects.</w:t>
      </w:r>
    </w:p>
    <w:p w14:paraId="0844866C" w14:textId="177AF237" w:rsidR="00D03C87" w:rsidRPr="00773EEA" w:rsidRDefault="006D5B0A" w:rsidP="00B7602B">
      <w:pPr>
        <w:ind w:left="170"/>
        <w:jc w:val="both"/>
        <w:rPr>
          <w:rFonts w:cstheme="minorHAnsi"/>
          <w:bCs/>
        </w:rPr>
      </w:pPr>
      <w:r w:rsidRPr="00773EEA">
        <w:rPr>
          <w:rFonts w:cstheme="minorHAnsi"/>
          <w:bCs/>
        </w:rPr>
        <w:t xml:space="preserve">There are three cross-cutting themes that inform program design and intended outcomes: GESI; </w:t>
      </w:r>
      <w:r w:rsidR="00323BC6" w:rsidRPr="00773EEA">
        <w:rPr>
          <w:rFonts w:cstheme="minorHAnsi"/>
          <w:bCs/>
        </w:rPr>
        <w:t>c</w:t>
      </w:r>
      <w:r w:rsidRPr="00773EEA">
        <w:rPr>
          <w:rFonts w:cstheme="minorHAnsi"/>
          <w:bCs/>
        </w:rPr>
        <w:t xml:space="preserve">limate </w:t>
      </w:r>
      <w:r w:rsidR="00323BC6" w:rsidRPr="00773EEA">
        <w:rPr>
          <w:rFonts w:cstheme="minorHAnsi"/>
          <w:bCs/>
        </w:rPr>
        <w:t>c</w:t>
      </w:r>
      <w:r w:rsidRPr="00773EEA">
        <w:rPr>
          <w:rFonts w:cstheme="minorHAnsi"/>
          <w:bCs/>
        </w:rPr>
        <w:t xml:space="preserve">hange; and </w:t>
      </w:r>
      <w:r w:rsidR="00323BC6" w:rsidRPr="00773EEA">
        <w:rPr>
          <w:rFonts w:cstheme="minorHAnsi"/>
          <w:bCs/>
        </w:rPr>
        <w:t>p</w:t>
      </w:r>
      <w:r w:rsidRPr="00773EEA">
        <w:rPr>
          <w:rFonts w:cstheme="minorHAnsi"/>
          <w:bCs/>
        </w:rPr>
        <w:t xml:space="preserve">rivate </w:t>
      </w:r>
      <w:r w:rsidR="00323BC6" w:rsidRPr="00773EEA">
        <w:rPr>
          <w:rFonts w:cstheme="minorHAnsi"/>
          <w:bCs/>
        </w:rPr>
        <w:t>s</w:t>
      </w:r>
      <w:r w:rsidRPr="00773EEA">
        <w:rPr>
          <w:rFonts w:cstheme="minorHAnsi"/>
          <w:bCs/>
        </w:rPr>
        <w:t xml:space="preserve">ector development and engagement. The program is also structured around three </w:t>
      </w:r>
      <w:r w:rsidR="0000385A" w:rsidRPr="00773EEA">
        <w:rPr>
          <w:rFonts w:cstheme="minorHAnsi"/>
          <w:bCs/>
        </w:rPr>
        <w:t xml:space="preserve">work </w:t>
      </w:r>
      <w:r w:rsidRPr="00773EEA">
        <w:rPr>
          <w:rFonts w:cstheme="minorHAnsi"/>
          <w:bCs/>
        </w:rPr>
        <w:t>typ</w:t>
      </w:r>
      <w:r w:rsidR="0000385A" w:rsidRPr="00773EEA">
        <w:rPr>
          <w:rFonts w:cstheme="minorHAnsi"/>
          <w:bCs/>
        </w:rPr>
        <w:t>ologies</w:t>
      </w:r>
      <w:r w:rsidRPr="00773EEA">
        <w:rPr>
          <w:rFonts w:cstheme="minorHAnsi"/>
          <w:bCs/>
        </w:rPr>
        <w:t xml:space="preserve">: </w:t>
      </w:r>
    </w:p>
    <w:p w14:paraId="565C39DE" w14:textId="62AAE7E4" w:rsidR="00D03C87" w:rsidRPr="00773EEA" w:rsidRDefault="006D5B0A" w:rsidP="00177735">
      <w:pPr>
        <w:pStyle w:val="ListParagraph"/>
        <w:numPr>
          <w:ilvl w:val="0"/>
          <w:numId w:val="8"/>
        </w:numPr>
        <w:spacing w:after="0" w:line="276" w:lineRule="auto"/>
        <w:ind w:left="884" w:hanging="357"/>
        <w:jc w:val="both"/>
        <w:rPr>
          <w:rFonts w:cstheme="minorHAnsi"/>
          <w:bCs/>
        </w:rPr>
      </w:pPr>
      <w:r w:rsidRPr="00773EEA">
        <w:rPr>
          <w:b/>
          <w:bCs/>
        </w:rPr>
        <w:t>Foundational,</w:t>
      </w:r>
      <w:r w:rsidRPr="00773EEA">
        <w:rPr>
          <w:rFonts w:cstheme="minorHAnsi"/>
          <w:bCs/>
        </w:rPr>
        <w:t xml:space="preserve"> whereby scoping and design of interventions is </w:t>
      </w:r>
      <w:proofErr w:type="gramStart"/>
      <w:r w:rsidRPr="00773EEA">
        <w:rPr>
          <w:rFonts w:cstheme="minorHAnsi"/>
          <w:bCs/>
        </w:rPr>
        <w:t>undertaken</w:t>
      </w:r>
      <w:r w:rsidR="0000385A" w:rsidRPr="00773EEA">
        <w:rPr>
          <w:rFonts w:cstheme="minorHAnsi"/>
          <w:bCs/>
        </w:rPr>
        <w:t>;</w:t>
      </w:r>
      <w:proofErr w:type="gramEnd"/>
      <w:r w:rsidRPr="00773EEA">
        <w:rPr>
          <w:rFonts w:cstheme="minorHAnsi"/>
          <w:bCs/>
        </w:rPr>
        <w:t xml:space="preserve"> </w:t>
      </w:r>
    </w:p>
    <w:p w14:paraId="1A334D0C" w14:textId="518F13B5" w:rsidR="00D03C87" w:rsidRPr="00773EEA" w:rsidRDefault="006D5B0A" w:rsidP="00177735">
      <w:pPr>
        <w:pStyle w:val="ListParagraph"/>
        <w:numPr>
          <w:ilvl w:val="0"/>
          <w:numId w:val="8"/>
        </w:numPr>
        <w:spacing w:before="60" w:after="60" w:line="276" w:lineRule="auto"/>
        <w:ind w:left="884" w:hanging="357"/>
        <w:contextualSpacing w:val="0"/>
        <w:jc w:val="both"/>
        <w:rPr>
          <w:rFonts w:cstheme="minorHAnsi"/>
          <w:bCs/>
        </w:rPr>
      </w:pPr>
      <w:r w:rsidRPr="00773EEA">
        <w:rPr>
          <w:b/>
          <w:bCs/>
        </w:rPr>
        <w:t>Implementation,</w:t>
      </w:r>
      <w:r w:rsidRPr="00773EEA">
        <w:rPr>
          <w:rFonts w:cstheme="minorHAnsi"/>
          <w:bCs/>
        </w:rPr>
        <w:t xml:space="preserve"> in which the </w:t>
      </w:r>
      <w:r w:rsidR="0000385A" w:rsidRPr="00773EEA">
        <w:rPr>
          <w:rFonts w:cstheme="minorHAnsi"/>
          <w:bCs/>
        </w:rPr>
        <w:t>TOs</w:t>
      </w:r>
      <w:r w:rsidRPr="00773EEA">
        <w:rPr>
          <w:rFonts w:cstheme="minorHAnsi"/>
          <w:bCs/>
        </w:rPr>
        <w:t xml:space="preserve"> are carried out; and </w:t>
      </w:r>
    </w:p>
    <w:p w14:paraId="263A62A6" w14:textId="78F3E696" w:rsidR="006D5B0A" w:rsidRPr="00773EEA" w:rsidRDefault="006D5B0A" w:rsidP="00177735">
      <w:pPr>
        <w:pStyle w:val="ListParagraph"/>
        <w:numPr>
          <w:ilvl w:val="0"/>
          <w:numId w:val="8"/>
        </w:numPr>
        <w:spacing w:after="0" w:line="276" w:lineRule="auto"/>
        <w:ind w:left="884" w:hanging="357"/>
        <w:jc w:val="both"/>
        <w:rPr>
          <w:rFonts w:cstheme="minorHAnsi"/>
          <w:bCs/>
        </w:rPr>
      </w:pPr>
      <w:r w:rsidRPr="00773EEA">
        <w:rPr>
          <w:b/>
          <w:bCs/>
        </w:rPr>
        <w:t>Influencing,</w:t>
      </w:r>
      <w:r w:rsidRPr="00773EEA">
        <w:rPr>
          <w:rFonts w:cstheme="minorHAnsi"/>
          <w:bCs/>
        </w:rPr>
        <w:t xml:space="preserve"> which covers work to build awareness and capacity of municipal governments in sustainable urban development, supported by digital solutions.  </w:t>
      </w:r>
    </w:p>
    <w:p w14:paraId="6E06B773" w14:textId="5989339F" w:rsidR="00A4571F" w:rsidRPr="00773EEA" w:rsidRDefault="006D5B0A" w:rsidP="00B7602B">
      <w:pPr>
        <w:spacing w:before="120"/>
        <w:ind w:left="142"/>
        <w:jc w:val="both"/>
        <w:rPr>
          <w:rFonts w:cstheme="minorHAnsi"/>
          <w:bCs/>
        </w:rPr>
      </w:pPr>
      <w:r w:rsidRPr="00773EEA">
        <w:rPr>
          <w:rFonts w:cstheme="minorHAnsi"/>
          <w:bCs/>
        </w:rPr>
        <w:t>The AASCTF is being implemented in 24 cities in Cambodia, Indonesia, Lao</w:t>
      </w:r>
      <w:r w:rsidR="0000385A" w:rsidRPr="00773EEA">
        <w:rPr>
          <w:rFonts w:cstheme="minorHAnsi"/>
          <w:bCs/>
        </w:rPr>
        <w:t xml:space="preserve"> PDR</w:t>
      </w:r>
      <w:r w:rsidRPr="00773EEA">
        <w:rPr>
          <w:rFonts w:cstheme="minorHAnsi"/>
          <w:bCs/>
        </w:rPr>
        <w:t xml:space="preserve">, Malaysia, Myanmar, Philippines, Thailand, and Vietnam, as detailed in </w:t>
      </w:r>
      <w:r w:rsidRPr="00773EEA">
        <w:rPr>
          <w:rFonts w:cstheme="minorHAnsi"/>
          <w:b/>
        </w:rPr>
        <w:t xml:space="preserve">Table </w:t>
      </w:r>
      <w:r w:rsidR="00286E4B" w:rsidRPr="00773EEA">
        <w:rPr>
          <w:rFonts w:cstheme="minorHAnsi"/>
          <w:b/>
        </w:rPr>
        <w:t>2</w:t>
      </w:r>
      <w:r w:rsidRPr="00773EEA">
        <w:rPr>
          <w:rFonts w:cstheme="minorHAnsi"/>
          <w:bCs/>
        </w:rPr>
        <w:t xml:space="preserve">. All the cities participate in Bronze-level influencing and training activities, while there are 11 Silver cities, and it is envisaged that three cities will become </w:t>
      </w:r>
      <w:proofErr w:type="gramStart"/>
      <w:r w:rsidR="00A4571F" w:rsidRPr="00773EEA">
        <w:rPr>
          <w:rFonts w:cstheme="minorHAnsi"/>
          <w:bCs/>
        </w:rPr>
        <w:t>Gold</w:t>
      </w:r>
      <w:proofErr w:type="gramEnd"/>
      <w:r w:rsidR="00A4571F" w:rsidRPr="00773EEA">
        <w:rPr>
          <w:rFonts w:cstheme="minorHAnsi"/>
          <w:bCs/>
        </w:rPr>
        <w:t xml:space="preserve"> tier cities, receiving investment to further realise their smart city goals. </w:t>
      </w:r>
    </w:p>
    <w:p w14:paraId="48F39665" w14:textId="166E7045" w:rsidR="006D5B0A" w:rsidRPr="00773EEA" w:rsidRDefault="65FAAC93" w:rsidP="00B7602B">
      <w:pPr>
        <w:spacing w:before="120"/>
        <w:ind w:left="170"/>
        <w:jc w:val="both"/>
        <w:rPr>
          <w:rFonts w:cstheme="minorBidi"/>
        </w:rPr>
      </w:pPr>
      <w:r w:rsidRPr="00773EEA">
        <w:rPr>
          <w:rFonts w:cstheme="minorBidi"/>
        </w:rPr>
        <w:t xml:space="preserve">Sectors and activities for participating cities are prioritised through a mix of city profiling; stakeholder consultations with city governments and DFAT posts; alignment with the ADB partnership and lending program; membership to the ASEAN Smart City Network; and alignment with the ASEAN Sustainable Urbanisation Strategy. TOs are then developed by ADB </w:t>
      </w:r>
      <w:r w:rsidR="00165B1E" w:rsidRPr="00773EEA">
        <w:rPr>
          <w:rFonts w:cstheme="minorBidi"/>
        </w:rPr>
        <w:t>and Ramboll</w:t>
      </w:r>
      <w:r w:rsidRPr="00773EEA">
        <w:rPr>
          <w:rFonts w:cstheme="minorBidi"/>
        </w:rPr>
        <w:t xml:space="preserve"> AASCTF core team to scope activities and enable mobilisation of task teams to implement pilot projects. As well as </w:t>
      </w:r>
      <w:r w:rsidR="00165B1E" w:rsidRPr="00773EEA">
        <w:rPr>
          <w:rFonts w:cstheme="minorBidi"/>
        </w:rPr>
        <w:t>city focused</w:t>
      </w:r>
      <w:r w:rsidRPr="00773EEA">
        <w:rPr>
          <w:rFonts w:cstheme="minorBidi"/>
        </w:rPr>
        <w:t xml:space="preserve"> TOs, there are also regional TOs that provide training and guidance to municipal government representatives in all participating cities. </w:t>
      </w:r>
    </w:p>
    <w:p w14:paraId="358B3208" w14:textId="2711F1EB" w:rsidR="00446196" w:rsidRPr="00773EEA" w:rsidRDefault="7C8EDEC0" w:rsidP="00177735">
      <w:pPr>
        <w:pStyle w:val="Heading2"/>
        <w:numPr>
          <w:ilvl w:val="1"/>
          <w:numId w:val="7"/>
        </w:numPr>
      </w:pPr>
      <w:r w:rsidRPr="00773EEA">
        <w:t xml:space="preserve"> </w:t>
      </w:r>
      <w:bookmarkStart w:id="25" w:name="_Toc123633714"/>
      <w:r w:rsidRPr="00773EEA">
        <w:t>Bronze Level Interventions</w:t>
      </w:r>
      <w:bookmarkEnd w:id="25"/>
    </w:p>
    <w:p w14:paraId="7672D232" w14:textId="1FEAC702" w:rsidR="00EB77AA" w:rsidRPr="00773EEA" w:rsidRDefault="65FAAC93" w:rsidP="00B7602B">
      <w:pPr>
        <w:ind w:left="170"/>
        <w:jc w:val="both"/>
      </w:pPr>
      <w:r w:rsidRPr="00773EEA">
        <w:t xml:space="preserve">A </w:t>
      </w:r>
      <w:r w:rsidR="0076373C" w:rsidRPr="00773EEA">
        <w:t xml:space="preserve">notable </w:t>
      </w:r>
      <w:r w:rsidRPr="00773EEA">
        <w:t xml:space="preserve">component of the program is focused on </w:t>
      </w:r>
      <w:r w:rsidR="0076373C" w:rsidRPr="00773EEA">
        <w:t xml:space="preserve">influencing activities which are aimed to raise </w:t>
      </w:r>
      <w:r w:rsidRPr="00773EEA">
        <w:t xml:space="preserve">awareness and </w:t>
      </w:r>
      <w:r w:rsidR="0076373C" w:rsidRPr="00773EEA">
        <w:t xml:space="preserve">develop </w:t>
      </w:r>
      <w:r w:rsidRPr="00773EEA">
        <w:t>capacity of government staff and other city stakeholders</w:t>
      </w:r>
      <w:r w:rsidR="0076373C" w:rsidRPr="00773EEA">
        <w:t xml:space="preserve"> in relevant smart city topics</w:t>
      </w:r>
      <w:r w:rsidRPr="00773EEA">
        <w:t xml:space="preserve">. </w:t>
      </w:r>
    </w:p>
    <w:p w14:paraId="278BF391" w14:textId="77777777" w:rsidR="00626451" w:rsidRPr="00773EEA" w:rsidRDefault="00626451" w:rsidP="00B64A33">
      <w:pPr>
        <w:spacing w:before="60" w:after="60" w:line="276" w:lineRule="auto"/>
        <w:ind w:left="142"/>
        <w:jc w:val="both"/>
      </w:pPr>
      <w:r w:rsidRPr="00773EEA">
        <w:rPr>
          <w:rStyle w:val="BookTitle"/>
          <w:color w:val="auto"/>
        </w:rPr>
        <w:t>Series of public webinars:</w:t>
      </w:r>
      <w:r w:rsidRPr="00773EEA">
        <w:t xml:space="preserve"> Designed to disseminate innovative ideas, best-practice methods and illustrative examples on smart city approaches. </w:t>
      </w:r>
    </w:p>
    <w:p w14:paraId="2DF6AE71" w14:textId="77777777" w:rsidR="00EB77AA" w:rsidRPr="00773EEA" w:rsidRDefault="00EB77AA" w:rsidP="007056B0">
      <w:pPr>
        <w:ind w:left="170"/>
        <w:jc w:val="both"/>
      </w:pPr>
      <w:r w:rsidRPr="00773EEA">
        <w:rPr>
          <w:rStyle w:val="BookTitle"/>
          <w:color w:val="auto"/>
        </w:rPr>
        <w:t>TO-08: Baseline Development and Capacity Building for ASEAN AASCTF</w:t>
      </w:r>
      <w:r w:rsidRPr="00773EEA">
        <w:t xml:space="preserve"> participating cities includes the following components:</w:t>
      </w:r>
    </w:p>
    <w:p w14:paraId="6B8EFCA4" w14:textId="4DB5E024" w:rsidR="00EB77AA" w:rsidRPr="00773EEA" w:rsidRDefault="7C2F6B61" w:rsidP="00177735">
      <w:pPr>
        <w:pStyle w:val="ListParagraph"/>
        <w:numPr>
          <w:ilvl w:val="0"/>
          <w:numId w:val="8"/>
        </w:numPr>
        <w:spacing w:line="276" w:lineRule="auto"/>
        <w:ind w:left="884" w:hanging="357"/>
        <w:contextualSpacing w:val="0"/>
        <w:jc w:val="both"/>
      </w:pPr>
      <w:r w:rsidRPr="00773EEA">
        <w:rPr>
          <w:rStyle w:val="BookTitle"/>
          <w:color w:val="auto"/>
        </w:rPr>
        <w:t xml:space="preserve">AASCTF and smart </w:t>
      </w:r>
      <w:proofErr w:type="gramStart"/>
      <w:r w:rsidRPr="00773EEA">
        <w:rPr>
          <w:rStyle w:val="BookTitle"/>
          <w:color w:val="auto"/>
        </w:rPr>
        <w:t>cities</w:t>
      </w:r>
      <w:proofErr w:type="gramEnd"/>
      <w:r w:rsidRPr="00773EEA">
        <w:rPr>
          <w:rStyle w:val="BookTitle"/>
          <w:color w:val="auto"/>
        </w:rPr>
        <w:t xml:space="preserve"> introduction workshops:</w:t>
      </w:r>
      <w:r w:rsidRPr="00773EEA">
        <w:t xml:space="preserve"> Designed to provide a contextually relevant overview of smart city approaches to participating cities, along with the importance of cross-cutting considerations such as gender equality and social inclusion (GESI) and climate change. </w:t>
      </w:r>
    </w:p>
    <w:p w14:paraId="4C5AE0D6" w14:textId="185F3500" w:rsidR="00300012" w:rsidRPr="00773EEA" w:rsidRDefault="000D52CD" w:rsidP="00177735">
      <w:pPr>
        <w:pStyle w:val="ListParagraph"/>
        <w:numPr>
          <w:ilvl w:val="0"/>
          <w:numId w:val="8"/>
        </w:numPr>
        <w:spacing w:line="276" w:lineRule="auto"/>
        <w:ind w:left="884" w:hanging="357"/>
        <w:contextualSpacing w:val="0"/>
        <w:jc w:val="both"/>
      </w:pPr>
      <w:r w:rsidRPr="00773EEA">
        <w:rPr>
          <w:rStyle w:val="BookTitle"/>
          <w:color w:val="auto"/>
        </w:rPr>
        <w:t>Baseline development:</w:t>
      </w:r>
      <w:r w:rsidRPr="00773EEA">
        <w:t xml:space="preserve"> Assess</w:t>
      </w:r>
      <w:r w:rsidR="00300012" w:rsidRPr="00773EEA">
        <w:t xml:space="preserve">ing how e-governance in the different cities supports the three cross-cutting topics defined by AASCTF (GESI, Climate Change and Private Sector Engagement). </w:t>
      </w:r>
    </w:p>
    <w:p w14:paraId="0F24992C" w14:textId="0F7491AC" w:rsidR="00EB77AA" w:rsidRPr="00773EEA" w:rsidRDefault="7C2F6B61" w:rsidP="00177735">
      <w:pPr>
        <w:pStyle w:val="ListParagraph"/>
        <w:numPr>
          <w:ilvl w:val="0"/>
          <w:numId w:val="8"/>
        </w:numPr>
        <w:spacing w:line="276" w:lineRule="auto"/>
        <w:ind w:left="884" w:hanging="357"/>
        <w:contextualSpacing w:val="0"/>
        <w:jc w:val="both"/>
      </w:pPr>
      <w:r w:rsidRPr="00773EEA">
        <w:rPr>
          <w:rStyle w:val="BookTitle"/>
          <w:color w:val="auto"/>
        </w:rPr>
        <w:t>City twinning program:</w:t>
      </w:r>
      <w:r w:rsidRPr="00773EEA">
        <w:t xml:space="preserve"> Currently twinning Makassar, Indonesia with Gold Cost, Australia; and Baguio, Philippines with Perth, Australia. The overall aim is to increase the understanding of ASEAN cities of the complexity of smart city development; develop new technical skills and knowledge; and gain greater confidence through the exchange of best practices and lessons learned. For both cities (mentor and beneficiary) the overall aim is to develop mutually inspiring relationships, and to strengthen cross-cultural collaboration skills, as well as opportunities for political and business-related cooperation. </w:t>
      </w:r>
    </w:p>
    <w:p w14:paraId="583897C1" w14:textId="0A8C4138" w:rsidR="00626451" w:rsidRPr="00773EEA" w:rsidRDefault="00626451" w:rsidP="00177735">
      <w:pPr>
        <w:pStyle w:val="ListParagraph"/>
        <w:numPr>
          <w:ilvl w:val="0"/>
          <w:numId w:val="8"/>
        </w:numPr>
        <w:spacing w:line="276" w:lineRule="auto"/>
        <w:ind w:left="884" w:hanging="357"/>
        <w:contextualSpacing w:val="0"/>
        <w:jc w:val="both"/>
      </w:pPr>
      <w:r w:rsidRPr="00773EEA">
        <w:rPr>
          <w:rStyle w:val="BookTitle"/>
          <w:color w:val="auto"/>
        </w:rPr>
        <w:t>Smart City Introduction e-learning course:</w:t>
      </w:r>
      <w:r w:rsidRPr="00773EEA">
        <w:t xml:space="preserve"> Accessible on ADB eLearn portal. The first AASCTF produced e-learning course went live at the end of June 2022.</w:t>
      </w:r>
    </w:p>
    <w:p w14:paraId="0E22A753" w14:textId="5F9E06AA" w:rsidR="00626451" w:rsidRPr="00773EEA" w:rsidRDefault="00626451" w:rsidP="00177735">
      <w:pPr>
        <w:pStyle w:val="ListParagraph"/>
        <w:numPr>
          <w:ilvl w:val="0"/>
          <w:numId w:val="8"/>
        </w:numPr>
        <w:spacing w:line="276" w:lineRule="auto"/>
        <w:ind w:left="884" w:hanging="357"/>
        <w:contextualSpacing w:val="0"/>
        <w:jc w:val="both"/>
      </w:pPr>
      <w:r w:rsidRPr="00773EEA">
        <w:rPr>
          <w:rStyle w:val="BookTitle"/>
          <w:color w:val="auto"/>
        </w:rPr>
        <w:t xml:space="preserve">Thematic workshops with homework/reflection </w:t>
      </w:r>
      <w:r w:rsidR="005A6EE7" w:rsidRPr="00773EEA">
        <w:rPr>
          <w:rStyle w:val="BookTitle"/>
          <w:color w:val="auto"/>
        </w:rPr>
        <w:t>exercises</w:t>
      </w:r>
      <w:r w:rsidRPr="00773EEA">
        <w:rPr>
          <w:rStyle w:val="BookTitle"/>
          <w:color w:val="auto"/>
        </w:rPr>
        <w:t>:</w:t>
      </w:r>
      <w:r w:rsidRPr="00773EEA">
        <w:t xml:space="preserve"> Workshops on Smart City Financial Management and Smart Climate Resilience/Nature Based Solutions.</w:t>
      </w:r>
    </w:p>
    <w:p w14:paraId="6279D751" w14:textId="0003BDBA" w:rsidR="00626451" w:rsidRPr="00773EEA" w:rsidRDefault="00626451" w:rsidP="00177735">
      <w:pPr>
        <w:pStyle w:val="ListParagraph"/>
        <w:numPr>
          <w:ilvl w:val="0"/>
          <w:numId w:val="8"/>
        </w:numPr>
        <w:spacing w:line="276" w:lineRule="auto"/>
        <w:ind w:left="884" w:hanging="357"/>
        <w:contextualSpacing w:val="0"/>
        <w:jc w:val="both"/>
      </w:pPr>
      <w:r w:rsidRPr="00773EEA">
        <w:rPr>
          <w:rStyle w:val="BookTitle"/>
          <w:color w:val="auto"/>
        </w:rPr>
        <w:t>AASCTF Networking Conference:</w:t>
      </w:r>
      <w:r w:rsidRPr="00773EEA">
        <w:t xml:space="preserve"> Held in July 2022.</w:t>
      </w:r>
    </w:p>
    <w:p w14:paraId="77463928" w14:textId="0A166EA8" w:rsidR="00626451" w:rsidRPr="00773EEA" w:rsidRDefault="00626451" w:rsidP="00177735">
      <w:pPr>
        <w:pStyle w:val="ListParagraph"/>
        <w:numPr>
          <w:ilvl w:val="0"/>
          <w:numId w:val="8"/>
        </w:numPr>
        <w:spacing w:line="276" w:lineRule="auto"/>
        <w:ind w:left="884" w:hanging="357"/>
        <w:contextualSpacing w:val="0"/>
        <w:jc w:val="both"/>
      </w:pPr>
      <w:r w:rsidRPr="00773EEA">
        <w:rPr>
          <w:rStyle w:val="BookTitle"/>
          <w:color w:val="auto"/>
        </w:rPr>
        <w:t>Guided Learning Programme for Smart Data Management:</w:t>
      </w:r>
      <w:r w:rsidRPr="00773EEA">
        <w:t xml:space="preserve"> Incorporating webinars and homework/reflection exercises.</w:t>
      </w:r>
    </w:p>
    <w:p w14:paraId="54E3147B" w14:textId="13DD8BB4" w:rsidR="00626451" w:rsidRPr="00773EEA" w:rsidRDefault="00626451" w:rsidP="00177735">
      <w:pPr>
        <w:pStyle w:val="ListParagraph"/>
        <w:numPr>
          <w:ilvl w:val="0"/>
          <w:numId w:val="8"/>
        </w:numPr>
        <w:spacing w:line="276" w:lineRule="auto"/>
        <w:ind w:left="884" w:hanging="357"/>
        <w:contextualSpacing w:val="0"/>
        <w:jc w:val="both"/>
      </w:pPr>
      <w:r w:rsidRPr="00773EEA">
        <w:rPr>
          <w:rStyle w:val="BookTitle"/>
          <w:color w:val="auto"/>
        </w:rPr>
        <w:t>Smart Data Management e-learning course:</w:t>
      </w:r>
      <w:r w:rsidRPr="00773EEA">
        <w:t xml:space="preserve"> To be made accessible on ADB eLearn portal.</w:t>
      </w:r>
    </w:p>
    <w:p w14:paraId="2B2E2567" w14:textId="4FE7DA2A" w:rsidR="007F1700" w:rsidRPr="00773EEA" w:rsidRDefault="65FAAC93" w:rsidP="00B7602B">
      <w:pPr>
        <w:jc w:val="both"/>
      </w:pPr>
      <w:r w:rsidRPr="00773EEA">
        <w:rPr>
          <w:rStyle w:val="BookTitle"/>
          <w:color w:val="auto"/>
        </w:rPr>
        <w:t>TO-09: Smart Cities - Inclusive Cities Capacity Building Program.</w:t>
      </w:r>
      <w:r w:rsidRPr="00773EEA">
        <w:t xml:space="preserve"> Through a series of regional workshops with key city actors pursuing reform or with decision-making roles, the </w:t>
      </w:r>
      <w:r w:rsidR="00E74B03" w:rsidRPr="00773EEA">
        <w:t>Inclusive Cities Dialogue (</w:t>
      </w:r>
      <w:r w:rsidRPr="00773EEA">
        <w:t>ICD</w:t>
      </w:r>
      <w:r w:rsidR="00E74B03" w:rsidRPr="00773EEA">
        <w:t>)</w:t>
      </w:r>
      <w:r w:rsidRPr="00773EEA">
        <w:t xml:space="preserve"> project provide</w:t>
      </w:r>
      <w:r w:rsidR="0076373C" w:rsidRPr="00773EEA">
        <w:t>s</w:t>
      </w:r>
      <w:r w:rsidRPr="00773EEA">
        <w:t xml:space="preserve"> a platform for dialogue on the potential for planning and implementing more inclusive cities. It </w:t>
      </w:r>
      <w:r w:rsidR="0076373C" w:rsidRPr="00773EEA">
        <w:t xml:space="preserve">is </w:t>
      </w:r>
      <w:r w:rsidRPr="00773EEA">
        <w:t>also deliver</w:t>
      </w:r>
      <w:r w:rsidR="0076373C" w:rsidRPr="00773EEA">
        <w:t>ing</w:t>
      </w:r>
      <w:r w:rsidRPr="00773EEA">
        <w:t xml:space="preserve"> an e-</w:t>
      </w:r>
      <w:r w:rsidRPr="00773EEA">
        <w:lastRenderedPageBreak/>
        <w:t>learning module on inclusive cities that consolidates the workshops into one product for broader dissemination by participating cities, partners, and champions</w:t>
      </w:r>
      <w:r w:rsidR="009D35ED" w:rsidRPr="00773EEA">
        <w:t xml:space="preserve">, which will be hosted on ADB’s </w:t>
      </w:r>
      <w:proofErr w:type="spellStart"/>
      <w:r w:rsidR="009D35ED" w:rsidRPr="00773EEA">
        <w:t>eLEARN</w:t>
      </w:r>
      <w:proofErr w:type="spellEnd"/>
      <w:r w:rsidR="009D35ED" w:rsidRPr="00773EEA">
        <w:t xml:space="preserve"> platform</w:t>
      </w:r>
      <w:r w:rsidR="0076373C" w:rsidRPr="00773EEA">
        <w:t xml:space="preserve">. </w:t>
      </w:r>
    </w:p>
    <w:p w14:paraId="2BA0FE21" w14:textId="4DA4DFE3" w:rsidR="007F1700" w:rsidRPr="00773EEA" w:rsidRDefault="7C8EDEC0" w:rsidP="00177735">
      <w:pPr>
        <w:pStyle w:val="Heading2"/>
        <w:numPr>
          <w:ilvl w:val="1"/>
          <w:numId w:val="7"/>
        </w:numPr>
      </w:pPr>
      <w:r w:rsidRPr="00773EEA">
        <w:t xml:space="preserve"> </w:t>
      </w:r>
      <w:bookmarkStart w:id="26" w:name="_Toc123633715"/>
      <w:r w:rsidRPr="00773EEA">
        <w:t>Silver Level Interventions</w:t>
      </w:r>
      <w:bookmarkEnd w:id="26"/>
    </w:p>
    <w:p w14:paraId="0AC61D45" w14:textId="6A50EFAF" w:rsidR="00537663" w:rsidRPr="00773EEA" w:rsidRDefault="65FAAC93" w:rsidP="00B7602B">
      <w:pPr>
        <w:ind w:left="170"/>
        <w:jc w:val="both"/>
      </w:pPr>
      <w:r w:rsidRPr="00773EEA">
        <w:t xml:space="preserve">The objective of </w:t>
      </w:r>
      <w:r w:rsidR="008602BA" w:rsidRPr="00773EEA">
        <w:t>Silver</w:t>
      </w:r>
      <w:r w:rsidRPr="00773EEA">
        <w:t>-level, city</w:t>
      </w:r>
      <w:r w:rsidR="008602BA" w:rsidRPr="00773EEA">
        <w:t>-</w:t>
      </w:r>
      <w:r w:rsidRPr="00773EEA">
        <w:t xml:space="preserve">specific interventions is to work collaboratively with selected cities to design and implement one or more smart city tools or services. To inform the MTR in a practical way, five of the </w:t>
      </w:r>
      <w:r w:rsidR="00D950FC" w:rsidRPr="00773EEA">
        <w:t>Silver</w:t>
      </w:r>
      <w:r w:rsidRPr="00773EEA">
        <w:t>-level TOs were sampled to explore in more detail</w:t>
      </w:r>
      <w:r w:rsidR="00D950FC" w:rsidRPr="00773EEA">
        <w:t>,</w:t>
      </w:r>
      <w:r w:rsidRPr="00773EEA">
        <w:t xml:space="preserve"> via desk review and </w:t>
      </w:r>
      <w:r w:rsidR="00D950FC" w:rsidRPr="00773EEA">
        <w:t>KIIs</w:t>
      </w:r>
      <w:r w:rsidRPr="00773EEA">
        <w:t>, and deep-dives were conducted in two of those cities – Makassar (TO-01) and Baguio (TO-02/TO-05)</w:t>
      </w:r>
      <w:r w:rsidR="0076373C" w:rsidRPr="00773EEA">
        <w:t xml:space="preserve">. </w:t>
      </w:r>
      <w:r w:rsidRPr="00773EEA">
        <w:t xml:space="preserve"> </w:t>
      </w:r>
    </w:p>
    <w:p w14:paraId="57921D4D" w14:textId="3E080609" w:rsidR="00DD57D2" w:rsidRPr="00773EEA" w:rsidRDefault="7C2F6B61" w:rsidP="00177735">
      <w:pPr>
        <w:pStyle w:val="ListParagraph"/>
        <w:numPr>
          <w:ilvl w:val="0"/>
          <w:numId w:val="8"/>
        </w:numPr>
        <w:tabs>
          <w:tab w:val="left" w:pos="360"/>
        </w:tabs>
        <w:spacing w:before="60" w:after="60" w:line="276" w:lineRule="auto"/>
        <w:ind w:left="884" w:hanging="357"/>
        <w:contextualSpacing w:val="0"/>
        <w:jc w:val="both"/>
        <w:rPr>
          <w:rStyle w:val="BookTitle"/>
          <w:b w:val="0"/>
          <w:bCs w:val="0"/>
          <w:color w:val="auto"/>
        </w:rPr>
      </w:pPr>
      <w:r w:rsidRPr="00773EEA">
        <w:rPr>
          <w:rStyle w:val="BookTitle"/>
          <w:color w:val="auto"/>
        </w:rPr>
        <w:t>Makassar, Indonesia (TO-01):</w:t>
      </w:r>
      <w:r w:rsidRPr="00773EEA">
        <w:rPr>
          <w:rStyle w:val="BookTitle"/>
          <w:b w:val="0"/>
          <w:bCs w:val="0"/>
          <w:color w:val="auto"/>
        </w:rPr>
        <w:t xml:space="preserve"> </w:t>
      </w:r>
      <w:r w:rsidRPr="00773EEA">
        <w:t>Delivering a strategic citywide framework that integrates existing smart city plans, actions, and initiatives to support the city’s Medium-Term Development Plan. This will enable the local government to prioriti</w:t>
      </w:r>
      <w:r w:rsidR="009B1D83" w:rsidRPr="00773EEA">
        <w:t>s</w:t>
      </w:r>
      <w:r w:rsidRPr="00773EEA">
        <w:t>e strategies and interventions that contribute to their people-centred smart, world-class city goal. August 2020 to June 2022.</w:t>
      </w:r>
    </w:p>
    <w:p w14:paraId="1B7AE8EB" w14:textId="5AFD2388" w:rsidR="00DD57D2" w:rsidRPr="00773EEA" w:rsidRDefault="7C2F6B61" w:rsidP="00177735">
      <w:pPr>
        <w:pStyle w:val="ListParagraph"/>
        <w:numPr>
          <w:ilvl w:val="0"/>
          <w:numId w:val="8"/>
        </w:numPr>
        <w:tabs>
          <w:tab w:val="left" w:pos="360"/>
        </w:tabs>
        <w:spacing w:before="60" w:after="60" w:line="276" w:lineRule="auto"/>
        <w:ind w:left="884" w:hanging="357"/>
        <w:contextualSpacing w:val="0"/>
        <w:jc w:val="both"/>
        <w:rPr>
          <w:rStyle w:val="BookTitle"/>
          <w:b w:val="0"/>
          <w:bCs w:val="0"/>
          <w:color w:val="auto"/>
        </w:rPr>
      </w:pPr>
      <w:r w:rsidRPr="00773EEA">
        <w:rPr>
          <w:rStyle w:val="BookTitle"/>
          <w:color w:val="auto"/>
        </w:rPr>
        <w:t>Baguio, Philippines (TO-02</w:t>
      </w:r>
      <w:r w:rsidR="00AC46DC" w:rsidRPr="00773EEA">
        <w:rPr>
          <w:rStyle w:val="BookTitle"/>
          <w:color w:val="auto"/>
        </w:rPr>
        <w:t xml:space="preserve"> &amp; TO-05</w:t>
      </w:r>
      <w:r w:rsidRPr="00773EEA">
        <w:rPr>
          <w:rStyle w:val="BookTitle"/>
          <w:color w:val="auto"/>
        </w:rPr>
        <w:t>):</w:t>
      </w:r>
      <w:r w:rsidRPr="00773EEA">
        <w:rPr>
          <w:rStyle w:val="BookTitle"/>
          <w:b w:val="0"/>
          <w:bCs w:val="0"/>
          <w:color w:val="auto"/>
        </w:rPr>
        <w:t xml:space="preserve"> </w:t>
      </w:r>
      <w:r w:rsidRPr="00773EEA">
        <w:t xml:space="preserve">Supporting local officials and agencies to develop a smart </w:t>
      </w:r>
      <w:r w:rsidR="00BC0F79" w:rsidRPr="00773EEA">
        <w:t xml:space="preserve">Flood Early Warning System </w:t>
      </w:r>
      <w:r w:rsidRPr="00773EEA">
        <w:t xml:space="preserve">(FEWS). This will include a flood mitigation action plan, outreach and dissemination plan and enhanced capacity building program. TO-05, working in parallel in Baguio, aims </w:t>
      </w:r>
      <w:r w:rsidR="00165B1E" w:rsidRPr="00773EEA">
        <w:t>to apply</w:t>
      </w:r>
      <w:r w:rsidRPr="00773EEA">
        <w:t xml:space="preserve"> a gender transformative lens across the FEWS. TO-02: August 2020 to December 2022; TO-05</w:t>
      </w:r>
      <w:r w:rsidR="00AC46DC" w:rsidRPr="00773EEA">
        <w:t>: April 2021 to December 2022.</w:t>
      </w:r>
      <w:r w:rsidRPr="00773EEA">
        <w:rPr>
          <w:rStyle w:val="BookTitle"/>
          <w:b w:val="0"/>
          <w:bCs w:val="0"/>
          <w:color w:val="auto"/>
        </w:rPr>
        <w:t xml:space="preserve"> </w:t>
      </w:r>
    </w:p>
    <w:p w14:paraId="55463FF5" w14:textId="3C490880" w:rsidR="00DD57D2" w:rsidRPr="00773EEA" w:rsidRDefault="7C2F6B61" w:rsidP="00177735">
      <w:pPr>
        <w:pStyle w:val="ListParagraph"/>
        <w:numPr>
          <w:ilvl w:val="0"/>
          <w:numId w:val="8"/>
        </w:numPr>
        <w:tabs>
          <w:tab w:val="left" w:pos="360"/>
        </w:tabs>
        <w:spacing w:before="60" w:after="60" w:line="276" w:lineRule="auto"/>
        <w:ind w:left="884" w:hanging="357"/>
        <w:contextualSpacing w:val="0"/>
        <w:jc w:val="both"/>
        <w:rPr>
          <w:rStyle w:val="BookTitle"/>
          <w:b w:val="0"/>
          <w:bCs w:val="0"/>
          <w:color w:val="auto"/>
        </w:rPr>
      </w:pPr>
      <w:r w:rsidRPr="00773EEA">
        <w:rPr>
          <w:rStyle w:val="BookTitle"/>
          <w:color w:val="auto"/>
        </w:rPr>
        <w:t>Battambang, Cambodia (TO-07):</w:t>
      </w:r>
      <w:r w:rsidRPr="00773EEA">
        <w:rPr>
          <w:rStyle w:val="BookTitle"/>
          <w:b w:val="0"/>
          <w:bCs w:val="0"/>
          <w:color w:val="auto"/>
        </w:rPr>
        <w:t xml:space="preserve"> </w:t>
      </w:r>
      <w:r w:rsidRPr="00773EEA">
        <w:t xml:space="preserve">Exploring concepts to harness digital solutions to support solid waste management and digital payments, with the objective of developing and piloting a digital solution in collaboration with the city and private sector entities. </w:t>
      </w:r>
      <w:r w:rsidR="00AC46DC" w:rsidRPr="00773EEA">
        <w:t xml:space="preserve">Phase 1 runs from </w:t>
      </w:r>
      <w:r w:rsidRPr="00773EEA">
        <w:t xml:space="preserve">May 2021 to </w:t>
      </w:r>
      <w:r w:rsidR="00AC46DC" w:rsidRPr="00773EEA">
        <w:t>October 2022</w:t>
      </w:r>
      <w:r w:rsidRPr="00773EEA">
        <w:t>.</w:t>
      </w:r>
    </w:p>
    <w:p w14:paraId="031089E0" w14:textId="77777777" w:rsidR="00DD57D2" w:rsidRPr="00773EEA" w:rsidRDefault="7C2F6B61" w:rsidP="00177735">
      <w:pPr>
        <w:pStyle w:val="ListParagraph"/>
        <w:numPr>
          <w:ilvl w:val="0"/>
          <w:numId w:val="8"/>
        </w:numPr>
        <w:tabs>
          <w:tab w:val="left" w:pos="360"/>
        </w:tabs>
        <w:spacing w:before="60" w:after="60" w:line="276" w:lineRule="auto"/>
        <w:ind w:left="884" w:hanging="357"/>
        <w:contextualSpacing w:val="0"/>
        <w:jc w:val="both"/>
        <w:rPr>
          <w:rStyle w:val="BookTitle"/>
          <w:b w:val="0"/>
          <w:bCs w:val="0"/>
          <w:color w:val="auto"/>
        </w:rPr>
      </w:pPr>
      <w:r w:rsidRPr="00773EEA">
        <w:rPr>
          <w:rStyle w:val="BookTitle"/>
          <w:color w:val="auto"/>
        </w:rPr>
        <w:t>Kaysone, Lao PDR (TO-03):</w:t>
      </w:r>
      <w:r w:rsidRPr="00773EEA">
        <w:rPr>
          <w:rStyle w:val="BookTitle"/>
          <w:b w:val="0"/>
          <w:bCs w:val="0"/>
          <w:color w:val="auto"/>
        </w:rPr>
        <w:t xml:space="preserve"> </w:t>
      </w:r>
      <w:r w:rsidRPr="00773EEA">
        <w:t>Developing a concept for the Kaysone Enhanced Employment Service Platform with Matching Tool and E-Learning Modules, in collaboration with a local university and private sector stakeholders, including an industrial park in the city. October 2020 to May 2021.</w:t>
      </w:r>
      <w:r w:rsidRPr="00773EEA">
        <w:rPr>
          <w:rStyle w:val="BookTitle"/>
          <w:b w:val="0"/>
          <w:bCs w:val="0"/>
          <w:color w:val="auto"/>
        </w:rPr>
        <w:t xml:space="preserve"> </w:t>
      </w:r>
    </w:p>
    <w:p w14:paraId="2C86111F" w14:textId="58D7E626" w:rsidR="00DD57D2" w:rsidRPr="00773EEA" w:rsidRDefault="7C2F6B61" w:rsidP="00177735">
      <w:pPr>
        <w:pStyle w:val="ListParagraph"/>
        <w:numPr>
          <w:ilvl w:val="0"/>
          <w:numId w:val="8"/>
        </w:numPr>
        <w:tabs>
          <w:tab w:val="left" w:pos="360"/>
        </w:tabs>
        <w:spacing w:after="0" w:line="276" w:lineRule="auto"/>
        <w:ind w:left="884" w:hanging="357"/>
        <w:jc w:val="both"/>
        <w:rPr>
          <w:rStyle w:val="BookTitle"/>
          <w:b w:val="0"/>
          <w:bCs w:val="0"/>
          <w:color w:val="auto"/>
        </w:rPr>
      </w:pPr>
      <w:r w:rsidRPr="00773EEA">
        <w:rPr>
          <w:rStyle w:val="BookTitle"/>
          <w:color w:val="auto"/>
        </w:rPr>
        <w:t>Georgetown, Penang, Malaysia (TO-06):</w:t>
      </w:r>
      <w:r w:rsidRPr="00773EEA">
        <w:rPr>
          <w:rStyle w:val="BookTitle"/>
          <w:b w:val="0"/>
          <w:bCs w:val="0"/>
          <w:color w:val="auto"/>
        </w:rPr>
        <w:t xml:space="preserve"> </w:t>
      </w:r>
      <w:r w:rsidRPr="00773EEA">
        <w:t>Developing a VISSIM micro-simulation transport planning model to enable the local government to assess and influence stakeholders about new transport solutions for Georgetown including sustainable mobility proposals such as the pedestriani</w:t>
      </w:r>
      <w:r w:rsidR="009B1D83" w:rsidRPr="00773EEA">
        <w:t>s</w:t>
      </w:r>
      <w:r w:rsidRPr="00773EEA">
        <w:t xml:space="preserve">ation of streets, improved public transport and walking and cycling facilities. May 2021 to </w:t>
      </w:r>
      <w:r w:rsidR="00A6259F" w:rsidRPr="00773EEA">
        <w:t xml:space="preserve">December </w:t>
      </w:r>
      <w:r w:rsidRPr="00773EEA">
        <w:t>2022.</w:t>
      </w:r>
    </w:p>
    <w:p w14:paraId="57EDB132" w14:textId="7022A978" w:rsidR="00466C56" w:rsidRDefault="00DD57D2" w:rsidP="00466315">
      <w:pPr>
        <w:spacing w:before="120"/>
        <w:ind w:left="170"/>
      </w:pPr>
      <w:r w:rsidRPr="00773EEA">
        <w:t xml:space="preserve">The full list of endorsed, city-specific </w:t>
      </w:r>
      <w:r w:rsidR="003E4034" w:rsidRPr="00773EEA">
        <w:t>Silver</w:t>
      </w:r>
      <w:r w:rsidRPr="00773EEA">
        <w:t xml:space="preserve"> TOs is included</w:t>
      </w:r>
      <w:r w:rsidR="00466C56">
        <w:t xml:space="preserve"> </w:t>
      </w:r>
      <w:r w:rsidR="00466315">
        <w:t>below.</w:t>
      </w:r>
      <w:r w:rsidRPr="00773EEA">
        <w:t xml:space="preserve"> </w:t>
      </w:r>
    </w:p>
    <w:p w14:paraId="46676C8F" w14:textId="36FB9B62" w:rsidR="00FC0DA7" w:rsidRPr="00773EEA" w:rsidRDefault="00FC0DA7" w:rsidP="00FC0DA7">
      <w:pPr>
        <w:ind w:left="170"/>
        <w:rPr>
          <w:b/>
          <w:bCs/>
        </w:rPr>
      </w:pPr>
      <w:r w:rsidRPr="00773EEA">
        <w:rPr>
          <w:b/>
          <w:bCs/>
        </w:rPr>
        <w:t xml:space="preserve">Table </w:t>
      </w:r>
      <w:r w:rsidRPr="00773EEA">
        <w:rPr>
          <w:b/>
          <w:bCs/>
        </w:rPr>
        <w:fldChar w:fldCharType="begin"/>
      </w:r>
      <w:r w:rsidRPr="00773EEA">
        <w:rPr>
          <w:b/>
          <w:bCs/>
        </w:rPr>
        <w:instrText xml:space="preserve"> SEQ Table \* ARABIC </w:instrText>
      </w:r>
      <w:r w:rsidRPr="00773EEA">
        <w:rPr>
          <w:b/>
          <w:bCs/>
        </w:rPr>
        <w:fldChar w:fldCharType="separate"/>
      </w:r>
      <w:r w:rsidR="00AC7E0F" w:rsidRPr="00773EEA">
        <w:rPr>
          <w:b/>
          <w:bCs/>
          <w:noProof/>
        </w:rPr>
        <w:t>2</w:t>
      </w:r>
      <w:r w:rsidRPr="00773EEA">
        <w:rPr>
          <w:b/>
          <w:bCs/>
        </w:rPr>
        <w:fldChar w:fldCharType="end"/>
      </w:r>
      <w:r w:rsidRPr="00773EEA">
        <w:rPr>
          <w:b/>
          <w:bCs/>
        </w:rPr>
        <w:t>: AASCTF Selected Cities and Task Orders</w:t>
      </w:r>
    </w:p>
    <w:tbl>
      <w:tblPr>
        <w:tblStyle w:val="GridTable5Dark-Accent4"/>
        <w:tblW w:w="10348" w:type="dxa"/>
        <w:tblInd w:w="137" w:type="dxa"/>
        <w:tblLayout w:type="fixed"/>
        <w:tblLook w:val="04A0" w:firstRow="1" w:lastRow="0" w:firstColumn="1" w:lastColumn="0" w:noHBand="0" w:noVBand="1"/>
      </w:tblPr>
      <w:tblGrid>
        <w:gridCol w:w="1276"/>
        <w:gridCol w:w="1276"/>
        <w:gridCol w:w="850"/>
        <w:gridCol w:w="851"/>
        <w:gridCol w:w="992"/>
        <w:gridCol w:w="5103"/>
      </w:tblGrid>
      <w:tr w:rsidR="00773EEA" w:rsidRPr="00773EEA" w14:paraId="4E10D9A9" w14:textId="77777777" w:rsidTr="00466315">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08BC8CDC" w14:textId="77777777" w:rsidR="00FC0DA7" w:rsidRPr="00773EEA" w:rsidRDefault="00FC0DA7" w:rsidP="004476F1">
            <w:pPr>
              <w:spacing w:before="60"/>
              <w:rPr>
                <w:rFonts w:eastAsia="Times New Roman" w:cstheme="minorHAnsi"/>
                <w:sz w:val="18"/>
                <w:lang w:val="en-GB" w:eastAsia="en-GB"/>
              </w:rPr>
            </w:pPr>
            <w:r w:rsidRPr="00773EEA">
              <w:rPr>
                <w:rFonts w:eastAsia="Times New Roman" w:cstheme="minorHAnsi"/>
                <w:sz w:val="18"/>
                <w:lang w:val="en-GB" w:eastAsia="en-GB"/>
              </w:rPr>
              <w:t>Country</w:t>
            </w:r>
          </w:p>
        </w:tc>
        <w:tc>
          <w:tcPr>
            <w:tcW w:w="1276" w:type="dxa"/>
            <w:shd w:val="clear" w:color="auto" w:fill="EBC132" w:themeFill="accent1"/>
            <w:noWrap/>
            <w:hideMark/>
          </w:tcPr>
          <w:p w14:paraId="44747E68" w14:textId="77777777" w:rsidR="00FC0DA7" w:rsidRPr="00773EEA" w:rsidRDefault="00FC0DA7" w:rsidP="004476F1">
            <w:pPr>
              <w:spacing w:before="60"/>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City</w:t>
            </w:r>
          </w:p>
        </w:tc>
        <w:tc>
          <w:tcPr>
            <w:tcW w:w="850" w:type="dxa"/>
            <w:shd w:val="clear" w:color="auto" w:fill="EBC132" w:themeFill="accent1"/>
            <w:noWrap/>
            <w:hideMark/>
          </w:tcPr>
          <w:p w14:paraId="4422353F" w14:textId="77777777" w:rsidR="00FC0DA7" w:rsidRPr="00773EEA" w:rsidRDefault="00FC0DA7" w:rsidP="004476F1">
            <w:pPr>
              <w:spacing w:before="60"/>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Bronze</w:t>
            </w:r>
          </w:p>
        </w:tc>
        <w:tc>
          <w:tcPr>
            <w:tcW w:w="851" w:type="dxa"/>
            <w:shd w:val="clear" w:color="auto" w:fill="EBC132" w:themeFill="accent1"/>
            <w:noWrap/>
            <w:hideMark/>
          </w:tcPr>
          <w:p w14:paraId="6F618714" w14:textId="77777777" w:rsidR="00FC0DA7" w:rsidRPr="00773EEA" w:rsidRDefault="00FC0DA7" w:rsidP="004476F1">
            <w:pPr>
              <w:spacing w:before="60"/>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Silver</w:t>
            </w:r>
          </w:p>
        </w:tc>
        <w:tc>
          <w:tcPr>
            <w:tcW w:w="992" w:type="dxa"/>
            <w:shd w:val="clear" w:color="auto" w:fill="EBC132" w:themeFill="accent1"/>
            <w:noWrap/>
            <w:hideMark/>
          </w:tcPr>
          <w:p w14:paraId="0B87F844" w14:textId="77777777" w:rsidR="00FC0DA7" w:rsidRPr="00773EEA" w:rsidRDefault="00FC0DA7" w:rsidP="004476F1">
            <w:pPr>
              <w:spacing w:before="60"/>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Gold</w:t>
            </w:r>
          </w:p>
        </w:tc>
        <w:tc>
          <w:tcPr>
            <w:tcW w:w="5103" w:type="dxa"/>
            <w:shd w:val="clear" w:color="auto" w:fill="EBC132" w:themeFill="accent1"/>
            <w:noWrap/>
            <w:hideMark/>
          </w:tcPr>
          <w:p w14:paraId="7A4BEEB0" w14:textId="77777777" w:rsidR="00FC0DA7" w:rsidRPr="00773EEA" w:rsidRDefault="00FC0DA7" w:rsidP="004476F1">
            <w:pPr>
              <w:spacing w:before="60"/>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Interventions / TOs</w:t>
            </w:r>
          </w:p>
        </w:tc>
      </w:tr>
      <w:tr w:rsidR="00773EEA" w:rsidRPr="00773EEA" w14:paraId="14B2C8CB" w14:textId="77777777" w:rsidTr="0046631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777B0ED2"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Cambodia</w:t>
            </w:r>
          </w:p>
        </w:tc>
        <w:tc>
          <w:tcPr>
            <w:tcW w:w="1276" w:type="dxa"/>
            <w:shd w:val="clear" w:color="auto" w:fill="FBF2D6" w:themeFill="accent1" w:themeFillTint="33"/>
            <w:noWrap/>
            <w:hideMark/>
          </w:tcPr>
          <w:p w14:paraId="46F473B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Battambang</w:t>
            </w:r>
          </w:p>
        </w:tc>
        <w:tc>
          <w:tcPr>
            <w:tcW w:w="850" w:type="dxa"/>
            <w:shd w:val="clear" w:color="auto" w:fill="EBC132" w:themeFill="accent1"/>
            <w:noWrap/>
            <w:hideMark/>
          </w:tcPr>
          <w:p w14:paraId="2B0917C4"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val="en-GB" w:eastAsia="en-GB"/>
              </w:rPr>
            </w:pPr>
          </w:p>
        </w:tc>
        <w:tc>
          <w:tcPr>
            <w:tcW w:w="851" w:type="dxa"/>
            <w:shd w:val="clear" w:color="auto" w:fill="EBC132" w:themeFill="accent1"/>
            <w:noWrap/>
            <w:hideMark/>
          </w:tcPr>
          <w:p w14:paraId="16E18895"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val="en-GB" w:eastAsia="en-GB"/>
              </w:rPr>
            </w:pPr>
          </w:p>
        </w:tc>
        <w:tc>
          <w:tcPr>
            <w:tcW w:w="992" w:type="dxa"/>
            <w:shd w:val="clear" w:color="auto" w:fill="FBF2D6" w:themeFill="accent1" w:themeFillTint="33"/>
            <w:noWrap/>
            <w:hideMark/>
          </w:tcPr>
          <w:p w14:paraId="65416F74"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val="en-GB" w:eastAsia="en-GB"/>
              </w:rPr>
            </w:pPr>
          </w:p>
        </w:tc>
        <w:tc>
          <w:tcPr>
            <w:tcW w:w="5103" w:type="dxa"/>
            <w:shd w:val="clear" w:color="auto" w:fill="FBF2D6" w:themeFill="accent1" w:themeFillTint="33"/>
            <w:hideMark/>
          </w:tcPr>
          <w:p w14:paraId="1A5D9F3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TO-07: Smart Solid Waste Financial Management</w:t>
            </w:r>
            <w:r w:rsidRPr="00773EEA">
              <w:rPr>
                <w:rFonts w:eastAsia="Times New Roman" w:cstheme="minorHAnsi"/>
                <w:sz w:val="18"/>
                <w:lang w:val="en-GB" w:eastAsia="en-GB"/>
              </w:rPr>
              <w:br/>
              <w:t>(Scoping) Battambang ‘Smart Solid Waste Financial Management (Phase 2)</w:t>
            </w:r>
          </w:p>
        </w:tc>
      </w:tr>
      <w:tr w:rsidR="00773EEA" w:rsidRPr="00773EEA" w14:paraId="34874269"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29CDE139" w14:textId="4526B9BE"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Cambodia</w:t>
            </w:r>
          </w:p>
        </w:tc>
        <w:tc>
          <w:tcPr>
            <w:tcW w:w="1276" w:type="dxa"/>
            <w:shd w:val="clear" w:color="auto" w:fill="auto"/>
            <w:noWrap/>
            <w:hideMark/>
          </w:tcPr>
          <w:p w14:paraId="5A461A8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roofErr w:type="spellStart"/>
            <w:r w:rsidRPr="00773EEA">
              <w:rPr>
                <w:rFonts w:cstheme="minorHAnsi"/>
                <w:sz w:val="18"/>
                <w:lang w:eastAsia="en-GB"/>
              </w:rPr>
              <w:t>Bavet</w:t>
            </w:r>
            <w:proofErr w:type="spellEnd"/>
          </w:p>
        </w:tc>
        <w:tc>
          <w:tcPr>
            <w:tcW w:w="850" w:type="dxa"/>
            <w:shd w:val="clear" w:color="auto" w:fill="EBC132" w:themeFill="accent1"/>
            <w:noWrap/>
            <w:hideMark/>
          </w:tcPr>
          <w:p w14:paraId="4E7395B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43425E13"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641FD046"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3385F14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5300C33B"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440B8066" w14:textId="79B097F8"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Cambodia</w:t>
            </w:r>
          </w:p>
        </w:tc>
        <w:tc>
          <w:tcPr>
            <w:tcW w:w="1276" w:type="dxa"/>
            <w:shd w:val="clear" w:color="auto" w:fill="FBF2D6" w:themeFill="accent1" w:themeFillTint="33"/>
            <w:noWrap/>
            <w:hideMark/>
          </w:tcPr>
          <w:p w14:paraId="0849A31F"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roofErr w:type="spellStart"/>
            <w:r w:rsidRPr="00773EEA">
              <w:rPr>
                <w:rFonts w:cstheme="minorHAnsi"/>
                <w:sz w:val="18"/>
                <w:lang w:eastAsia="en-GB"/>
              </w:rPr>
              <w:t>Kampot</w:t>
            </w:r>
            <w:proofErr w:type="spellEnd"/>
          </w:p>
        </w:tc>
        <w:tc>
          <w:tcPr>
            <w:tcW w:w="850" w:type="dxa"/>
            <w:shd w:val="clear" w:color="auto" w:fill="EBC132" w:themeFill="accent1"/>
            <w:noWrap/>
            <w:hideMark/>
          </w:tcPr>
          <w:p w14:paraId="0C039C7B"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shd w:val="clear" w:color="auto" w:fill="FBF2D6" w:themeFill="accent1" w:themeFillTint="33"/>
            <w:noWrap/>
            <w:hideMark/>
          </w:tcPr>
          <w:p w14:paraId="0196C15A"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shd w:val="clear" w:color="auto" w:fill="FBF2D6" w:themeFill="accent1" w:themeFillTint="33"/>
            <w:noWrap/>
            <w:hideMark/>
          </w:tcPr>
          <w:p w14:paraId="0F8442AF"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shd w:val="clear" w:color="auto" w:fill="FBF2D6" w:themeFill="accent1" w:themeFillTint="33"/>
            <w:noWrap/>
            <w:hideMark/>
          </w:tcPr>
          <w:p w14:paraId="5FFEF4C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30AAE074"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5F4E7D42" w14:textId="06C2FF28"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Cambodia</w:t>
            </w:r>
          </w:p>
        </w:tc>
        <w:tc>
          <w:tcPr>
            <w:tcW w:w="1276" w:type="dxa"/>
            <w:shd w:val="clear" w:color="auto" w:fill="auto"/>
            <w:noWrap/>
            <w:hideMark/>
          </w:tcPr>
          <w:p w14:paraId="61282A1C"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roofErr w:type="spellStart"/>
            <w:r w:rsidRPr="00773EEA">
              <w:rPr>
                <w:rFonts w:cstheme="minorHAnsi"/>
                <w:sz w:val="18"/>
                <w:lang w:eastAsia="en-GB"/>
              </w:rPr>
              <w:t>Poipet</w:t>
            </w:r>
            <w:proofErr w:type="spellEnd"/>
          </w:p>
        </w:tc>
        <w:tc>
          <w:tcPr>
            <w:tcW w:w="850" w:type="dxa"/>
            <w:shd w:val="clear" w:color="auto" w:fill="EBC132" w:themeFill="accent1"/>
            <w:noWrap/>
            <w:hideMark/>
          </w:tcPr>
          <w:p w14:paraId="5CE46BE8"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420C8729"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75AA0E9A"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17FF1A9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11E50D0B"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26718953" w14:textId="01C350F7"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Cambodia</w:t>
            </w:r>
          </w:p>
        </w:tc>
        <w:tc>
          <w:tcPr>
            <w:tcW w:w="1276" w:type="dxa"/>
            <w:tcBorders>
              <w:bottom w:val="single" w:sz="4" w:space="0" w:color="FFC000"/>
            </w:tcBorders>
            <w:shd w:val="clear" w:color="auto" w:fill="FBF2D6" w:themeFill="accent1" w:themeFillTint="33"/>
            <w:noWrap/>
            <w:hideMark/>
          </w:tcPr>
          <w:p w14:paraId="6CADFE0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Phnom Penh</w:t>
            </w:r>
          </w:p>
        </w:tc>
        <w:tc>
          <w:tcPr>
            <w:tcW w:w="850" w:type="dxa"/>
            <w:tcBorders>
              <w:bottom w:val="single" w:sz="4" w:space="0" w:color="FFC000"/>
            </w:tcBorders>
            <w:shd w:val="clear" w:color="auto" w:fill="EBC132" w:themeFill="accent1"/>
            <w:noWrap/>
            <w:hideMark/>
          </w:tcPr>
          <w:p w14:paraId="69F8552C"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tcBorders>
              <w:bottom w:val="single" w:sz="4" w:space="0" w:color="FFC000"/>
            </w:tcBorders>
            <w:shd w:val="clear" w:color="auto" w:fill="FBF2D6" w:themeFill="accent1" w:themeFillTint="33"/>
            <w:noWrap/>
            <w:hideMark/>
          </w:tcPr>
          <w:p w14:paraId="76E85D0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tcBorders>
              <w:bottom w:val="single" w:sz="4" w:space="0" w:color="FFC000"/>
            </w:tcBorders>
            <w:shd w:val="clear" w:color="auto" w:fill="FBF2D6" w:themeFill="accent1" w:themeFillTint="33"/>
            <w:noWrap/>
            <w:hideMark/>
          </w:tcPr>
          <w:p w14:paraId="4B4528BC"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tcBorders>
              <w:bottom w:val="single" w:sz="4" w:space="0" w:color="FFC000"/>
            </w:tcBorders>
            <w:shd w:val="clear" w:color="auto" w:fill="FBF2D6" w:themeFill="accent1" w:themeFillTint="33"/>
            <w:noWrap/>
            <w:hideMark/>
          </w:tcPr>
          <w:p w14:paraId="37389CD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2ED780C2"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1B320FED"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Indonesia</w:t>
            </w:r>
          </w:p>
        </w:tc>
        <w:tc>
          <w:tcPr>
            <w:tcW w:w="1276" w:type="dxa"/>
            <w:tcBorders>
              <w:top w:val="single" w:sz="4" w:space="0" w:color="FFC000"/>
            </w:tcBorders>
            <w:shd w:val="clear" w:color="auto" w:fill="auto"/>
            <w:noWrap/>
            <w:hideMark/>
          </w:tcPr>
          <w:p w14:paraId="6A99C206"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Makassar</w:t>
            </w:r>
            <w:r w:rsidRPr="00773EEA" w:rsidDel="00E6002E">
              <w:rPr>
                <w:rFonts w:eastAsia="Times New Roman" w:cstheme="minorHAnsi"/>
                <w:sz w:val="18"/>
                <w:lang w:val="en-GB" w:eastAsia="en-GB"/>
              </w:rPr>
              <w:t xml:space="preserve"> </w:t>
            </w:r>
          </w:p>
        </w:tc>
        <w:tc>
          <w:tcPr>
            <w:tcW w:w="850" w:type="dxa"/>
            <w:tcBorders>
              <w:top w:val="single" w:sz="4" w:space="0" w:color="FFC000"/>
            </w:tcBorders>
            <w:shd w:val="clear" w:color="auto" w:fill="EBC132" w:themeFill="accent1"/>
            <w:noWrap/>
            <w:hideMark/>
          </w:tcPr>
          <w:p w14:paraId="27B55299"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tcBorders>
            <w:shd w:val="clear" w:color="auto" w:fill="EBC132" w:themeFill="accent1"/>
            <w:noWrap/>
            <w:hideMark/>
          </w:tcPr>
          <w:p w14:paraId="722E791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tcBorders>
            <w:shd w:val="clear" w:color="auto" w:fill="auto"/>
            <w:noWrap/>
            <w:hideMark/>
          </w:tcPr>
          <w:p w14:paraId="7BE777E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tcBorders>
            <w:shd w:val="clear" w:color="auto" w:fill="auto"/>
            <w:noWrap/>
            <w:hideMark/>
          </w:tcPr>
          <w:p w14:paraId="79F10847"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TO-01: Makassar Smart and Liveable Urban Development Framework</w:t>
            </w:r>
          </w:p>
        </w:tc>
      </w:tr>
      <w:tr w:rsidR="00773EEA" w:rsidRPr="00773EEA" w14:paraId="68C49BCB"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1C735AC9" w14:textId="5458ADE0"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Indonesia</w:t>
            </w:r>
          </w:p>
        </w:tc>
        <w:tc>
          <w:tcPr>
            <w:tcW w:w="1276" w:type="dxa"/>
            <w:shd w:val="clear" w:color="auto" w:fill="FBF2D6" w:themeFill="accent1" w:themeFillTint="33"/>
            <w:noWrap/>
            <w:hideMark/>
          </w:tcPr>
          <w:p w14:paraId="106E8F5D"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Palembang</w:t>
            </w:r>
            <w:r w:rsidRPr="00773EEA" w:rsidDel="00E6002E">
              <w:rPr>
                <w:rFonts w:cstheme="minorHAnsi"/>
                <w:sz w:val="18"/>
                <w:lang w:eastAsia="en-GB"/>
              </w:rPr>
              <w:t xml:space="preserve"> </w:t>
            </w:r>
          </w:p>
        </w:tc>
        <w:tc>
          <w:tcPr>
            <w:tcW w:w="850" w:type="dxa"/>
            <w:shd w:val="clear" w:color="auto" w:fill="EBC132" w:themeFill="accent1"/>
            <w:noWrap/>
            <w:hideMark/>
          </w:tcPr>
          <w:p w14:paraId="7C7E9B0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shd w:val="clear" w:color="auto" w:fill="FBF2D6" w:themeFill="accent1" w:themeFillTint="33"/>
            <w:noWrap/>
          </w:tcPr>
          <w:p w14:paraId="200F51BD"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shd w:val="clear" w:color="auto" w:fill="FBF2D6" w:themeFill="accent1" w:themeFillTint="33"/>
            <w:noWrap/>
            <w:hideMark/>
          </w:tcPr>
          <w:p w14:paraId="06BF77A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shd w:val="clear" w:color="auto" w:fill="FBF2D6" w:themeFill="accent1" w:themeFillTint="33"/>
            <w:noWrap/>
            <w:hideMark/>
          </w:tcPr>
          <w:p w14:paraId="7A5D4FA0"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23A21164"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59999F86" w14:textId="69135465"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Indonesia</w:t>
            </w:r>
          </w:p>
        </w:tc>
        <w:tc>
          <w:tcPr>
            <w:tcW w:w="1276" w:type="dxa"/>
            <w:shd w:val="clear" w:color="auto" w:fill="auto"/>
            <w:noWrap/>
            <w:hideMark/>
          </w:tcPr>
          <w:p w14:paraId="7589BD48"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Pontianak</w:t>
            </w:r>
          </w:p>
        </w:tc>
        <w:tc>
          <w:tcPr>
            <w:tcW w:w="850" w:type="dxa"/>
            <w:shd w:val="clear" w:color="auto" w:fill="EBC132" w:themeFill="accent1"/>
            <w:noWrap/>
            <w:hideMark/>
          </w:tcPr>
          <w:p w14:paraId="402F58A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736A1035"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46FCAAE7"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66353E4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6677A34D"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1B81F1A3" w14:textId="2599A7B8"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Indonesia</w:t>
            </w:r>
          </w:p>
        </w:tc>
        <w:tc>
          <w:tcPr>
            <w:tcW w:w="1276" w:type="dxa"/>
            <w:tcBorders>
              <w:bottom w:val="single" w:sz="4" w:space="0" w:color="FFC000"/>
            </w:tcBorders>
            <w:shd w:val="clear" w:color="auto" w:fill="FBF2D6" w:themeFill="accent1" w:themeFillTint="33"/>
            <w:noWrap/>
            <w:hideMark/>
          </w:tcPr>
          <w:p w14:paraId="631FB88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Semarang</w:t>
            </w:r>
          </w:p>
        </w:tc>
        <w:tc>
          <w:tcPr>
            <w:tcW w:w="850" w:type="dxa"/>
            <w:tcBorders>
              <w:bottom w:val="single" w:sz="4" w:space="0" w:color="FFC000"/>
            </w:tcBorders>
            <w:shd w:val="clear" w:color="auto" w:fill="EBC132" w:themeFill="accent1"/>
            <w:noWrap/>
            <w:hideMark/>
          </w:tcPr>
          <w:p w14:paraId="52F7FE38"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tcBorders>
              <w:bottom w:val="single" w:sz="4" w:space="0" w:color="FFC000"/>
            </w:tcBorders>
            <w:shd w:val="clear" w:color="auto" w:fill="FBF2D6" w:themeFill="accent1" w:themeFillTint="33"/>
            <w:noWrap/>
            <w:hideMark/>
          </w:tcPr>
          <w:p w14:paraId="0EE093FF"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tcBorders>
              <w:bottom w:val="single" w:sz="4" w:space="0" w:color="FFC000"/>
            </w:tcBorders>
            <w:shd w:val="clear" w:color="auto" w:fill="FBF2D6" w:themeFill="accent1" w:themeFillTint="33"/>
            <w:noWrap/>
            <w:hideMark/>
          </w:tcPr>
          <w:p w14:paraId="589A5575"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tcBorders>
              <w:bottom w:val="single" w:sz="4" w:space="0" w:color="FFC000"/>
            </w:tcBorders>
            <w:shd w:val="clear" w:color="auto" w:fill="FBF2D6" w:themeFill="accent1" w:themeFillTint="33"/>
            <w:noWrap/>
            <w:hideMark/>
          </w:tcPr>
          <w:p w14:paraId="33CD4FB5"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786C7B7B" w14:textId="77777777" w:rsidTr="00466315">
        <w:trPr>
          <w:trHeight w:val="772"/>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16C0A4EE"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Lao PDR</w:t>
            </w:r>
          </w:p>
        </w:tc>
        <w:tc>
          <w:tcPr>
            <w:tcW w:w="1276" w:type="dxa"/>
            <w:tcBorders>
              <w:top w:val="single" w:sz="4" w:space="0" w:color="FFC000"/>
            </w:tcBorders>
            <w:shd w:val="clear" w:color="auto" w:fill="auto"/>
            <w:noWrap/>
            <w:hideMark/>
          </w:tcPr>
          <w:p w14:paraId="7783FDC6"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Kaysone</w:t>
            </w:r>
          </w:p>
        </w:tc>
        <w:tc>
          <w:tcPr>
            <w:tcW w:w="850" w:type="dxa"/>
            <w:tcBorders>
              <w:top w:val="single" w:sz="4" w:space="0" w:color="FFC000"/>
            </w:tcBorders>
            <w:shd w:val="clear" w:color="auto" w:fill="EBC132" w:themeFill="accent1"/>
            <w:noWrap/>
            <w:hideMark/>
          </w:tcPr>
          <w:p w14:paraId="1DAB816E"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tcBorders>
            <w:shd w:val="clear" w:color="auto" w:fill="EBC132" w:themeFill="accent1"/>
            <w:noWrap/>
            <w:hideMark/>
          </w:tcPr>
          <w:p w14:paraId="57910D09"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tcBorders>
            <w:shd w:val="clear" w:color="auto" w:fill="auto"/>
            <w:noWrap/>
            <w:hideMark/>
          </w:tcPr>
          <w:p w14:paraId="72ADF552"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tcBorders>
            <w:shd w:val="clear" w:color="auto" w:fill="auto"/>
            <w:hideMark/>
          </w:tcPr>
          <w:p w14:paraId="16A94FF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TO-03: Enhanced Employment Service Platform with Matching Tool and E-Learning Modules (Phase 1)</w:t>
            </w:r>
            <w:r w:rsidRPr="00773EEA">
              <w:rPr>
                <w:rFonts w:eastAsia="Times New Roman" w:cstheme="minorHAnsi"/>
                <w:sz w:val="18"/>
                <w:lang w:val="en-GB" w:eastAsia="en-GB"/>
              </w:rPr>
              <w:br/>
              <w:t>(Scoping): Smart Learning Platform with E-Learning Modules (Phase 2)</w:t>
            </w:r>
          </w:p>
        </w:tc>
      </w:tr>
      <w:tr w:rsidR="00773EEA" w:rsidRPr="00773EEA" w14:paraId="73BB011D"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74CA20F4" w14:textId="0B96D84F"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Lao PDR</w:t>
            </w:r>
          </w:p>
        </w:tc>
        <w:tc>
          <w:tcPr>
            <w:tcW w:w="1276" w:type="dxa"/>
            <w:shd w:val="clear" w:color="auto" w:fill="FBF2D6" w:themeFill="accent1" w:themeFillTint="33"/>
            <w:noWrap/>
            <w:hideMark/>
          </w:tcPr>
          <w:p w14:paraId="095F39D7"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Luang Prabang</w:t>
            </w:r>
          </w:p>
        </w:tc>
        <w:tc>
          <w:tcPr>
            <w:tcW w:w="850" w:type="dxa"/>
            <w:shd w:val="clear" w:color="auto" w:fill="EBC132" w:themeFill="accent1"/>
            <w:noWrap/>
            <w:hideMark/>
          </w:tcPr>
          <w:p w14:paraId="253A90B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shd w:val="clear" w:color="auto" w:fill="EBC132" w:themeFill="accent1"/>
            <w:noWrap/>
            <w:hideMark/>
          </w:tcPr>
          <w:p w14:paraId="52CDE138"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shd w:val="clear" w:color="auto" w:fill="EBC132" w:themeFill="accent1"/>
            <w:noWrap/>
            <w:vAlign w:val="center"/>
            <w:hideMark/>
          </w:tcPr>
          <w:p w14:paraId="3F45F20B"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Possible</w:t>
            </w:r>
          </w:p>
        </w:tc>
        <w:tc>
          <w:tcPr>
            <w:tcW w:w="5103" w:type="dxa"/>
            <w:shd w:val="clear" w:color="auto" w:fill="FBF2D6" w:themeFill="accent1" w:themeFillTint="33"/>
            <w:noWrap/>
            <w:hideMark/>
          </w:tcPr>
          <w:p w14:paraId="79635B85"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TO-12: Integrated &amp; Smart Tourism, Heritage and Urban Plan</w:t>
            </w:r>
          </w:p>
        </w:tc>
      </w:tr>
      <w:tr w:rsidR="00773EEA" w:rsidRPr="00773EEA" w14:paraId="60B7BD72"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6826A2DA" w14:textId="34F4F3B7"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Lao PDR</w:t>
            </w:r>
          </w:p>
        </w:tc>
        <w:tc>
          <w:tcPr>
            <w:tcW w:w="1276" w:type="dxa"/>
            <w:shd w:val="clear" w:color="auto" w:fill="auto"/>
            <w:noWrap/>
            <w:hideMark/>
          </w:tcPr>
          <w:p w14:paraId="2D42860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Pakse</w:t>
            </w:r>
          </w:p>
        </w:tc>
        <w:tc>
          <w:tcPr>
            <w:tcW w:w="850" w:type="dxa"/>
            <w:shd w:val="clear" w:color="auto" w:fill="EBC132" w:themeFill="accent1"/>
            <w:noWrap/>
            <w:hideMark/>
          </w:tcPr>
          <w:p w14:paraId="6C1B6AB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72D8E715"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0626084B"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7C18DBDE"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6D86D8B6"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03EBAA8A"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Malaysia</w:t>
            </w:r>
          </w:p>
        </w:tc>
        <w:tc>
          <w:tcPr>
            <w:tcW w:w="1276" w:type="dxa"/>
            <w:tcBorders>
              <w:top w:val="single" w:sz="4" w:space="0" w:color="FFC000"/>
              <w:bottom w:val="single" w:sz="4" w:space="0" w:color="FFC000"/>
            </w:tcBorders>
            <w:shd w:val="clear" w:color="auto" w:fill="FBF2D6" w:themeFill="accent1" w:themeFillTint="33"/>
            <w:noWrap/>
            <w:hideMark/>
          </w:tcPr>
          <w:p w14:paraId="02FA27BC"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Penang</w:t>
            </w:r>
          </w:p>
        </w:tc>
        <w:tc>
          <w:tcPr>
            <w:tcW w:w="850" w:type="dxa"/>
            <w:tcBorders>
              <w:top w:val="single" w:sz="4" w:space="0" w:color="FFC000"/>
              <w:bottom w:val="single" w:sz="4" w:space="0" w:color="FFC000"/>
            </w:tcBorders>
            <w:shd w:val="clear" w:color="auto" w:fill="EBC132" w:themeFill="accent1"/>
            <w:noWrap/>
            <w:hideMark/>
          </w:tcPr>
          <w:p w14:paraId="51D3023B"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bottom w:val="single" w:sz="4" w:space="0" w:color="FFC000"/>
            </w:tcBorders>
            <w:shd w:val="clear" w:color="auto" w:fill="EBC132" w:themeFill="accent1"/>
            <w:noWrap/>
            <w:hideMark/>
          </w:tcPr>
          <w:p w14:paraId="27096E59"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bottom w:val="single" w:sz="4" w:space="0" w:color="FFC000"/>
            </w:tcBorders>
            <w:shd w:val="clear" w:color="auto" w:fill="FBF2D6" w:themeFill="accent1" w:themeFillTint="33"/>
            <w:noWrap/>
            <w:hideMark/>
          </w:tcPr>
          <w:p w14:paraId="2FDB1FC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bottom w:val="single" w:sz="4" w:space="0" w:color="FFC000"/>
            </w:tcBorders>
            <w:shd w:val="clear" w:color="auto" w:fill="FBF2D6" w:themeFill="accent1" w:themeFillTint="33"/>
            <w:noWrap/>
            <w:hideMark/>
          </w:tcPr>
          <w:p w14:paraId="045FE2A7"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TO-06: Smart Mobility Micro-Simulation Model Development</w:t>
            </w:r>
          </w:p>
        </w:tc>
      </w:tr>
      <w:tr w:rsidR="00773EEA" w:rsidRPr="00773EEA" w14:paraId="1C1976A9"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6934B939"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Myanmar</w:t>
            </w:r>
          </w:p>
        </w:tc>
        <w:tc>
          <w:tcPr>
            <w:tcW w:w="1276" w:type="dxa"/>
            <w:tcBorders>
              <w:top w:val="single" w:sz="4" w:space="0" w:color="FFC000"/>
              <w:bottom w:val="single" w:sz="4" w:space="0" w:color="FFC000"/>
            </w:tcBorders>
            <w:shd w:val="clear" w:color="auto" w:fill="auto"/>
            <w:noWrap/>
            <w:hideMark/>
          </w:tcPr>
          <w:p w14:paraId="26B2AA55"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Yangon</w:t>
            </w:r>
          </w:p>
        </w:tc>
        <w:tc>
          <w:tcPr>
            <w:tcW w:w="850" w:type="dxa"/>
            <w:tcBorders>
              <w:top w:val="single" w:sz="4" w:space="0" w:color="FFC000"/>
              <w:bottom w:val="single" w:sz="4" w:space="0" w:color="FFC000"/>
            </w:tcBorders>
            <w:shd w:val="clear" w:color="auto" w:fill="EBC132" w:themeFill="accent1"/>
            <w:noWrap/>
            <w:hideMark/>
          </w:tcPr>
          <w:p w14:paraId="2F3D449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bottom w:val="single" w:sz="4" w:space="0" w:color="FFC000"/>
            </w:tcBorders>
            <w:shd w:val="clear" w:color="auto" w:fill="EBC132" w:themeFill="accent1"/>
            <w:noWrap/>
            <w:hideMark/>
          </w:tcPr>
          <w:p w14:paraId="5C7C1F4E"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bottom w:val="single" w:sz="4" w:space="0" w:color="FFC000"/>
            </w:tcBorders>
            <w:shd w:val="clear" w:color="auto" w:fill="auto"/>
            <w:noWrap/>
            <w:hideMark/>
          </w:tcPr>
          <w:p w14:paraId="20C9C8C2"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bottom w:val="single" w:sz="4" w:space="0" w:color="FFC000"/>
            </w:tcBorders>
            <w:shd w:val="clear" w:color="auto" w:fill="auto"/>
            <w:noWrap/>
            <w:hideMark/>
          </w:tcPr>
          <w:p w14:paraId="782770A6"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 xml:space="preserve">TO-04: Yangon City Smart Water Management and Resilience Project </w:t>
            </w:r>
            <w:r w:rsidRPr="00773EEA">
              <w:rPr>
                <w:rFonts w:eastAsia="Times New Roman" w:cstheme="minorHAnsi"/>
                <w:i/>
                <w:iCs/>
                <w:sz w:val="18"/>
                <w:lang w:val="en-GB" w:eastAsia="en-GB"/>
              </w:rPr>
              <w:t>(Paused indefinitely)</w:t>
            </w:r>
            <w:r w:rsidRPr="00773EEA">
              <w:rPr>
                <w:rFonts w:eastAsia="Times New Roman" w:cstheme="minorHAnsi"/>
                <w:sz w:val="18"/>
                <w:lang w:val="en-GB" w:eastAsia="en-GB"/>
              </w:rPr>
              <w:t xml:space="preserve"> </w:t>
            </w:r>
          </w:p>
        </w:tc>
      </w:tr>
      <w:tr w:rsidR="00773EEA" w:rsidRPr="00773EEA" w14:paraId="6CAD7BC7" w14:textId="77777777" w:rsidTr="00466315">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17E9E9AB"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lastRenderedPageBreak/>
              <w:t>Philippines</w:t>
            </w:r>
          </w:p>
        </w:tc>
        <w:tc>
          <w:tcPr>
            <w:tcW w:w="1276" w:type="dxa"/>
            <w:tcBorders>
              <w:top w:val="single" w:sz="4" w:space="0" w:color="FFC000"/>
            </w:tcBorders>
            <w:shd w:val="clear" w:color="auto" w:fill="FBF2D6" w:themeFill="accent1" w:themeFillTint="33"/>
            <w:noWrap/>
            <w:hideMark/>
          </w:tcPr>
          <w:p w14:paraId="03B60869"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Baguio</w:t>
            </w:r>
          </w:p>
        </w:tc>
        <w:tc>
          <w:tcPr>
            <w:tcW w:w="850" w:type="dxa"/>
            <w:tcBorders>
              <w:top w:val="single" w:sz="4" w:space="0" w:color="FFC000"/>
            </w:tcBorders>
            <w:shd w:val="clear" w:color="auto" w:fill="EBC132" w:themeFill="accent1"/>
            <w:noWrap/>
            <w:hideMark/>
          </w:tcPr>
          <w:p w14:paraId="796D5BF7"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tcBorders>
            <w:shd w:val="clear" w:color="auto" w:fill="EBC132" w:themeFill="accent1"/>
            <w:noWrap/>
            <w:hideMark/>
          </w:tcPr>
          <w:p w14:paraId="736DF8EE"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tcBorders>
            <w:shd w:val="clear" w:color="auto" w:fill="FBF2D6" w:themeFill="accent1" w:themeFillTint="33"/>
            <w:noWrap/>
            <w:hideMark/>
          </w:tcPr>
          <w:p w14:paraId="5CF3B95F"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tcBorders>
            <w:shd w:val="clear" w:color="auto" w:fill="FBF2D6" w:themeFill="accent1" w:themeFillTint="33"/>
            <w:hideMark/>
          </w:tcPr>
          <w:p w14:paraId="0D1B558B"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TO-02: Baguio City Smart Flood Warning, Information and Mitigation System.</w:t>
            </w:r>
            <w:r w:rsidRPr="00773EEA">
              <w:rPr>
                <w:rFonts w:eastAsia="Times New Roman" w:cstheme="minorHAnsi"/>
                <w:sz w:val="18"/>
                <w:lang w:val="en-GB" w:eastAsia="en-GB"/>
              </w:rPr>
              <w:br/>
              <w:t>TO-05: Gender Transformative Approach for Strengthened Development, Application and Replication of the Baguio City FEWS.</w:t>
            </w:r>
          </w:p>
        </w:tc>
      </w:tr>
      <w:tr w:rsidR="00773EEA" w:rsidRPr="00773EEA" w14:paraId="05D37AE8"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0" w:type="dxa"/>
            <w:shd w:val="clear" w:color="auto" w:fill="EBC132" w:themeFill="accent1"/>
            <w:hideMark/>
          </w:tcPr>
          <w:p w14:paraId="567269AB" w14:textId="3337F759"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Philippines</w:t>
            </w:r>
          </w:p>
        </w:tc>
        <w:tc>
          <w:tcPr>
            <w:tcW w:w="0" w:type="dxa"/>
            <w:shd w:val="clear" w:color="auto" w:fill="auto"/>
            <w:noWrap/>
            <w:hideMark/>
          </w:tcPr>
          <w:p w14:paraId="7E4CA00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Coron</w:t>
            </w:r>
            <w:r w:rsidRPr="00773EEA" w:rsidDel="00E6002E">
              <w:rPr>
                <w:rFonts w:cstheme="minorHAnsi"/>
                <w:sz w:val="18"/>
                <w:lang w:eastAsia="en-GB"/>
              </w:rPr>
              <w:t xml:space="preserve"> </w:t>
            </w:r>
          </w:p>
        </w:tc>
        <w:tc>
          <w:tcPr>
            <w:tcW w:w="0" w:type="dxa"/>
            <w:shd w:val="clear" w:color="auto" w:fill="EBC132" w:themeFill="accent1"/>
            <w:noWrap/>
            <w:hideMark/>
          </w:tcPr>
          <w:p w14:paraId="5CA3533A"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0" w:type="dxa"/>
            <w:shd w:val="clear" w:color="auto" w:fill="auto"/>
            <w:noWrap/>
            <w:hideMark/>
          </w:tcPr>
          <w:p w14:paraId="00BCC47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0" w:type="dxa"/>
            <w:shd w:val="clear" w:color="auto" w:fill="auto"/>
            <w:noWrap/>
            <w:vAlign w:val="center"/>
            <w:hideMark/>
          </w:tcPr>
          <w:p w14:paraId="64CAE93E"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0" w:type="dxa"/>
            <w:shd w:val="clear" w:color="auto" w:fill="auto"/>
            <w:noWrap/>
            <w:hideMark/>
          </w:tcPr>
          <w:p w14:paraId="5762D6B3"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 xml:space="preserve"> </w:t>
            </w:r>
          </w:p>
        </w:tc>
      </w:tr>
      <w:tr w:rsidR="00773EEA" w:rsidRPr="00773EEA" w14:paraId="4E5D0129"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shd w:val="clear" w:color="auto" w:fill="EBC132" w:themeFill="accent1"/>
            <w:hideMark/>
          </w:tcPr>
          <w:p w14:paraId="1D1EBCA6" w14:textId="0518D239"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Philippines</w:t>
            </w:r>
          </w:p>
        </w:tc>
        <w:tc>
          <w:tcPr>
            <w:tcW w:w="0" w:type="dxa"/>
            <w:shd w:val="clear" w:color="auto" w:fill="FBF2D6" w:themeFill="accent1" w:themeFillTint="33"/>
            <w:noWrap/>
            <w:hideMark/>
          </w:tcPr>
          <w:p w14:paraId="3F37DFC8"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Davao</w:t>
            </w:r>
          </w:p>
        </w:tc>
        <w:tc>
          <w:tcPr>
            <w:tcW w:w="0" w:type="dxa"/>
            <w:shd w:val="clear" w:color="auto" w:fill="EBC132" w:themeFill="accent1"/>
            <w:noWrap/>
            <w:hideMark/>
          </w:tcPr>
          <w:p w14:paraId="5D90CD54"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0" w:type="dxa"/>
            <w:shd w:val="clear" w:color="auto" w:fill="EBC132" w:themeFill="accent1"/>
            <w:noWrap/>
            <w:hideMark/>
          </w:tcPr>
          <w:p w14:paraId="1721E8E8"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0" w:type="dxa"/>
            <w:shd w:val="clear" w:color="auto" w:fill="EBC132" w:themeFill="accent1"/>
            <w:noWrap/>
            <w:vAlign w:val="center"/>
            <w:hideMark/>
          </w:tcPr>
          <w:p w14:paraId="0AF0DA8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Possible</w:t>
            </w:r>
          </w:p>
        </w:tc>
        <w:tc>
          <w:tcPr>
            <w:tcW w:w="0" w:type="dxa"/>
            <w:shd w:val="clear" w:color="auto" w:fill="FBF2D6" w:themeFill="accent1" w:themeFillTint="33"/>
            <w:noWrap/>
            <w:hideMark/>
          </w:tcPr>
          <w:p w14:paraId="54FB78FA"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TO-13: Davao ‘Bus Driver Training &amp; Technology Study</w:t>
            </w:r>
          </w:p>
        </w:tc>
      </w:tr>
      <w:tr w:rsidR="00773EEA" w:rsidRPr="00773EEA" w14:paraId="39E14C20"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610262C6" w14:textId="244593B9"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Philippines</w:t>
            </w:r>
          </w:p>
        </w:tc>
        <w:tc>
          <w:tcPr>
            <w:tcW w:w="1276" w:type="dxa"/>
            <w:shd w:val="clear" w:color="auto" w:fill="auto"/>
            <w:noWrap/>
            <w:hideMark/>
          </w:tcPr>
          <w:p w14:paraId="339440D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 xml:space="preserve">El </w:t>
            </w:r>
            <w:proofErr w:type="spellStart"/>
            <w:r w:rsidRPr="00773EEA">
              <w:rPr>
                <w:rFonts w:cstheme="minorHAnsi"/>
                <w:sz w:val="18"/>
                <w:lang w:eastAsia="en-GB"/>
              </w:rPr>
              <w:t>Nido</w:t>
            </w:r>
            <w:proofErr w:type="spellEnd"/>
          </w:p>
        </w:tc>
        <w:tc>
          <w:tcPr>
            <w:tcW w:w="850" w:type="dxa"/>
            <w:shd w:val="clear" w:color="auto" w:fill="EBC132" w:themeFill="accent1"/>
            <w:noWrap/>
            <w:hideMark/>
          </w:tcPr>
          <w:p w14:paraId="59874134"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34DD5955"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2AB8EBD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133D8343"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00FE4679"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1332369A"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Thailand</w:t>
            </w:r>
          </w:p>
        </w:tc>
        <w:tc>
          <w:tcPr>
            <w:tcW w:w="1276" w:type="dxa"/>
            <w:tcBorders>
              <w:top w:val="single" w:sz="4" w:space="0" w:color="FFC000"/>
              <w:bottom w:val="single" w:sz="4" w:space="0" w:color="FFC000"/>
            </w:tcBorders>
            <w:shd w:val="clear" w:color="auto" w:fill="FBF2D6" w:themeFill="accent1" w:themeFillTint="33"/>
            <w:noWrap/>
            <w:hideMark/>
          </w:tcPr>
          <w:p w14:paraId="086576A9"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Chonburi / EEC</w:t>
            </w:r>
          </w:p>
        </w:tc>
        <w:tc>
          <w:tcPr>
            <w:tcW w:w="850" w:type="dxa"/>
            <w:tcBorders>
              <w:top w:val="single" w:sz="4" w:space="0" w:color="FFC000"/>
              <w:bottom w:val="single" w:sz="4" w:space="0" w:color="FFC000"/>
            </w:tcBorders>
            <w:shd w:val="clear" w:color="auto" w:fill="EBC132" w:themeFill="accent1"/>
            <w:noWrap/>
            <w:hideMark/>
          </w:tcPr>
          <w:p w14:paraId="3785D429"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bottom w:val="single" w:sz="4" w:space="0" w:color="FFC000"/>
            </w:tcBorders>
            <w:shd w:val="clear" w:color="auto" w:fill="EBC132" w:themeFill="accent1"/>
            <w:noWrap/>
            <w:hideMark/>
          </w:tcPr>
          <w:p w14:paraId="24290D86"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bottom w:val="single" w:sz="4" w:space="0" w:color="FFC000"/>
            </w:tcBorders>
            <w:shd w:val="clear" w:color="auto" w:fill="FBF2D6" w:themeFill="accent1" w:themeFillTint="33"/>
            <w:noWrap/>
            <w:hideMark/>
          </w:tcPr>
          <w:p w14:paraId="55F8A558"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bottom w:val="single" w:sz="4" w:space="0" w:color="FFC000"/>
            </w:tcBorders>
            <w:shd w:val="clear" w:color="auto" w:fill="FBF2D6" w:themeFill="accent1" w:themeFillTint="33"/>
            <w:noWrap/>
            <w:hideMark/>
          </w:tcPr>
          <w:p w14:paraId="3EEC0EBD"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TO-11: Smart Innovation Ecosystem and Smart City Investment Portfolio for EEC</w:t>
            </w:r>
          </w:p>
        </w:tc>
      </w:tr>
      <w:tr w:rsidR="00773EEA" w:rsidRPr="00773EEA" w14:paraId="13F7102E"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noWrap/>
            <w:hideMark/>
          </w:tcPr>
          <w:p w14:paraId="35E25352" w14:textId="77777777" w:rsidR="00FC0DA7" w:rsidRPr="00773EEA" w:rsidRDefault="00FC0DA7"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Vietnam</w:t>
            </w:r>
          </w:p>
        </w:tc>
        <w:tc>
          <w:tcPr>
            <w:tcW w:w="1276" w:type="dxa"/>
            <w:tcBorders>
              <w:top w:val="single" w:sz="4" w:space="0" w:color="FFC000"/>
            </w:tcBorders>
            <w:shd w:val="clear" w:color="auto" w:fill="auto"/>
            <w:noWrap/>
            <w:hideMark/>
          </w:tcPr>
          <w:p w14:paraId="46A32F94"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eastAsia="Times New Roman" w:cstheme="minorHAnsi"/>
                <w:sz w:val="18"/>
                <w:lang w:val="en-GB" w:eastAsia="en-GB"/>
              </w:rPr>
              <w:t>Gia Nghia</w:t>
            </w:r>
          </w:p>
        </w:tc>
        <w:tc>
          <w:tcPr>
            <w:tcW w:w="850" w:type="dxa"/>
            <w:tcBorders>
              <w:top w:val="single" w:sz="4" w:space="0" w:color="FFC000"/>
            </w:tcBorders>
            <w:shd w:val="clear" w:color="auto" w:fill="EBC132" w:themeFill="accent1"/>
            <w:noWrap/>
            <w:hideMark/>
          </w:tcPr>
          <w:p w14:paraId="7D652E4F"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tcBorders>
              <w:top w:val="single" w:sz="4" w:space="0" w:color="FFC000"/>
            </w:tcBorders>
            <w:shd w:val="clear" w:color="auto" w:fill="auto"/>
            <w:noWrap/>
            <w:hideMark/>
          </w:tcPr>
          <w:p w14:paraId="2DAE7BF8"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tcBorders>
              <w:top w:val="single" w:sz="4" w:space="0" w:color="FFC000"/>
            </w:tcBorders>
            <w:shd w:val="clear" w:color="auto" w:fill="auto"/>
            <w:noWrap/>
            <w:hideMark/>
          </w:tcPr>
          <w:p w14:paraId="19D6A8E5"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tcBorders>
              <w:top w:val="single" w:sz="4" w:space="0" w:color="FFC000"/>
            </w:tcBorders>
            <w:shd w:val="clear" w:color="auto" w:fill="auto"/>
            <w:noWrap/>
            <w:hideMark/>
          </w:tcPr>
          <w:p w14:paraId="5B1A1DD3"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r w:rsidR="00773EEA" w:rsidRPr="00773EEA" w14:paraId="1BA993AC"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shd w:val="clear" w:color="auto" w:fill="EBC132" w:themeFill="accent1"/>
            <w:hideMark/>
          </w:tcPr>
          <w:p w14:paraId="0834771A" w14:textId="4C92DBBE"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Vietnam</w:t>
            </w:r>
          </w:p>
        </w:tc>
        <w:tc>
          <w:tcPr>
            <w:tcW w:w="0" w:type="dxa"/>
            <w:shd w:val="clear" w:color="auto" w:fill="FBF2D6" w:themeFill="accent1" w:themeFillTint="33"/>
            <w:noWrap/>
            <w:hideMark/>
          </w:tcPr>
          <w:p w14:paraId="5FC9D15F"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Ho Chi Minh</w:t>
            </w:r>
          </w:p>
        </w:tc>
        <w:tc>
          <w:tcPr>
            <w:tcW w:w="0" w:type="dxa"/>
            <w:shd w:val="clear" w:color="auto" w:fill="EBC132" w:themeFill="accent1"/>
            <w:noWrap/>
            <w:hideMark/>
          </w:tcPr>
          <w:p w14:paraId="5C721ACD"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0" w:type="dxa"/>
            <w:shd w:val="clear" w:color="auto" w:fill="EBC132" w:themeFill="accent1"/>
            <w:noWrap/>
            <w:hideMark/>
          </w:tcPr>
          <w:p w14:paraId="207B1CE4"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0" w:type="dxa"/>
            <w:shd w:val="clear" w:color="auto" w:fill="EBC132" w:themeFill="accent1"/>
            <w:noWrap/>
            <w:vAlign w:val="center"/>
            <w:hideMark/>
          </w:tcPr>
          <w:p w14:paraId="2E101851" w14:textId="101C1CA1"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Possible</w:t>
            </w:r>
          </w:p>
        </w:tc>
        <w:tc>
          <w:tcPr>
            <w:tcW w:w="0" w:type="dxa"/>
            <w:shd w:val="clear" w:color="auto" w:fill="FBF2D6" w:themeFill="accent1" w:themeFillTint="33"/>
            <w:noWrap/>
            <w:hideMark/>
          </w:tcPr>
          <w:p w14:paraId="3A81ABD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6D7A09A9"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5392F50A" w14:textId="3904F4E6"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Vietnam</w:t>
            </w:r>
          </w:p>
        </w:tc>
        <w:tc>
          <w:tcPr>
            <w:tcW w:w="1276" w:type="dxa"/>
            <w:shd w:val="clear" w:color="auto" w:fill="auto"/>
            <w:noWrap/>
            <w:hideMark/>
          </w:tcPr>
          <w:p w14:paraId="47CF6C61"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Hue</w:t>
            </w:r>
          </w:p>
        </w:tc>
        <w:tc>
          <w:tcPr>
            <w:tcW w:w="850" w:type="dxa"/>
            <w:shd w:val="clear" w:color="auto" w:fill="EBC132" w:themeFill="accent1"/>
            <w:noWrap/>
            <w:hideMark/>
          </w:tcPr>
          <w:p w14:paraId="7B7DA6B7"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EBC132" w:themeFill="accent1"/>
            <w:noWrap/>
            <w:hideMark/>
          </w:tcPr>
          <w:p w14:paraId="1E71C6C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0DE2686E"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41CCEBAC"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TO-10: Smart Digital City Model for Master Planning</w:t>
            </w:r>
          </w:p>
        </w:tc>
      </w:tr>
      <w:tr w:rsidR="00773EEA" w:rsidRPr="00773EEA" w14:paraId="6F9D1B2C" w14:textId="77777777" w:rsidTr="004663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7DD192F9" w14:textId="0E33E31D"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Vietnam</w:t>
            </w:r>
          </w:p>
        </w:tc>
        <w:tc>
          <w:tcPr>
            <w:tcW w:w="1276" w:type="dxa"/>
            <w:shd w:val="clear" w:color="auto" w:fill="FBF2D6" w:themeFill="accent1" w:themeFillTint="33"/>
            <w:noWrap/>
            <w:hideMark/>
          </w:tcPr>
          <w:p w14:paraId="6C0060F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Phan Rang</w:t>
            </w:r>
          </w:p>
        </w:tc>
        <w:tc>
          <w:tcPr>
            <w:tcW w:w="850" w:type="dxa"/>
            <w:shd w:val="clear" w:color="auto" w:fill="EBC132" w:themeFill="accent1"/>
            <w:noWrap/>
            <w:hideMark/>
          </w:tcPr>
          <w:p w14:paraId="65944C47"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851" w:type="dxa"/>
            <w:shd w:val="clear" w:color="auto" w:fill="FBF2D6" w:themeFill="accent1" w:themeFillTint="33"/>
            <w:noWrap/>
            <w:hideMark/>
          </w:tcPr>
          <w:p w14:paraId="053F1F55"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992" w:type="dxa"/>
            <w:shd w:val="clear" w:color="auto" w:fill="FBF2D6" w:themeFill="accent1" w:themeFillTint="33"/>
            <w:noWrap/>
            <w:hideMark/>
          </w:tcPr>
          <w:p w14:paraId="61A1A3B1"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c>
          <w:tcPr>
            <w:tcW w:w="5103" w:type="dxa"/>
            <w:shd w:val="clear" w:color="auto" w:fill="FBF2D6" w:themeFill="accent1" w:themeFillTint="33"/>
            <w:noWrap/>
            <w:hideMark/>
          </w:tcPr>
          <w:p w14:paraId="1111B6C3" w14:textId="77777777" w:rsidR="00FC0DA7" w:rsidRPr="00773EEA" w:rsidRDefault="00FC0DA7" w:rsidP="004476F1">
            <w:pPr>
              <w:spacing w:before="60"/>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val="en-GB" w:eastAsia="en-GB"/>
              </w:rPr>
            </w:pPr>
          </w:p>
        </w:tc>
      </w:tr>
      <w:tr w:rsidR="00773EEA" w:rsidRPr="00773EEA" w14:paraId="614F1B06" w14:textId="77777777" w:rsidTr="00466315">
        <w:trPr>
          <w:trHeight w:val="320"/>
        </w:trPr>
        <w:tc>
          <w:tcPr>
            <w:cnfStyle w:val="001000000000" w:firstRow="0" w:lastRow="0" w:firstColumn="1" w:lastColumn="0" w:oddVBand="0" w:evenVBand="0" w:oddHBand="0" w:evenHBand="0" w:firstRowFirstColumn="0" w:firstRowLastColumn="0" w:lastRowFirstColumn="0" w:lastRowLastColumn="0"/>
            <w:tcW w:w="1276" w:type="dxa"/>
            <w:shd w:val="clear" w:color="auto" w:fill="EBC132" w:themeFill="accent1"/>
            <w:hideMark/>
          </w:tcPr>
          <w:p w14:paraId="792859FF" w14:textId="779C94EA" w:rsidR="00FC0DA7" w:rsidRPr="00773EEA" w:rsidRDefault="00F2243F" w:rsidP="004476F1">
            <w:pPr>
              <w:spacing w:before="60"/>
              <w:rPr>
                <w:rFonts w:eastAsia="Times New Roman" w:cstheme="minorHAnsi"/>
                <w:b w:val="0"/>
                <w:bCs w:val="0"/>
                <w:sz w:val="18"/>
                <w:lang w:val="en-GB" w:eastAsia="en-GB"/>
              </w:rPr>
            </w:pPr>
            <w:r w:rsidRPr="00773EEA">
              <w:rPr>
                <w:rFonts w:eastAsia="Times New Roman" w:cstheme="minorHAnsi"/>
                <w:sz w:val="18"/>
                <w:lang w:val="en-GB" w:eastAsia="en-GB"/>
              </w:rPr>
              <w:t>Vietnam</w:t>
            </w:r>
          </w:p>
        </w:tc>
        <w:tc>
          <w:tcPr>
            <w:tcW w:w="1276" w:type="dxa"/>
            <w:shd w:val="clear" w:color="auto" w:fill="auto"/>
            <w:noWrap/>
            <w:hideMark/>
          </w:tcPr>
          <w:p w14:paraId="1C1184F3"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Phan Thiet</w:t>
            </w:r>
          </w:p>
        </w:tc>
        <w:tc>
          <w:tcPr>
            <w:tcW w:w="850" w:type="dxa"/>
            <w:shd w:val="clear" w:color="auto" w:fill="EBC132" w:themeFill="accent1"/>
            <w:noWrap/>
            <w:hideMark/>
          </w:tcPr>
          <w:p w14:paraId="672614C0"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851" w:type="dxa"/>
            <w:shd w:val="clear" w:color="auto" w:fill="auto"/>
            <w:noWrap/>
            <w:hideMark/>
          </w:tcPr>
          <w:p w14:paraId="3AF6E59D"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992" w:type="dxa"/>
            <w:shd w:val="clear" w:color="auto" w:fill="auto"/>
            <w:noWrap/>
            <w:hideMark/>
          </w:tcPr>
          <w:p w14:paraId="2CD38609"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c>
          <w:tcPr>
            <w:tcW w:w="5103" w:type="dxa"/>
            <w:shd w:val="clear" w:color="auto" w:fill="auto"/>
            <w:noWrap/>
            <w:hideMark/>
          </w:tcPr>
          <w:p w14:paraId="49C9E47B" w14:textId="77777777" w:rsidR="00FC0DA7" w:rsidRPr="00773EEA" w:rsidRDefault="00FC0DA7" w:rsidP="004476F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val="en-GB" w:eastAsia="en-GB"/>
              </w:rPr>
            </w:pPr>
          </w:p>
        </w:tc>
      </w:tr>
    </w:tbl>
    <w:p w14:paraId="32CC94F0" w14:textId="77777777" w:rsidR="00FC0DA7" w:rsidRPr="00773EEA" w:rsidRDefault="00FC0DA7" w:rsidP="00FC0DA7">
      <w:pPr>
        <w:ind w:left="170"/>
        <w:rPr>
          <w:rFonts w:cstheme="minorHAnsi"/>
          <w:i/>
          <w:iCs/>
          <w:sz w:val="21"/>
          <w:szCs w:val="21"/>
        </w:rPr>
      </w:pPr>
      <w:r w:rsidRPr="00773EEA">
        <w:rPr>
          <w:rFonts w:cstheme="minorHAnsi"/>
          <w:i/>
          <w:iCs/>
          <w:sz w:val="21"/>
          <w:szCs w:val="21"/>
        </w:rPr>
        <w:t>Source: AASCTF Mid-term PLSER and Ramboll updates to the MTR team</w:t>
      </w:r>
    </w:p>
    <w:p w14:paraId="65AAFB57" w14:textId="6DA51CDD" w:rsidR="009B1882" w:rsidRPr="00773EEA" w:rsidRDefault="7C8EDEC0" w:rsidP="00177735">
      <w:pPr>
        <w:pStyle w:val="Heading2"/>
        <w:numPr>
          <w:ilvl w:val="1"/>
          <w:numId w:val="7"/>
        </w:numPr>
      </w:pPr>
      <w:r w:rsidRPr="00773EEA">
        <w:t xml:space="preserve"> </w:t>
      </w:r>
      <w:bookmarkStart w:id="27" w:name="_Toc123633716"/>
      <w:r w:rsidR="0082010A" w:rsidRPr="00773EEA">
        <w:rPr>
          <w:rFonts w:cstheme="minorBidi"/>
        </w:rPr>
        <w:t>Resource Person Contracts and Direct Charge Projects</w:t>
      </w:r>
      <w:bookmarkEnd w:id="27"/>
    </w:p>
    <w:p w14:paraId="670951D8" w14:textId="4C50F59F" w:rsidR="00A07DC7" w:rsidRPr="00773EEA" w:rsidRDefault="65FAAC93" w:rsidP="00B7602B">
      <w:pPr>
        <w:ind w:left="170"/>
        <w:jc w:val="both"/>
      </w:pPr>
      <w:r w:rsidRPr="00773EEA">
        <w:rPr>
          <w:rFonts w:cstheme="minorBidi"/>
        </w:rPr>
        <w:t xml:space="preserve">ADB </w:t>
      </w:r>
      <w:r w:rsidR="0082010A" w:rsidRPr="00773EEA">
        <w:rPr>
          <w:rFonts w:cstheme="minorBidi"/>
        </w:rPr>
        <w:t xml:space="preserve">is also </w:t>
      </w:r>
      <w:r w:rsidRPr="00773EEA">
        <w:rPr>
          <w:rFonts w:cstheme="minorBidi"/>
        </w:rPr>
        <w:t>implement</w:t>
      </w:r>
      <w:r w:rsidR="0082010A" w:rsidRPr="00773EEA">
        <w:rPr>
          <w:rFonts w:cstheme="minorBidi"/>
        </w:rPr>
        <w:t>ing</w:t>
      </w:r>
      <w:r w:rsidRPr="00773EEA">
        <w:rPr>
          <w:rFonts w:cstheme="minorBidi"/>
        </w:rPr>
        <w:t xml:space="preserve"> Resource Person Contracts and Direct Charge Projects to undertake targeted pieces of work to complement existing program activities. The </w:t>
      </w:r>
      <w:r w:rsidR="00B45354" w:rsidRPr="00773EEA">
        <w:rPr>
          <w:rFonts w:cstheme="minorBidi"/>
        </w:rPr>
        <w:t>Resource Person and Direct Charge projects</w:t>
      </w:r>
      <w:r w:rsidRPr="00773EEA">
        <w:rPr>
          <w:rFonts w:cstheme="minorBidi"/>
        </w:rPr>
        <w:t xml:space="preserve"> are summarised in </w:t>
      </w:r>
      <w:r w:rsidRPr="00773EEA">
        <w:rPr>
          <w:rFonts w:cstheme="minorBidi"/>
          <w:b/>
          <w:bCs/>
        </w:rPr>
        <w:t>Table 3.</w:t>
      </w:r>
      <w:r w:rsidRPr="00773EEA">
        <w:rPr>
          <w:rFonts w:cstheme="minorBidi"/>
        </w:rPr>
        <w:t xml:space="preserve"> </w:t>
      </w:r>
      <w:r w:rsidRPr="00773EEA">
        <w:t xml:space="preserve">ADB is also directly responsible for planning and implementing </w:t>
      </w:r>
      <w:r w:rsidR="009B1D83" w:rsidRPr="00773EEA">
        <w:t>G</w:t>
      </w:r>
      <w:r w:rsidRPr="00773EEA">
        <w:t>old</w:t>
      </w:r>
      <w:r w:rsidR="009B1D83" w:rsidRPr="00773EEA">
        <w:t>-</w:t>
      </w:r>
      <w:r w:rsidRPr="00773EEA">
        <w:t xml:space="preserve">level investments, which are intended to help implement more tangible smart city assets in selected cities, with important demonstration effects on aspects such as how ADB grant funding can help leverage private sector investment. </w:t>
      </w:r>
    </w:p>
    <w:p w14:paraId="7DCA33FA" w14:textId="784976FC" w:rsidR="003F7D49" w:rsidRPr="00773EEA" w:rsidRDefault="003F7D49" w:rsidP="003F7D49">
      <w:pPr>
        <w:pStyle w:val="Caption"/>
        <w:rPr>
          <w:color w:val="auto"/>
        </w:rPr>
      </w:pPr>
      <w:bookmarkStart w:id="28" w:name="_Toc109841743"/>
      <w:r w:rsidRPr="00773EEA">
        <w:rPr>
          <w:color w:val="auto"/>
        </w:rPr>
        <w:t xml:space="preserve">Table </w:t>
      </w:r>
      <w:r w:rsidR="00C976B6" w:rsidRPr="00773EEA">
        <w:rPr>
          <w:noProof/>
          <w:color w:val="auto"/>
        </w:rPr>
        <w:fldChar w:fldCharType="begin"/>
      </w:r>
      <w:r w:rsidR="00C976B6" w:rsidRPr="00773EEA">
        <w:rPr>
          <w:noProof/>
          <w:color w:val="auto"/>
        </w:rPr>
        <w:instrText xml:space="preserve"> SEQ Table \* ARABIC </w:instrText>
      </w:r>
      <w:r w:rsidR="00C976B6" w:rsidRPr="00773EEA">
        <w:rPr>
          <w:noProof/>
          <w:color w:val="auto"/>
        </w:rPr>
        <w:fldChar w:fldCharType="separate"/>
      </w:r>
      <w:r w:rsidR="00AC7E0F" w:rsidRPr="00773EEA">
        <w:rPr>
          <w:noProof/>
          <w:color w:val="auto"/>
        </w:rPr>
        <w:t>3</w:t>
      </w:r>
      <w:r w:rsidR="00C976B6" w:rsidRPr="00773EEA">
        <w:rPr>
          <w:noProof/>
          <w:color w:val="auto"/>
        </w:rPr>
        <w:fldChar w:fldCharType="end"/>
      </w:r>
      <w:r w:rsidRPr="00773EEA">
        <w:rPr>
          <w:color w:val="auto"/>
        </w:rPr>
        <w:t>: Resource Person Contracts and Direct Charge Projects</w:t>
      </w:r>
      <w:bookmarkEnd w:id="28"/>
    </w:p>
    <w:tbl>
      <w:tblPr>
        <w:tblStyle w:val="GridTable5Dark-Accent4"/>
        <w:tblW w:w="10206" w:type="dxa"/>
        <w:tblInd w:w="137" w:type="dxa"/>
        <w:tblLook w:val="04A0" w:firstRow="1" w:lastRow="0" w:firstColumn="1" w:lastColumn="0" w:noHBand="0" w:noVBand="1"/>
      </w:tblPr>
      <w:tblGrid>
        <w:gridCol w:w="1701"/>
        <w:gridCol w:w="1446"/>
        <w:gridCol w:w="1296"/>
        <w:gridCol w:w="4204"/>
        <w:gridCol w:w="1559"/>
      </w:tblGrid>
      <w:tr w:rsidR="00773EEA" w:rsidRPr="00773EEA" w14:paraId="54233DC0" w14:textId="77777777" w:rsidTr="00466C56">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604118CA" w14:textId="77777777" w:rsidR="00D22147" w:rsidRPr="00773EEA" w:rsidRDefault="00D22147" w:rsidP="00394337">
            <w:pPr>
              <w:spacing w:after="120"/>
              <w:rPr>
                <w:rFonts w:eastAsia="Times New Roman" w:cstheme="minorHAnsi"/>
                <w:b w:val="0"/>
                <w:bCs w:val="0"/>
                <w:sz w:val="18"/>
                <w:lang w:val="en-GB" w:eastAsia="en-GB"/>
              </w:rPr>
            </w:pPr>
            <w:r w:rsidRPr="00773EEA">
              <w:rPr>
                <w:rFonts w:eastAsia="Times New Roman" w:cstheme="minorHAnsi"/>
                <w:sz w:val="18"/>
                <w:lang w:val="en-GB" w:eastAsia="en-GB"/>
              </w:rPr>
              <w:t>Intervention type</w:t>
            </w:r>
          </w:p>
        </w:tc>
        <w:tc>
          <w:tcPr>
            <w:tcW w:w="1446" w:type="dxa"/>
            <w:shd w:val="clear" w:color="auto" w:fill="EBC132" w:themeFill="accent1"/>
          </w:tcPr>
          <w:p w14:paraId="3C60F186" w14:textId="77777777" w:rsidR="00D22147" w:rsidRPr="00773EEA" w:rsidRDefault="00D22147" w:rsidP="00394337">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lang w:val="en-GB" w:eastAsia="en-GB"/>
              </w:rPr>
            </w:pPr>
            <w:r w:rsidRPr="00773EEA">
              <w:rPr>
                <w:rFonts w:eastAsia="Times New Roman" w:cstheme="minorHAnsi"/>
                <w:sz w:val="18"/>
                <w:lang w:val="en-GB" w:eastAsia="en-GB"/>
              </w:rPr>
              <w:t>Country</w:t>
            </w:r>
          </w:p>
        </w:tc>
        <w:tc>
          <w:tcPr>
            <w:tcW w:w="1296" w:type="dxa"/>
            <w:shd w:val="clear" w:color="auto" w:fill="EBC132" w:themeFill="accent1"/>
          </w:tcPr>
          <w:p w14:paraId="6E1E69FC" w14:textId="77777777" w:rsidR="00D22147" w:rsidRPr="00773EEA" w:rsidRDefault="00D22147" w:rsidP="00394337">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lang w:val="en-GB" w:eastAsia="en-GB"/>
              </w:rPr>
            </w:pPr>
            <w:r w:rsidRPr="00773EEA">
              <w:rPr>
                <w:rFonts w:eastAsia="Times New Roman" w:cstheme="minorHAnsi"/>
                <w:sz w:val="18"/>
                <w:lang w:val="en-GB" w:eastAsia="en-GB"/>
              </w:rPr>
              <w:t>Cities</w:t>
            </w:r>
          </w:p>
        </w:tc>
        <w:tc>
          <w:tcPr>
            <w:tcW w:w="4204" w:type="dxa"/>
            <w:shd w:val="clear" w:color="auto" w:fill="EBC132" w:themeFill="accent1"/>
          </w:tcPr>
          <w:p w14:paraId="1FD4CD41" w14:textId="77777777" w:rsidR="00D22147" w:rsidRPr="00773EEA" w:rsidRDefault="00D22147" w:rsidP="00394337">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lang w:val="en-GB" w:eastAsia="en-GB"/>
              </w:rPr>
            </w:pPr>
            <w:r w:rsidRPr="00773EEA">
              <w:rPr>
                <w:rFonts w:eastAsia="Times New Roman" w:cstheme="minorHAnsi"/>
                <w:sz w:val="18"/>
                <w:lang w:val="en-GB" w:eastAsia="en-GB"/>
              </w:rPr>
              <w:t>Title</w:t>
            </w:r>
          </w:p>
        </w:tc>
        <w:tc>
          <w:tcPr>
            <w:tcW w:w="1559" w:type="dxa"/>
            <w:shd w:val="clear" w:color="auto" w:fill="EBC132" w:themeFill="accent1"/>
          </w:tcPr>
          <w:p w14:paraId="41D2EEE2" w14:textId="77777777" w:rsidR="00D22147" w:rsidRPr="00773EEA" w:rsidRDefault="00D22147" w:rsidP="00394337">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lang w:val="en-GB" w:eastAsia="en-GB"/>
              </w:rPr>
            </w:pPr>
            <w:r w:rsidRPr="00773EEA">
              <w:rPr>
                <w:rFonts w:eastAsia="Times New Roman" w:cstheme="minorHAnsi"/>
                <w:sz w:val="18"/>
                <w:lang w:val="en-GB" w:eastAsia="en-GB"/>
              </w:rPr>
              <w:t>Status</w:t>
            </w:r>
          </w:p>
        </w:tc>
      </w:tr>
      <w:tr w:rsidR="00773EEA" w:rsidRPr="00773EEA" w14:paraId="6AD0C815" w14:textId="77777777" w:rsidTr="00466C56">
        <w:trPr>
          <w:cnfStyle w:val="100000000000" w:firstRow="1" w:lastRow="0" w:firstColumn="0" w:lastColumn="0" w:oddVBand="0" w:evenVBand="0" w:oddHBand="0" w:evenHBand="0" w:firstRowFirstColumn="0" w:firstRowLastColumn="0" w:lastRowFirstColumn="0" w:lastRowLastColumn="0"/>
          <w:trHeight w:val="554"/>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5ABC3145"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Direct Charge Project</w:t>
            </w:r>
          </w:p>
        </w:tc>
        <w:tc>
          <w:tcPr>
            <w:tcW w:w="1446" w:type="dxa"/>
            <w:shd w:val="clear" w:color="auto" w:fill="FBF2D6" w:themeFill="accent1" w:themeFillTint="33"/>
          </w:tcPr>
          <w:p w14:paraId="00BB052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Indonesia</w:t>
            </w:r>
          </w:p>
        </w:tc>
        <w:tc>
          <w:tcPr>
            <w:tcW w:w="1296" w:type="dxa"/>
            <w:shd w:val="clear" w:color="auto" w:fill="FBF2D6" w:themeFill="accent1" w:themeFillTint="33"/>
          </w:tcPr>
          <w:p w14:paraId="21C25269"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FBF2D6" w:themeFill="accent1" w:themeFillTint="33"/>
          </w:tcPr>
          <w:p w14:paraId="36E04F6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Development and Pilot Assessment of a Municipal Resource Mobilization template and City Resource Mobilization Tool (CRMT) for Indonesian Cities</w:t>
            </w:r>
          </w:p>
        </w:tc>
        <w:tc>
          <w:tcPr>
            <w:tcW w:w="1559" w:type="dxa"/>
            <w:shd w:val="clear" w:color="auto" w:fill="FBF2D6" w:themeFill="accent1" w:themeFillTint="33"/>
          </w:tcPr>
          <w:p w14:paraId="5653E04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lang w:val="en-GB" w:eastAsia="en-GB"/>
              </w:rPr>
            </w:pPr>
            <w:r w:rsidRPr="00773EEA">
              <w:rPr>
                <w:rFonts w:cstheme="minorHAnsi"/>
                <w:i/>
                <w:iCs/>
                <w:sz w:val="18"/>
                <w:lang w:eastAsia="en-GB"/>
              </w:rPr>
              <w:t>In progress</w:t>
            </w:r>
          </w:p>
        </w:tc>
      </w:tr>
      <w:tr w:rsidR="00773EEA" w:rsidRPr="00773EEA" w14:paraId="229EC7BC" w14:textId="77777777" w:rsidTr="00466C56">
        <w:trPr>
          <w:cnfStyle w:val="100000000000" w:firstRow="1" w:lastRow="0" w:firstColumn="0" w:lastColumn="0" w:oddVBand="0" w:evenVBand="0" w:oddHBand="0" w:evenHBand="0" w:firstRowFirstColumn="0" w:firstRowLastColumn="0" w:lastRowFirstColumn="0" w:lastRowLastColumn="0"/>
          <w:trHeight w:val="554"/>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6698ACDC"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Resource Person Contract</w:t>
            </w:r>
          </w:p>
        </w:tc>
        <w:tc>
          <w:tcPr>
            <w:tcW w:w="1446" w:type="dxa"/>
            <w:shd w:val="clear" w:color="auto" w:fill="auto"/>
          </w:tcPr>
          <w:p w14:paraId="0A2C6F08"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CAM/PHI/INO</w:t>
            </w:r>
          </w:p>
        </w:tc>
        <w:tc>
          <w:tcPr>
            <w:tcW w:w="1296" w:type="dxa"/>
            <w:shd w:val="clear" w:color="auto" w:fill="auto"/>
          </w:tcPr>
          <w:p w14:paraId="65AC4A17"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auto"/>
          </w:tcPr>
          <w:p w14:paraId="1DA33970"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Development of complete sewer network designs for four (4) project cities</w:t>
            </w:r>
          </w:p>
        </w:tc>
        <w:tc>
          <w:tcPr>
            <w:tcW w:w="1559" w:type="dxa"/>
            <w:shd w:val="clear" w:color="auto" w:fill="auto"/>
          </w:tcPr>
          <w:p w14:paraId="19DF3271"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lang w:val="en-GB" w:eastAsia="en-GB"/>
              </w:rPr>
            </w:pPr>
            <w:r w:rsidRPr="00773EEA">
              <w:rPr>
                <w:rFonts w:cstheme="minorHAnsi"/>
                <w:i/>
                <w:iCs/>
                <w:sz w:val="18"/>
                <w:lang w:eastAsia="en-GB"/>
              </w:rPr>
              <w:t>In progress</w:t>
            </w:r>
          </w:p>
        </w:tc>
      </w:tr>
      <w:tr w:rsidR="00773EEA" w:rsidRPr="00773EEA" w14:paraId="2475A78C" w14:textId="77777777" w:rsidTr="00466C56">
        <w:trPr>
          <w:cnfStyle w:val="100000000000" w:firstRow="1" w:lastRow="0" w:firstColumn="0" w:lastColumn="0" w:oddVBand="0" w:evenVBand="0" w:oddHBand="0" w:evenHBand="0" w:firstRowFirstColumn="0" w:firstRowLastColumn="0" w:lastRowFirstColumn="0" w:lastRowLastColumn="0"/>
          <w:trHeight w:val="554"/>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406130FE"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Resource Person Contract</w:t>
            </w:r>
          </w:p>
        </w:tc>
        <w:tc>
          <w:tcPr>
            <w:tcW w:w="1446" w:type="dxa"/>
            <w:shd w:val="clear" w:color="auto" w:fill="FBF2D6" w:themeFill="accent1" w:themeFillTint="33"/>
          </w:tcPr>
          <w:p w14:paraId="6BA154D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Indonesia</w:t>
            </w:r>
          </w:p>
        </w:tc>
        <w:tc>
          <w:tcPr>
            <w:tcW w:w="1296" w:type="dxa"/>
            <w:shd w:val="clear" w:color="auto" w:fill="FBF2D6" w:themeFill="accent1" w:themeFillTint="33"/>
          </w:tcPr>
          <w:p w14:paraId="2741A543"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FBF2D6" w:themeFill="accent1" w:themeFillTint="33"/>
          </w:tcPr>
          <w:p w14:paraId="1C6DC24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Development of a circular economy planning tool for Indonesia’s Ministry of Finance</w:t>
            </w:r>
          </w:p>
        </w:tc>
        <w:tc>
          <w:tcPr>
            <w:tcW w:w="1559" w:type="dxa"/>
            <w:shd w:val="clear" w:color="auto" w:fill="FBF2D6" w:themeFill="accent1" w:themeFillTint="33"/>
          </w:tcPr>
          <w:p w14:paraId="39C3B7F9"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18"/>
                <w:lang w:val="en-GB" w:eastAsia="en-GB"/>
              </w:rPr>
            </w:pPr>
            <w:r w:rsidRPr="00773EEA">
              <w:rPr>
                <w:rFonts w:cstheme="minorHAnsi"/>
                <w:i/>
                <w:iCs/>
                <w:sz w:val="18"/>
                <w:lang w:eastAsia="en-GB"/>
              </w:rPr>
              <w:t>In progress</w:t>
            </w:r>
          </w:p>
        </w:tc>
      </w:tr>
      <w:tr w:rsidR="00773EEA" w:rsidRPr="00773EEA" w14:paraId="2E88714D" w14:textId="77777777" w:rsidTr="00466C56">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hideMark/>
          </w:tcPr>
          <w:p w14:paraId="50A96267"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Resource Person Contract</w:t>
            </w:r>
          </w:p>
        </w:tc>
        <w:tc>
          <w:tcPr>
            <w:tcW w:w="1446" w:type="dxa"/>
            <w:shd w:val="clear" w:color="auto" w:fill="auto"/>
            <w:hideMark/>
          </w:tcPr>
          <w:p w14:paraId="0D30DA45"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Indonesia</w:t>
            </w:r>
          </w:p>
        </w:tc>
        <w:tc>
          <w:tcPr>
            <w:tcW w:w="1296" w:type="dxa"/>
            <w:shd w:val="clear" w:color="auto" w:fill="auto"/>
            <w:hideMark/>
          </w:tcPr>
          <w:p w14:paraId="26323C2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Makassar</w:t>
            </w:r>
          </w:p>
        </w:tc>
        <w:tc>
          <w:tcPr>
            <w:tcW w:w="4204" w:type="dxa"/>
            <w:shd w:val="clear" w:color="auto" w:fill="auto"/>
            <w:hideMark/>
          </w:tcPr>
          <w:p w14:paraId="703B12D0"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Designing Post-COVID Cities: Geospatial platform to support COVID-19 analysis in Makassar</w:t>
            </w:r>
          </w:p>
        </w:tc>
        <w:tc>
          <w:tcPr>
            <w:tcW w:w="1559" w:type="dxa"/>
            <w:shd w:val="clear" w:color="auto" w:fill="auto"/>
            <w:hideMark/>
          </w:tcPr>
          <w:p w14:paraId="254DA38F"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Completed</w:t>
            </w:r>
          </w:p>
        </w:tc>
      </w:tr>
      <w:tr w:rsidR="00773EEA" w:rsidRPr="00773EEA" w14:paraId="6A866E2B" w14:textId="77777777" w:rsidTr="00466C56">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hideMark/>
          </w:tcPr>
          <w:p w14:paraId="436F7455"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Resource Person Contract</w:t>
            </w:r>
          </w:p>
        </w:tc>
        <w:tc>
          <w:tcPr>
            <w:tcW w:w="1446" w:type="dxa"/>
            <w:shd w:val="clear" w:color="auto" w:fill="FBF2D6" w:themeFill="accent1" w:themeFillTint="33"/>
            <w:hideMark/>
          </w:tcPr>
          <w:p w14:paraId="25CEC728"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Indonesia</w:t>
            </w:r>
          </w:p>
        </w:tc>
        <w:tc>
          <w:tcPr>
            <w:tcW w:w="1296" w:type="dxa"/>
            <w:shd w:val="clear" w:color="auto" w:fill="FBF2D6" w:themeFill="accent1" w:themeFillTint="33"/>
            <w:hideMark/>
          </w:tcPr>
          <w:p w14:paraId="08BB210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Makassar</w:t>
            </w:r>
          </w:p>
        </w:tc>
        <w:tc>
          <w:tcPr>
            <w:tcW w:w="4204" w:type="dxa"/>
            <w:shd w:val="clear" w:color="auto" w:fill="FBF2D6" w:themeFill="accent1" w:themeFillTint="33"/>
            <w:hideMark/>
          </w:tcPr>
          <w:p w14:paraId="0DEFA932"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INDRA – Climate Resilience Platform for Makassar</w:t>
            </w:r>
          </w:p>
        </w:tc>
        <w:tc>
          <w:tcPr>
            <w:tcW w:w="1559" w:type="dxa"/>
            <w:shd w:val="clear" w:color="auto" w:fill="FBF2D6" w:themeFill="accent1" w:themeFillTint="33"/>
            <w:hideMark/>
          </w:tcPr>
          <w:p w14:paraId="3E3AA2D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Completed</w:t>
            </w:r>
          </w:p>
        </w:tc>
      </w:tr>
      <w:tr w:rsidR="00773EEA" w:rsidRPr="00773EEA" w14:paraId="6A363F53" w14:textId="77777777" w:rsidTr="00466C56">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hideMark/>
          </w:tcPr>
          <w:p w14:paraId="423D53D1" w14:textId="77777777" w:rsidR="00D22147" w:rsidRPr="00773EEA" w:rsidRDefault="00D22147" w:rsidP="00394337">
            <w:pPr>
              <w:rPr>
                <w:rFonts w:eastAsia="Times New Roman" w:cstheme="minorHAnsi"/>
                <w:sz w:val="18"/>
                <w:lang w:val="en-GB" w:eastAsia="en-GB"/>
              </w:rPr>
            </w:pPr>
            <w:r w:rsidRPr="00773EEA">
              <w:rPr>
                <w:rFonts w:cstheme="minorHAnsi"/>
                <w:sz w:val="18"/>
                <w:lang w:eastAsia="en-GB"/>
              </w:rPr>
              <w:t>Resource Person Contract</w:t>
            </w:r>
          </w:p>
        </w:tc>
        <w:tc>
          <w:tcPr>
            <w:tcW w:w="1446" w:type="dxa"/>
            <w:shd w:val="clear" w:color="auto" w:fill="auto"/>
            <w:hideMark/>
          </w:tcPr>
          <w:p w14:paraId="45C55DD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CAM/PHI/INO</w:t>
            </w:r>
          </w:p>
        </w:tc>
        <w:tc>
          <w:tcPr>
            <w:tcW w:w="1296" w:type="dxa"/>
            <w:shd w:val="clear" w:color="auto" w:fill="auto"/>
            <w:hideMark/>
          </w:tcPr>
          <w:p w14:paraId="3FAE67BC"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auto"/>
            <w:hideMark/>
          </w:tcPr>
          <w:p w14:paraId="20CE7496"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Piloting AI-powered Analytics (</w:t>
            </w:r>
            <w:proofErr w:type="spellStart"/>
            <w:r w:rsidRPr="00773EEA">
              <w:rPr>
                <w:rFonts w:cstheme="minorHAnsi"/>
                <w:sz w:val="18"/>
                <w:lang w:eastAsia="en-GB"/>
              </w:rPr>
              <w:t>NetCreate</w:t>
            </w:r>
            <w:proofErr w:type="spellEnd"/>
            <w:r w:rsidRPr="00773EEA">
              <w:rPr>
                <w:rFonts w:cstheme="minorHAnsi"/>
                <w:sz w:val="18"/>
                <w:lang w:eastAsia="en-GB"/>
              </w:rPr>
              <w:t>) for Water Utilities</w:t>
            </w:r>
          </w:p>
        </w:tc>
        <w:tc>
          <w:tcPr>
            <w:tcW w:w="1559" w:type="dxa"/>
            <w:shd w:val="clear" w:color="auto" w:fill="auto"/>
            <w:hideMark/>
          </w:tcPr>
          <w:p w14:paraId="2B5B5770"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Completed</w:t>
            </w:r>
          </w:p>
        </w:tc>
      </w:tr>
      <w:tr w:rsidR="00773EEA" w:rsidRPr="00773EEA" w14:paraId="3231BE23" w14:textId="77777777" w:rsidTr="00466C56">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3E28329D" w14:textId="77777777" w:rsidR="00D22147" w:rsidRPr="00773EEA" w:rsidRDefault="00D22147" w:rsidP="00394337">
            <w:pPr>
              <w:rPr>
                <w:rFonts w:eastAsia="Times New Roman" w:cstheme="minorHAnsi"/>
                <w:sz w:val="18"/>
                <w:highlight w:val="yellow"/>
                <w:lang w:val="en-GB" w:eastAsia="en-GB"/>
              </w:rPr>
            </w:pPr>
            <w:r w:rsidRPr="00773EEA">
              <w:rPr>
                <w:rFonts w:cstheme="minorHAnsi"/>
                <w:sz w:val="18"/>
                <w:lang w:eastAsia="en-GB"/>
              </w:rPr>
              <w:t>Resource Person Contract</w:t>
            </w:r>
          </w:p>
        </w:tc>
        <w:tc>
          <w:tcPr>
            <w:tcW w:w="1446" w:type="dxa"/>
            <w:shd w:val="clear" w:color="auto" w:fill="FBF2D6" w:themeFill="accent1" w:themeFillTint="33"/>
          </w:tcPr>
          <w:p w14:paraId="272A743F"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Regional</w:t>
            </w:r>
          </w:p>
        </w:tc>
        <w:tc>
          <w:tcPr>
            <w:tcW w:w="1296" w:type="dxa"/>
            <w:shd w:val="clear" w:color="auto" w:fill="FBF2D6" w:themeFill="accent1" w:themeFillTint="33"/>
          </w:tcPr>
          <w:p w14:paraId="22BA6C1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FBF2D6" w:themeFill="accent1" w:themeFillTint="33"/>
          </w:tcPr>
          <w:p w14:paraId="64D20BC4"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Facilitator for the 5th GMS Urban Development Working Group Meeting</w:t>
            </w:r>
          </w:p>
        </w:tc>
        <w:tc>
          <w:tcPr>
            <w:tcW w:w="1559" w:type="dxa"/>
            <w:shd w:val="clear" w:color="auto" w:fill="FBF2D6" w:themeFill="accent1" w:themeFillTint="33"/>
          </w:tcPr>
          <w:p w14:paraId="691A54B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Completed</w:t>
            </w:r>
          </w:p>
        </w:tc>
      </w:tr>
      <w:tr w:rsidR="00773EEA" w:rsidRPr="00773EEA" w14:paraId="2558C0BB" w14:textId="77777777" w:rsidTr="00466C56">
        <w:trPr>
          <w:cnfStyle w:val="100000000000" w:firstRow="1" w:lastRow="0" w:firstColumn="0" w:lastColumn="0" w:oddVBand="0" w:evenVBand="0" w:oddHBand="0" w:evenHBand="0" w:firstRowFirstColumn="0" w:firstRowLastColumn="0" w:lastRowFirstColumn="0" w:lastRowLastColumn="0"/>
          <w:trHeight w:val="411"/>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EBC132" w:themeFill="accent1"/>
          </w:tcPr>
          <w:p w14:paraId="395818A3" w14:textId="77777777" w:rsidR="00D22147" w:rsidRPr="00773EEA" w:rsidRDefault="00D22147" w:rsidP="00394337">
            <w:pPr>
              <w:rPr>
                <w:rFonts w:eastAsia="Times New Roman" w:cstheme="minorHAnsi"/>
                <w:sz w:val="18"/>
                <w:highlight w:val="yellow"/>
                <w:lang w:val="en-GB" w:eastAsia="en-GB"/>
              </w:rPr>
            </w:pPr>
            <w:r w:rsidRPr="00773EEA">
              <w:rPr>
                <w:rFonts w:cstheme="minorHAnsi"/>
                <w:sz w:val="18"/>
                <w:lang w:eastAsia="en-GB"/>
              </w:rPr>
              <w:t>Resource Person Contract</w:t>
            </w:r>
          </w:p>
        </w:tc>
        <w:tc>
          <w:tcPr>
            <w:tcW w:w="1446" w:type="dxa"/>
            <w:shd w:val="clear" w:color="auto" w:fill="auto"/>
          </w:tcPr>
          <w:p w14:paraId="03B5E97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Indonesia</w:t>
            </w:r>
          </w:p>
        </w:tc>
        <w:tc>
          <w:tcPr>
            <w:tcW w:w="1296" w:type="dxa"/>
            <w:shd w:val="clear" w:color="auto" w:fill="auto"/>
          </w:tcPr>
          <w:p w14:paraId="74CAB300"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Multi</w:t>
            </w:r>
          </w:p>
        </w:tc>
        <w:tc>
          <w:tcPr>
            <w:tcW w:w="4204" w:type="dxa"/>
            <w:shd w:val="clear" w:color="auto" w:fill="auto"/>
          </w:tcPr>
          <w:p w14:paraId="1F42045B"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Develop and pilot a waste collection and trading mobile application, in Indonesia</w:t>
            </w:r>
          </w:p>
        </w:tc>
        <w:tc>
          <w:tcPr>
            <w:tcW w:w="1559" w:type="dxa"/>
            <w:shd w:val="clear" w:color="auto" w:fill="auto"/>
          </w:tcPr>
          <w:p w14:paraId="42ADEC8D" w14:textId="77777777" w:rsidR="00D22147" w:rsidRPr="00773EEA" w:rsidRDefault="00D22147" w:rsidP="00394337">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lang w:val="en-GB" w:eastAsia="en-GB"/>
              </w:rPr>
            </w:pPr>
            <w:r w:rsidRPr="00773EEA">
              <w:rPr>
                <w:rFonts w:cstheme="minorHAnsi"/>
                <w:sz w:val="18"/>
                <w:lang w:eastAsia="en-GB"/>
              </w:rPr>
              <w:t>Completed</w:t>
            </w:r>
          </w:p>
        </w:tc>
      </w:tr>
    </w:tbl>
    <w:p w14:paraId="25461354" w14:textId="7532BF2B" w:rsidR="005B0133" w:rsidRPr="00773EEA" w:rsidRDefault="005B0133" w:rsidP="005B0133">
      <w:pPr>
        <w:ind w:left="170"/>
        <w:rPr>
          <w:rFonts w:cstheme="minorHAnsi"/>
          <w:i/>
          <w:iCs/>
          <w:sz w:val="21"/>
          <w:szCs w:val="21"/>
        </w:rPr>
      </w:pPr>
      <w:r w:rsidRPr="00773EEA">
        <w:rPr>
          <w:rFonts w:cstheme="minorHAnsi"/>
          <w:i/>
          <w:iCs/>
          <w:sz w:val="21"/>
          <w:szCs w:val="21"/>
        </w:rPr>
        <w:t xml:space="preserve">Source: AASCTF </w:t>
      </w:r>
      <w:r w:rsidR="00915CBC" w:rsidRPr="00773EEA">
        <w:rPr>
          <w:rFonts w:cstheme="minorHAnsi"/>
          <w:i/>
          <w:iCs/>
          <w:sz w:val="21"/>
          <w:szCs w:val="21"/>
        </w:rPr>
        <w:t>p</w:t>
      </w:r>
      <w:r w:rsidRPr="00773EEA">
        <w:rPr>
          <w:rFonts w:cstheme="minorHAnsi"/>
          <w:i/>
          <w:iCs/>
          <w:sz w:val="21"/>
          <w:szCs w:val="21"/>
        </w:rPr>
        <w:t xml:space="preserve">rogram </w:t>
      </w:r>
      <w:r w:rsidR="00915CBC" w:rsidRPr="00773EEA">
        <w:rPr>
          <w:rFonts w:cstheme="minorHAnsi"/>
          <w:i/>
          <w:iCs/>
          <w:sz w:val="21"/>
          <w:szCs w:val="21"/>
        </w:rPr>
        <w:t>d</w:t>
      </w:r>
      <w:r w:rsidRPr="00773EEA">
        <w:rPr>
          <w:rFonts w:cstheme="minorHAnsi"/>
          <w:i/>
          <w:iCs/>
          <w:sz w:val="21"/>
          <w:szCs w:val="21"/>
        </w:rPr>
        <w:t>ocumentation</w:t>
      </w:r>
    </w:p>
    <w:p w14:paraId="0749EEE0" w14:textId="48A5CFC5" w:rsidR="00A07DC7" w:rsidRPr="00773EEA" w:rsidRDefault="00521DC2" w:rsidP="00177735">
      <w:pPr>
        <w:pStyle w:val="Heading1"/>
        <w:numPr>
          <w:ilvl w:val="0"/>
          <w:numId w:val="7"/>
        </w:numPr>
        <w:rPr>
          <w:color w:val="auto"/>
        </w:rPr>
      </w:pPr>
      <w:bookmarkStart w:id="29" w:name="_Toc123633717"/>
      <w:r w:rsidRPr="00773EEA">
        <w:rPr>
          <w:color w:val="auto"/>
        </w:rPr>
        <w:lastRenderedPageBreak/>
        <w:t>Assessment of AASCTF Performance</w:t>
      </w:r>
      <w:bookmarkEnd w:id="29"/>
    </w:p>
    <w:p w14:paraId="00686E44" w14:textId="35B1E47E" w:rsidR="001F4D3E" w:rsidRPr="00773EEA" w:rsidRDefault="001F4D3E" w:rsidP="00B7602B">
      <w:pPr>
        <w:ind w:left="170"/>
        <w:jc w:val="both"/>
      </w:pPr>
      <w:r w:rsidRPr="00773EEA">
        <w:rPr>
          <w:rFonts w:cstheme="minorHAnsi"/>
        </w:rPr>
        <w:t>This</w:t>
      </w:r>
      <w:r w:rsidRPr="00773EEA">
        <w:t xml:space="preserve"> section sets out the MTR findings related to the five </w:t>
      </w:r>
      <w:r w:rsidR="009B1D83" w:rsidRPr="00773EEA">
        <w:t>KEQs</w:t>
      </w:r>
      <w:r w:rsidRPr="00773EEA">
        <w:t xml:space="preserve"> and their sub-questions. The findings relate to the evidence from across the AASCTF, with an emphasis on the sampled </w:t>
      </w:r>
      <w:r w:rsidR="009B1D83" w:rsidRPr="00773EEA">
        <w:t>Silver</w:t>
      </w:r>
      <w:r w:rsidRPr="00773EEA">
        <w:t xml:space="preserve">-level TOs (TOs 01, 02, 03, 05, 06, 07) and the influencing activities TO (08 &amp; 09). </w:t>
      </w:r>
    </w:p>
    <w:p w14:paraId="7EFA887C" w14:textId="7E1F2C4F" w:rsidR="00521DC2" w:rsidRPr="00773EEA" w:rsidRDefault="7C2F6B61" w:rsidP="00177735">
      <w:pPr>
        <w:pStyle w:val="Heading2"/>
        <w:numPr>
          <w:ilvl w:val="1"/>
          <w:numId w:val="7"/>
        </w:numPr>
      </w:pPr>
      <w:r w:rsidRPr="00773EEA">
        <w:t xml:space="preserve"> </w:t>
      </w:r>
      <w:bookmarkStart w:id="30" w:name="_Toc123633718"/>
      <w:r w:rsidRPr="00773EEA">
        <w:t>KEQ1: How likely and to what extent is AASCTF expected to achieve the objectives of the program?</w:t>
      </w:r>
      <w:bookmarkEnd w:id="30"/>
    </w:p>
    <w:p w14:paraId="39CE42A2" w14:textId="4A7A1D68" w:rsidR="7C2F6B61" w:rsidRPr="00773EEA" w:rsidRDefault="7C2F6B61" w:rsidP="00B7602B">
      <w:pPr>
        <w:ind w:left="180"/>
        <w:jc w:val="both"/>
      </w:pPr>
      <w:r w:rsidRPr="00773EEA">
        <w:rPr>
          <w:rFonts w:eastAsia="Arial" w:cs="Arial"/>
          <w:szCs w:val="20"/>
        </w:rPr>
        <w:t>DFAT’s objective for the AASCTF is that systems and governance in participating ASEAN cities are improved through the adoption and adaptation of digital solutions.</w:t>
      </w:r>
      <w:r w:rsidR="0010292F" w:rsidRPr="00773EEA">
        <w:rPr>
          <w:rFonts w:eastAsia="Arial" w:cs="Arial"/>
          <w:szCs w:val="20"/>
        </w:rPr>
        <w:t xml:space="preserve"> </w:t>
      </w:r>
      <w:r w:rsidRPr="00773EEA">
        <w:rPr>
          <w:rFonts w:eastAsia="Arial" w:cs="Arial"/>
          <w:szCs w:val="20"/>
        </w:rPr>
        <w:t>The program’s three sub-objectives are:</w:t>
      </w:r>
    </w:p>
    <w:p w14:paraId="6553B26A" w14:textId="49C70E20" w:rsidR="7C2F6B61" w:rsidRPr="00773EEA" w:rsidRDefault="7C2F6B61" w:rsidP="00B7602B">
      <w:pPr>
        <w:pStyle w:val="ListParagraph"/>
        <w:numPr>
          <w:ilvl w:val="0"/>
          <w:numId w:val="1"/>
        </w:numPr>
        <w:spacing w:after="60"/>
        <w:ind w:left="902"/>
        <w:contextualSpacing w:val="0"/>
        <w:jc w:val="both"/>
        <w:rPr>
          <w:szCs w:val="20"/>
        </w:rPr>
      </w:pPr>
      <w:r w:rsidRPr="00773EEA">
        <w:rPr>
          <w:rFonts w:eastAsia="Arial" w:cs="Arial"/>
          <w:szCs w:val="20"/>
        </w:rPr>
        <w:t xml:space="preserve">Strengthening </w:t>
      </w:r>
      <w:r w:rsidRPr="00773EEA">
        <w:rPr>
          <w:rFonts w:eastAsia="Arial" w:cs="Arial"/>
          <w:b/>
          <w:bCs/>
          <w:szCs w:val="20"/>
        </w:rPr>
        <w:t>city planning</w:t>
      </w:r>
      <w:r w:rsidRPr="00773EEA">
        <w:rPr>
          <w:rFonts w:eastAsia="Arial" w:cs="Arial"/>
          <w:szCs w:val="20"/>
        </w:rPr>
        <w:t xml:space="preserve"> systems and processes by enhancing the collection, storage, analysis, and utili</w:t>
      </w:r>
      <w:r w:rsidR="0010292F" w:rsidRPr="00773EEA">
        <w:rPr>
          <w:rFonts w:eastAsia="Arial" w:cs="Arial"/>
          <w:szCs w:val="20"/>
        </w:rPr>
        <w:t>s</w:t>
      </w:r>
      <w:r w:rsidRPr="00773EEA">
        <w:rPr>
          <w:rFonts w:eastAsia="Arial" w:cs="Arial"/>
          <w:szCs w:val="20"/>
        </w:rPr>
        <w:t xml:space="preserve">ation of data on geospatial </w:t>
      </w:r>
      <w:proofErr w:type="gramStart"/>
      <w:r w:rsidRPr="00773EEA">
        <w:rPr>
          <w:rFonts w:eastAsia="Arial" w:cs="Arial"/>
          <w:szCs w:val="20"/>
        </w:rPr>
        <w:t>platforms;</w:t>
      </w:r>
      <w:proofErr w:type="gramEnd"/>
      <w:r w:rsidRPr="00773EEA">
        <w:rPr>
          <w:rFonts w:eastAsia="Arial" w:cs="Arial"/>
          <w:szCs w:val="20"/>
        </w:rPr>
        <w:t xml:space="preserve"> </w:t>
      </w:r>
    </w:p>
    <w:p w14:paraId="6695C3A6" w14:textId="216ED8B2" w:rsidR="7C2F6B61" w:rsidRPr="00773EEA" w:rsidRDefault="7C2F6B61" w:rsidP="00B7602B">
      <w:pPr>
        <w:pStyle w:val="ListParagraph"/>
        <w:numPr>
          <w:ilvl w:val="0"/>
          <w:numId w:val="1"/>
        </w:numPr>
        <w:spacing w:before="60" w:after="60"/>
        <w:ind w:left="902"/>
        <w:contextualSpacing w:val="0"/>
        <w:jc w:val="both"/>
        <w:rPr>
          <w:szCs w:val="20"/>
        </w:rPr>
      </w:pPr>
      <w:r w:rsidRPr="00773EEA">
        <w:rPr>
          <w:rFonts w:eastAsia="Arial" w:cs="Arial"/>
          <w:szCs w:val="20"/>
        </w:rPr>
        <w:t xml:space="preserve">Promoting the use of integrated and smart network management systems to strengthen operational systems and to improve quality and efficiency of </w:t>
      </w:r>
      <w:r w:rsidRPr="00773EEA">
        <w:rPr>
          <w:rFonts w:eastAsia="Arial" w:cs="Arial"/>
          <w:b/>
          <w:bCs/>
          <w:szCs w:val="20"/>
        </w:rPr>
        <w:t>service delivery</w:t>
      </w:r>
      <w:r w:rsidRPr="00773EEA">
        <w:rPr>
          <w:rFonts w:eastAsia="Arial" w:cs="Arial"/>
          <w:szCs w:val="20"/>
        </w:rPr>
        <w:t>; and</w:t>
      </w:r>
    </w:p>
    <w:p w14:paraId="180F56C6" w14:textId="0DC934A9" w:rsidR="7C2F6B61" w:rsidRPr="00773EEA" w:rsidRDefault="7C2F6B61" w:rsidP="00B7602B">
      <w:pPr>
        <w:pStyle w:val="ListParagraph"/>
        <w:numPr>
          <w:ilvl w:val="0"/>
          <w:numId w:val="1"/>
        </w:numPr>
        <w:ind w:left="900"/>
        <w:jc w:val="both"/>
        <w:rPr>
          <w:szCs w:val="20"/>
        </w:rPr>
      </w:pPr>
      <w:r w:rsidRPr="00773EEA">
        <w:rPr>
          <w:rFonts w:eastAsia="Arial" w:cs="Arial"/>
          <w:szCs w:val="20"/>
        </w:rPr>
        <w:t xml:space="preserve">Introducing integrated </w:t>
      </w:r>
      <w:r w:rsidRPr="00773EEA">
        <w:rPr>
          <w:rFonts w:eastAsia="Arial" w:cs="Arial"/>
          <w:b/>
          <w:bCs/>
          <w:szCs w:val="20"/>
        </w:rPr>
        <w:t>financial management</w:t>
      </w:r>
      <w:r w:rsidRPr="00773EEA">
        <w:rPr>
          <w:rFonts w:eastAsia="Arial" w:cs="Arial"/>
          <w:szCs w:val="20"/>
        </w:rPr>
        <w:t xml:space="preserve"> information systems to improve institutional credit worthiness and fiscal standing. </w:t>
      </w:r>
    </w:p>
    <w:p w14:paraId="62D3A274" w14:textId="7A73E741" w:rsidR="7C2F6B61" w:rsidRPr="00773EEA" w:rsidRDefault="7C2F6B61" w:rsidP="00B7602B">
      <w:pPr>
        <w:ind w:left="180"/>
        <w:jc w:val="both"/>
      </w:pPr>
      <w:r w:rsidRPr="00773EEA">
        <w:rPr>
          <w:rFonts w:eastAsia="Arial" w:cs="Arial"/>
          <w:szCs w:val="20"/>
        </w:rPr>
        <w:t xml:space="preserve">Overall, the AASCTF is on track to meet its objectives in the first two thematic pillars of urban planning and service delivery, implementing a range of </w:t>
      </w:r>
      <w:r w:rsidR="00C17460" w:rsidRPr="00773EEA">
        <w:rPr>
          <w:rFonts w:eastAsia="Arial" w:cs="Arial"/>
          <w:szCs w:val="20"/>
        </w:rPr>
        <w:t>S</w:t>
      </w:r>
      <w:r w:rsidRPr="00773EEA">
        <w:rPr>
          <w:rFonts w:eastAsia="Arial" w:cs="Arial"/>
          <w:szCs w:val="20"/>
        </w:rPr>
        <w:t xml:space="preserve">ilver-level TOs and supported by relevant influencing activities such as webinars and more in-depth capacity development delivered through TO-08 and TO-09. Good progress has been made on developing digital solutions that meet relevant targets in the Design and Management Framework (DMF), such as enhanced climate resilience in Baguio (TO-02). </w:t>
      </w:r>
      <w:r w:rsidR="00383D3E" w:rsidRPr="00773EEA">
        <w:rPr>
          <w:rFonts w:eastAsia="Arial" w:cs="Arial"/>
          <w:szCs w:val="20"/>
        </w:rPr>
        <w:t>However, t</w:t>
      </w:r>
      <w:r w:rsidRPr="00773EEA">
        <w:rPr>
          <w:rFonts w:eastAsia="Arial" w:cs="Arial"/>
          <w:szCs w:val="20"/>
        </w:rPr>
        <w:t xml:space="preserve">he program is not on track to meet its objectives for the third pillar of financial management. While some of the TOs such as Makassar (TO-01), Battambang (TO-07) and Chonburi/EEC (TO-11), the </w:t>
      </w:r>
      <w:r w:rsidR="005D0094" w:rsidRPr="00773EEA">
        <w:rPr>
          <w:rFonts w:eastAsia="Arial" w:cs="Arial"/>
          <w:szCs w:val="20"/>
        </w:rPr>
        <w:t>Resource Person</w:t>
      </w:r>
      <w:r w:rsidRPr="00773EEA">
        <w:rPr>
          <w:rFonts w:eastAsia="Arial" w:cs="Arial"/>
          <w:szCs w:val="20"/>
        </w:rPr>
        <w:t xml:space="preserve"> assignment on developing a City Resource Mobilization Tool (CRMT) for Indonesian Cities</w:t>
      </w:r>
      <w:r w:rsidR="00C17460" w:rsidRPr="00773EEA">
        <w:rPr>
          <w:rFonts w:eastAsia="Arial" w:cs="Arial"/>
          <w:szCs w:val="20"/>
        </w:rPr>
        <w:t>,</w:t>
      </w:r>
      <w:r w:rsidRPr="00773EEA">
        <w:rPr>
          <w:rFonts w:eastAsia="Arial" w:cs="Arial"/>
          <w:szCs w:val="20"/>
        </w:rPr>
        <w:t xml:space="preserve"> and a number of influencing activities are focused on financial management, or have a notable contribution to this pillar, there does not </w:t>
      </w:r>
      <w:r w:rsidR="00EA0E6C" w:rsidRPr="00773EEA">
        <w:rPr>
          <w:rFonts w:eastAsia="Arial" w:cs="Arial"/>
          <w:szCs w:val="20"/>
        </w:rPr>
        <w:t>appear</w:t>
      </w:r>
      <w:r w:rsidRPr="00773EEA">
        <w:rPr>
          <w:rFonts w:eastAsia="Arial" w:cs="Arial"/>
          <w:szCs w:val="20"/>
        </w:rPr>
        <w:t xml:space="preserve"> to be sufficient </w:t>
      </w:r>
      <w:r w:rsidR="00EA0E6C" w:rsidRPr="00773EEA">
        <w:rPr>
          <w:rFonts w:eastAsia="Arial" w:cs="Arial"/>
          <w:szCs w:val="20"/>
        </w:rPr>
        <w:t>residual</w:t>
      </w:r>
      <w:r w:rsidRPr="00773EEA">
        <w:rPr>
          <w:rFonts w:eastAsia="Arial" w:cs="Arial"/>
          <w:szCs w:val="20"/>
        </w:rPr>
        <w:t xml:space="preserve"> budget in the Ramboll-managed component of AASCTF to address this comprehensively. </w:t>
      </w:r>
    </w:p>
    <w:p w14:paraId="7726497B" w14:textId="1E89C115" w:rsidR="7C2F6B61" w:rsidRPr="00773EEA" w:rsidRDefault="7C2F6B61" w:rsidP="00B7602B">
      <w:pPr>
        <w:ind w:left="180"/>
        <w:jc w:val="both"/>
      </w:pPr>
      <w:r w:rsidRPr="00773EEA">
        <w:rPr>
          <w:rFonts w:eastAsia="Arial" w:cs="Arial"/>
          <w:szCs w:val="20"/>
        </w:rPr>
        <w:t>In the design and implementation of the A</w:t>
      </w:r>
      <w:r w:rsidR="00DC210C" w:rsidRPr="00773EEA">
        <w:rPr>
          <w:rFonts w:eastAsia="Arial" w:cs="Arial"/>
          <w:szCs w:val="20"/>
        </w:rPr>
        <w:t>A</w:t>
      </w:r>
      <w:r w:rsidRPr="00773EEA">
        <w:rPr>
          <w:rFonts w:eastAsia="Arial" w:cs="Arial"/>
          <w:szCs w:val="20"/>
        </w:rPr>
        <w:t>SCTF, the three cross-cutting components of GESI, climate change and private sector engagement have been implemented to varying degrees. Significant attention has been placed on GESI</w:t>
      </w:r>
      <w:r w:rsidR="007D584C" w:rsidRPr="00773EEA">
        <w:rPr>
          <w:rFonts w:eastAsia="Arial" w:cs="Arial"/>
          <w:szCs w:val="20"/>
        </w:rPr>
        <w:t>, with a GESI Strategy, internal GESI implementation reporting and</w:t>
      </w:r>
      <w:r w:rsidRPr="00773EEA">
        <w:rPr>
          <w:rFonts w:eastAsia="Arial" w:cs="Arial"/>
          <w:szCs w:val="20"/>
        </w:rPr>
        <w:t xml:space="preserve"> </w:t>
      </w:r>
      <w:proofErr w:type="gramStart"/>
      <w:r w:rsidRPr="00773EEA">
        <w:rPr>
          <w:rFonts w:eastAsia="Arial" w:cs="Arial"/>
          <w:szCs w:val="20"/>
        </w:rPr>
        <w:t>a number of</w:t>
      </w:r>
      <w:proofErr w:type="gramEnd"/>
      <w:r w:rsidRPr="00773EEA">
        <w:rPr>
          <w:rFonts w:eastAsia="Arial" w:cs="Arial"/>
          <w:szCs w:val="20"/>
        </w:rPr>
        <w:t xml:space="preserve"> specific targets in the DMF. As explored in </w:t>
      </w:r>
      <w:r w:rsidRPr="00773EEA">
        <w:rPr>
          <w:rFonts w:eastAsia="Arial" w:cs="Arial"/>
          <w:b/>
          <w:bCs/>
          <w:szCs w:val="20"/>
        </w:rPr>
        <w:t>Section 3.3</w:t>
      </w:r>
      <w:r w:rsidRPr="00773EEA">
        <w:rPr>
          <w:rFonts w:eastAsia="Arial" w:cs="Arial"/>
          <w:szCs w:val="20"/>
        </w:rPr>
        <w:t xml:space="preserve">, mainstreaming GESI in practice is challenging and the degree to which meaningful GESI outcomes are being supported varies greatly across the program </w:t>
      </w:r>
      <w:proofErr w:type="gramStart"/>
      <w:r w:rsidRPr="00773EEA">
        <w:rPr>
          <w:rFonts w:eastAsia="Arial" w:cs="Arial"/>
          <w:szCs w:val="20"/>
        </w:rPr>
        <w:t>from  positive</w:t>
      </w:r>
      <w:proofErr w:type="gramEnd"/>
      <w:r w:rsidRPr="00773EEA">
        <w:rPr>
          <w:rFonts w:eastAsia="Arial" w:cs="Arial"/>
          <w:szCs w:val="20"/>
        </w:rPr>
        <w:t xml:space="preserve"> examples in Makassar (TO-01) and strong efforts in Baguio (TO-02 and TO-05) to rather poor consideration of GESI</w:t>
      </w:r>
      <w:r w:rsidR="00EB20A6" w:rsidRPr="00773EEA">
        <w:rPr>
          <w:rFonts w:eastAsia="Arial" w:cs="Arial"/>
          <w:szCs w:val="20"/>
        </w:rPr>
        <w:t xml:space="preserve"> observable</w:t>
      </w:r>
      <w:r w:rsidRPr="00773EEA">
        <w:rPr>
          <w:rFonts w:eastAsia="Arial" w:cs="Arial"/>
          <w:szCs w:val="20"/>
        </w:rPr>
        <w:t xml:space="preserve"> from the early stage of scoping TO-07 in Battambang. Climate change also informs several indicators in the DMF and is generally well-integrated across the program. The need for a transition to low-carbon and resilient cities informs the design of most of the program’s foundational, implementing and influencing activities. However, private sector engagement has been less comprehensively addressed, although it does not explicitly inform any of the DMF targets. </w:t>
      </w:r>
    </w:p>
    <w:p w14:paraId="5E41A71F" w14:textId="2D8B38FE" w:rsidR="7C2F6B61" w:rsidRPr="00773EEA" w:rsidRDefault="7C2F6B61" w:rsidP="00B7602B">
      <w:pPr>
        <w:ind w:left="180"/>
        <w:jc w:val="both"/>
      </w:pPr>
      <w:r w:rsidRPr="00773EEA">
        <w:rPr>
          <w:rFonts w:eastAsia="Arial" w:cs="Arial"/>
          <w:szCs w:val="20"/>
        </w:rPr>
        <w:t xml:space="preserve">Another important objective of the AASCTF is to identify best-practice and practical approaches that can be replicated in other cities across ASEAN. The program is implementing a valuable ‘sandbox’ approach to test and pilot innovative ideas. Based on learning from the </w:t>
      </w:r>
      <w:r w:rsidR="00EB20A6" w:rsidRPr="00773EEA">
        <w:rPr>
          <w:rFonts w:eastAsia="Arial" w:cs="Arial"/>
          <w:szCs w:val="20"/>
        </w:rPr>
        <w:t>S</w:t>
      </w:r>
      <w:r w:rsidRPr="00773EEA">
        <w:rPr>
          <w:rFonts w:eastAsia="Arial" w:cs="Arial"/>
          <w:szCs w:val="20"/>
        </w:rPr>
        <w:t xml:space="preserve">ilver-level TOs, the AASCTF is likely to be very well placed in 2024 to advocate which of the program pilots have strong potential to be replicated in certain contexts.  </w:t>
      </w:r>
    </w:p>
    <w:p w14:paraId="3CA68818" w14:textId="1AFA5749" w:rsidR="7C2F6B61" w:rsidRPr="00773EEA" w:rsidRDefault="7C2F6B61" w:rsidP="00B7602B">
      <w:pPr>
        <w:ind w:left="170"/>
        <w:jc w:val="both"/>
        <w:rPr>
          <w:rFonts w:eastAsia="Arial" w:cs="Arial"/>
          <w:szCs w:val="20"/>
          <w:lang w:val="en-US"/>
        </w:rPr>
      </w:pPr>
      <w:r w:rsidRPr="00773EEA">
        <w:rPr>
          <w:rFonts w:eastAsia="Arial" w:cs="Arial"/>
          <w:szCs w:val="20"/>
          <w:lang w:val="en-US"/>
        </w:rPr>
        <w:t>In the following sections, the detailed response to KEQ</w:t>
      </w:r>
      <w:r w:rsidR="00387E67" w:rsidRPr="00773EEA">
        <w:rPr>
          <w:rFonts w:eastAsia="Arial" w:cs="Arial"/>
          <w:szCs w:val="20"/>
          <w:lang w:val="en-US"/>
        </w:rPr>
        <w:t xml:space="preserve"> 1</w:t>
      </w:r>
      <w:r w:rsidRPr="00773EEA">
        <w:rPr>
          <w:rFonts w:eastAsia="Arial" w:cs="Arial"/>
          <w:szCs w:val="20"/>
          <w:lang w:val="en-US"/>
        </w:rPr>
        <w:t xml:space="preserve"> is further broken down by sub-questions, informed by relevant findings of the MTR. </w:t>
      </w:r>
    </w:p>
    <w:p w14:paraId="195368F2" w14:textId="5B24848A" w:rsidR="00C720AC" w:rsidRPr="00773EEA" w:rsidRDefault="7C2F6B61" w:rsidP="00B7602B">
      <w:pPr>
        <w:spacing w:before="240"/>
        <w:ind w:left="992" w:hanging="811"/>
        <w:rPr>
          <w:rFonts w:asciiTheme="majorHAnsi" w:hAnsiTheme="majorHAnsi"/>
          <w:b/>
          <w:bCs/>
          <w:sz w:val="24"/>
          <w:szCs w:val="24"/>
        </w:rPr>
      </w:pPr>
      <w:r w:rsidRPr="00773EEA">
        <w:rPr>
          <w:rFonts w:asciiTheme="majorHAnsi" w:hAnsiTheme="majorHAnsi"/>
          <w:b/>
          <w:bCs/>
          <w:sz w:val="24"/>
          <w:szCs w:val="24"/>
        </w:rPr>
        <w:t>3.1.1. To what extent did</w:t>
      </w:r>
      <w:r w:rsidR="009A5F8F" w:rsidRPr="00773EEA">
        <w:rPr>
          <w:rFonts w:asciiTheme="majorHAnsi" w:hAnsiTheme="majorHAnsi"/>
          <w:b/>
          <w:bCs/>
          <w:sz w:val="24"/>
          <w:szCs w:val="24"/>
        </w:rPr>
        <w:t xml:space="preserve">, </w:t>
      </w:r>
      <w:r w:rsidRPr="00773EEA">
        <w:rPr>
          <w:rFonts w:asciiTheme="majorHAnsi" w:hAnsiTheme="majorHAnsi"/>
          <w:b/>
          <w:bCs/>
          <w:sz w:val="24"/>
          <w:szCs w:val="24"/>
        </w:rPr>
        <w:t>or is the AASCTF likely to</w:t>
      </w:r>
      <w:r w:rsidR="009A5F8F" w:rsidRPr="00773EEA">
        <w:rPr>
          <w:rFonts w:asciiTheme="majorHAnsi" w:hAnsiTheme="majorHAnsi"/>
          <w:b/>
          <w:bCs/>
          <w:sz w:val="24"/>
          <w:szCs w:val="24"/>
        </w:rPr>
        <w:t>,</w:t>
      </w:r>
      <w:r w:rsidRPr="00773EEA">
        <w:rPr>
          <w:rFonts w:asciiTheme="majorHAnsi" w:hAnsiTheme="majorHAnsi"/>
          <w:b/>
          <w:bCs/>
          <w:sz w:val="24"/>
          <w:szCs w:val="24"/>
        </w:rPr>
        <w:t xml:space="preserve"> improve planning systems, service delivery and/or financial management in the participating cities?</w:t>
      </w:r>
    </w:p>
    <w:p w14:paraId="49638CB5" w14:textId="26B7DB4D" w:rsidR="00BC11B0" w:rsidRPr="00773EEA" w:rsidRDefault="7C2F6B61" w:rsidP="00B7602B">
      <w:pPr>
        <w:ind w:left="170"/>
        <w:jc w:val="both"/>
      </w:pPr>
      <w:r w:rsidRPr="00773EEA">
        <w:rPr>
          <w:b/>
          <w:bCs/>
        </w:rPr>
        <w:t xml:space="preserve">The </w:t>
      </w:r>
      <w:r w:rsidR="009A5F8F" w:rsidRPr="00773EEA">
        <w:rPr>
          <w:b/>
          <w:bCs/>
        </w:rPr>
        <w:t>S</w:t>
      </w:r>
      <w:r w:rsidRPr="00773EEA">
        <w:rPr>
          <w:b/>
          <w:bCs/>
        </w:rPr>
        <w:t>ilver</w:t>
      </w:r>
      <w:r w:rsidR="009A5F8F" w:rsidRPr="00773EEA">
        <w:rPr>
          <w:b/>
          <w:bCs/>
        </w:rPr>
        <w:t>-level</w:t>
      </w:r>
      <w:r w:rsidRPr="00773EEA">
        <w:rPr>
          <w:b/>
          <w:bCs/>
        </w:rPr>
        <w:t xml:space="preserve"> TOs</w:t>
      </w:r>
      <w:r w:rsidR="00DC210C" w:rsidRPr="00773EEA">
        <w:rPr>
          <w:b/>
          <w:bCs/>
        </w:rPr>
        <w:t xml:space="preserve">, Resource Person and Direct Charge Contracts </w:t>
      </w:r>
      <w:r w:rsidRPr="00773EEA">
        <w:rPr>
          <w:b/>
          <w:bCs/>
        </w:rPr>
        <w:t>are supporting city governments to develop and adopt digital systems that support urban planning and service delivery.</w:t>
      </w:r>
      <w:r w:rsidR="00376CF8" w:rsidRPr="00773EEA">
        <w:rPr>
          <w:b/>
          <w:bCs/>
        </w:rPr>
        <w:t xml:space="preserve"> </w:t>
      </w:r>
      <w:r w:rsidRPr="00773EEA">
        <w:rPr>
          <w:rFonts w:eastAsia="Arial" w:cs="Arial"/>
          <w:szCs w:val="20"/>
        </w:rPr>
        <w:t xml:space="preserve">As the main area of expenditure in the </w:t>
      </w:r>
      <w:r w:rsidR="00376CF8" w:rsidRPr="00773EEA">
        <w:rPr>
          <w:rFonts w:eastAsia="Arial" w:cs="Arial"/>
          <w:szCs w:val="20"/>
        </w:rPr>
        <w:t>AASCTF</w:t>
      </w:r>
      <w:r w:rsidRPr="00773EEA">
        <w:rPr>
          <w:rFonts w:eastAsia="Arial" w:cs="Arial"/>
          <w:szCs w:val="20"/>
        </w:rPr>
        <w:t xml:space="preserve">, the </w:t>
      </w:r>
      <w:r w:rsidR="009A5F8F" w:rsidRPr="00773EEA">
        <w:rPr>
          <w:rFonts w:eastAsia="Arial" w:cs="Arial"/>
          <w:szCs w:val="20"/>
        </w:rPr>
        <w:t>S</w:t>
      </w:r>
      <w:r w:rsidRPr="00773EEA">
        <w:rPr>
          <w:rFonts w:eastAsia="Arial" w:cs="Arial"/>
          <w:szCs w:val="20"/>
        </w:rPr>
        <w:t>ilver</w:t>
      </w:r>
      <w:r w:rsidR="009A5F8F" w:rsidRPr="00773EEA">
        <w:rPr>
          <w:rFonts w:eastAsia="Arial" w:cs="Arial"/>
          <w:szCs w:val="20"/>
        </w:rPr>
        <w:t>-</w:t>
      </w:r>
      <w:r w:rsidRPr="00773EEA">
        <w:rPr>
          <w:rFonts w:eastAsia="Arial" w:cs="Arial"/>
          <w:szCs w:val="20"/>
        </w:rPr>
        <w:t xml:space="preserve">level TOs are </w:t>
      </w:r>
      <w:r w:rsidR="00376CF8" w:rsidRPr="00773EEA">
        <w:rPr>
          <w:rFonts w:eastAsia="Arial" w:cs="Arial"/>
          <w:szCs w:val="20"/>
        </w:rPr>
        <w:t xml:space="preserve">central to achieving program objectives. </w:t>
      </w:r>
      <w:r w:rsidR="00684075" w:rsidRPr="00773EEA">
        <w:t xml:space="preserve">Overall, the </w:t>
      </w:r>
      <w:r w:rsidR="009A5F8F" w:rsidRPr="00773EEA">
        <w:t>S</w:t>
      </w:r>
      <w:r w:rsidR="00684075" w:rsidRPr="00773EEA">
        <w:t>ilver TOs represent high-quality work that respond</w:t>
      </w:r>
      <w:r w:rsidR="00376CF8" w:rsidRPr="00773EEA">
        <w:t>s</w:t>
      </w:r>
      <w:r w:rsidR="00684075" w:rsidRPr="00773EEA">
        <w:t xml:space="preserve"> to city government demands for support</w:t>
      </w:r>
      <w:r w:rsidR="00376CF8" w:rsidRPr="00773EEA">
        <w:t xml:space="preserve"> in the areas of digital innovation to enhance city planning and service delivery. Notable examples </w:t>
      </w:r>
      <w:r w:rsidR="00A40B65" w:rsidRPr="00773EEA">
        <w:t xml:space="preserve">of TOs that are improving city planning </w:t>
      </w:r>
      <w:r w:rsidR="00376CF8" w:rsidRPr="00773EEA">
        <w:t>include</w:t>
      </w:r>
      <w:r w:rsidR="00844811" w:rsidRPr="00773EEA">
        <w:t>:</w:t>
      </w:r>
      <w:r w:rsidR="00376CF8" w:rsidRPr="00773EEA">
        <w:t xml:space="preserve"> TO-01</w:t>
      </w:r>
      <w:r w:rsidR="00A40B65" w:rsidRPr="00773EEA">
        <w:t xml:space="preserve"> in Makassar which provides </w:t>
      </w:r>
      <w:r w:rsidR="009A5F8F" w:rsidRPr="00773EEA">
        <w:t>the</w:t>
      </w:r>
      <w:r w:rsidR="00A40B65" w:rsidRPr="00773EEA">
        <w:t xml:space="preserve"> strategic foundations and a </w:t>
      </w:r>
      <w:r w:rsidR="009A5F8F" w:rsidRPr="00773EEA">
        <w:t xml:space="preserve">practicable </w:t>
      </w:r>
      <w:r w:rsidR="00A40B65" w:rsidRPr="00773EEA">
        <w:t xml:space="preserve">digital tool to help prioritise city government </w:t>
      </w:r>
      <w:r w:rsidR="00383D3E" w:rsidRPr="00773EEA">
        <w:t>initiatives</w:t>
      </w:r>
      <w:r w:rsidR="00A40B65" w:rsidRPr="00773EEA">
        <w:t xml:space="preserve"> that contribute towards a more liveable city</w:t>
      </w:r>
      <w:r w:rsidR="00844811" w:rsidRPr="00773EEA">
        <w:t>;</w:t>
      </w:r>
      <w:r w:rsidR="00A40B65" w:rsidRPr="00773EEA">
        <w:t xml:space="preserve"> TO-07 in Georgetown</w:t>
      </w:r>
      <w:r w:rsidR="009A5F8F" w:rsidRPr="00773EEA">
        <w:t>,</w:t>
      </w:r>
      <w:r w:rsidR="00A40B65" w:rsidRPr="00773EEA">
        <w:t xml:space="preserve"> which is likely to greatly support transport and mobility related decision-making</w:t>
      </w:r>
      <w:r w:rsidR="00844811" w:rsidRPr="00773EEA">
        <w:t>;</w:t>
      </w:r>
      <w:r w:rsidR="00A40B65" w:rsidRPr="00773EEA">
        <w:t xml:space="preserve"> and TO-12 in Luang Prabang, which is supporting the city government to integrate heritage and tourism opportunities into city planning. </w:t>
      </w:r>
      <w:r w:rsidR="0078766B" w:rsidRPr="00773EEA">
        <w:t>Resource Person and Direct Charge Contract</w:t>
      </w:r>
      <w:r w:rsidR="00A40B65" w:rsidRPr="00773EEA">
        <w:t xml:space="preserve"> activities have contributed to city planning </w:t>
      </w:r>
      <w:r w:rsidR="00383D3E" w:rsidRPr="00773EEA">
        <w:t xml:space="preserve">projects </w:t>
      </w:r>
      <w:r w:rsidR="00A40B65" w:rsidRPr="00773EEA">
        <w:t>in</w:t>
      </w:r>
      <w:r w:rsidR="00BC11B0" w:rsidRPr="00773EEA">
        <w:t>cluding</w:t>
      </w:r>
      <w:r w:rsidR="00A40B65" w:rsidRPr="00773EEA">
        <w:t xml:space="preserve"> supporting Makassar </w:t>
      </w:r>
      <w:r w:rsidR="00BC11B0" w:rsidRPr="00773EEA">
        <w:t xml:space="preserve">to better understand and visualise flood risk </w:t>
      </w:r>
      <w:r w:rsidR="00BC11B0" w:rsidRPr="00773EEA">
        <w:lastRenderedPageBreak/>
        <w:t>areas in the city</w:t>
      </w:r>
      <w:r w:rsidR="00383D3E" w:rsidRPr="00773EEA">
        <w:t xml:space="preserve"> by developing an interactive web-based modelling tool</w:t>
      </w:r>
      <w:r w:rsidR="00BC11B0" w:rsidRPr="00773EEA">
        <w:t xml:space="preserve">. Notable examples of TOs that are contributing to the service delivery objectives are TO-02/05 on the development of flood mitigation measures and a flood early warning system (FEWS in Baguio, TO-07 on smart waste management in Battambang and TO-13 on Bus Driver Training &amp; Technology Study in Davao. </w:t>
      </w:r>
    </w:p>
    <w:p w14:paraId="0029DA4A" w14:textId="77777777" w:rsidR="007056B0" w:rsidRPr="00773EEA" w:rsidRDefault="005775C0" w:rsidP="00B7602B">
      <w:pPr>
        <w:spacing w:before="120" w:line="240" w:lineRule="auto"/>
        <w:ind w:left="142"/>
        <w:jc w:val="both"/>
      </w:pPr>
      <w:r w:rsidRPr="00773EEA">
        <w:t>F</w:t>
      </w:r>
      <w:r w:rsidR="00A40B65" w:rsidRPr="00773EEA">
        <w:t xml:space="preserve">rom </w:t>
      </w:r>
      <w:r w:rsidRPr="00773EEA">
        <w:t xml:space="preserve">the </w:t>
      </w:r>
      <w:r w:rsidR="00A40B65" w:rsidRPr="00773EEA">
        <w:t xml:space="preserve">desk review and </w:t>
      </w:r>
      <w:r w:rsidRPr="00773EEA">
        <w:t>KIIs</w:t>
      </w:r>
      <w:r w:rsidR="00A40B65" w:rsidRPr="00773EEA">
        <w:t xml:space="preserve">, the program team </w:t>
      </w:r>
      <w:r w:rsidRPr="00773EEA">
        <w:t>appears to be</w:t>
      </w:r>
      <w:r w:rsidR="00A40B65" w:rsidRPr="00773EEA">
        <w:t xml:space="preserve"> </w:t>
      </w:r>
      <w:r w:rsidR="004D0EEE" w:rsidRPr="00773EEA">
        <w:t>collaborat</w:t>
      </w:r>
      <w:r w:rsidR="00A40B65" w:rsidRPr="00773EEA">
        <w:t>ing</w:t>
      </w:r>
      <w:r w:rsidR="004D0EEE" w:rsidRPr="00773EEA">
        <w:t xml:space="preserve"> with city governments and officials to understand and implement </w:t>
      </w:r>
      <w:r w:rsidR="00A40B65" w:rsidRPr="00773EEA">
        <w:t>planning and service delivery</w:t>
      </w:r>
      <w:r w:rsidR="004D0EEE" w:rsidRPr="00773EEA">
        <w:t xml:space="preserve"> tools that are </w:t>
      </w:r>
      <w:r w:rsidR="00E51748" w:rsidRPr="00773EEA">
        <w:t>appropriate to the context and digital readiness</w:t>
      </w:r>
      <w:r w:rsidR="00BD7EC0" w:rsidRPr="00773EEA">
        <w:t xml:space="preserve"> of cities</w:t>
      </w:r>
      <w:r w:rsidR="00E51748" w:rsidRPr="00773EEA">
        <w:t xml:space="preserve"> </w:t>
      </w:r>
      <w:r w:rsidR="00BD7EC0" w:rsidRPr="00773EEA">
        <w:t xml:space="preserve">and are </w:t>
      </w:r>
      <w:r w:rsidR="004D0EEE" w:rsidRPr="00773EEA">
        <w:t>people-centred</w:t>
      </w:r>
      <w:r w:rsidR="00BD7EC0" w:rsidRPr="00773EEA">
        <w:t xml:space="preserve"> and</w:t>
      </w:r>
      <w:r w:rsidR="004D0EEE" w:rsidRPr="00773EEA">
        <w:t xml:space="preserve"> ICT-driven</w:t>
      </w:r>
      <w:r w:rsidR="00327E9C" w:rsidRPr="00773EEA">
        <w:t xml:space="preserve"> in nature</w:t>
      </w:r>
      <w:r w:rsidR="004D0EEE" w:rsidRPr="00773EEA">
        <w:t>.</w:t>
      </w:r>
      <w:r w:rsidR="00E51748" w:rsidRPr="00773EEA">
        <w:t xml:space="preserve"> </w:t>
      </w:r>
      <w:r w:rsidR="00EB4C4C" w:rsidRPr="00773EEA">
        <w:t xml:space="preserve">Often, despite awareness of possible solutions, city government capacity </w:t>
      </w:r>
      <w:r w:rsidR="00B472C3" w:rsidRPr="00773EEA">
        <w:t xml:space="preserve">deficits </w:t>
      </w:r>
      <w:r w:rsidR="00EB4C4C" w:rsidRPr="00773EEA">
        <w:t xml:space="preserve">to implement a solution in practice prevents the wider deployment of smart city solutions, including ICT-driven tools and services. Via the </w:t>
      </w:r>
      <w:r w:rsidR="00B472C3" w:rsidRPr="00773EEA">
        <w:t>S</w:t>
      </w:r>
      <w:r w:rsidR="00EB4C4C" w:rsidRPr="00773EEA">
        <w:t xml:space="preserve">ilver TOs, the AASCTF is providing excellent support to city governments, working in a collaborative way to enable implementation. </w:t>
      </w:r>
    </w:p>
    <w:p w14:paraId="08A0091C" w14:textId="166B56F1" w:rsidR="004D0EEE" w:rsidRPr="00773EEA" w:rsidRDefault="00A40B65" w:rsidP="00B7602B">
      <w:pPr>
        <w:spacing w:before="120" w:line="240" w:lineRule="auto"/>
        <w:ind w:left="142"/>
        <w:jc w:val="both"/>
        <w:rPr>
          <w:rFonts w:eastAsia="Arial" w:cs="Arial"/>
        </w:rPr>
      </w:pPr>
      <w:r w:rsidRPr="00773EEA">
        <w:t>The program is also introducing solutions based on</w:t>
      </w:r>
      <w:r w:rsidR="007056B0" w:rsidRPr="00773EEA">
        <w:t xml:space="preserve"> </w:t>
      </w:r>
      <w:r w:rsidRPr="00773EEA">
        <w:t xml:space="preserve">software and hardware that can </w:t>
      </w:r>
      <w:r w:rsidR="00E51748" w:rsidRPr="00773EEA">
        <w:t>significantly</w:t>
      </w:r>
      <w:r w:rsidRPr="00773EEA">
        <w:t xml:space="preserve"> improve the ability of a city in planning and service delivery. For example, i</w:t>
      </w:r>
      <w:r w:rsidR="004D0EEE" w:rsidRPr="00773EEA">
        <w:rPr>
          <w:rFonts w:eastAsia="Arial" w:cs="Arial"/>
        </w:rPr>
        <w:t xml:space="preserve">n </w:t>
      </w:r>
      <w:r w:rsidR="004D0EEE" w:rsidRPr="00773EEA">
        <w:t>TO-01, Power BI has been established as the foundational software for the prioritisation platform</w:t>
      </w:r>
      <w:r w:rsidRPr="00773EEA">
        <w:t>.</w:t>
      </w:r>
      <w:r w:rsidR="004D0EEE" w:rsidRPr="00773EEA">
        <w:t xml:space="preserve"> In TO-06, powerful VISSIM modelling is being introduced to Georgetown to support transport planning decision-making</w:t>
      </w:r>
      <w:r w:rsidR="001A3330" w:rsidRPr="00773EEA">
        <w:t>.</w:t>
      </w:r>
      <w:r w:rsidRPr="00773EEA">
        <w:t xml:space="preserve"> </w:t>
      </w:r>
      <w:r w:rsidR="001A3330" w:rsidRPr="00773EEA">
        <w:t>I</w:t>
      </w:r>
      <w:r w:rsidRPr="00773EEA">
        <w:t>n</w:t>
      </w:r>
      <w:r w:rsidR="001A3330" w:rsidRPr="00773EEA">
        <w:t xml:space="preserve"> </w:t>
      </w:r>
      <w:r w:rsidR="004D0EEE" w:rsidRPr="00773EEA">
        <w:t>TO-02, water flow sensors linked to the ICT-based early warning system has been established</w:t>
      </w:r>
      <w:r w:rsidR="00E51748" w:rsidRPr="00773EEA">
        <w:t xml:space="preserve">, all of which are supported by </w:t>
      </w:r>
      <w:r w:rsidR="007B1384" w:rsidRPr="00773EEA">
        <w:t xml:space="preserve">associated </w:t>
      </w:r>
      <w:r w:rsidR="00E51748" w:rsidRPr="00773EEA">
        <w:t>capacity development</w:t>
      </w:r>
      <w:r w:rsidR="00BC11B0" w:rsidRPr="00773EEA">
        <w:t xml:space="preserve"> activities</w:t>
      </w:r>
      <w:r w:rsidR="00E51748" w:rsidRPr="00773EEA">
        <w:t>, as discuss</w:t>
      </w:r>
      <w:r w:rsidR="00BC11B0" w:rsidRPr="00773EEA">
        <w:t xml:space="preserve">ed </w:t>
      </w:r>
      <w:r w:rsidR="00E51748" w:rsidRPr="00773EEA">
        <w:t xml:space="preserve">in </w:t>
      </w:r>
      <w:r w:rsidR="00E51748" w:rsidRPr="00773EEA">
        <w:rPr>
          <w:b/>
          <w:bCs/>
        </w:rPr>
        <w:t>Section 3.1.2</w:t>
      </w:r>
      <w:r w:rsidR="004D0EEE" w:rsidRPr="00773EEA">
        <w:t>. These interventions often go beyond many typical urban development technical assistance projects that have been implemented by other donors in the region, which tend to support capacity development on a range of topics but are less hand</w:t>
      </w:r>
      <w:r w:rsidR="001038A0" w:rsidRPr="00773EEA">
        <w:t>s</w:t>
      </w:r>
      <w:r w:rsidR="004D0EEE" w:rsidRPr="00773EEA">
        <w:t xml:space="preserve">-on in supporting implement tangible tools and systems. </w:t>
      </w:r>
    </w:p>
    <w:p w14:paraId="5B01701E" w14:textId="3C695EAA" w:rsidR="007056B0" w:rsidRPr="00773EEA" w:rsidRDefault="00A40B65" w:rsidP="00B7602B">
      <w:pPr>
        <w:spacing w:before="120" w:line="240" w:lineRule="auto"/>
        <w:ind w:left="170"/>
        <w:jc w:val="both"/>
      </w:pPr>
      <w:r w:rsidRPr="00773EEA">
        <w:t>There are several areas for possible improvement in terms of meeting the program objectives</w:t>
      </w:r>
      <w:r w:rsidR="00686A1E" w:rsidRPr="00773EEA">
        <w:t xml:space="preserve">. Within the sampled </w:t>
      </w:r>
      <w:r w:rsidR="007D5BE7" w:rsidRPr="00773EEA">
        <w:t>S</w:t>
      </w:r>
      <w:r w:rsidR="00686A1E" w:rsidRPr="00773EEA">
        <w:t xml:space="preserve">ilver </w:t>
      </w:r>
      <w:proofErr w:type="spellStart"/>
      <w:r w:rsidR="00686A1E" w:rsidRPr="00773EEA">
        <w:t>T</w:t>
      </w:r>
      <w:r w:rsidR="007056B0" w:rsidRPr="00773EEA">
        <w:t>o</w:t>
      </w:r>
      <w:r w:rsidR="00686A1E" w:rsidRPr="00773EEA">
        <w:t>s</w:t>
      </w:r>
      <w:proofErr w:type="spellEnd"/>
      <w:r w:rsidR="007D5BE7" w:rsidRPr="00773EEA">
        <w:t>,</w:t>
      </w:r>
      <w:r w:rsidR="004D0EEE" w:rsidRPr="00773EEA">
        <w:t xml:space="preserve"> a more holistic approach could be used to inform the development of FEWS</w:t>
      </w:r>
      <w:r w:rsidR="00686A1E" w:rsidRPr="00773EEA">
        <w:t xml:space="preserve"> In Baguio (TO-02),</w:t>
      </w:r>
      <w:r w:rsidR="004D0EEE" w:rsidRPr="00773EEA">
        <w:t xml:space="preserve"> with a stronger focus on the fourth pillar of early warning systems</w:t>
      </w:r>
      <w:r w:rsidR="000D52CD" w:rsidRPr="00773EEA">
        <w:t xml:space="preserve"> which is </w:t>
      </w:r>
      <w:r w:rsidR="004D0EEE" w:rsidRPr="00773EEA">
        <w:t>the capa</w:t>
      </w:r>
      <w:r w:rsidR="000D52CD" w:rsidRPr="00773EEA">
        <w:t>bility</w:t>
      </w:r>
      <w:r w:rsidR="004D0EEE" w:rsidRPr="00773EEA">
        <w:t xml:space="preserve"> of inhabitants to respond to alerts</w:t>
      </w:r>
      <w:r w:rsidR="000D52CD" w:rsidRPr="00773EEA">
        <w:t xml:space="preserve"> – an important factor to influence EWS design</w:t>
      </w:r>
      <w:r w:rsidR="004D0EEE" w:rsidRPr="00773EEA">
        <w:t xml:space="preserve">. </w:t>
      </w:r>
      <w:r w:rsidR="000D52CD" w:rsidRPr="00773EEA">
        <w:t xml:space="preserve">Penang TO-06 could make more effort to raise with Digital Penang use of the VISSIM micro-simulation model to improve accessibility and safety for GESI target groups. </w:t>
      </w:r>
    </w:p>
    <w:p w14:paraId="1F297CCC" w14:textId="25C10AC9" w:rsidR="00BD1423" w:rsidRPr="00773EEA" w:rsidRDefault="000D52CD" w:rsidP="00B7602B">
      <w:pPr>
        <w:spacing w:before="120" w:line="240" w:lineRule="auto"/>
        <w:ind w:left="170"/>
        <w:jc w:val="both"/>
      </w:pPr>
      <w:r w:rsidRPr="00773EEA">
        <w:t xml:space="preserve">This will also meet international tourist expectations for safety accessibility for persons with a disability. </w:t>
      </w:r>
      <w:r w:rsidR="004D0EEE" w:rsidRPr="00773EEA">
        <w:t xml:space="preserve">In Battambang (TO-07), </w:t>
      </w:r>
      <w:r w:rsidR="00D475F6" w:rsidRPr="00773EEA">
        <w:t>following</w:t>
      </w:r>
      <w:r w:rsidR="004D0EEE" w:rsidRPr="00773EEA">
        <w:t xml:space="preserve"> initial foundational work to develop options for digital solutions to support waste management</w:t>
      </w:r>
      <w:r w:rsidR="00D475F6" w:rsidRPr="00773EEA">
        <w:t>,</w:t>
      </w:r>
      <w:r w:rsidR="004D0EEE" w:rsidRPr="00773EEA">
        <w:t xml:space="preserve"> </w:t>
      </w:r>
      <w:r w:rsidR="00D475F6" w:rsidRPr="00773EEA">
        <w:t>progress</w:t>
      </w:r>
      <w:r w:rsidR="00686A1E" w:rsidRPr="00773EEA">
        <w:t xml:space="preserve"> </w:t>
      </w:r>
      <w:r w:rsidR="000A578D" w:rsidRPr="00773EEA">
        <w:t>over the</w:t>
      </w:r>
      <w:r w:rsidR="00BC11B0" w:rsidRPr="00773EEA">
        <w:t xml:space="preserve"> 14 months of implementation</w:t>
      </w:r>
      <w:r w:rsidR="00D475F6" w:rsidRPr="00773EEA">
        <w:t xml:space="preserve"> appears to have been slow</w:t>
      </w:r>
      <w:r w:rsidR="000A578D" w:rsidRPr="00773EEA">
        <w:t>,</w:t>
      </w:r>
      <w:r w:rsidR="00686A1E" w:rsidRPr="00773EEA">
        <w:t xml:space="preserve"> there</w:t>
      </w:r>
      <w:r w:rsidR="004D0EEE" w:rsidRPr="00773EEA">
        <w:t xml:space="preserve"> </w:t>
      </w:r>
      <w:r w:rsidR="001A0AB4" w:rsidRPr="00773EEA">
        <w:t>appears to</w:t>
      </w:r>
      <w:r w:rsidR="00B84082" w:rsidRPr="00773EEA">
        <w:t xml:space="preserve"> have</w:t>
      </w:r>
      <w:r w:rsidR="001A0AB4" w:rsidRPr="00773EEA">
        <w:t xml:space="preserve"> </w:t>
      </w:r>
      <w:r w:rsidR="004D0EEE" w:rsidRPr="00773EEA">
        <w:t xml:space="preserve">been little </w:t>
      </w:r>
      <w:r w:rsidR="00A67E2B" w:rsidRPr="00773EEA">
        <w:t>consideration</w:t>
      </w:r>
      <w:r w:rsidR="004D0EEE" w:rsidRPr="00773EEA">
        <w:t xml:space="preserve"> at the concept stage </w:t>
      </w:r>
      <w:r w:rsidR="00A67E2B" w:rsidRPr="00773EEA">
        <w:t>of</w:t>
      </w:r>
      <w:r w:rsidR="004D0EEE" w:rsidRPr="00773EEA">
        <w:t xml:space="preserve"> how digital solutions can be accessible to the maximum number of users in the city, including the </w:t>
      </w:r>
      <w:r w:rsidR="00FF254C" w:rsidRPr="00773EEA">
        <w:t xml:space="preserve">important GESI </w:t>
      </w:r>
      <w:r w:rsidR="004D0EEE" w:rsidRPr="00773EEA">
        <w:t>aspects</w:t>
      </w:r>
      <w:r w:rsidR="007D4447" w:rsidRPr="00773EEA">
        <w:t xml:space="preserve">, although the ADB </w:t>
      </w:r>
      <w:r w:rsidR="00F44036" w:rsidRPr="00773EEA">
        <w:t xml:space="preserve">indicated it </w:t>
      </w:r>
      <w:r w:rsidR="007D4447" w:rsidRPr="00773EEA">
        <w:t xml:space="preserve">intends to address this </w:t>
      </w:r>
      <w:r w:rsidR="00F44036" w:rsidRPr="00773EEA">
        <w:t xml:space="preserve">through </w:t>
      </w:r>
      <w:r w:rsidR="001F3EE9" w:rsidRPr="00773EEA">
        <w:t>the o</w:t>
      </w:r>
      <w:r w:rsidR="007D4447" w:rsidRPr="00773EEA">
        <w:t xml:space="preserve">ptions </w:t>
      </w:r>
      <w:r w:rsidR="001F3EE9" w:rsidRPr="00773EEA">
        <w:t>a</w:t>
      </w:r>
      <w:r w:rsidR="00634843" w:rsidRPr="00773EEA">
        <w:t>nalyses</w:t>
      </w:r>
      <w:r w:rsidR="007D4447" w:rsidRPr="00773EEA">
        <w:t xml:space="preserve"> </w:t>
      </w:r>
      <w:r w:rsidR="001F3EE9" w:rsidRPr="00773EEA">
        <w:t>stage</w:t>
      </w:r>
      <w:r w:rsidR="007D4447" w:rsidRPr="00773EEA">
        <w:t xml:space="preserve"> </w:t>
      </w:r>
      <w:r w:rsidR="004D0EEE" w:rsidRPr="00773EEA">
        <w:t xml:space="preserve"> (See </w:t>
      </w:r>
      <w:r w:rsidR="004D0EEE" w:rsidRPr="00773EEA">
        <w:rPr>
          <w:b/>
          <w:bCs/>
        </w:rPr>
        <w:t>Section 3.</w:t>
      </w:r>
      <w:r w:rsidR="00684075" w:rsidRPr="00773EEA">
        <w:rPr>
          <w:b/>
          <w:bCs/>
        </w:rPr>
        <w:t>3</w:t>
      </w:r>
      <w:r w:rsidR="004D0EEE" w:rsidRPr="00773EEA">
        <w:t xml:space="preserve">). </w:t>
      </w:r>
    </w:p>
    <w:p w14:paraId="1EFBADF3" w14:textId="77777777" w:rsidR="007056B0" w:rsidRPr="00773EEA" w:rsidRDefault="7C2F6B61" w:rsidP="00B7602B">
      <w:pPr>
        <w:spacing w:line="240" w:lineRule="exact"/>
        <w:ind w:left="180"/>
        <w:jc w:val="both"/>
        <w:rPr>
          <w:rFonts w:eastAsia="Arial" w:cs="Arial"/>
          <w:szCs w:val="20"/>
        </w:rPr>
      </w:pPr>
      <w:r w:rsidRPr="00773EEA">
        <w:rPr>
          <w:rFonts w:eastAsia="Arial" w:cs="Arial"/>
          <w:b/>
          <w:bCs/>
          <w:szCs w:val="20"/>
        </w:rPr>
        <w:t xml:space="preserve">Some valuable work is focused on financial management in cities, but the AASCTF is </w:t>
      </w:r>
      <w:r w:rsidR="00E51748" w:rsidRPr="00773EEA">
        <w:rPr>
          <w:rFonts w:eastAsia="Arial" w:cs="Arial"/>
          <w:b/>
          <w:bCs/>
          <w:szCs w:val="20"/>
        </w:rPr>
        <w:t>un</w:t>
      </w:r>
      <w:r w:rsidRPr="00773EEA">
        <w:rPr>
          <w:rFonts w:eastAsia="Arial" w:cs="Arial"/>
          <w:b/>
          <w:bCs/>
          <w:szCs w:val="20"/>
        </w:rPr>
        <w:t xml:space="preserve">likely to </w:t>
      </w:r>
      <w:r w:rsidR="00E51748" w:rsidRPr="00773EEA">
        <w:rPr>
          <w:rFonts w:eastAsia="Arial" w:cs="Arial"/>
          <w:b/>
          <w:bCs/>
          <w:szCs w:val="20"/>
        </w:rPr>
        <w:t xml:space="preserve">fully </w:t>
      </w:r>
      <w:r w:rsidRPr="00773EEA">
        <w:rPr>
          <w:rFonts w:eastAsia="Arial" w:cs="Arial"/>
          <w:b/>
          <w:bCs/>
          <w:szCs w:val="20"/>
        </w:rPr>
        <w:t xml:space="preserve">meet its </w:t>
      </w:r>
      <w:r w:rsidR="00E51748" w:rsidRPr="00773EEA">
        <w:rPr>
          <w:rFonts w:eastAsia="Arial" w:cs="Arial"/>
          <w:b/>
          <w:bCs/>
          <w:szCs w:val="20"/>
        </w:rPr>
        <w:t>objectives</w:t>
      </w:r>
      <w:r w:rsidRPr="00773EEA">
        <w:rPr>
          <w:rFonts w:eastAsia="Arial" w:cs="Arial"/>
          <w:b/>
          <w:bCs/>
          <w:szCs w:val="20"/>
        </w:rPr>
        <w:t xml:space="preserve"> for this pillar.</w:t>
      </w:r>
      <w:r w:rsidR="004D0EEE" w:rsidRPr="00773EEA">
        <w:rPr>
          <w:rFonts w:eastAsia="Arial" w:cs="Arial"/>
          <w:b/>
          <w:bCs/>
          <w:szCs w:val="20"/>
        </w:rPr>
        <w:t xml:space="preserve"> </w:t>
      </w:r>
      <w:r w:rsidRPr="00773EEA">
        <w:rPr>
          <w:rFonts w:eastAsia="Arial" w:cs="Arial"/>
          <w:szCs w:val="20"/>
        </w:rPr>
        <w:t xml:space="preserve">The AASCTF is making less progress on the third thematic pillar of introducing integrated financial management information systems to improve institutional credit worthiness and fiscal standing. </w:t>
      </w:r>
      <w:r w:rsidR="00376CF8" w:rsidRPr="00773EEA">
        <w:rPr>
          <w:rFonts w:eastAsia="Arial" w:cs="Arial"/>
          <w:szCs w:val="20"/>
        </w:rPr>
        <w:t xml:space="preserve">Chonburi/EEC in Thailand (TO-11) and the </w:t>
      </w:r>
      <w:r w:rsidR="00DC210C" w:rsidRPr="00773EEA">
        <w:rPr>
          <w:rFonts w:eastAsia="Arial" w:cs="Arial"/>
          <w:szCs w:val="20"/>
        </w:rPr>
        <w:t>Resource Person</w:t>
      </w:r>
      <w:r w:rsidR="00376CF8" w:rsidRPr="00773EEA">
        <w:rPr>
          <w:rFonts w:eastAsia="Arial" w:cs="Arial"/>
          <w:szCs w:val="20"/>
        </w:rPr>
        <w:t xml:space="preserve"> assignment on developing a City Resource Mobilization Tool (CRMT) for Indonesian Cities are both fully focused on this pillar and </w:t>
      </w:r>
      <w:proofErr w:type="gramStart"/>
      <w:r w:rsidR="00376CF8" w:rsidRPr="00773EEA">
        <w:rPr>
          <w:rFonts w:eastAsia="Arial" w:cs="Arial"/>
          <w:szCs w:val="20"/>
        </w:rPr>
        <w:t>a number of</w:t>
      </w:r>
      <w:proofErr w:type="gramEnd"/>
      <w:r w:rsidR="00376CF8" w:rsidRPr="00773EEA">
        <w:rPr>
          <w:rFonts w:eastAsia="Arial" w:cs="Arial"/>
          <w:szCs w:val="20"/>
        </w:rPr>
        <w:t xml:space="preserve"> influencing activities</w:t>
      </w:r>
      <w:r w:rsidR="00FF254C" w:rsidRPr="00773EEA">
        <w:rPr>
          <w:rFonts w:eastAsia="Arial" w:cs="Arial"/>
          <w:szCs w:val="20"/>
        </w:rPr>
        <w:t xml:space="preserve"> move to</w:t>
      </w:r>
      <w:r w:rsidR="00376CF8" w:rsidRPr="00773EEA">
        <w:rPr>
          <w:rFonts w:eastAsia="Arial" w:cs="Arial"/>
          <w:szCs w:val="20"/>
        </w:rPr>
        <w:t xml:space="preserve"> address the </w:t>
      </w:r>
      <w:r w:rsidR="00FF254C" w:rsidRPr="00773EEA">
        <w:rPr>
          <w:rFonts w:eastAsia="Arial" w:cs="Arial"/>
          <w:szCs w:val="20"/>
        </w:rPr>
        <w:t>challenge,</w:t>
      </w:r>
      <w:r w:rsidR="00376CF8" w:rsidRPr="00773EEA">
        <w:rPr>
          <w:rFonts w:eastAsia="Arial" w:cs="Arial"/>
          <w:szCs w:val="20"/>
        </w:rPr>
        <w:t xml:space="preserve"> including the upcoming TO-08 capacity development learning series. TOs that </w:t>
      </w:r>
      <w:r w:rsidR="00966B84" w:rsidRPr="00773EEA">
        <w:rPr>
          <w:rFonts w:eastAsia="Arial" w:cs="Arial"/>
          <w:szCs w:val="20"/>
        </w:rPr>
        <w:t xml:space="preserve">further </w:t>
      </w:r>
      <w:r w:rsidR="00376CF8" w:rsidRPr="00773EEA">
        <w:rPr>
          <w:rFonts w:eastAsia="Arial" w:cs="Arial"/>
          <w:szCs w:val="20"/>
        </w:rPr>
        <w:t>contribute to financial management objectives are</w:t>
      </w:r>
      <w:r w:rsidR="008400CC" w:rsidRPr="00773EEA">
        <w:rPr>
          <w:rFonts w:eastAsia="Arial" w:cs="Arial"/>
          <w:szCs w:val="20"/>
        </w:rPr>
        <w:t xml:space="preserve"> Makassar (TO-01) </w:t>
      </w:r>
      <w:r w:rsidR="004A2482" w:rsidRPr="00773EEA">
        <w:rPr>
          <w:rFonts w:eastAsia="Arial" w:cs="Arial"/>
          <w:szCs w:val="20"/>
        </w:rPr>
        <w:t xml:space="preserve">and </w:t>
      </w:r>
      <w:r w:rsidR="008400CC" w:rsidRPr="00773EEA">
        <w:rPr>
          <w:rFonts w:eastAsia="Arial" w:cs="Arial"/>
          <w:szCs w:val="20"/>
        </w:rPr>
        <w:t>Battambang (TO-07)</w:t>
      </w:r>
      <w:r w:rsidR="00376CF8" w:rsidRPr="00773EEA">
        <w:rPr>
          <w:rFonts w:eastAsia="Arial" w:cs="Arial"/>
          <w:szCs w:val="20"/>
        </w:rPr>
        <w:t>.</w:t>
      </w:r>
      <w:r w:rsidR="008400CC" w:rsidRPr="00773EEA">
        <w:rPr>
          <w:rFonts w:eastAsia="Arial" w:cs="Arial"/>
          <w:szCs w:val="20"/>
        </w:rPr>
        <w:t xml:space="preserve"> </w:t>
      </w:r>
    </w:p>
    <w:p w14:paraId="50609C77" w14:textId="56E4EB52" w:rsidR="007056B0" w:rsidRPr="00773EEA" w:rsidRDefault="00376CF8" w:rsidP="00B7602B">
      <w:pPr>
        <w:spacing w:line="240" w:lineRule="exact"/>
        <w:ind w:left="180"/>
        <w:jc w:val="both"/>
        <w:rPr>
          <w:rFonts w:eastAsia="Arial" w:cs="Arial"/>
          <w:szCs w:val="20"/>
        </w:rPr>
      </w:pPr>
      <w:r w:rsidRPr="00773EEA">
        <w:rPr>
          <w:rFonts w:eastAsia="Arial" w:cs="Arial"/>
          <w:szCs w:val="20"/>
        </w:rPr>
        <w:t xml:space="preserve">However, the program lacks a comprehensive focus on meeting the program objectives in this pillar, whereby a higher number of TOs and </w:t>
      </w:r>
      <w:r w:rsidR="0078766B" w:rsidRPr="00773EEA">
        <w:rPr>
          <w:rFonts w:eastAsia="Arial" w:cs="Arial"/>
          <w:szCs w:val="20"/>
        </w:rPr>
        <w:t>Resource Person</w:t>
      </w:r>
      <w:r w:rsidRPr="00773EEA">
        <w:rPr>
          <w:rFonts w:eastAsia="Arial" w:cs="Arial"/>
          <w:szCs w:val="20"/>
        </w:rPr>
        <w:t xml:space="preserve"> activities aim to improve financial management as their core objective. </w:t>
      </w:r>
      <w:r w:rsidR="00BC11B0" w:rsidRPr="00773EEA">
        <w:rPr>
          <w:rFonts w:eastAsia="Arial" w:cs="Arial"/>
          <w:szCs w:val="20"/>
        </w:rPr>
        <w:t xml:space="preserve">There is also a risk that </w:t>
      </w:r>
      <w:proofErr w:type="spellStart"/>
      <w:r w:rsidR="00BC11B0" w:rsidRPr="00773EEA">
        <w:rPr>
          <w:rFonts w:eastAsia="Arial" w:cs="Arial"/>
          <w:szCs w:val="20"/>
        </w:rPr>
        <w:t>T</w:t>
      </w:r>
      <w:r w:rsidR="007056B0" w:rsidRPr="00773EEA">
        <w:rPr>
          <w:rFonts w:eastAsia="Arial" w:cs="Arial"/>
          <w:szCs w:val="20"/>
        </w:rPr>
        <w:t>o</w:t>
      </w:r>
      <w:r w:rsidR="00BC11B0" w:rsidRPr="00773EEA">
        <w:rPr>
          <w:rFonts w:eastAsia="Arial" w:cs="Arial"/>
          <w:szCs w:val="20"/>
        </w:rPr>
        <w:t>s</w:t>
      </w:r>
      <w:proofErr w:type="spellEnd"/>
      <w:r w:rsidR="00BC11B0" w:rsidRPr="00773EEA">
        <w:rPr>
          <w:rFonts w:eastAsia="Arial" w:cs="Arial"/>
          <w:szCs w:val="20"/>
        </w:rPr>
        <w:t xml:space="preserve"> such as TO-07 in Battambang are </w:t>
      </w:r>
      <w:r w:rsidR="00CA1B93" w:rsidRPr="00773EEA">
        <w:rPr>
          <w:rFonts w:eastAsia="Arial" w:cs="Arial"/>
          <w:szCs w:val="20"/>
        </w:rPr>
        <w:t>intended to</w:t>
      </w:r>
      <w:r w:rsidR="006334D8" w:rsidRPr="00773EEA">
        <w:rPr>
          <w:rFonts w:eastAsia="Arial" w:cs="Arial"/>
          <w:szCs w:val="20"/>
        </w:rPr>
        <w:t xml:space="preserve"> partially</w:t>
      </w:r>
      <w:r w:rsidR="00BC11B0" w:rsidRPr="00773EEA">
        <w:rPr>
          <w:rFonts w:eastAsia="Arial" w:cs="Arial"/>
          <w:szCs w:val="20"/>
        </w:rPr>
        <w:t xml:space="preserve"> </w:t>
      </w:r>
      <w:r w:rsidR="006334D8" w:rsidRPr="00773EEA">
        <w:rPr>
          <w:rFonts w:eastAsia="Arial" w:cs="Arial"/>
          <w:szCs w:val="20"/>
        </w:rPr>
        <w:t>contribut</w:t>
      </w:r>
      <w:r w:rsidR="00CA1B93" w:rsidRPr="00773EEA">
        <w:rPr>
          <w:rFonts w:eastAsia="Arial" w:cs="Arial"/>
          <w:szCs w:val="20"/>
        </w:rPr>
        <w:t>e</w:t>
      </w:r>
      <w:r w:rsidR="006334D8" w:rsidRPr="00773EEA">
        <w:rPr>
          <w:rFonts w:eastAsia="Arial" w:cs="Arial"/>
          <w:szCs w:val="20"/>
        </w:rPr>
        <w:t xml:space="preserve"> to </w:t>
      </w:r>
      <w:r w:rsidR="00BC11B0" w:rsidRPr="00773EEA">
        <w:rPr>
          <w:rFonts w:eastAsia="Arial" w:cs="Arial"/>
          <w:szCs w:val="20"/>
        </w:rPr>
        <w:t xml:space="preserve">financial </w:t>
      </w:r>
      <w:r w:rsidR="00801FE2" w:rsidRPr="00773EEA">
        <w:rPr>
          <w:rFonts w:eastAsia="Arial" w:cs="Arial"/>
          <w:szCs w:val="20"/>
        </w:rPr>
        <w:t>management but</w:t>
      </w:r>
      <w:r w:rsidR="00BC11B0" w:rsidRPr="00773EEA">
        <w:rPr>
          <w:rFonts w:eastAsia="Arial" w:cs="Arial"/>
          <w:szCs w:val="20"/>
        </w:rPr>
        <w:t xml:space="preserve"> are unable to </w:t>
      </w:r>
      <w:r w:rsidR="006334D8" w:rsidRPr="00773EEA">
        <w:rPr>
          <w:rFonts w:eastAsia="Arial" w:cs="Arial"/>
          <w:szCs w:val="20"/>
        </w:rPr>
        <w:t>provide more dedicated support needed to overcome</w:t>
      </w:r>
      <w:r w:rsidR="00BC11B0" w:rsidRPr="00773EEA">
        <w:rPr>
          <w:rFonts w:eastAsia="Arial" w:cs="Arial"/>
          <w:szCs w:val="20"/>
        </w:rPr>
        <w:t xml:space="preserve"> </w:t>
      </w:r>
      <w:r w:rsidR="006334D8" w:rsidRPr="00773EEA">
        <w:rPr>
          <w:rFonts w:eastAsia="Arial" w:cs="Arial"/>
          <w:szCs w:val="20"/>
        </w:rPr>
        <w:t xml:space="preserve">barriers </w:t>
      </w:r>
      <w:r w:rsidR="00CA1B93" w:rsidRPr="00773EEA">
        <w:rPr>
          <w:rFonts w:eastAsia="Arial" w:cs="Arial"/>
          <w:szCs w:val="20"/>
        </w:rPr>
        <w:t>necessary</w:t>
      </w:r>
      <w:r w:rsidR="006334D8" w:rsidRPr="00773EEA">
        <w:rPr>
          <w:rFonts w:eastAsia="Arial" w:cs="Arial"/>
          <w:szCs w:val="20"/>
        </w:rPr>
        <w:t xml:space="preserve"> </w:t>
      </w:r>
      <w:r w:rsidR="00BC11B0" w:rsidRPr="00773EEA">
        <w:rPr>
          <w:rFonts w:eastAsia="Arial" w:cs="Arial"/>
          <w:szCs w:val="20"/>
        </w:rPr>
        <w:t>to improve institutional credit worthiness and fiscal standing</w:t>
      </w:r>
      <w:r w:rsidR="006334D8" w:rsidRPr="00773EEA">
        <w:rPr>
          <w:rFonts w:eastAsia="Arial" w:cs="Arial"/>
          <w:szCs w:val="20"/>
        </w:rPr>
        <w:t xml:space="preserve">. </w:t>
      </w:r>
      <w:r w:rsidR="7C2F6B61" w:rsidRPr="00773EEA">
        <w:rPr>
          <w:rFonts w:eastAsia="Arial" w:cs="Arial"/>
          <w:szCs w:val="20"/>
        </w:rPr>
        <w:t xml:space="preserve">AASCTF is a demand-responsive program, which makes it problematic to match city-led demand for a range of topics to pre-defined targets, particularly for </w:t>
      </w:r>
      <w:r w:rsidR="00CA1B93" w:rsidRPr="00773EEA">
        <w:rPr>
          <w:rFonts w:eastAsia="Arial" w:cs="Arial"/>
          <w:szCs w:val="20"/>
        </w:rPr>
        <w:t>f</w:t>
      </w:r>
      <w:r w:rsidR="7C2F6B61" w:rsidRPr="00773EEA">
        <w:rPr>
          <w:rFonts w:eastAsia="Arial" w:cs="Arial"/>
          <w:szCs w:val="20"/>
        </w:rPr>
        <w:t xml:space="preserve">inancial </w:t>
      </w:r>
      <w:r w:rsidR="00CA1B93" w:rsidRPr="00773EEA">
        <w:rPr>
          <w:rFonts w:eastAsia="Arial" w:cs="Arial"/>
          <w:szCs w:val="20"/>
        </w:rPr>
        <w:t>m</w:t>
      </w:r>
      <w:r w:rsidR="7C2F6B61" w:rsidRPr="00773EEA">
        <w:rPr>
          <w:rFonts w:eastAsia="Arial" w:cs="Arial"/>
          <w:szCs w:val="20"/>
        </w:rPr>
        <w:t xml:space="preserve">anagement related support. </w:t>
      </w:r>
    </w:p>
    <w:p w14:paraId="0A23C67C" w14:textId="20A761D3" w:rsidR="002A5DA3" w:rsidRPr="00773EEA" w:rsidRDefault="7C2F6B61" w:rsidP="00B7602B">
      <w:pPr>
        <w:spacing w:line="240" w:lineRule="exact"/>
        <w:ind w:left="180"/>
        <w:jc w:val="both"/>
        <w:rPr>
          <w:rFonts w:eastAsia="Arial" w:cs="Arial"/>
          <w:szCs w:val="20"/>
        </w:rPr>
      </w:pPr>
      <w:r w:rsidRPr="00773EEA">
        <w:rPr>
          <w:rFonts w:eastAsia="Arial" w:cs="Arial"/>
          <w:szCs w:val="20"/>
        </w:rPr>
        <w:t>This challenge was also pointed out by the Ramboll team in the Mid-level PLSER.</w:t>
      </w:r>
      <w:r w:rsidRPr="00773EEA">
        <w:rPr>
          <w:rFonts w:eastAsia="Arial" w:cs="Arial"/>
          <w:szCs w:val="20"/>
          <w:vertAlign w:val="superscript"/>
        </w:rPr>
        <w:footnoteReference w:id="13"/>
      </w:r>
      <w:r w:rsidRPr="00773EEA">
        <w:rPr>
          <w:rFonts w:eastAsia="Arial" w:cs="Arial"/>
          <w:szCs w:val="20"/>
        </w:rPr>
        <w:t xml:space="preserve"> City government counterparts have generally allocated more importance to AASCTF support in areas relating to urban planning and service delivery, as well as cross-cutting thematic areas such as GESI, which has </w:t>
      </w:r>
      <w:r w:rsidR="00CA1B93" w:rsidRPr="00773EEA">
        <w:rPr>
          <w:rFonts w:eastAsia="Arial" w:cs="Arial"/>
          <w:szCs w:val="20"/>
        </w:rPr>
        <w:t>in</w:t>
      </w:r>
      <w:r w:rsidRPr="00773EEA">
        <w:rPr>
          <w:rFonts w:eastAsia="Arial" w:cs="Arial"/>
          <w:szCs w:val="20"/>
        </w:rPr>
        <w:t xml:space="preserve">formed TO-05 and TO-09. </w:t>
      </w:r>
      <w:r w:rsidR="008400CC" w:rsidRPr="00773EEA">
        <w:rPr>
          <w:rFonts w:eastAsia="Arial" w:cs="Arial"/>
          <w:szCs w:val="20"/>
        </w:rPr>
        <w:t xml:space="preserve">While two </w:t>
      </w:r>
      <w:r w:rsidR="001E2D3A" w:rsidRPr="00773EEA">
        <w:rPr>
          <w:rFonts w:eastAsia="Arial" w:cs="Arial"/>
          <w:szCs w:val="20"/>
        </w:rPr>
        <w:t xml:space="preserve">further </w:t>
      </w:r>
      <w:r w:rsidR="008400CC" w:rsidRPr="00773EEA">
        <w:rPr>
          <w:rFonts w:eastAsia="Arial" w:cs="Arial"/>
          <w:szCs w:val="20"/>
        </w:rPr>
        <w:t xml:space="preserve">years of </w:t>
      </w:r>
      <w:r w:rsidR="001E2D3A" w:rsidRPr="00773EEA">
        <w:rPr>
          <w:rFonts w:eastAsia="Arial" w:cs="Arial"/>
          <w:szCs w:val="20"/>
        </w:rPr>
        <w:t xml:space="preserve">AASCTF </w:t>
      </w:r>
      <w:r w:rsidR="00B63FB2" w:rsidRPr="00773EEA">
        <w:rPr>
          <w:rFonts w:eastAsia="Arial" w:cs="Arial"/>
          <w:szCs w:val="20"/>
        </w:rPr>
        <w:t xml:space="preserve">implementation </w:t>
      </w:r>
      <w:r w:rsidR="001E2D3A" w:rsidRPr="00773EEA">
        <w:rPr>
          <w:rFonts w:eastAsia="Arial" w:cs="Arial"/>
          <w:szCs w:val="20"/>
        </w:rPr>
        <w:t xml:space="preserve">are </w:t>
      </w:r>
      <w:r w:rsidR="00B63FB2" w:rsidRPr="00773EEA">
        <w:rPr>
          <w:rFonts w:eastAsia="Arial" w:cs="Arial"/>
          <w:szCs w:val="20"/>
        </w:rPr>
        <w:t>envisaged by DFAT</w:t>
      </w:r>
      <w:r w:rsidR="008400CC" w:rsidRPr="00773EEA">
        <w:rPr>
          <w:rFonts w:eastAsia="Arial" w:cs="Arial"/>
          <w:szCs w:val="20"/>
        </w:rPr>
        <w:t xml:space="preserve">, the </w:t>
      </w:r>
      <w:r w:rsidR="002A5DA3" w:rsidRPr="00773EEA">
        <w:rPr>
          <w:rFonts w:eastAsia="Arial" w:cs="Arial"/>
          <w:szCs w:val="20"/>
        </w:rPr>
        <w:t xml:space="preserve">Ramboll budget </w:t>
      </w:r>
      <w:r w:rsidR="00B63FB2" w:rsidRPr="00773EEA">
        <w:rPr>
          <w:rFonts w:eastAsia="Arial" w:cs="Arial"/>
          <w:szCs w:val="20"/>
        </w:rPr>
        <w:t xml:space="preserve">allocation </w:t>
      </w:r>
      <w:r w:rsidR="002A5DA3" w:rsidRPr="00773EEA">
        <w:rPr>
          <w:rFonts w:eastAsia="Arial" w:cs="Arial"/>
          <w:szCs w:val="20"/>
        </w:rPr>
        <w:t xml:space="preserve">will have </w:t>
      </w:r>
      <w:r w:rsidR="00B63FB2" w:rsidRPr="00773EEA">
        <w:rPr>
          <w:rFonts w:eastAsia="Arial" w:cs="Arial"/>
          <w:szCs w:val="20"/>
        </w:rPr>
        <w:t>been exhausted</w:t>
      </w:r>
      <w:r w:rsidR="002A5DA3" w:rsidRPr="00773EEA">
        <w:rPr>
          <w:rFonts w:eastAsia="Arial" w:cs="Arial"/>
          <w:szCs w:val="20"/>
        </w:rPr>
        <w:t xml:space="preserve"> upon completion of the currently endorsed TO</w:t>
      </w:r>
      <w:r w:rsidR="008400CC" w:rsidRPr="00773EEA">
        <w:rPr>
          <w:rFonts w:eastAsia="Arial" w:cs="Arial"/>
          <w:szCs w:val="20"/>
        </w:rPr>
        <w:t xml:space="preserve">, leaving little further opportunity to fully </w:t>
      </w:r>
      <w:r w:rsidR="00130A60" w:rsidRPr="00773EEA">
        <w:rPr>
          <w:rFonts w:eastAsia="Arial" w:cs="Arial"/>
          <w:szCs w:val="20"/>
        </w:rPr>
        <w:t>achieve</w:t>
      </w:r>
      <w:r w:rsidR="008400CC" w:rsidRPr="00773EEA">
        <w:rPr>
          <w:rFonts w:eastAsia="Arial" w:cs="Arial"/>
          <w:szCs w:val="20"/>
        </w:rPr>
        <w:t xml:space="preserve"> the </w:t>
      </w:r>
      <w:r w:rsidR="00B63FB2" w:rsidRPr="00773EEA">
        <w:rPr>
          <w:rFonts w:eastAsia="Arial" w:cs="Arial"/>
          <w:szCs w:val="20"/>
        </w:rPr>
        <w:t>f</w:t>
      </w:r>
      <w:r w:rsidR="008400CC" w:rsidRPr="00773EEA">
        <w:rPr>
          <w:rFonts w:eastAsia="Arial" w:cs="Arial"/>
          <w:szCs w:val="20"/>
        </w:rPr>
        <w:t xml:space="preserve">inancial </w:t>
      </w:r>
      <w:r w:rsidR="00B63FB2" w:rsidRPr="00773EEA">
        <w:rPr>
          <w:rFonts w:eastAsia="Arial" w:cs="Arial"/>
          <w:szCs w:val="20"/>
        </w:rPr>
        <w:t>m</w:t>
      </w:r>
      <w:r w:rsidR="008400CC" w:rsidRPr="00773EEA">
        <w:rPr>
          <w:rFonts w:eastAsia="Arial" w:cs="Arial"/>
          <w:szCs w:val="20"/>
        </w:rPr>
        <w:t>anagement targets in the DMF</w:t>
      </w:r>
      <w:r w:rsidR="006334D8" w:rsidRPr="00773EEA">
        <w:rPr>
          <w:rFonts w:eastAsia="Arial" w:cs="Arial"/>
          <w:szCs w:val="20"/>
        </w:rPr>
        <w:t xml:space="preserve">. </w:t>
      </w:r>
    </w:p>
    <w:p w14:paraId="1DB0CBED" w14:textId="73B66441" w:rsidR="006A64A5" w:rsidRPr="00773EEA" w:rsidRDefault="006A64A5" w:rsidP="00B7602B">
      <w:pPr>
        <w:ind w:left="170"/>
        <w:jc w:val="both"/>
      </w:pPr>
      <w:r w:rsidRPr="00773EEA">
        <w:rPr>
          <w:b/>
          <w:bCs/>
        </w:rPr>
        <w:t xml:space="preserve">Baseline data collection enables assessment of progress </w:t>
      </w:r>
      <w:r w:rsidR="00F34702" w:rsidRPr="00773EEA">
        <w:rPr>
          <w:b/>
          <w:bCs/>
        </w:rPr>
        <w:t>towards objectives</w:t>
      </w:r>
      <w:r w:rsidR="000512C6" w:rsidRPr="00773EEA">
        <w:rPr>
          <w:b/>
          <w:bCs/>
        </w:rPr>
        <w:t>,</w:t>
      </w:r>
      <w:r w:rsidRPr="00773EEA">
        <w:rPr>
          <w:b/>
          <w:bCs/>
        </w:rPr>
        <w:t xml:space="preserve"> </w:t>
      </w:r>
      <w:r w:rsidR="000512C6" w:rsidRPr="00773EEA">
        <w:rPr>
          <w:b/>
          <w:bCs/>
        </w:rPr>
        <w:t>however</w:t>
      </w:r>
      <w:r w:rsidR="00C615AA" w:rsidRPr="00773EEA">
        <w:rPr>
          <w:b/>
          <w:bCs/>
        </w:rPr>
        <w:t>,</w:t>
      </w:r>
      <w:r w:rsidRPr="00773EEA">
        <w:rPr>
          <w:b/>
          <w:bCs/>
        </w:rPr>
        <w:t xml:space="preserve"> </w:t>
      </w:r>
      <w:r w:rsidR="00F34702" w:rsidRPr="00773EEA">
        <w:rPr>
          <w:b/>
          <w:bCs/>
        </w:rPr>
        <w:t xml:space="preserve">there is the lack of standardised approach. </w:t>
      </w:r>
      <w:r w:rsidR="00F34702" w:rsidRPr="00773EEA">
        <w:t xml:space="preserve">Baseline data has been </w:t>
      </w:r>
      <w:r w:rsidR="00792A87" w:rsidRPr="00773EEA">
        <w:t>collected</w:t>
      </w:r>
      <w:r w:rsidR="00F34702" w:rsidRPr="00773EEA">
        <w:t xml:space="preserve"> across the program for each of the participating </w:t>
      </w:r>
      <w:r w:rsidR="00792A87" w:rsidRPr="00773EEA">
        <w:t>B</w:t>
      </w:r>
      <w:r w:rsidR="00F34702" w:rsidRPr="00773EEA">
        <w:t xml:space="preserve">ronze </w:t>
      </w:r>
      <w:r w:rsidR="00792A87" w:rsidRPr="00773EEA">
        <w:t>C</w:t>
      </w:r>
      <w:r w:rsidR="00F34702" w:rsidRPr="00773EEA">
        <w:t>ities</w:t>
      </w:r>
      <w:r w:rsidR="00792A87" w:rsidRPr="00773EEA">
        <w:t xml:space="preserve"> and</w:t>
      </w:r>
      <w:r w:rsidR="00F34702" w:rsidRPr="00773EEA">
        <w:t xml:space="preserve"> at the country</w:t>
      </w:r>
      <w:r w:rsidR="00792A87" w:rsidRPr="00773EEA">
        <w:t>-</w:t>
      </w:r>
      <w:r w:rsidR="00F34702" w:rsidRPr="00773EEA">
        <w:t xml:space="preserve">level and for specific </w:t>
      </w:r>
      <w:r w:rsidR="00792A87" w:rsidRPr="00773EEA">
        <w:t>S</w:t>
      </w:r>
      <w:r w:rsidR="00F34702" w:rsidRPr="00773EEA">
        <w:t xml:space="preserve">ilver TOs. However, </w:t>
      </w:r>
      <w:r w:rsidR="00624305" w:rsidRPr="00773EEA">
        <w:t>the program</w:t>
      </w:r>
      <w:r w:rsidR="00F34702" w:rsidRPr="00773EEA">
        <w:t xml:space="preserve"> lack</w:t>
      </w:r>
      <w:r w:rsidR="00624305" w:rsidRPr="00773EEA">
        <w:t>s</w:t>
      </w:r>
      <w:r w:rsidR="00F34702" w:rsidRPr="00773EEA">
        <w:t xml:space="preserve"> </w:t>
      </w:r>
      <w:r w:rsidR="00624305" w:rsidRPr="00773EEA">
        <w:t xml:space="preserve">a </w:t>
      </w:r>
      <w:r w:rsidR="00F34702" w:rsidRPr="00773EEA">
        <w:t xml:space="preserve">standardised approach in what to consider and measure for a baseline. For example, </w:t>
      </w:r>
      <w:r w:rsidRPr="00773EEA">
        <w:t xml:space="preserve">GESI profiles have been completed for each country, but the cities have varying GESI </w:t>
      </w:r>
      <w:r w:rsidR="00F34702" w:rsidRPr="00773EEA">
        <w:t>considerations as part of the baseline report for each TO. Makassar’s Baseline Report has good coverage</w:t>
      </w:r>
      <w:r w:rsidR="00624305" w:rsidRPr="00773EEA">
        <w:t>,</w:t>
      </w:r>
      <w:r w:rsidR="00F34702" w:rsidRPr="00773EEA">
        <w:t xml:space="preserve"> with survey and a dedicated volume of the report on GESI, whereas </w:t>
      </w:r>
      <w:r w:rsidRPr="00773EEA">
        <w:t xml:space="preserve">Baguio </w:t>
      </w:r>
      <w:r w:rsidR="00344F42" w:rsidRPr="00773EEA">
        <w:t>gives</w:t>
      </w:r>
      <w:r w:rsidRPr="00773EEA">
        <w:t xml:space="preserve"> very little </w:t>
      </w:r>
      <w:r w:rsidRPr="00773EEA">
        <w:lastRenderedPageBreak/>
        <w:t xml:space="preserve">mention of GESI in </w:t>
      </w:r>
      <w:r w:rsidR="00F34702" w:rsidRPr="00773EEA">
        <w:t xml:space="preserve">its TO-02 </w:t>
      </w:r>
      <w:r w:rsidR="00344F42" w:rsidRPr="00773EEA">
        <w:t>B</w:t>
      </w:r>
      <w:r w:rsidRPr="00773EEA">
        <w:t xml:space="preserve">aseline </w:t>
      </w:r>
      <w:r w:rsidR="00F34702" w:rsidRPr="00773EEA">
        <w:t>Report</w:t>
      </w:r>
      <w:r w:rsidR="00A35B0B" w:rsidRPr="00773EEA">
        <w:t>, although this was rectified with the addition of TO-05</w:t>
      </w:r>
      <w:r w:rsidR="00F34702" w:rsidRPr="00773EEA">
        <w:t xml:space="preserve">. While </w:t>
      </w:r>
      <w:r w:rsidR="00344F42" w:rsidRPr="00773EEA">
        <w:t xml:space="preserve">each </w:t>
      </w:r>
      <w:r w:rsidR="005D4863" w:rsidRPr="00773EEA">
        <w:t>city</w:t>
      </w:r>
      <w:r w:rsidR="00F34702" w:rsidRPr="00773EEA">
        <w:t xml:space="preserve"> context is different and TTLs are given autonomy on how they take forward each TO, the </w:t>
      </w:r>
      <w:r w:rsidR="005D4863" w:rsidRPr="00773EEA">
        <w:t>AASCTF</w:t>
      </w:r>
      <w:r w:rsidR="00F34702" w:rsidRPr="00773EEA">
        <w:t xml:space="preserve"> could benefit from more standard requirements for </w:t>
      </w:r>
      <w:r w:rsidR="005D4863" w:rsidRPr="00773EEA">
        <w:t>S</w:t>
      </w:r>
      <w:r w:rsidR="00F34702" w:rsidRPr="00773EEA">
        <w:t>ilver TO baselines, to help track progress towards the AASCTF objectives</w:t>
      </w:r>
      <w:r w:rsidR="00385ED0" w:rsidRPr="00773EEA">
        <w:t>.</w:t>
      </w:r>
      <w:r w:rsidR="00E54DDF" w:rsidRPr="00773EEA">
        <w:t xml:space="preserve"> </w:t>
      </w:r>
    </w:p>
    <w:p w14:paraId="7D4E0FA4" w14:textId="145D5772" w:rsidR="00E21EE0" w:rsidRPr="00773EEA" w:rsidRDefault="65FAAC93" w:rsidP="00B7602B">
      <w:pPr>
        <w:ind w:left="170"/>
        <w:jc w:val="both"/>
      </w:pPr>
      <w:r w:rsidRPr="00773EEA">
        <w:rPr>
          <w:b/>
          <w:bCs/>
        </w:rPr>
        <w:t xml:space="preserve">The program’s influencing activities are of a high quality, but without sustained </w:t>
      </w:r>
      <w:r w:rsidR="00487037" w:rsidRPr="00773EEA">
        <w:rPr>
          <w:b/>
          <w:bCs/>
        </w:rPr>
        <w:t xml:space="preserve">AASCTF </w:t>
      </w:r>
      <w:r w:rsidRPr="00773EEA">
        <w:rPr>
          <w:b/>
          <w:bCs/>
        </w:rPr>
        <w:t>engagement, the</w:t>
      </w:r>
      <w:r w:rsidR="00684075" w:rsidRPr="00773EEA">
        <w:rPr>
          <w:b/>
          <w:bCs/>
        </w:rPr>
        <w:t>ir</w:t>
      </w:r>
      <w:r w:rsidRPr="00773EEA">
        <w:rPr>
          <w:b/>
          <w:bCs/>
        </w:rPr>
        <w:t xml:space="preserve"> impact </w:t>
      </w:r>
      <w:r w:rsidR="00385ED0" w:rsidRPr="00773EEA">
        <w:rPr>
          <w:b/>
          <w:bCs/>
        </w:rPr>
        <w:t xml:space="preserve">risks </w:t>
      </w:r>
      <w:r w:rsidRPr="00773EEA">
        <w:rPr>
          <w:b/>
          <w:bCs/>
        </w:rPr>
        <w:t>remain</w:t>
      </w:r>
      <w:r w:rsidR="00385ED0" w:rsidRPr="00773EEA">
        <w:rPr>
          <w:b/>
          <w:bCs/>
        </w:rPr>
        <w:t>ing</w:t>
      </w:r>
      <w:r w:rsidRPr="00773EEA">
        <w:rPr>
          <w:b/>
          <w:bCs/>
        </w:rPr>
        <w:t xml:space="preserve"> limited.</w:t>
      </w:r>
      <w:r w:rsidRPr="00773EEA">
        <w:t xml:space="preserve"> A </w:t>
      </w:r>
      <w:r w:rsidR="00684075" w:rsidRPr="00773EEA">
        <w:t xml:space="preserve">notable </w:t>
      </w:r>
      <w:r w:rsidRPr="00773EEA">
        <w:t xml:space="preserve">proportion of the AASCTF resources </w:t>
      </w:r>
      <w:r w:rsidR="00684075" w:rsidRPr="00773EEA">
        <w:t>(approx. US$1.</w:t>
      </w:r>
      <w:r w:rsidR="004B61CF" w:rsidRPr="00773EEA">
        <w:t>4</w:t>
      </w:r>
      <w:r w:rsidR="00684075" w:rsidRPr="00773EEA">
        <w:t xml:space="preserve"> million) </w:t>
      </w:r>
      <w:r w:rsidRPr="00773EEA">
        <w:t xml:space="preserve">are focused on </w:t>
      </w:r>
      <w:r w:rsidR="00487037" w:rsidRPr="00773EEA">
        <w:t xml:space="preserve">supporting </w:t>
      </w:r>
      <w:r w:rsidRPr="00773EEA">
        <w:t xml:space="preserve">influencing activities, aimed at raising awareness and </w:t>
      </w:r>
      <w:r w:rsidR="0009091C" w:rsidRPr="00773EEA">
        <w:t>building</w:t>
      </w:r>
      <w:r w:rsidR="00684075" w:rsidRPr="00773EEA">
        <w:t xml:space="preserve"> </w:t>
      </w:r>
      <w:r w:rsidR="0009091C" w:rsidRPr="00773EEA">
        <w:t xml:space="preserve">local </w:t>
      </w:r>
      <w:r w:rsidR="00684075" w:rsidRPr="00773EEA">
        <w:t xml:space="preserve">capacity </w:t>
      </w:r>
      <w:r w:rsidRPr="00773EEA">
        <w:t xml:space="preserve">to </w:t>
      </w:r>
      <w:r w:rsidR="0009091C" w:rsidRPr="00773EEA">
        <w:t xml:space="preserve">develop the </w:t>
      </w:r>
      <w:r w:rsidRPr="00773EEA">
        <w:t>rationale</w:t>
      </w:r>
      <w:r w:rsidR="00684075" w:rsidRPr="00773EEA">
        <w:t xml:space="preserve">, </w:t>
      </w:r>
      <w:r w:rsidRPr="00773EEA">
        <w:t xml:space="preserve">possibilities </w:t>
      </w:r>
      <w:r w:rsidR="00684075" w:rsidRPr="00773EEA">
        <w:t>and</w:t>
      </w:r>
      <w:r w:rsidR="00AC712B" w:rsidRPr="00773EEA">
        <w:t xml:space="preserve"> </w:t>
      </w:r>
      <w:r w:rsidR="00684075" w:rsidRPr="00773EEA">
        <w:t>best-practice approaches for</w:t>
      </w:r>
      <w:r w:rsidRPr="00773EEA">
        <w:t xml:space="preserve"> smart city solutions across participating </w:t>
      </w:r>
      <w:proofErr w:type="gramStart"/>
      <w:r w:rsidR="00487037" w:rsidRPr="00773EEA">
        <w:t>B</w:t>
      </w:r>
      <w:r w:rsidRPr="00773EEA">
        <w:t>ronze</w:t>
      </w:r>
      <w:proofErr w:type="gramEnd"/>
      <w:r w:rsidRPr="00773EEA">
        <w:t xml:space="preserve"> cities</w:t>
      </w:r>
      <w:r w:rsidR="00684075" w:rsidRPr="00773EEA">
        <w:t xml:space="preserve">, as summarised in </w:t>
      </w:r>
      <w:r w:rsidR="00684075" w:rsidRPr="00773EEA">
        <w:rPr>
          <w:b/>
          <w:bCs/>
        </w:rPr>
        <w:t>Section 2</w:t>
      </w:r>
      <w:r w:rsidR="00684075" w:rsidRPr="00773EEA">
        <w:t xml:space="preserve">. </w:t>
      </w:r>
      <w:r w:rsidR="00ED22C0" w:rsidRPr="00773EEA">
        <w:t>The d</w:t>
      </w:r>
      <w:r w:rsidRPr="00773EEA">
        <w:t xml:space="preserve">esk review and </w:t>
      </w:r>
      <w:r w:rsidR="00ED22C0" w:rsidRPr="00773EEA">
        <w:t xml:space="preserve">KIIs </w:t>
      </w:r>
      <w:r w:rsidRPr="00773EEA">
        <w:t>suggest that the</w:t>
      </w:r>
      <w:r w:rsidR="00684075" w:rsidRPr="00773EEA">
        <w:t>se activities</w:t>
      </w:r>
      <w:r w:rsidRPr="00773EEA">
        <w:t xml:space="preserve"> are </w:t>
      </w:r>
      <w:r w:rsidR="00684075" w:rsidRPr="00773EEA">
        <w:t xml:space="preserve">of a </w:t>
      </w:r>
      <w:r w:rsidRPr="00773EEA">
        <w:t xml:space="preserve">high quality and the </w:t>
      </w:r>
      <w:proofErr w:type="gramStart"/>
      <w:r w:rsidR="00ED22C0" w:rsidRPr="00773EEA">
        <w:t>B</w:t>
      </w:r>
      <w:r w:rsidRPr="00773EEA">
        <w:t>ronze</w:t>
      </w:r>
      <w:proofErr w:type="gramEnd"/>
      <w:r w:rsidRPr="00773EEA">
        <w:t xml:space="preserve"> cities survey results (Figure 1) indicate that the content is considered relevant by most participants in terms of sharing new ideas, approaches</w:t>
      </w:r>
      <w:r w:rsidR="004E32BC" w:rsidRPr="00773EEA">
        <w:t>,</w:t>
      </w:r>
      <w:r w:rsidRPr="00773EEA">
        <w:t xml:space="preserve"> and examples related to the smart city concepts. </w:t>
      </w:r>
      <w:r w:rsidR="00E21EE0" w:rsidRPr="00773EEA">
        <w:t>The survey</w:t>
      </w:r>
      <w:r w:rsidR="00C90303" w:rsidRPr="00773EEA">
        <w:t xml:space="preserve"> also </w:t>
      </w:r>
      <w:r w:rsidR="00E21EE0" w:rsidRPr="00773EEA">
        <w:t>identif</w:t>
      </w:r>
      <w:r w:rsidR="00C90303" w:rsidRPr="00773EEA">
        <w:t>ied</w:t>
      </w:r>
      <w:r w:rsidR="00E21EE0" w:rsidRPr="00773EEA">
        <w:t xml:space="preserve"> </w:t>
      </w:r>
      <w:proofErr w:type="gramStart"/>
      <w:r w:rsidR="00E21EE0" w:rsidRPr="00773EEA">
        <w:t>a number of</w:t>
      </w:r>
      <w:proofErr w:type="gramEnd"/>
      <w:r w:rsidR="00E21EE0" w:rsidRPr="00773EEA">
        <w:t xml:space="preserve"> potential topics of interest (See </w:t>
      </w:r>
      <w:r w:rsidR="00E21EE0" w:rsidRPr="00773EEA">
        <w:rPr>
          <w:b/>
          <w:bCs/>
        </w:rPr>
        <w:t xml:space="preserve">Annex </w:t>
      </w:r>
      <w:r w:rsidR="00286E4B" w:rsidRPr="00773EEA">
        <w:rPr>
          <w:b/>
          <w:bCs/>
        </w:rPr>
        <w:t>3</w:t>
      </w:r>
      <w:r w:rsidR="00E21EE0" w:rsidRPr="00773EEA">
        <w:t xml:space="preserve">) that Ramboll could consider for future sessions. </w:t>
      </w:r>
    </w:p>
    <w:p w14:paraId="699C1492" w14:textId="79C797C9" w:rsidR="007056B0" w:rsidRPr="00773EEA" w:rsidRDefault="7C2F6B61" w:rsidP="00B7602B">
      <w:pPr>
        <w:ind w:left="170"/>
        <w:jc w:val="both"/>
      </w:pPr>
      <w:r w:rsidRPr="00773EEA">
        <w:t xml:space="preserve">The survey results </w:t>
      </w:r>
      <w:r w:rsidR="00F52D84" w:rsidRPr="00773EEA">
        <w:t xml:space="preserve">also </w:t>
      </w:r>
      <w:r w:rsidR="00C90303" w:rsidRPr="00773EEA">
        <w:t xml:space="preserve">indicate </w:t>
      </w:r>
      <w:r w:rsidRPr="00773EEA">
        <w:t xml:space="preserve">a high proportion of respondents reported that the events were presented in their native language or in a language </w:t>
      </w:r>
      <w:r w:rsidR="00735420" w:rsidRPr="00773EEA">
        <w:t xml:space="preserve">they </w:t>
      </w:r>
      <w:r w:rsidRPr="00773EEA">
        <w:t xml:space="preserve">easily </w:t>
      </w:r>
      <w:r w:rsidR="000A34D0" w:rsidRPr="00773EEA">
        <w:t>understood</w:t>
      </w:r>
      <w:r w:rsidR="00286E4B" w:rsidRPr="00773EEA">
        <w:t xml:space="preserve"> (See </w:t>
      </w:r>
      <w:r w:rsidR="00286E4B" w:rsidRPr="00773EEA">
        <w:rPr>
          <w:b/>
          <w:bCs/>
        </w:rPr>
        <w:t>Figure A4.1</w:t>
      </w:r>
      <w:r w:rsidR="00286E4B" w:rsidRPr="00773EEA">
        <w:t xml:space="preserve"> in Annex 4)</w:t>
      </w:r>
      <w:r w:rsidRPr="00773EEA">
        <w:t xml:space="preserve">. While the initial series of webinars </w:t>
      </w:r>
      <w:r w:rsidR="00684075" w:rsidRPr="00773EEA">
        <w:t>w</w:t>
      </w:r>
      <w:r w:rsidR="006D7684" w:rsidRPr="00773EEA">
        <w:t>ere</w:t>
      </w:r>
      <w:r w:rsidR="00684075" w:rsidRPr="00773EEA">
        <w:t xml:space="preserve"> </w:t>
      </w:r>
      <w:r w:rsidRPr="00773EEA">
        <w:t xml:space="preserve">delivered in English, the program has </w:t>
      </w:r>
      <w:r w:rsidR="00684075" w:rsidRPr="00773EEA">
        <w:t>provided simultaneous interpretation for selected language groups for</w:t>
      </w:r>
      <w:r w:rsidRPr="00773EEA">
        <w:t xml:space="preserve"> the TO-08 </w:t>
      </w:r>
      <w:r w:rsidR="006D7684" w:rsidRPr="00773EEA">
        <w:t xml:space="preserve">kick-off </w:t>
      </w:r>
      <w:r w:rsidRPr="00773EEA">
        <w:t>workshops</w:t>
      </w:r>
      <w:r w:rsidR="006D7684" w:rsidRPr="00773EEA">
        <w:t>,</w:t>
      </w:r>
      <w:r w:rsidRPr="00773EEA">
        <w:t xml:space="preserve"> </w:t>
      </w:r>
      <w:r w:rsidR="00684075" w:rsidRPr="00773EEA">
        <w:t>capacity development sessions</w:t>
      </w:r>
      <w:r w:rsidR="00E21EE0" w:rsidRPr="00773EEA">
        <w:t xml:space="preserve"> and the</w:t>
      </w:r>
      <w:r w:rsidRPr="00773EEA">
        <w:t xml:space="preserve"> Inclusive Cities Dialogue (TO-09). While participants from Malaysia, Thailand and the Philippines are generally happy to attend the events in English, participants from Cambodia, Indonesia, Lao PDR and Vietnam generally require more language support. </w:t>
      </w:r>
    </w:p>
    <w:p w14:paraId="7030910E" w14:textId="7916E0E5" w:rsidR="00430A24" w:rsidRPr="00773EEA" w:rsidRDefault="7C2F6B61" w:rsidP="00B7602B">
      <w:pPr>
        <w:ind w:left="170"/>
        <w:jc w:val="both"/>
      </w:pPr>
      <w:r w:rsidRPr="00773EEA">
        <w:t>For many more regional events</w:t>
      </w:r>
      <w:r w:rsidR="006F15AD" w:rsidRPr="00773EEA">
        <w:t>,</w:t>
      </w:r>
      <w:r w:rsidRPr="00773EEA">
        <w:t xml:space="preserve"> like TO-09, stakeholder mapping identifies language </w:t>
      </w:r>
      <w:r w:rsidR="006F15AD" w:rsidRPr="00773EEA">
        <w:t>requirement in advance and so</w:t>
      </w:r>
      <w:r w:rsidRPr="00773EEA">
        <w:t xml:space="preserve"> simultaneous translation is provided for targeted </w:t>
      </w:r>
      <w:r w:rsidR="00242A76" w:rsidRPr="00773EEA">
        <w:t>groups</w:t>
      </w:r>
      <w:r w:rsidRPr="00773EEA">
        <w:t xml:space="preserve">. For upcoming public webinars, </w:t>
      </w:r>
      <w:r w:rsidR="00242A76" w:rsidRPr="00773EEA">
        <w:t>it is understood</w:t>
      </w:r>
      <w:r w:rsidRPr="00773EEA">
        <w:t xml:space="preserve"> one or two languages </w:t>
      </w:r>
      <w:r w:rsidR="00242A76" w:rsidRPr="00773EEA">
        <w:t xml:space="preserve">may </w:t>
      </w:r>
      <w:r w:rsidRPr="00773EEA">
        <w:t>be made available, depend</w:t>
      </w:r>
      <w:r w:rsidR="00242A76" w:rsidRPr="00773EEA">
        <w:t>ent</w:t>
      </w:r>
      <w:r w:rsidRPr="00773EEA">
        <w:t xml:space="preserve"> on participants' needs. Despite this, several interviewees on the implementation team have said that language interpretation requirements have been a challenge, particularly in breakout sessions that try to encourage dialogue between participants who do</w:t>
      </w:r>
      <w:r w:rsidR="00D24C75" w:rsidRPr="00773EEA">
        <w:t xml:space="preserve"> not</w:t>
      </w:r>
      <w:r w:rsidRPr="00773EEA">
        <w:t xml:space="preserve"> share a common language, as in TO-09 for example. </w:t>
      </w:r>
    </w:p>
    <w:p w14:paraId="33DEA493" w14:textId="5DE31418" w:rsidR="7C8EDEC0" w:rsidRPr="00773EEA" w:rsidRDefault="7C2F6B61" w:rsidP="00B7602B">
      <w:pPr>
        <w:ind w:left="170"/>
      </w:pPr>
      <w:r w:rsidRPr="00773EEA">
        <w:t xml:space="preserve">Figure </w:t>
      </w:r>
      <w:r w:rsidR="00EB46C8">
        <w:fldChar w:fldCharType="begin"/>
      </w:r>
      <w:r w:rsidR="00EB46C8">
        <w:instrText xml:space="preserve"> SEQ Figure \* ARABIC </w:instrText>
      </w:r>
      <w:r w:rsidR="00EB46C8">
        <w:fldChar w:fldCharType="separate"/>
      </w:r>
      <w:r w:rsidR="00AC7E0F" w:rsidRPr="00773EEA">
        <w:rPr>
          <w:noProof/>
        </w:rPr>
        <w:t>1</w:t>
      </w:r>
      <w:r w:rsidR="00EB46C8">
        <w:rPr>
          <w:noProof/>
        </w:rPr>
        <w:fldChar w:fldCharType="end"/>
      </w:r>
      <w:r w:rsidRPr="00773EEA">
        <w:t xml:space="preserve">: Participant’s Feedback </w:t>
      </w:r>
      <w:r w:rsidR="004D0EEE" w:rsidRPr="00773EEA">
        <w:t xml:space="preserve">(n=50) </w:t>
      </w:r>
      <w:r w:rsidRPr="00773EEA">
        <w:t>on the Content of Influencing Activities</w:t>
      </w:r>
    </w:p>
    <w:p w14:paraId="37A08D23" w14:textId="3950A8F8" w:rsidR="004D0EEE" w:rsidRPr="00773EEA" w:rsidRDefault="007A5A2B" w:rsidP="00B7602B">
      <w:pPr>
        <w:ind w:left="170"/>
        <w:jc w:val="center"/>
        <w:rPr>
          <w:rFonts w:cstheme="minorHAnsi"/>
          <w:i/>
          <w:iCs/>
          <w:sz w:val="21"/>
          <w:szCs w:val="21"/>
        </w:rPr>
      </w:pPr>
      <w:r w:rsidRPr="00773EEA">
        <w:rPr>
          <w:noProof/>
        </w:rPr>
        <w:drawing>
          <wp:inline distT="0" distB="0" distL="0" distR="0" wp14:anchorId="0615E3F3" wp14:editId="6438ACB3">
            <wp:extent cx="6291580" cy="2115185"/>
            <wp:effectExtent l="0" t="0" r="0" b="0"/>
            <wp:docPr id="1" name="Picture 1" descr="Participant feedback on the knowledge and training expertise of the training staff; the relevance and usefulness to your city of the content related to smart city approaches; usefulness of content related to gender equality and social inclusion aspects in smart city approaches; use of training deliver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ticipant feedback on the knowledge and training expertise of the training staff; the relevance and usefulness to your city of the content related to smart city approaches; usefulness of content related to gender equality and social inclusion aspects in smart city approaches; use of training delivery tool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1580" cy="2115185"/>
                    </a:xfrm>
                    <a:prstGeom prst="rect">
                      <a:avLst/>
                    </a:prstGeom>
                    <a:noFill/>
                  </pic:spPr>
                </pic:pic>
              </a:graphicData>
            </a:graphic>
          </wp:inline>
        </w:drawing>
      </w:r>
    </w:p>
    <w:p w14:paraId="44891058" w14:textId="2C60147B" w:rsidR="001765C7" w:rsidRPr="00773EEA" w:rsidRDefault="001765C7" w:rsidP="001765C7">
      <w:pPr>
        <w:ind w:left="170"/>
        <w:rPr>
          <w:rFonts w:cstheme="minorHAnsi"/>
          <w:i/>
          <w:iCs/>
          <w:sz w:val="21"/>
          <w:szCs w:val="21"/>
        </w:rPr>
      </w:pPr>
      <w:r w:rsidRPr="00773EEA">
        <w:rPr>
          <w:rFonts w:cstheme="minorHAnsi"/>
          <w:i/>
          <w:iCs/>
          <w:sz w:val="21"/>
          <w:szCs w:val="21"/>
        </w:rPr>
        <w:t xml:space="preserve">Source: MTR survey of </w:t>
      </w:r>
      <w:r w:rsidR="00750A2F" w:rsidRPr="00773EEA">
        <w:rPr>
          <w:rFonts w:cstheme="minorHAnsi"/>
          <w:i/>
          <w:iCs/>
          <w:sz w:val="21"/>
          <w:szCs w:val="21"/>
        </w:rPr>
        <w:t>B</w:t>
      </w:r>
      <w:r w:rsidRPr="00773EEA">
        <w:rPr>
          <w:rFonts w:cstheme="minorHAnsi"/>
          <w:i/>
          <w:iCs/>
          <w:sz w:val="21"/>
          <w:szCs w:val="21"/>
        </w:rPr>
        <w:t>ronze</w:t>
      </w:r>
      <w:r w:rsidR="00750A2F" w:rsidRPr="00773EEA">
        <w:rPr>
          <w:rFonts w:cstheme="minorHAnsi"/>
          <w:i/>
          <w:iCs/>
          <w:sz w:val="21"/>
          <w:szCs w:val="21"/>
        </w:rPr>
        <w:t xml:space="preserve"> City</w:t>
      </w:r>
      <w:r w:rsidRPr="00773EEA">
        <w:rPr>
          <w:rFonts w:cstheme="minorHAnsi"/>
          <w:i/>
          <w:iCs/>
          <w:sz w:val="21"/>
          <w:szCs w:val="21"/>
        </w:rPr>
        <w:t xml:space="preserve"> activity participants</w:t>
      </w:r>
    </w:p>
    <w:p w14:paraId="5C993717" w14:textId="77777777" w:rsidR="007056B0" w:rsidRPr="00773EEA" w:rsidRDefault="00C31AC3" w:rsidP="00B7602B">
      <w:pPr>
        <w:ind w:left="142"/>
        <w:jc w:val="both"/>
      </w:pPr>
      <w:r w:rsidRPr="00773EEA">
        <w:t>I</w:t>
      </w:r>
      <w:r w:rsidR="7C2F6B61" w:rsidRPr="00773EEA">
        <w:t>nterviews with</w:t>
      </w:r>
      <w:r w:rsidRPr="00773EEA">
        <w:t xml:space="preserve"> Ramboll TTLs and city government representatives</w:t>
      </w:r>
      <w:r w:rsidR="7C2F6B61" w:rsidRPr="00773EEA">
        <w:t xml:space="preserve"> have indicated that there are synergies between </w:t>
      </w:r>
      <w:r w:rsidR="00026776" w:rsidRPr="00773EEA">
        <w:t>B</w:t>
      </w:r>
      <w:r w:rsidR="7C2F6B61" w:rsidRPr="00773EEA">
        <w:t xml:space="preserve">ronze and </w:t>
      </w:r>
      <w:r w:rsidR="00026776" w:rsidRPr="00773EEA">
        <w:t xml:space="preserve">Silver City </w:t>
      </w:r>
      <w:r w:rsidR="7C2F6B61" w:rsidRPr="00773EEA">
        <w:t xml:space="preserve">initiatives in </w:t>
      </w:r>
      <w:r w:rsidR="00AA0C64" w:rsidRPr="00773EEA">
        <w:t>the same</w:t>
      </w:r>
      <w:r w:rsidR="7C2F6B61" w:rsidRPr="00773EEA">
        <w:t xml:space="preserve"> city. In Battambang</w:t>
      </w:r>
      <w:r w:rsidR="00A35B0B" w:rsidRPr="00773EEA">
        <w:t xml:space="preserve"> (TO-07)</w:t>
      </w:r>
      <w:r w:rsidR="7C2F6B61" w:rsidRPr="00773EEA">
        <w:t xml:space="preserve">, the TO team have been supporting the awareness and participation of city staff in TO-08 &amp; TO-09 sessions. In Baguio, the City Government Champion for the </w:t>
      </w:r>
      <w:r w:rsidR="00AA0C64" w:rsidRPr="00773EEA">
        <w:t xml:space="preserve">Silver </w:t>
      </w:r>
      <w:r w:rsidR="7C2F6B61" w:rsidRPr="00773EEA">
        <w:t xml:space="preserve">TO-02 is also driving forward the </w:t>
      </w:r>
      <w:r w:rsidR="00AA0C64" w:rsidRPr="00773EEA">
        <w:t>Bronze-</w:t>
      </w:r>
      <w:r w:rsidR="7C2F6B61" w:rsidRPr="00773EEA">
        <w:t xml:space="preserve">level activity engagement. </w:t>
      </w:r>
      <w:r w:rsidR="004B61CF" w:rsidRPr="00773EEA">
        <w:t xml:space="preserve">However, the </w:t>
      </w:r>
      <w:r w:rsidR="00C81644" w:rsidRPr="00773EEA">
        <w:t>AASCTF</w:t>
      </w:r>
      <w:r w:rsidR="004B61CF" w:rsidRPr="00773EEA">
        <w:t xml:space="preserve"> has found it challenging to gain traction on </w:t>
      </w:r>
      <w:r w:rsidR="00C81644" w:rsidRPr="00773EEA">
        <w:t>B</w:t>
      </w:r>
      <w:r w:rsidR="004B61CF" w:rsidRPr="00773EEA">
        <w:t xml:space="preserve">ronze </w:t>
      </w:r>
      <w:r w:rsidR="00C81644" w:rsidRPr="00773EEA">
        <w:t>C</w:t>
      </w:r>
      <w:r w:rsidR="004B61CF" w:rsidRPr="00773EEA">
        <w:t xml:space="preserve">ity influencing events in </w:t>
      </w:r>
      <w:r w:rsidR="00C81644" w:rsidRPr="00773EEA">
        <w:t>several</w:t>
      </w:r>
      <w:r w:rsidR="004B61CF" w:rsidRPr="00773EEA">
        <w:t xml:space="preserve"> cities. Sometimes this has been due to city staff being focused on elections, as in the case of Makassar earlier in the program, although now Makassar </w:t>
      </w:r>
      <w:r w:rsidR="00F622DF" w:rsidRPr="00773EEA">
        <w:t xml:space="preserve">official </w:t>
      </w:r>
      <w:r w:rsidR="004B61CF" w:rsidRPr="00773EEA">
        <w:t xml:space="preserve">are more </w:t>
      </w:r>
      <w:r w:rsidR="00F622DF" w:rsidRPr="00773EEA">
        <w:t>engaged</w:t>
      </w:r>
      <w:r w:rsidR="004B61CF" w:rsidRPr="00773EEA">
        <w:t xml:space="preserve">. </w:t>
      </w:r>
    </w:p>
    <w:p w14:paraId="228A5850" w14:textId="7DBE9A2A" w:rsidR="004B61CF" w:rsidRPr="00773EEA" w:rsidRDefault="004B61CF" w:rsidP="00B7602B">
      <w:pPr>
        <w:ind w:left="142"/>
        <w:jc w:val="both"/>
      </w:pPr>
      <w:r w:rsidRPr="00773EEA">
        <w:t xml:space="preserve">A lack of available personnel to attend the webinars, particularly during the pandemic, </w:t>
      </w:r>
      <w:r w:rsidR="003D2DEB" w:rsidRPr="00773EEA">
        <w:t>was identified as</w:t>
      </w:r>
      <w:r w:rsidRPr="00773EEA">
        <w:t xml:space="preserve"> another barrier. </w:t>
      </w:r>
      <w:r w:rsidR="003D2DEB" w:rsidRPr="00773EEA">
        <w:t>I</w:t>
      </w:r>
      <w:r w:rsidRPr="00773EEA">
        <w:t xml:space="preserve">nterviews with </w:t>
      </w:r>
      <w:r w:rsidR="003D2DEB" w:rsidRPr="00773EEA">
        <w:t>S</w:t>
      </w:r>
      <w:r w:rsidRPr="00773EEA">
        <w:t xml:space="preserve">ilver TO city representatives indicated that, beyond a limited group of participants, there is a lack of awareness of the AASCTF’s influencing activities in the sampled </w:t>
      </w:r>
      <w:proofErr w:type="gramStart"/>
      <w:r w:rsidR="003D2DEB" w:rsidRPr="00773EEA">
        <w:t>B</w:t>
      </w:r>
      <w:r w:rsidRPr="00773EEA">
        <w:t xml:space="preserve">ronze and </w:t>
      </w:r>
      <w:r w:rsidR="003D2DEB" w:rsidRPr="00773EEA">
        <w:t>S</w:t>
      </w:r>
      <w:r w:rsidRPr="00773EEA">
        <w:t>ilver</w:t>
      </w:r>
      <w:proofErr w:type="gramEnd"/>
      <w:r w:rsidRPr="00773EEA">
        <w:t xml:space="preserve"> cities, even among project partners and close stakeholders. One possible strategy to increase </w:t>
      </w:r>
      <w:r w:rsidR="00C31AC3" w:rsidRPr="00773EEA">
        <w:t xml:space="preserve">the awareness and </w:t>
      </w:r>
      <w:r w:rsidRPr="00773EEA">
        <w:t xml:space="preserve">participation of city staff, </w:t>
      </w:r>
      <w:r w:rsidR="00CC0DDA" w:rsidRPr="00773EEA">
        <w:t xml:space="preserve">as </w:t>
      </w:r>
      <w:r w:rsidRPr="00773EEA">
        <w:t xml:space="preserve">suggested by one city government interviewees, is to issue </w:t>
      </w:r>
      <w:r w:rsidR="00C31AC3" w:rsidRPr="00773EEA">
        <w:t>AASCTF</w:t>
      </w:r>
      <w:r w:rsidRPr="00773EEA">
        <w:t xml:space="preserve"> </w:t>
      </w:r>
      <w:r w:rsidR="00845BA5" w:rsidRPr="00773EEA">
        <w:t xml:space="preserve">course </w:t>
      </w:r>
      <w:r w:rsidR="00C367FC" w:rsidRPr="00773EEA">
        <w:t xml:space="preserve">completion </w:t>
      </w:r>
      <w:r w:rsidRPr="00773EEA">
        <w:t>certificates to participants,</w:t>
      </w:r>
      <w:r w:rsidR="00D55705" w:rsidRPr="00773EEA">
        <w:t xml:space="preserve"> </w:t>
      </w:r>
      <w:r w:rsidRPr="00773EEA">
        <w:t>as an incentive.</w:t>
      </w:r>
    </w:p>
    <w:p w14:paraId="7EFA295C" w14:textId="279CC57A" w:rsidR="006C0757" w:rsidRPr="00773EEA" w:rsidRDefault="006573BE" w:rsidP="006C0757">
      <w:pPr>
        <w:ind w:left="170"/>
        <w:jc w:val="both"/>
        <w:rPr>
          <w:lang w:val="en-US"/>
        </w:rPr>
      </w:pPr>
      <w:r w:rsidRPr="00773EEA">
        <w:t xml:space="preserve">The </w:t>
      </w:r>
      <w:r w:rsidR="004B61CF" w:rsidRPr="00773EEA">
        <w:t xml:space="preserve">Ramboll </w:t>
      </w:r>
      <w:r w:rsidRPr="00773EEA">
        <w:t xml:space="preserve">team </w:t>
      </w:r>
      <w:r w:rsidR="006F0AE8" w:rsidRPr="00773EEA">
        <w:t>view</w:t>
      </w:r>
      <w:r w:rsidR="00B93627" w:rsidRPr="00773EEA">
        <w:t xml:space="preserve"> influencing activities as an important part of building and disseminating the toolbox for cities to draw from when conceptualising and implementing smart city initiatives. </w:t>
      </w:r>
      <w:r w:rsidR="7C2F6B61" w:rsidRPr="00773EEA">
        <w:t xml:space="preserve">However, findings from the </w:t>
      </w:r>
      <w:r w:rsidR="004B090F" w:rsidRPr="00773EEA">
        <w:t xml:space="preserve">KIIs </w:t>
      </w:r>
      <w:r w:rsidR="7C2F6B61" w:rsidRPr="00773EEA">
        <w:t xml:space="preserve">with </w:t>
      </w:r>
      <w:r w:rsidR="004B61CF" w:rsidRPr="00773EEA">
        <w:t xml:space="preserve">the </w:t>
      </w:r>
      <w:r w:rsidR="7C2F6B61" w:rsidRPr="00773EEA">
        <w:t xml:space="preserve">sampled </w:t>
      </w:r>
      <w:r w:rsidR="004B090F" w:rsidRPr="00773EEA">
        <w:t xml:space="preserve">Bronze City </w:t>
      </w:r>
      <w:r w:rsidR="00F410CA" w:rsidRPr="00773EEA">
        <w:t>stakeholders</w:t>
      </w:r>
      <w:r w:rsidR="004B090F" w:rsidRPr="00773EEA">
        <w:t xml:space="preserve"> </w:t>
      </w:r>
      <w:r w:rsidR="7C2F6B61" w:rsidRPr="00773EEA">
        <w:t>indicate that without sustained engagement from the program</w:t>
      </w:r>
      <w:r w:rsidR="004B61CF" w:rsidRPr="00773EEA">
        <w:t xml:space="preserve"> to support governments to implement pilots </w:t>
      </w:r>
      <w:r w:rsidR="00F410CA" w:rsidRPr="00773EEA">
        <w:t xml:space="preserve">and apply tools </w:t>
      </w:r>
      <w:r w:rsidR="004B61CF" w:rsidRPr="00773EEA">
        <w:t>in practice</w:t>
      </w:r>
      <w:r w:rsidR="7C2F6B61" w:rsidRPr="00773EEA">
        <w:t xml:space="preserve">, the impact of these </w:t>
      </w:r>
      <w:r w:rsidR="001059F7" w:rsidRPr="00773EEA">
        <w:t>activities remain</w:t>
      </w:r>
      <w:r w:rsidR="7C2F6B61" w:rsidRPr="00773EEA">
        <w:t xml:space="preserve"> limited. </w:t>
      </w:r>
      <w:r w:rsidR="004B61CF" w:rsidRPr="00773EEA">
        <w:t xml:space="preserve">Ramboll </w:t>
      </w:r>
      <w:r w:rsidR="00FF137E" w:rsidRPr="00773EEA">
        <w:t xml:space="preserve">is </w:t>
      </w:r>
      <w:r w:rsidR="004B61CF" w:rsidRPr="00773EEA">
        <w:t>aware of this risk and ha</w:t>
      </w:r>
      <w:r w:rsidR="00FF137E" w:rsidRPr="00773EEA">
        <w:t>s</w:t>
      </w:r>
      <w:r w:rsidR="004B61CF" w:rsidRPr="00773EEA">
        <w:t xml:space="preserve"> designed the TO-08 extension and the TO-09 activities to </w:t>
      </w:r>
      <w:r w:rsidR="004B61CF" w:rsidRPr="00773EEA">
        <w:rPr>
          <w:lang w:val="en-US"/>
        </w:rPr>
        <w:t>comprise more targeted</w:t>
      </w:r>
      <w:r w:rsidR="00720D00" w:rsidRPr="00773EEA">
        <w:rPr>
          <w:lang w:val="en-US"/>
        </w:rPr>
        <w:t>,</w:t>
      </w:r>
      <w:r w:rsidR="004B61CF" w:rsidRPr="00773EEA">
        <w:rPr>
          <w:lang w:val="en-US"/>
        </w:rPr>
        <w:t xml:space="preserve"> guided </w:t>
      </w:r>
      <w:r w:rsidR="004B61CF" w:rsidRPr="00773EEA">
        <w:rPr>
          <w:lang w:val="en-US"/>
        </w:rPr>
        <w:lastRenderedPageBreak/>
        <w:t>learning programs</w:t>
      </w:r>
      <w:r w:rsidR="00720D00" w:rsidRPr="00773EEA">
        <w:rPr>
          <w:lang w:val="en-US"/>
        </w:rPr>
        <w:t>,</w:t>
      </w:r>
      <w:r w:rsidR="004B61CF" w:rsidRPr="00773EEA">
        <w:rPr>
          <w:lang w:val="en-US"/>
        </w:rPr>
        <w:t xml:space="preserve"> aimed at upskilling participants</w:t>
      </w:r>
      <w:r w:rsidR="00C31AC3" w:rsidRPr="00773EEA">
        <w:rPr>
          <w:lang w:val="en-US"/>
        </w:rPr>
        <w:t xml:space="preserve"> with more meaningful</w:t>
      </w:r>
      <w:r w:rsidR="00720D00" w:rsidRPr="00773EEA">
        <w:rPr>
          <w:lang w:val="en-US"/>
        </w:rPr>
        <w:t xml:space="preserve"> </w:t>
      </w:r>
      <w:r w:rsidR="00C31AC3" w:rsidRPr="00773EEA">
        <w:rPr>
          <w:lang w:val="en-US"/>
        </w:rPr>
        <w:t xml:space="preserve">learning opportunities that </w:t>
      </w:r>
      <w:r w:rsidR="00720D00" w:rsidRPr="00773EEA">
        <w:rPr>
          <w:lang w:val="en-US"/>
        </w:rPr>
        <w:t>could</w:t>
      </w:r>
      <w:r w:rsidR="00C31AC3" w:rsidRPr="00773EEA">
        <w:rPr>
          <w:lang w:val="en-US"/>
        </w:rPr>
        <w:t xml:space="preserve"> translate into greater potential to guide sustainable smart city developments</w:t>
      </w:r>
      <w:r w:rsidR="004B61CF" w:rsidRPr="00773EEA">
        <w:rPr>
          <w:lang w:val="en-US"/>
        </w:rPr>
        <w:t>.</w:t>
      </w:r>
      <w:r w:rsidR="00C31AC3" w:rsidRPr="00773EEA">
        <w:rPr>
          <w:lang w:val="en-US"/>
        </w:rPr>
        <w:t xml:space="preserve"> </w:t>
      </w:r>
      <w:r w:rsidR="0039185A" w:rsidRPr="00773EEA">
        <w:rPr>
          <w:lang w:val="en-US"/>
        </w:rPr>
        <w:t xml:space="preserve">DFAT, ADB and </w:t>
      </w:r>
      <w:r w:rsidR="00C31AC3" w:rsidRPr="00773EEA">
        <w:rPr>
          <w:lang w:val="en-US"/>
        </w:rPr>
        <w:t xml:space="preserve">Ramboll are considering ideas to </w:t>
      </w:r>
      <w:proofErr w:type="gramStart"/>
      <w:r w:rsidR="00720D00" w:rsidRPr="00773EEA">
        <w:rPr>
          <w:lang w:val="en-US"/>
        </w:rPr>
        <w:t>harness</w:t>
      </w:r>
      <w:proofErr w:type="gramEnd"/>
      <w:r w:rsidR="00C31AC3" w:rsidRPr="00773EEA">
        <w:rPr>
          <w:lang w:val="en-US"/>
        </w:rPr>
        <w:t xml:space="preserve"> and support continued learning for participants in the Bronze </w:t>
      </w:r>
      <w:r w:rsidR="00D26DE1" w:rsidRPr="00773EEA">
        <w:rPr>
          <w:lang w:val="en-US"/>
        </w:rPr>
        <w:t>C</w:t>
      </w:r>
      <w:r w:rsidR="00C31AC3" w:rsidRPr="00773EEA">
        <w:rPr>
          <w:lang w:val="en-US"/>
        </w:rPr>
        <w:t>ity network, including sharing updates, knowledge</w:t>
      </w:r>
      <w:r w:rsidR="00D26DE1" w:rsidRPr="00773EEA">
        <w:rPr>
          <w:lang w:val="en-US"/>
        </w:rPr>
        <w:t>,</w:t>
      </w:r>
      <w:r w:rsidR="00C31AC3" w:rsidRPr="00773EEA">
        <w:rPr>
          <w:lang w:val="en-US"/>
        </w:rPr>
        <w:t xml:space="preserve"> and invitations to events via the AASCTF distribution list and </w:t>
      </w:r>
      <w:proofErr w:type="spellStart"/>
      <w:r w:rsidR="00C31AC3" w:rsidRPr="00773EEA">
        <w:rPr>
          <w:lang w:val="en-US"/>
        </w:rPr>
        <w:t>SoMe</w:t>
      </w:r>
      <w:proofErr w:type="spellEnd"/>
      <w:r w:rsidR="00C31AC3" w:rsidRPr="00773EEA">
        <w:rPr>
          <w:lang w:val="en-US"/>
        </w:rPr>
        <w:t xml:space="preserve"> channels. </w:t>
      </w:r>
      <w:r w:rsidR="00AD3530" w:rsidRPr="00773EEA">
        <w:rPr>
          <w:lang w:val="en-US"/>
        </w:rPr>
        <w:t>However,</w:t>
      </w:r>
      <w:r w:rsidR="00662F38" w:rsidRPr="00773EEA">
        <w:rPr>
          <w:lang w:val="en-US"/>
        </w:rPr>
        <w:t xml:space="preserve"> this would not maintain the network beyond the end of AASCTF. With this in mind, </w:t>
      </w:r>
      <w:r w:rsidR="00C31AC3" w:rsidRPr="00773EEA">
        <w:rPr>
          <w:lang w:val="en-US"/>
        </w:rPr>
        <w:t>there was an additional effort made</w:t>
      </w:r>
      <w:r w:rsidR="00662F38" w:rsidRPr="00773EEA">
        <w:rPr>
          <w:lang w:val="en-US"/>
        </w:rPr>
        <w:t xml:space="preserve">, under TO-08 </w:t>
      </w:r>
      <w:r w:rsidR="00C31AC3" w:rsidRPr="00773EEA">
        <w:rPr>
          <w:lang w:val="en-US"/>
        </w:rPr>
        <w:t>to support existing smart city network</w:t>
      </w:r>
      <w:r w:rsidR="00B1369D" w:rsidRPr="00773EEA">
        <w:rPr>
          <w:lang w:val="en-US"/>
        </w:rPr>
        <w:t xml:space="preserve">s and key </w:t>
      </w:r>
      <w:r w:rsidR="00C31AC3" w:rsidRPr="00773EEA">
        <w:rPr>
          <w:lang w:val="en-US"/>
        </w:rPr>
        <w:t xml:space="preserve">institutions at a national level in Indonesia, resulting in </w:t>
      </w:r>
      <w:r w:rsidR="00AD3530" w:rsidRPr="00773EEA">
        <w:rPr>
          <w:lang w:val="en-US"/>
        </w:rPr>
        <w:t>a</w:t>
      </w:r>
      <w:r w:rsidR="00C31AC3" w:rsidRPr="00773EEA">
        <w:rPr>
          <w:lang w:val="en-US"/>
        </w:rPr>
        <w:t xml:space="preserve"> </w:t>
      </w:r>
      <w:r w:rsidR="000B4069" w:rsidRPr="00773EEA">
        <w:t xml:space="preserve">Memorandum of Understanding (MoU) </w:t>
      </w:r>
      <w:r w:rsidR="00C31AC3" w:rsidRPr="00773EEA">
        <w:rPr>
          <w:lang w:val="en-US"/>
        </w:rPr>
        <w:t>on Smart City Development between ADB and the Indonesian Ministry of Home Affairs (MoHA).</w:t>
      </w:r>
      <w:r w:rsidR="00F52D84" w:rsidRPr="00773EEA">
        <w:rPr>
          <w:lang w:val="en-US"/>
        </w:rPr>
        <w:t xml:space="preserve"> </w:t>
      </w:r>
    </w:p>
    <w:p w14:paraId="0FCE452E" w14:textId="260B3F61" w:rsidR="00C31AC3" w:rsidRPr="00773EEA" w:rsidRDefault="00C31AC3" w:rsidP="00DE15CB">
      <w:pPr>
        <w:ind w:left="170"/>
        <w:jc w:val="both"/>
        <w:rPr>
          <w:lang w:val="en-US"/>
        </w:rPr>
      </w:pPr>
      <w:r w:rsidRPr="00773EEA">
        <w:t xml:space="preserve">The </w:t>
      </w:r>
      <w:r w:rsidR="005C53B2" w:rsidRPr="00773EEA">
        <w:t>reach and resonance</w:t>
      </w:r>
      <w:r w:rsidR="004B61CF" w:rsidRPr="00773EEA">
        <w:t xml:space="preserve"> of influencing activities </w:t>
      </w:r>
      <w:r w:rsidR="005C53B2" w:rsidRPr="00773EEA">
        <w:t>may increase</w:t>
      </w:r>
      <w:r w:rsidR="004B61CF" w:rsidRPr="00773EEA">
        <w:t xml:space="preserve"> when material is made available online, such as via the AASCTF YouTube channel.</w:t>
      </w:r>
      <w:r w:rsidR="004B61CF" w:rsidRPr="00773EEA">
        <w:rPr>
          <w:rStyle w:val="FootnoteReference"/>
          <w:color w:val="auto"/>
        </w:rPr>
        <w:footnoteReference w:id="14"/>
      </w:r>
      <w:r w:rsidR="004B61CF" w:rsidRPr="00773EEA">
        <w:t xml:space="preserve"> </w:t>
      </w:r>
      <w:r w:rsidR="003B6DF5" w:rsidRPr="00773EEA">
        <w:t>However, v</w:t>
      </w:r>
      <w:r w:rsidR="004B61CF" w:rsidRPr="00773EEA">
        <w:t xml:space="preserve">iewing statistics show </w:t>
      </w:r>
      <w:r w:rsidR="003B6DF5" w:rsidRPr="00773EEA">
        <w:t>that the YouTube channel has only 104 subscribers</w:t>
      </w:r>
      <w:r w:rsidR="00354298" w:rsidRPr="00773EEA">
        <w:t xml:space="preserve"> in August 2022</w:t>
      </w:r>
      <w:r w:rsidR="003B6DF5" w:rsidRPr="00773EEA">
        <w:t xml:space="preserve"> and a</w:t>
      </w:r>
      <w:r w:rsidR="00354298" w:rsidRPr="00773EEA">
        <w:t xml:space="preserve"> monthly</w:t>
      </w:r>
      <w:r w:rsidR="003B6DF5" w:rsidRPr="00773EEA">
        <w:t xml:space="preserve"> average of </w:t>
      </w:r>
      <w:r w:rsidR="00354298" w:rsidRPr="00773EEA">
        <w:t>85</w:t>
      </w:r>
      <w:r w:rsidR="003B6DF5" w:rsidRPr="00773EEA">
        <w:t xml:space="preserve"> new viewers </w:t>
      </w:r>
      <w:r w:rsidR="00354298" w:rsidRPr="00773EEA">
        <w:t xml:space="preserve">to the channel </w:t>
      </w:r>
      <w:r w:rsidR="003B6DF5" w:rsidRPr="00773EEA">
        <w:t>between July 202</w:t>
      </w:r>
      <w:r w:rsidR="00AF0B64" w:rsidRPr="00773EEA">
        <w:t>0</w:t>
      </w:r>
      <w:r w:rsidR="003B6DF5" w:rsidRPr="00773EEA">
        <w:t xml:space="preserve"> and July 2022</w:t>
      </w:r>
      <w:r w:rsidR="0012475A" w:rsidRPr="00773EEA">
        <w:t xml:space="preserve"> (See Figure A4.</w:t>
      </w:r>
      <w:r w:rsidR="00292C4B" w:rsidRPr="00773EEA">
        <w:t>3</w:t>
      </w:r>
      <w:r w:rsidR="0012475A" w:rsidRPr="00773EEA">
        <w:t xml:space="preserve"> in Annex 4)</w:t>
      </w:r>
      <w:r w:rsidR="003B6DF5" w:rsidRPr="00773EEA">
        <w:t xml:space="preserve">. Webinar views </w:t>
      </w:r>
      <w:r w:rsidR="00354298" w:rsidRPr="00773EEA">
        <w:t xml:space="preserve">show greater reach, </w:t>
      </w:r>
      <w:r w:rsidR="003B6DF5" w:rsidRPr="00773EEA">
        <w:t>rang</w:t>
      </w:r>
      <w:r w:rsidR="00354298" w:rsidRPr="00773EEA">
        <w:t>ing</w:t>
      </w:r>
      <w:r w:rsidR="003B6DF5" w:rsidRPr="00773EEA">
        <w:t xml:space="preserve"> from </w:t>
      </w:r>
      <w:r w:rsidR="00354298" w:rsidRPr="00773EEA">
        <w:t>between 95 views</w:t>
      </w:r>
      <w:r w:rsidR="003B6DF5" w:rsidRPr="00773EEA">
        <w:t xml:space="preserve"> for Webinar </w:t>
      </w:r>
      <w:r w:rsidR="00354298" w:rsidRPr="00773EEA">
        <w:t xml:space="preserve">6 on </w:t>
      </w:r>
      <w:r w:rsidR="00354298" w:rsidRPr="00773EEA">
        <w:rPr>
          <w:i/>
          <w:iCs/>
        </w:rPr>
        <w:t>‘Next Practice Smart Mobility Lab’</w:t>
      </w:r>
      <w:r w:rsidR="003B6DF5" w:rsidRPr="00773EEA">
        <w:t xml:space="preserve"> to </w:t>
      </w:r>
      <w:r w:rsidR="00354298" w:rsidRPr="00773EEA">
        <w:t>376 views of</w:t>
      </w:r>
      <w:r w:rsidR="003B6DF5" w:rsidRPr="00773EEA">
        <w:t xml:space="preserve"> webinar </w:t>
      </w:r>
      <w:r w:rsidR="00354298" w:rsidRPr="00773EEA">
        <w:t xml:space="preserve">2 on </w:t>
      </w:r>
      <w:r w:rsidR="00354298" w:rsidRPr="00773EEA">
        <w:rPr>
          <w:i/>
          <w:iCs/>
        </w:rPr>
        <w:t>‘Mitigating Flooding Impact with IoT Early Warning Technology’</w:t>
      </w:r>
      <w:r w:rsidR="004B61CF" w:rsidRPr="00773EEA">
        <w:t xml:space="preserve">. </w:t>
      </w:r>
      <w:r w:rsidR="00B452E6" w:rsidRPr="00773EEA">
        <w:t xml:space="preserve">The AASCTF e-learning modules </w:t>
      </w:r>
      <w:r w:rsidR="000F0BD8" w:rsidRPr="00773EEA">
        <w:t xml:space="preserve">to be </w:t>
      </w:r>
      <w:r w:rsidR="00B452E6" w:rsidRPr="00773EEA">
        <w:t>hosted by ADB</w:t>
      </w:r>
      <w:r w:rsidR="00851A93" w:rsidRPr="00773EEA">
        <w:t>’s</w:t>
      </w:r>
      <w:r w:rsidR="000F0BD8" w:rsidRPr="00773EEA">
        <w:t xml:space="preserve"> </w:t>
      </w:r>
      <w:proofErr w:type="spellStart"/>
      <w:r w:rsidR="000F0BD8" w:rsidRPr="00773EEA">
        <w:t>eLEARN</w:t>
      </w:r>
      <w:proofErr w:type="spellEnd"/>
      <w:r w:rsidR="000F0BD8" w:rsidRPr="00773EEA">
        <w:t xml:space="preserve"> platform</w:t>
      </w:r>
      <w:r w:rsidR="00B452E6" w:rsidRPr="00773EEA">
        <w:t xml:space="preserve"> are </w:t>
      </w:r>
      <w:r w:rsidR="003B6DF5" w:rsidRPr="00773EEA">
        <w:t xml:space="preserve">more </w:t>
      </w:r>
      <w:r w:rsidR="00B452E6" w:rsidRPr="00773EEA">
        <w:t>likely to help amplify the influencing activities</w:t>
      </w:r>
      <w:r w:rsidR="003B6DF5" w:rsidRPr="00773EEA">
        <w:t xml:space="preserve">, in terms of </w:t>
      </w:r>
      <w:r w:rsidR="0012475A" w:rsidRPr="00773EEA">
        <w:t>providing a knowledge resource to city government staff and other stakeholders and urban development practitioners</w:t>
      </w:r>
      <w:r w:rsidR="003B6DF5" w:rsidRPr="00773EEA">
        <w:t xml:space="preserve">, based on </w:t>
      </w:r>
      <w:r w:rsidR="00354298" w:rsidRPr="00773EEA">
        <w:t>86 views between 21</w:t>
      </w:r>
      <w:r w:rsidR="00354298" w:rsidRPr="00773EEA">
        <w:rPr>
          <w:vertAlign w:val="superscript"/>
        </w:rPr>
        <w:t>st</w:t>
      </w:r>
      <w:r w:rsidR="00354298" w:rsidRPr="00773EEA">
        <w:t xml:space="preserve"> July and 5</w:t>
      </w:r>
      <w:r w:rsidR="00354298" w:rsidRPr="00773EEA">
        <w:rPr>
          <w:vertAlign w:val="superscript"/>
        </w:rPr>
        <w:t>th</w:t>
      </w:r>
      <w:r w:rsidR="00354298" w:rsidRPr="00773EEA">
        <w:t xml:space="preserve"> August 2022 of the ‘trailer’ video for the first AASCTF e-learning course on Liveable Cities</w:t>
      </w:r>
      <w:r w:rsidR="000F0BD8" w:rsidRPr="00773EEA">
        <w:t>.</w:t>
      </w:r>
    </w:p>
    <w:p w14:paraId="79C2814D" w14:textId="27079263" w:rsidR="00506EEA" w:rsidRPr="00773EEA" w:rsidRDefault="65FAAC93" w:rsidP="00B7602B">
      <w:pPr>
        <w:ind w:left="170"/>
        <w:jc w:val="both"/>
      </w:pPr>
      <w:r w:rsidRPr="00773EEA">
        <w:rPr>
          <w:b/>
          <w:bCs/>
        </w:rPr>
        <w:t xml:space="preserve">City twinning objectives have been well-defined and city government staff are focused on mutual objectives, although interaction often runs at a slow pace. </w:t>
      </w:r>
      <w:r w:rsidRPr="00773EEA">
        <w:t xml:space="preserve">City twinning has been </w:t>
      </w:r>
      <w:r w:rsidR="00CC3DED" w:rsidRPr="00773EEA">
        <w:t>facilitated</w:t>
      </w:r>
      <w:r w:rsidRPr="00773EEA">
        <w:t xml:space="preserve">, via TO-08, </w:t>
      </w:r>
      <w:r w:rsidR="00CC3DED" w:rsidRPr="00773EEA">
        <w:t xml:space="preserve">between </w:t>
      </w:r>
      <w:r w:rsidRPr="00773EEA">
        <w:t xml:space="preserve">Makassar </w:t>
      </w:r>
      <w:r w:rsidR="000B4069" w:rsidRPr="00773EEA">
        <w:t>(</w:t>
      </w:r>
      <w:r w:rsidRPr="00773EEA">
        <w:t>Indonesia</w:t>
      </w:r>
      <w:r w:rsidR="000B4069" w:rsidRPr="00773EEA">
        <w:t>)</w:t>
      </w:r>
      <w:r w:rsidRPr="00773EEA">
        <w:t xml:space="preserve"> and Gold Coast </w:t>
      </w:r>
      <w:r w:rsidR="000B4069" w:rsidRPr="00773EEA">
        <w:t>(</w:t>
      </w:r>
      <w:r w:rsidRPr="00773EEA">
        <w:t>Australia</w:t>
      </w:r>
      <w:r w:rsidR="000B4069" w:rsidRPr="00773EEA">
        <w:t>)</w:t>
      </w:r>
      <w:r w:rsidRPr="00773EEA">
        <w:t xml:space="preserve">; and </w:t>
      </w:r>
      <w:r w:rsidR="00CC3DED" w:rsidRPr="00773EEA">
        <w:t xml:space="preserve">between </w:t>
      </w:r>
      <w:r w:rsidRPr="00773EEA">
        <w:t xml:space="preserve">Baguio </w:t>
      </w:r>
      <w:r w:rsidR="000B4069" w:rsidRPr="00773EEA">
        <w:t>(</w:t>
      </w:r>
      <w:r w:rsidRPr="00773EEA">
        <w:t>Philippines</w:t>
      </w:r>
      <w:r w:rsidR="000B4069" w:rsidRPr="00773EEA">
        <w:t>)</w:t>
      </w:r>
      <w:r w:rsidRPr="00773EEA">
        <w:t xml:space="preserve"> and Perth</w:t>
      </w:r>
      <w:r w:rsidR="000B4069" w:rsidRPr="00773EEA">
        <w:t xml:space="preserve"> (</w:t>
      </w:r>
      <w:r w:rsidRPr="00773EEA">
        <w:t>Australia</w:t>
      </w:r>
      <w:r w:rsidR="000B4069" w:rsidRPr="00773EEA">
        <w:t>)</w:t>
      </w:r>
      <w:r w:rsidRPr="00773EEA">
        <w:t xml:space="preserve">. The </w:t>
      </w:r>
      <w:r w:rsidR="000B4069" w:rsidRPr="00773EEA">
        <w:t>mechanism</w:t>
      </w:r>
      <w:r w:rsidRPr="00773EEA">
        <w:t xml:space="preserve"> </w:t>
      </w:r>
      <w:r w:rsidR="00673CC3" w:rsidRPr="00773EEA">
        <w:t xml:space="preserve">used was </w:t>
      </w:r>
      <w:r w:rsidR="00B67302" w:rsidRPr="00773EEA">
        <w:t xml:space="preserve">an </w:t>
      </w:r>
      <w:r w:rsidRPr="00773EEA">
        <w:t xml:space="preserve">MoU agreed and signed between two city governments. While </w:t>
      </w:r>
      <w:proofErr w:type="spellStart"/>
      <w:r w:rsidR="004A4A97" w:rsidRPr="00773EEA">
        <w:t>MoUs</w:t>
      </w:r>
      <w:proofErr w:type="spellEnd"/>
      <w:r w:rsidR="004A4A97" w:rsidRPr="00773EEA">
        <w:t xml:space="preserve"> </w:t>
      </w:r>
      <w:r w:rsidRPr="00773EEA">
        <w:t>represent strong commitment</w:t>
      </w:r>
      <w:r w:rsidR="00DE0F99" w:rsidRPr="00773EEA">
        <w:t>s</w:t>
      </w:r>
      <w:r w:rsidRPr="00773EEA">
        <w:t xml:space="preserve"> to collaborate, </w:t>
      </w:r>
      <w:r w:rsidR="004A4A97" w:rsidRPr="00773EEA">
        <w:t>they are</w:t>
      </w:r>
      <w:r w:rsidRPr="00773EEA">
        <w:t xml:space="preserve"> not as robust </w:t>
      </w:r>
      <w:r w:rsidR="00DE0F99" w:rsidRPr="00773EEA">
        <w:t>or have</w:t>
      </w:r>
      <w:r w:rsidR="004A4A97" w:rsidRPr="00773EEA">
        <w:t xml:space="preserve"> the long</w:t>
      </w:r>
      <w:r w:rsidR="00DE0F99" w:rsidRPr="00773EEA">
        <w:t>evity as</w:t>
      </w:r>
      <w:r w:rsidRPr="00773EEA">
        <w:t xml:space="preserve"> ‘sister city’ partnership</w:t>
      </w:r>
      <w:r w:rsidR="00DE0F99" w:rsidRPr="00773EEA">
        <w:t>s</w:t>
      </w:r>
      <w:r w:rsidRPr="00773EEA">
        <w:t>. No timeframe has been set for the twinning, but city governments on both sides expressed hopes that this would last beyond the program</w:t>
      </w:r>
      <w:r w:rsidR="00FE42EA" w:rsidRPr="00773EEA">
        <w:t xml:space="preserve"> lifecycle</w:t>
      </w:r>
      <w:r w:rsidRPr="00773EEA">
        <w:t xml:space="preserve">. </w:t>
      </w:r>
      <w:r w:rsidR="00344707" w:rsidRPr="00773EEA">
        <w:t>I</w:t>
      </w:r>
      <w:r w:rsidRPr="00773EEA">
        <w:t>ndeed, it does</w:t>
      </w:r>
      <w:r w:rsidR="00E773C2" w:rsidRPr="00773EEA">
        <w:t xml:space="preserve"> not</w:t>
      </w:r>
      <w:r w:rsidRPr="00773EEA">
        <w:t xml:space="preserve"> appear to be reliant on </w:t>
      </w:r>
      <w:r w:rsidR="00E773C2" w:rsidRPr="00773EEA">
        <w:t xml:space="preserve">program </w:t>
      </w:r>
      <w:r w:rsidRPr="00773EEA">
        <w:t>funding</w:t>
      </w:r>
      <w:r w:rsidR="00E773C2" w:rsidRPr="00773EEA">
        <w:t>,</w:t>
      </w:r>
      <w:r w:rsidRPr="00773EEA">
        <w:t xml:space="preserve"> as the Makassar-Gold Coast MoU was </w:t>
      </w:r>
      <w:r w:rsidR="00B30BE7" w:rsidRPr="00773EEA">
        <w:t xml:space="preserve">initially </w:t>
      </w:r>
      <w:r w:rsidRPr="00773EEA">
        <w:t>signed externally to AASCTF in 2019</w:t>
      </w:r>
      <w:r w:rsidR="00E773C2" w:rsidRPr="00773EEA">
        <w:t>,</w:t>
      </w:r>
      <w:r w:rsidRPr="00773EEA">
        <w:t xml:space="preserve"> and </w:t>
      </w:r>
      <w:r w:rsidR="00B30BE7" w:rsidRPr="00773EEA">
        <w:t>later</w:t>
      </w:r>
      <w:r w:rsidRPr="00773EEA">
        <w:t xml:space="preserve"> integrated with</w:t>
      </w:r>
      <w:r w:rsidR="00B30BE7" w:rsidRPr="00773EEA">
        <w:t>in</w:t>
      </w:r>
      <w:r w:rsidRPr="00773EEA">
        <w:t xml:space="preserve"> the program, </w:t>
      </w:r>
      <w:r w:rsidR="00B30BE7" w:rsidRPr="00773EEA">
        <w:t xml:space="preserve">as </w:t>
      </w:r>
      <w:r w:rsidRPr="00773EEA">
        <w:t>to maximise opportunities</w:t>
      </w:r>
      <w:r w:rsidR="00E57DD0" w:rsidRPr="00773EEA">
        <w:t xml:space="preserve"> for closer ties</w:t>
      </w:r>
      <w:r w:rsidRPr="00773EEA">
        <w:t xml:space="preserve">. </w:t>
      </w:r>
      <w:r w:rsidR="00E57DD0" w:rsidRPr="00773EEA">
        <w:t>KIIs</w:t>
      </w:r>
      <w:r w:rsidRPr="00773EEA">
        <w:t xml:space="preserve"> indicate </w:t>
      </w:r>
      <w:r w:rsidR="00937950" w:rsidRPr="00773EEA">
        <w:t>critical</w:t>
      </w:r>
      <w:r w:rsidRPr="00773EEA">
        <w:t xml:space="preserve"> drivers of sustained twinning include political will and enthusiasm (as demonstrated by the Mayor in Makassar), as well as an alignment on priority areas for collaboration and opportunities for private sector investment. </w:t>
      </w:r>
    </w:p>
    <w:p w14:paraId="7A4FE8DF" w14:textId="0702AE3B" w:rsidR="00C32456" w:rsidRPr="00773EEA" w:rsidRDefault="005E5AAE" w:rsidP="00B7602B">
      <w:pPr>
        <w:ind w:left="170"/>
        <w:jc w:val="both"/>
      </w:pPr>
      <w:r w:rsidRPr="00773EEA">
        <w:t>R</w:t>
      </w:r>
      <w:r w:rsidR="65FAAC93" w:rsidRPr="00773EEA">
        <w:t xml:space="preserve">ecently agreed Twinning Plans cover areas of cooperation that are well aligned </w:t>
      </w:r>
      <w:r w:rsidR="001C10E2" w:rsidRPr="00773EEA">
        <w:t xml:space="preserve">with </w:t>
      </w:r>
      <w:r w:rsidRPr="00773EEA">
        <w:t>AASCTF</w:t>
      </w:r>
      <w:r w:rsidR="00220225" w:rsidRPr="00773EEA">
        <w:t>’s three</w:t>
      </w:r>
      <w:r w:rsidRPr="00773EEA">
        <w:t xml:space="preserve"> </w:t>
      </w:r>
      <w:r w:rsidR="65FAAC93" w:rsidRPr="00773EEA">
        <w:t xml:space="preserve">thematic pillars </w:t>
      </w:r>
      <w:r w:rsidR="00AD3530" w:rsidRPr="00773EEA">
        <w:t>and cross</w:t>
      </w:r>
      <w:r w:rsidR="65FAAC93" w:rsidRPr="00773EEA">
        <w:t xml:space="preserve">-cutting </w:t>
      </w:r>
      <w:r w:rsidR="001C10E2" w:rsidRPr="00773EEA">
        <w:t>themes</w:t>
      </w:r>
      <w:r w:rsidR="65FAAC93" w:rsidRPr="00773EEA">
        <w:t xml:space="preserve">, including meeting challenges to pedestrian and vehicles counts to support sustainable transport and mobility; monitoring air quality; and enabling sustainable tourism. One </w:t>
      </w:r>
      <w:r w:rsidRPr="00773EEA">
        <w:t xml:space="preserve">KII </w:t>
      </w:r>
      <w:r w:rsidR="65FAAC93" w:rsidRPr="00773EEA">
        <w:t xml:space="preserve">comment </w:t>
      </w:r>
      <w:r w:rsidRPr="00773EEA">
        <w:t xml:space="preserve">noted </w:t>
      </w:r>
      <w:r w:rsidR="65FAAC93" w:rsidRPr="00773EEA">
        <w:t>the pace of collaboration and exchange ha</w:t>
      </w:r>
      <w:r w:rsidRPr="00773EEA">
        <w:t>d</w:t>
      </w:r>
      <w:r w:rsidR="65FAAC93" w:rsidRPr="00773EEA">
        <w:t xml:space="preserve"> been very slow </w:t>
      </w:r>
      <w:r w:rsidR="00951C5F" w:rsidRPr="00773EEA">
        <w:t>in</w:t>
      </w:r>
      <w:r w:rsidR="65FAAC93" w:rsidRPr="00773EEA">
        <w:t xml:space="preserve"> Makassar</w:t>
      </w:r>
      <w:r w:rsidR="00951C5F" w:rsidRPr="00773EEA">
        <w:t>,</w:t>
      </w:r>
      <w:r w:rsidR="65FAAC93" w:rsidRPr="00773EEA">
        <w:t xml:space="preserve"> </w:t>
      </w:r>
      <w:r w:rsidR="00951C5F" w:rsidRPr="00773EEA">
        <w:t xml:space="preserve">despite </w:t>
      </w:r>
      <w:r w:rsidR="65FAAC93" w:rsidRPr="00773EEA">
        <w:t>enthusiasm and opportunities for knowledge exchange remain</w:t>
      </w:r>
      <w:r w:rsidR="004F66AD" w:rsidRPr="00773EEA">
        <w:t>ing</w:t>
      </w:r>
      <w:r w:rsidR="65FAAC93" w:rsidRPr="00773EEA">
        <w:t xml:space="preserve"> high. </w:t>
      </w:r>
    </w:p>
    <w:p w14:paraId="6F7D7D2E" w14:textId="3534E2C5" w:rsidR="00506EEA" w:rsidRPr="00773EEA" w:rsidRDefault="00506EEA">
      <w:pPr>
        <w:ind w:left="170"/>
        <w:jc w:val="both"/>
      </w:pPr>
      <w:r w:rsidRPr="00773EEA">
        <w:rPr>
          <w:b/>
          <w:bCs/>
        </w:rPr>
        <w:t xml:space="preserve">The progression from </w:t>
      </w:r>
      <w:r w:rsidR="004F66AD" w:rsidRPr="00773EEA">
        <w:rPr>
          <w:b/>
          <w:bCs/>
        </w:rPr>
        <w:t>B</w:t>
      </w:r>
      <w:r w:rsidRPr="00773EEA">
        <w:rPr>
          <w:b/>
          <w:bCs/>
        </w:rPr>
        <w:t xml:space="preserve">ronze to </w:t>
      </w:r>
      <w:r w:rsidR="004F66AD" w:rsidRPr="00773EEA">
        <w:rPr>
          <w:b/>
          <w:bCs/>
        </w:rPr>
        <w:t xml:space="preserve">Silver </w:t>
      </w:r>
      <w:r w:rsidRPr="00773EEA">
        <w:rPr>
          <w:b/>
          <w:bCs/>
        </w:rPr>
        <w:t xml:space="preserve">to </w:t>
      </w:r>
      <w:r w:rsidR="004F66AD" w:rsidRPr="00773EEA">
        <w:rPr>
          <w:b/>
          <w:bCs/>
        </w:rPr>
        <w:t>Gold</w:t>
      </w:r>
      <w:r w:rsidRPr="00773EEA">
        <w:rPr>
          <w:b/>
          <w:bCs/>
        </w:rPr>
        <w:t xml:space="preserve">-level </w:t>
      </w:r>
      <w:r w:rsidR="004F66AD" w:rsidRPr="00773EEA">
        <w:rPr>
          <w:b/>
          <w:bCs/>
        </w:rPr>
        <w:t xml:space="preserve">Cities </w:t>
      </w:r>
      <w:r w:rsidRPr="00773EEA">
        <w:rPr>
          <w:b/>
          <w:bCs/>
        </w:rPr>
        <w:t xml:space="preserve">is </w:t>
      </w:r>
      <w:r w:rsidR="001333A2" w:rsidRPr="00773EEA">
        <w:rPr>
          <w:b/>
          <w:bCs/>
        </w:rPr>
        <w:t>neither</w:t>
      </w:r>
      <w:r w:rsidRPr="00773EEA">
        <w:rPr>
          <w:b/>
          <w:bCs/>
        </w:rPr>
        <w:t xml:space="preserve"> clear </w:t>
      </w:r>
      <w:r w:rsidR="001333A2" w:rsidRPr="00773EEA">
        <w:rPr>
          <w:b/>
          <w:bCs/>
        </w:rPr>
        <w:t>to</w:t>
      </w:r>
      <w:r w:rsidRPr="00773EEA">
        <w:rPr>
          <w:b/>
          <w:bCs/>
        </w:rPr>
        <w:t xml:space="preserve"> the </w:t>
      </w:r>
      <w:r w:rsidR="00344707" w:rsidRPr="00773EEA">
        <w:rPr>
          <w:b/>
          <w:bCs/>
        </w:rPr>
        <w:t xml:space="preserve">AASCTF </w:t>
      </w:r>
      <w:r w:rsidRPr="00773EEA">
        <w:rPr>
          <w:b/>
          <w:bCs/>
        </w:rPr>
        <w:t>team</w:t>
      </w:r>
      <w:r w:rsidR="001333A2" w:rsidRPr="00773EEA">
        <w:rPr>
          <w:b/>
          <w:bCs/>
        </w:rPr>
        <w:t>,</w:t>
      </w:r>
      <w:r w:rsidRPr="00773EEA">
        <w:rPr>
          <w:b/>
          <w:bCs/>
        </w:rPr>
        <w:t xml:space="preserve"> </w:t>
      </w:r>
      <w:r w:rsidR="001333A2" w:rsidRPr="00773EEA">
        <w:rPr>
          <w:b/>
          <w:bCs/>
        </w:rPr>
        <w:t>n</w:t>
      </w:r>
      <w:r w:rsidRPr="00773EEA">
        <w:rPr>
          <w:b/>
          <w:bCs/>
        </w:rPr>
        <w:t>or city governments</w:t>
      </w:r>
      <w:r w:rsidR="001333A2" w:rsidRPr="00773EEA">
        <w:rPr>
          <w:b/>
          <w:bCs/>
        </w:rPr>
        <w:t>,</w:t>
      </w:r>
      <w:r w:rsidRPr="00773EEA">
        <w:rPr>
          <w:b/>
          <w:bCs/>
        </w:rPr>
        <w:t xml:space="preserve"> and time for effective implementation of </w:t>
      </w:r>
      <w:r w:rsidR="001333A2" w:rsidRPr="00773EEA">
        <w:rPr>
          <w:b/>
          <w:bCs/>
        </w:rPr>
        <w:t>Gold</w:t>
      </w:r>
      <w:r w:rsidRPr="00773EEA">
        <w:rPr>
          <w:b/>
          <w:bCs/>
        </w:rPr>
        <w:t xml:space="preserve">-level investments is running out. </w:t>
      </w:r>
      <w:r w:rsidRPr="00773EEA">
        <w:t xml:space="preserve">The original intention of the AASCTF design was </w:t>
      </w:r>
      <w:r w:rsidR="005345FC" w:rsidRPr="00773EEA">
        <w:t xml:space="preserve">for cities </w:t>
      </w:r>
      <w:r w:rsidRPr="00773EEA">
        <w:t xml:space="preserve">to </w:t>
      </w:r>
      <w:r w:rsidR="005345FC" w:rsidRPr="00773EEA">
        <w:t xml:space="preserve">progress from </w:t>
      </w:r>
      <w:r w:rsidR="00080C02" w:rsidRPr="00773EEA">
        <w:t>B</w:t>
      </w:r>
      <w:r w:rsidR="005345FC" w:rsidRPr="00773EEA">
        <w:t xml:space="preserve">ronze to </w:t>
      </w:r>
      <w:r w:rsidR="00080C02" w:rsidRPr="00773EEA">
        <w:t>S</w:t>
      </w:r>
      <w:r w:rsidR="005345FC" w:rsidRPr="00773EEA">
        <w:t xml:space="preserve">ilver to </w:t>
      </w:r>
      <w:r w:rsidR="00080C02" w:rsidRPr="00773EEA">
        <w:t>G</w:t>
      </w:r>
      <w:r w:rsidR="005345FC" w:rsidRPr="00773EEA">
        <w:t xml:space="preserve">old tiers, as per </w:t>
      </w:r>
      <w:r w:rsidR="005345FC" w:rsidRPr="00773EEA">
        <w:rPr>
          <w:b/>
          <w:bCs/>
        </w:rPr>
        <w:t xml:space="preserve">Figure </w:t>
      </w:r>
      <w:r w:rsidR="008339DE" w:rsidRPr="00773EEA">
        <w:rPr>
          <w:b/>
          <w:bCs/>
        </w:rPr>
        <w:t>2</w:t>
      </w:r>
      <w:r w:rsidR="005345FC" w:rsidRPr="00773EEA">
        <w:t xml:space="preserve">. </w:t>
      </w:r>
    </w:p>
    <w:p w14:paraId="36681227" w14:textId="1DB56498" w:rsidR="008339DE" w:rsidRPr="00773EEA" w:rsidRDefault="008339DE" w:rsidP="008339DE">
      <w:pPr>
        <w:ind w:left="170"/>
      </w:pPr>
      <w:r w:rsidRPr="00773EEA">
        <w:t>Figure</w:t>
      </w:r>
      <w:r w:rsidR="00FD6011" w:rsidRPr="00773EEA">
        <w:t xml:space="preserve"> 2</w:t>
      </w:r>
      <w:r w:rsidRPr="00773EEA">
        <w:t xml:space="preserve">: </w:t>
      </w:r>
      <w:r w:rsidR="006D0965" w:rsidRPr="00773EEA">
        <w:t>Outline of conceptual progression of city interventions under the AASCTF</w:t>
      </w:r>
    </w:p>
    <w:p w14:paraId="4B68F2FF" w14:textId="7F85AF1A" w:rsidR="00506EEA" w:rsidRPr="00773EEA" w:rsidRDefault="00506EEA" w:rsidP="00B7602B">
      <w:pPr>
        <w:ind w:left="170"/>
        <w:jc w:val="center"/>
      </w:pPr>
      <w:r w:rsidRPr="00773EEA">
        <w:rPr>
          <w:noProof/>
          <w:lang w:val="en-AU" w:eastAsia="en-AU"/>
        </w:rPr>
        <w:drawing>
          <wp:inline distT="0" distB="0" distL="0" distR="0" wp14:anchorId="13CFD3BE" wp14:editId="3D419F75">
            <wp:extent cx="5239620" cy="1624127"/>
            <wp:effectExtent l="0" t="0" r="0" b="0"/>
            <wp:docPr id="1425272590" name="Picture 1425272590" descr="Figure 2 illustrating the progression from bronze to silver to gold-level c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72590" name="Picture 1425272590" descr="Figure 2 illustrating the progression from bronze to silver to gold-level cities. "/>
                    <pic:cNvPicPr/>
                  </pic:nvPicPr>
                  <pic:blipFill>
                    <a:blip r:embed="rId21">
                      <a:extLst>
                        <a:ext uri="{28A0092B-C50C-407E-A947-70E740481C1C}">
                          <a14:useLocalDpi xmlns:a14="http://schemas.microsoft.com/office/drawing/2010/main" val="0"/>
                        </a:ext>
                      </a:extLst>
                    </a:blip>
                    <a:stretch>
                      <a:fillRect/>
                    </a:stretch>
                  </pic:blipFill>
                  <pic:spPr>
                    <a:xfrm>
                      <a:off x="0" y="0"/>
                      <a:ext cx="5279744" cy="1636564"/>
                    </a:xfrm>
                    <a:prstGeom prst="rect">
                      <a:avLst/>
                    </a:prstGeom>
                  </pic:spPr>
                </pic:pic>
              </a:graphicData>
            </a:graphic>
          </wp:inline>
        </w:drawing>
      </w:r>
    </w:p>
    <w:p w14:paraId="65678DCD" w14:textId="4450B2DC" w:rsidR="00506EEA" w:rsidRPr="00773EEA" w:rsidRDefault="00506EEA" w:rsidP="00DE15CB">
      <w:pPr>
        <w:ind w:left="170"/>
        <w:jc w:val="both"/>
      </w:pPr>
      <w:r w:rsidRPr="00773EEA">
        <w:t xml:space="preserve">The </w:t>
      </w:r>
      <w:r w:rsidR="004B5604" w:rsidRPr="00773EEA">
        <w:t>notion of</w:t>
      </w:r>
      <w:r w:rsidRPr="00773EEA">
        <w:t xml:space="preserve"> progression towards more tangible investments and assets</w:t>
      </w:r>
      <w:r w:rsidR="004B5604" w:rsidRPr="00773EEA">
        <w:t>,</w:t>
      </w:r>
      <w:r w:rsidRPr="00773EEA">
        <w:t xml:space="preserve"> such as infrastructure or ICT-based tools</w:t>
      </w:r>
      <w:r w:rsidR="004B5604" w:rsidRPr="00773EEA">
        <w:t>,</w:t>
      </w:r>
      <w:r w:rsidRPr="00773EEA">
        <w:t xml:space="preserve"> are important incentives for </w:t>
      </w:r>
      <w:r w:rsidR="004B5604" w:rsidRPr="00773EEA">
        <w:t xml:space="preserve">city government officials to actively </w:t>
      </w:r>
      <w:r w:rsidRPr="00773EEA">
        <w:t>engage with the AASCT</w:t>
      </w:r>
      <w:r w:rsidR="0000176D" w:rsidRPr="00773EEA">
        <w:t>F</w:t>
      </w:r>
      <w:r w:rsidRPr="00773EEA">
        <w:t xml:space="preserve">. Responsibility for </w:t>
      </w:r>
      <w:r w:rsidR="0000176D" w:rsidRPr="00773EEA">
        <w:t>Gold</w:t>
      </w:r>
      <w:r w:rsidRPr="00773EEA">
        <w:t xml:space="preserve">-level interventions rests with ADB and is not part of Ramboll’s scope of work. What </w:t>
      </w:r>
      <w:r w:rsidR="0000176D" w:rsidRPr="00773EEA">
        <w:t>Gold</w:t>
      </w:r>
      <w:r w:rsidRPr="00773EEA">
        <w:t>-level status looks like in practice is the subject of an evolving discussion between ADB</w:t>
      </w:r>
      <w:r w:rsidR="0000176D" w:rsidRPr="00773EEA">
        <w:t>,</w:t>
      </w:r>
      <w:r w:rsidRPr="00773EEA">
        <w:t xml:space="preserve"> DFAT and</w:t>
      </w:r>
      <w:r w:rsidR="0000176D" w:rsidRPr="00773EEA">
        <w:t>,</w:t>
      </w:r>
      <w:r w:rsidRPr="00773EEA">
        <w:t xml:space="preserve"> to some extent, Ramboll. </w:t>
      </w:r>
      <w:r w:rsidR="005345FC" w:rsidRPr="00773EEA">
        <w:t xml:space="preserve">ADB </w:t>
      </w:r>
      <w:r w:rsidR="00C23057" w:rsidRPr="00773EEA">
        <w:t xml:space="preserve">have suggested that </w:t>
      </w:r>
      <w:r w:rsidR="005345FC" w:rsidRPr="00773EEA">
        <w:t>AASCTF</w:t>
      </w:r>
      <w:r w:rsidR="00C23057" w:rsidRPr="00773EEA">
        <w:t xml:space="preserve"> could be </w:t>
      </w:r>
      <w:r w:rsidR="00BF4F07" w:rsidRPr="00773EEA">
        <w:t>a</w:t>
      </w:r>
      <w:r w:rsidR="00C23057" w:rsidRPr="00773EEA">
        <w:t xml:space="preserve"> </w:t>
      </w:r>
      <w:r w:rsidR="00BF4F07" w:rsidRPr="00773EEA">
        <w:t xml:space="preserve">mechanism </w:t>
      </w:r>
      <w:r w:rsidR="005345FC" w:rsidRPr="00773EEA">
        <w:t xml:space="preserve">for </w:t>
      </w:r>
      <w:r w:rsidR="00C23057" w:rsidRPr="00773EEA">
        <w:t>selecting and granting ADB loans</w:t>
      </w:r>
      <w:r w:rsidR="005345FC" w:rsidRPr="00773EEA">
        <w:t>,</w:t>
      </w:r>
      <w:r w:rsidR="00C23057" w:rsidRPr="00773EEA">
        <w:t xml:space="preserve"> </w:t>
      </w:r>
      <w:r w:rsidRPr="00773EEA">
        <w:t xml:space="preserve">starting with a short proof of </w:t>
      </w:r>
      <w:r w:rsidRPr="00773EEA">
        <w:lastRenderedPageBreak/>
        <w:t xml:space="preserve">concept </w:t>
      </w:r>
      <w:r w:rsidR="007F6F45" w:rsidRPr="00773EEA">
        <w:t xml:space="preserve">under </w:t>
      </w:r>
      <w:r w:rsidR="005345FC" w:rsidRPr="00773EEA">
        <w:t xml:space="preserve">a </w:t>
      </w:r>
      <w:r w:rsidR="00BF4F07" w:rsidRPr="00773EEA">
        <w:t>S</w:t>
      </w:r>
      <w:r w:rsidR="005345FC" w:rsidRPr="00773EEA">
        <w:t>ilver TO</w:t>
      </w:r>
      <w:r w:rsidR="00BF4F07" w:rsidRPr="00773EEA">
        <w:t>,</w:t>
      </w:r>
      <w:r w:rsidR="005345FC" w:rsidRPr="00773EEA">
        <w:t xml:space="preserve"> </w:t>
      </w:r>
      <w:r w:rsidRPr="00773EEA">
        <w:t>before entering into a larger financing project</w:t>
      </w:r>
      <w:r w:rsidR="005345FC" w:rsidRPr="00773EEA">
        <w:t xml:space="preserve"> </w:t>
      </w:r>
      <w:r w:rsidR="007F6F45" w:rsidRPr="00773EEA">
        <w:t>at</w:t>
      </w:r>
      <w:r w:rsidR="005345FC" w:rsidRPr="00773EEA">
        <w:t xml:space="preserve"> the </w:t>
      </w:r>
      <w:r w:rsidR="00BF4F07" w:rsidRPr="00773EEA">
        <w:t>G</w:t>
      </w:r>
      <w:r w:rsidR="005345FC" w:rsidRPr="00773EEA">
        <w:t>old tier</w:t>
      </w:r>
      <w:r w:rsidRPr="00773EEA">
        <w:t>.</w:t>
      </w:r>
      <w:r w:rsidRPr="00773EEA">
        <w:rPr>
          <w:rStyle w:val="FootnoteReference"/>
          <w:color w:val="auto"/>
        </w:rPr>
        <w:footnoteReference w:id="15"/>
      </w:r>
      <w:r w:rsidRPr="00773EEA">
        <w:t xml:space="preserve"> </w:t>
      </w:r>
      <w:r w:rsidR="7C2F6B61" w:rsidRPr="00773EEA">
        <w:t>However, the financing modalities that could enable low-value</w:t>
      </w:r>
      <w:r w:rsidR="002D38FD" w:rsidRPr="00773EEA">
        <w:t>,</w:t>
      </w:r>
      <w:r w:rsidR="7C2F6B61" w:rsidRPr="00773EEA">
        <w:t xml:space="preserve"> high-impact investments remain unclear</w:t>
      </w:r>
      <w:r w:rsidR="002D38FD" w:rsidRPr="00773EEA">
        <w:t>,</w:t>
      </w:r>
      <w:r w:rsidR="7C2F6B61" w:rsidRPr="00773EEA">
        <w:t xml:space="preserve"> and it has been a challenge for the ADB to reconcile this with </w:t>
      </w:r>
      <w:r w:rsidR="000A6A05" w:rsidRPr="00773EEA">
        <w:t xml:space="preserve">its </w:t>
      </w:r>
      <w:r w:rsidR="7C2F6B61" w:rsidRPr="00773EEA">
        <w:t>typical multi-year process to plan and implement loan</w:t>
      </w:r>
      <w:r w:rsidR="002101BE" w:rsidRPr="00773EEA">
        <w:t>s</w:t>
      </w:r>
      <w:r w:rsidR="7C2F6B61" w:rsidRPr="00773EEA">
        <w:t xml:space="preserve">. So far, this has not seen as a significant problem </w:t>
      </w:r>
      <w:r w:rsidR="00C70844" w:rsidRPr="00773EEA">
        <w:t>by ADB and Ramboll</w:t>
      </w:r>
      <w:r w:rsidR="002D56AF" w:rsidRPr="00773EEA">
        <w:t>,</w:t>
      </w:r>
      <w:r w:rsidR="00C70844" w:rsidRPr="00773EEA">
        <w:t xml:space="preserve"> </w:t>
      </w:r>
      <w:r w:rsidR="7C2F6B61" w:rsidRPr="00773EEA">
        <w:t xml:space="preserve">due to the flexible nature of the program. At the same time, several </w:t>
      </w:r>
      <w:r w:rsidR="002D56AF" w:rsidRPr="00773EEA">
        <w:t>KIIs</w:t>
      </w:r>
      <w:r w:rsidR="7C2F6B61" w:rsidRPr="00773EEA">
        <w:t xml:space="preserve"> </w:t>
      </w:r>
      <w:r w:rsidR="002D56AF" w:rsidRPr="00773EEA">
        <w:t xml:space="preserve">highlighted </w:t>
      </w:r>
      <w:r w:rsidR="7C2F6B61" w:rsidRPr="00773EEA">
        <w:t xml:space="preserve">whether there was too much emphasis on the </w:t>
      </w:r>
      <w:r w:rsidR="006443F3" w:rsidRPr="00773EEA">
        <w:t>“</w:t>
      </w:r>
      <w:r w:rsidR="7C2F6B61" w:rsidRPr="00773EEA">
        <w:t>how</w:t>
      </w:r>
      <w:r w:rsidR="006443F3" w:rsidRPr="00773EEA">
        <w:t>”,</w:t>
      </w:r>
      <w:r w:rsidR="7C2F6B61" w:rsidRPr="00773EEA">
        <w:t xml:space="preserve"> rather than the </w:t>
      </w:r>
      <w:r w:rsidR="006443F3" w:rsidRPr="00773EEA">
        <w:t>“</w:t>
      </w:r>
      <w:r w:rsidR="7C2F6B61" w:rsidRPr="00773EEA">
        <w:t>why</w:t>
      </w:r>
      <w:r w:rsidR="006443F3" w:rsidRPr="00773EEA">
        <w:t>”</w:t>
      </w:r>
      <w:r w:rsidR="7C2F6B61" w:rsidRPr="00773EEA">
        <w:t xml:space="preserve">, and </w:t>
      </w:r>
      <w:r w:rsidR="006443F3" w:rsidRPr="00773EEA">
        <w:t xml:space="preserve">whether this </w:t>
      </w:r>
      <w:r w:rsidR="7C2F6B61" w:rsidRPr="00773EEA">
        <w:t xml:space="preserve">was preventing ADB from developing a clear vision </w:t>
      </w:r>
      <w:r w:rsidR="009A1132" w:rsidRPr="00773EEA">
        <w:t>for</w:t>
      </w:r>
      <w:r w:rsidR="7C2F6B61" w:rsidRPr="00773EEA">
        <w:t xml:space="preserve"> </w:t>
      </w:r>
      <w:r w:rsidR="009A1132" w:rsidRPr="00773EEA">
        <w:t>Gold</w:t>
      </w:r>
      <w:r w:rsidR="7C2F6B61" w:rsidRPr="00773EEA">
        <w:t xml:space="preserve">-level investments </w:t>
      </w:r>
      <w:r w:rsidR="009B204C" w:rsidRPr="00773EEA">
        <w:t xml:space="preserve">as </w:t>
      </w:r>
      <w:r w:rsidR="00546291" w:rsidRPr="00773EEA">
        <w:t>driving</w:t>
      </w:r>
      <w:r w:rsidR="7C2F6B61" w:rsidRPr="00773EEA">
        <w:t xml:space="preserve"> </w:t>
      </w:r>
      <w:r w:rsidR="009B204C" w:rsidRPr="00773EEA">
        <w:t xml:space="preserve">maximum </w:t>
      </w:r>
      <w:r w:rsidR="7C2F6B61" w:rsidRPr="00773EEA">
        <w:t xml:space="preserve">value in overcoming barriers </w:t>
      </w:r>
      <w:r w:rsidR="00546291" w:rsidRPr="00773EEA">
        <w:t xml:space="preserve">faced by </w:t>
      </w:r>
      <w:r w:rsidR="7C2F6B61" w:rsidRPr="00773EEA">
        <w:t>cities. Gold-level investments have not yet been an effective component of AASCTF and there is a</w:t>
      </w:r>
      <w:r w:rsidR="00BE0CD6" w:rsidRPr="00773EEA">
        <w:t xml:space="preserve"> notable</w:t>
      </w:r>
      <w:r w:rsidR="7C2F6B61" w:rsidRPr="00773EEA">
        <w:t xml:space="preserve"> risk that these will not be implemented effectively within the </w:t>
      </w:r>
      <w:r w:rsidR="00EA4141" w:rsidRPr="00773EEA">
        <w:t xml:space="preserve">remaining timelines of the </w:t>
      </w:r>
      <w:r w:rsidR="00BE0CD6" w:rsidRPr="00773EEA">
        <w:t xml:space="preserve">current </w:t>
      </w:r>
      <w:r w:rsidR="7C2F6B61" w:rsidRPr="00773EEA">
        <w:t xml:space="preserve">program. </w:t>
      </w:r>
    </w:p>
    <w:p w14:paraId="7B92C32D" w14:textId="77777777" w:rsidR="006C0757" w:rsidRPr="00773EEA" w:rsidRDefault="7C2F6B61" w:rsidP="00B7602B">
      <w:pPr>
        <w:ind w:left="170"/>
        <w:jc w:val="both"/>
      </w:pPr>
      <w:r w:rsidRPr="00773EEA">
        <w:rPr>
          <w:b/>
          <w:bCs/>
        </w:rPr>
        <w:t xml:space="preserve">The cross-cutting pillar of climate change has been well </w:t>
      </w:r>
      <w:r w:rsidR="005C63E2" w:rsidRPr="00773EEA">
        <w:rPr>
          <w:b/>
          <w:bCs/>
        </w:rPr>
        <w:t xml:space="preserve">considered, though </w:t>
      </w:r>
      <w:r w:rsidRPr="00773EEA">
        <w:rPr>
          <w:b/>
          <w:bCs/>
        </w:rPr>
        <w:t xml:space="preserve">private sector development remains relatively neglected. </w:t>
      </w:r>
      <w:r w:rsidRPr="00773EEA">
        <w:t xml:space="preserve">Climate change is well integrated into </w:t>
      </w:r>
      <w:r w:rsidR="004E00D4" w:rsidRPr="00773EEA">
        <w:t xml:space="preserve">most </w:t>
      </w:r>
      <w:r w:rsidRPr="00773EEA">
        <w:t xml:space="preserve">of the sampled </w:t>
      </w:r>
      <w:r w:rsidR="005C63E2" w:rsidRPr="00773EEA">
        <w:t xml:space="preserve">Silver </w:t>
      </w:r>
      <w:r w:rsidRPr="00773EEA">
        <w:t xml:space="preserve">TOs, including informing low-carbon and resilient options for the Makassar Liveability </w:t>
      </w:r>
      <w:r w:rsidR="005C63E2" w:rsidRPr="00773EEA">
        <w:t>Plan</w:t>
      </w:r>
      <w:r w:rsidRPr="00773EEA">
        <w:t xml:space="preserve">, resilience to </w:t>
      </w:r>
      <w:r w:rsidR="00AD3530" w:rsidRPr="00773EEA">
        <w:t>flooding,</w:t>
      </w:r>
      <w:r w:rsidRPr="00773EEA">
        <w:t xml:space="preserve"> which is greatly exacerbated by climate change in Baguio</w:t>
      </w:r>
      <w:r w:rsidR="00E0550B" w:rsidRPr="00773EEA">
        <w:t>,</w:t>
      </w:r>
      <w:r w:rsidRPr="00773EEA">
        <w:t xml:space="preserve"> and supporting decision-making processes for sustainable transport projects via the VISSIM modelling in Georgetown. It provides a key lens </w:t>
      </w:r>
      <w:r w:rsidR="00F52E1C" w:rsidRPr="00773EEA">
        <w:t xml:space="preserve">through which </w:t>
      </w:r>
      <w:r w:rsidRPr="00773EEA">
        <w:t xml:space="preserve">foundational work </w:t>
      </w:r>
      <w:r w:rsidR="00F52E1C" w:rsidRPr="00773EEA">
        <w:t xml:space="preserve">can </w:t>
      </w:r>
      <w:r w:rsidRPr="00773EEA">
        <w:t xml:space="preserve">scope and plan possible TOs and is also mainstreamed through many of the influencing activities, including Webinar 2 on digital tools for flood mitigation and early warning systems. </w:t>
      </w:r>
    </w:p>
    <w:p w14:paraId="101518B0" w14:textId="77777777" w:rsidR="006C0757" w:rsidRPr="00773EEA" w:rsidRDefault="00851A93" w:rsidP="00B7602B">
      <w:pPr>
        <w:ind w:left="170"/>
        <w:jc w:val="both"/>
      </w:pPr>
      <w:r w:rsidRPr="00773EEA">
        <w:t>Resource Person and Direct Charge</w:t>
      </w:r>
      <w:r w:rsidR="7C2F6B61" w:rsidRPr="00773EEA">
        <w:t xml:space="preserve"> work </w:t>
      </w:r>
      <w:r w:rsidR="00F27AB1" w:rsidRPr="00773EEA">
        <w:t xml:space="preserve">also </w:t>
      </w:r>
      <w:r w:rsidR="7C2F6B61" w:rsidRPr="00773EEA">
        <w:t xml:space="preserve">has </w:t>
      </w:r>
      <w:r w:rsidR="00C250F4" w:rsidRPr="00773EEA">
        <w:t>a strong focus</w:t>
      </w:r>
      <w:r w:rsidR="7C2F6B61" w:rsidRPr="00773EEA">
        <w:t xml:space="preserve"> on climate change, with the design of an interactive web-based modelling tool/platform for climate resilience</w:t>
      </w:r>
      <w:r w:rsidR="00C250F4" w:rsidRPr="00773EEA">
        <w:t>,</w:t>
      </w:r>
      <w:r w:rsidR="7C2F6B61" w:rsidRPr="00773EEA">
        <w:t xml:space="preserve"> and the development of sewer network designs for four project cities, including Baguio and Pontianak, for example. </w:t>
      </w:r>
      <w:r w:rsidR="00783321" w:rsidRPr="00773EEA">
        <w:t xml:space="preserve">However, private sector development has been more challenging for the implementing partners to weave into the program components. </w:t>
      </w:r>
      <w:proofErr w:type="gramStart"/>
      <w:r w:rsidR="00783321" w:rsidRPr="00773EEA">
        <w:t>A number of</w:t>
      </w:r>
      <w:proofErr w:type="gramEnd"/>
      <w:r w:rsidR="00783321" w:rsidRPr="00773EEA">
        <w:t xml:space="preserve"> private sector stakeholders have been consulted for many of the TOs, and efforts made to understand how entities will fit into innovation landscapes</w:t>
      </w:r>
      <w:r w:rsidR="00B4601E" w:rsidRPr="00773EEA">
        <w:t>,</w:t>
      </w:r>
      <w:r w:rsidR="00783321" w:rsidRPr="00773EEA">
        <w:t xml:space="preserve"> for example</w:t>
      </w:r>
      <w:r w:rsidR="007741FC" w:rsidRPr="00773EEA">
        <w:t>,</w:t>
      </w:r>
      <w:r w:rsidR="00783321" w:rsidRPr="00773EEA">
        <w:t xml:space="preserve"> </w:t>
      </w:r>
      <w:r w:rsidR="00B4601E" w:rsidRPr="00773EEA">
        <w:t xml:space="preserve">in relation </w:t>
      </w:r>
      <w:r w:rsidR="00783321" w:rsidRPr="00773EEA">
        <w:t xml:space="preserve">to digital solutions for solid waste management in Battambang. </w:t>
      </w:r>
    </w:p>
    <w:p w14:paraId="27CA15B9" w14:textId="1DBDA950" w:rsidR="00783321" w:rsidRPr="00773EEA" w:rsidRDefault="00F15E29" w:rsidP="00B7602B">
      <w:pPr>
        <w:ind w:left="170"/>
        <w:jc w:val="both"/>
      </w:pPr>
      <w:r w:rsidRPr="00773EEA">
        <w:t xml:space="preserve">The Smart City </w:t>
      </w:r>
      <w:proofErr w:type="spellStart"/>
      <w:r w:rsidRPr="00773EEA">
        <w:t>Datathon</w:t>
      </w:r>
      <w:proofErr w:type="spellEnd"/>
      <w:r w:rsidRPr="00773EEA">
        <w:t xml:space="preserve">, </w:t>
      </w:r>
      <w:r w:rsidR="00783321" w:rsidRPr="00773EEA">
        <w:t xml:space="preserve">facilitated by AASCTF in 2021, </w:t>
      </w:r>
      <w:r w:rsidR="00CE7091" w:rsidRPr="00773EEA">
        <w:t>as</w:t>
      </w:r>
      <w:r w:rsidR="00B130E9" w:rsidRPr="00773EEA">
        <w:t xml:space="preserve"> part of </w:t>
      </w:r>
      <w:r w:rsidR="00CE7091" w:rsidRPr="00773EEA">
        <w:t>an ADB Developing Member Country Workshop</w:t>
      </w:r>
      <w:r w:rsidR="00B130E9" w:rsidRPr="00773EEA">
        <w:t xml:space="preserve">, </w:t>
      </w:r>
      <w:r w:rsidR="00783321" w:rsidRPr="00773EEA">
        <w:t>is an example of encouraging private sector innovation to help solve urban development challenges. Overall, much more emphasis could be placed on this cross-cutting theme</w:t>
      </w:r>
      <w:r w:rsidR="00CF3A77" w:rsidRPr="00773EEA">
        <w:t>, particularly in</w:t>
      </w:r>
      <w:r w:rsidR="00783321" w:rsidRPr="00773EEA">
        <w:t xml:space="preserve"> involving private sector entities in planning and implementing smart city solutions and improving the enabling environment for private sector to implement smart city services. GESI</w:t>
      </w:r>
      <w:r w:rsidR="00A32EA4" w:rsidRPr="00773EEA">
        <w:t>,</w:t>
      </w:r>
      <w:r w:rsidR="00783321" w:rsidRPr="00773EEA">
        <w:t xml:space="preserve"> the third crosscutting pillar</w:t>
      </w:r>
      <w:r w:rsidR="00A32EA4" w:rsidRPr="00773EEA">
        <w:t>,</w:t>
      </w:r>
      <w:r w:rsidR="00783321" w:rsidRPr="00773EEA">
        <w:t xml:space="preserve"> is addressed in detail </w:t>
      </w:r>
      <w:r w:rsidR="00A32EA4" w:rsidRPr="00773EEA">
        <w:t xml:space="preserve">under </w:t>
      </w:r>
      <w:r w:rsidR="00783321" w:rsidRPr="00773EEA">
        <w:rPr>
          <w:b/>
          <w:bCs/>
        </w:rPr>
        <w:t>Section 3.3</w:t>
      </w:r>
      <w:r w:rsidR="00783321" w:rsidRPr="00773EEA">
        <w:t xml:space="preserve">. </w:t>
      </w:r>
    </w:p>
    <w:p w14:paraId="0EB028F6" w14:textId="20A23E3E" w:rsidR="00783321" w:rsidRPr="00773EEA" w:rsidRDefault="00AA614E" w:rsidP="00783321">
      <w:pPr>
        <w:ind w:left="170"/>
        <w:rPr>
          <w:rFonts w:asciiTheme="majorHAnsi" w:hAnsiTheme="majorHAnsi"/>
          <w:b/>
          <w:bCs/>
          <w:sz w:val="24"/>
          <w:szCs w:val="24"/>
        </w:rPr>
      </w:pPr>
      <w:r w:rsidRPr="00773EEA">
        <w:rPr>
          <w:rFonts w:asciiTheme="majorHAnsi" w:hAnsiTheme="majorHAnsi"/>
          <w:b/>
          <w:bCs/>
          <w:sz w:val="24"/>
          <w:szCs w:val="24"/>
        </w:rPr>
        <w:t xml:space="preserve">3.1.2. </w:t>
      </w:r>
      <w:r w:rsidR="00783321" w:rsidRPr="00773EEA">
        <w:rPr>
          <w:rFonts w:asciiTheme="majorHAnsi" w:hAnsiTheme="majorHAnsi"/>
          <w:b/>
          <w:bCs/>
          <w:sz w:val="24"/>
          <w:szCs w:val="24"/>
        </w:rPr>
        <w:t>How will sustainability be ensured after the program closes in 2024?</w:t>
      </w:r>
    </w:p>
    <w:p w14:paraId="1720152D" w14:textId="12EA760F" w:rsidR="00783321" w:rsidRPr="00773EEA" w:rsidRDefault="00783321" w:rsidP="00B7602B">
      <w:pPr>
        <w:ind w:left="170"/>
        <w:jc w:val="both"/>
      </w:pPr>
      <w:r w:rsidRPr="00773EEA">
        <w:t xml:space="preserve">Perhaps the most critical measure of success </w:t>
      </w:r>
      <w:r w:rsidR="00A32EA4" w:rsidRPr="00773EEA">
        <w:t xml:space="preserve">for </w:t>
      </w:r>
      <w:r w:rsidRPr="00773EEA">
        <w:t>the A</w:t>
      </w:r>
      <w:r w:rsidR="00DC210C" w:rsidRPr="00773EEA">
        <w:t>A</w:t>
      </w:r>
      <w:r w:rsidRPr="00773EEA">
        <w:t>SCTF</w:t>
      </w:r>
      <w:r w:rsidR="00286D2A" w:rsidRPr="00773EEA">
        <w:t>,</w:t>
      </w:r>
      <w:r w:rsidRPr="00773EEA">
        <w:t xml:space="preserve"> is how well the tools and services developed by the </w:t>
      </w:r>
      <w:r w:rsidR="00A32EA4" w:rsidRPr="00773EEA">
        <w:t xml:space="preserve">Silver </w:t>
      </w:r>
      <w:r w:rsidRPr="00773EEA">
        <w:t>TOs will be adopted and used beyond the end of each intervention</w:t>
      </w:r>
      <w:r w:rsidR="00286D2A" w:rsidRPr="00773EEA">
        <w:t>,</w:t>
      </w:r>
      <w:r w:rsidRPr="00773EEA">
        <w:t xml:space="preserve"> and the program </w:t>
      </w:r>
      <w:r w:rsidR="00286D2A" w:rsidRPr="00773EEA">
        <w:t xml:space="preserve">horizon </w:t>
      </w:r>
      <w:r w:rsidRPr="00773EEA">
        <w:t>itself. ADB and Ramboll are taking measures to maximise the chances of this happening, as outlined below:</w:t>
      </w:r>
    </w:p>
    <w:p w14:paraId="51D10E00" w14:textId="77777777" w:rsidR="006C0757" w:rsidRPr="00773EEA" w:rsidRDefault="00783321" w:rsidP="00B7602B">
      <w:pPr>
        <w:ind w:left="170"/>
        <w:jc w:val="both"/>
      </w:pPr>
      <w:r w:rsidRPr="00773EEA">
        <w:rPr>
          <w:b/>
          <w:bCs/>
        </w:rPr>
        <w:t>Intervention design process:</w:t>
      </w:r>
      <w:r w:rsidRPr="00773EEA">
        <w:t xml:space="preserve"> There has been a well-defined scoping process to develop each TO, which has generally led to well-targeted interventions that help to maximise the value of the AASCTF. The seven-step process shown in </w:t>
      </w:r>
      <w:r w:rsidRPr="00773EEA">
        <w:rPr>
          <w:b/>
          <w:bCs/>
        </w:rPr>
        <w:t xml:space="preserve">Figure </w:t>
      </w:r>
      <w:r w:rsidR="001038A0" w:rsidRPr="00773EEA">
        <w:rPr>
          <w:b/>
          <w:bCs/>
        </w:rPr>
        <w:t>A</w:t>
      </w:r>
      <w:r w:rsidRPr="00773EEA">
        <w:rPr>
          <w:b/>
          <w:bCs/>
        </w:rPr>
        <w:t>4</w:t>
      </w:r>
      <w:r w:rsidR="001038A0" w:rsidRPr="00773EEA">
        <w:rPr>
          <w:b/>
          <w:bCs/>
        </w:rPr>
        <w:t>.</w:t>
      </w:r>
      <w:r w:rsidR="008339DE" w:rsidRPr="00773EEA">
        <w:rPr>
          <w:b/>
          <w:bCs/>
        </w:rPr>
        <w:t>4</w:t>
      </w:r>
      <w:r w:rsidRPr="00773EEA">
        <w:t xml:space="preserve">, leads TOs through a robust process to co-create suitable concepts with the city government and relevant stakeholders. In practice, stakeholder consultation has been rather thin in some cities, partly due to the challenges of reaching civil society and private sector stakeholders during the pandemic (See </w:t>
      </w:r>
      <w:r w:rsidRPr="00773EEA">
        <w:rPr>
          <w:b/>
          <w:bCs/>
        </w:rPr>
        <w:t>Section 3.3</w:t>
      </w:r>
      <w:r w:rsidRPr="00773EEA">
        <w:t xml:space="preserve">). </w:t>
      </w:r>
    </w:p>
    <w:p w14:paraId="6B8978FC" w14:textId="77777777" w:rsidR="00D401F0" w:rsidRPr="00773EEA" w:rsidRDefault="00783321" w:rsidP="00B7602B">
      <w:pPr>
        <w:ind w:left="170"/>
        <w:jc w:val="both"/>
      </w:pPr>
      <w:r w:rsidRPr="00773EEA">
        <w:t xml:space="preserve">Several </w:t>
      </w:r>
      <w:r w:rsidR="00286D2A" w:rsidRPr="00773EEA">
        <w:t xml:space="preserve">KIIs </w:t>
      </w:r>
      <w:r w:rsidRPr="00773EEA">
        <w:t xml:space="preserve">noted that </w:t>
      </w:r>
      <w:r w:rsidR="00906E04" w:rsidRPr="00773EEA">
        <w:t>in the</w:t>
      </w:r>
      <w:r w:rsidRPr="00773EEA">
        <w:t xml:space="preserve"> program</w:t>
      </w:r>
      <w:r w:rsidR="00906E04" w:rsidRPr="00773EEA">
        <w:t>’s earlier phases</w:t>
      </w:r>
      <w:r w:rsidRPr="00773EEA">
        <w:t>, there was perhaps too much focus on smart tech</w:t>
      </w:r>
      <w:r w:rsidR="00906E04" w:rsidRPr="00773EEA">
        <w:t>,</w:t>
      </w:r>
      <w:r w:rsidRPr="00773EEA">
        <w:t xml:space="preserve"> </w:t>
      </w:r>
      <w:r w:rsidR="00906E04" w:rsidRPr="00773EEA">
        <w:t>which gains</w:t>
      </w:r>
      <w:r w:rsidRPr="00773EEA">
        <w:t xml:space="preserve"> little traction in cities without sufficient digital readiness and staff capacity. </w:t>
      </w:r>
      <w:r w:rsidR="00387E67" w:rsidRPr="00773EEA">
        <w:t xml:space="preserve">The use of </w:t>
      </w:r>
      <w:r w:rsidR="00387E67" w:rsidRPr="00773EEA">
        <w:rPr>
          <w:lang w:val="en-US"/>
        </w:rPr>
        <w:t xml:space="preserve">ADB’s Analytical Framework </w:t>
      </w:r>
      <w:r w:rsidR="00A7344A" w:rsidRPr="00773EEA">
        <w:rPr>
          <w:lang w:val="en-US"/>
        </w:rPr>
        <w:t>– a</w:t>
      </w:r>
      <w:r w:rsidR="00387E67" w:rsidRPr="00773EEA">
        <w:rPr>
          <w:lang w:val="en-US"/>
        </w:rPr>
        <w:t xml:space="preserve"> readiness/maturity assessment – is part of the scoping process and </w:t>
      </w:r>
      <w:r w:rsidR="00387E67" w:rsidRPr="00773EEA">
        <w:t>t</w:t>
      </w:r>
      <w:r w:rsidRPr="00773EEA">
        <w:t xml:space="preserve">he approach </w:t>
      </w:r>
      <w:r w:rsidR="001038A0" w:rsidRPr="00773EEA">
        <w:t xml:space="preserve">is </w:t>
      </w:r>
      <w:r w:rsidRPr="00773EEA">
        <w:t xml:space="preserve">now much more sensitive to finding where the appropriate </w:t>
      </w:r>
      <w:r w:rsidR="00906E04" w:rsidRPr="00773EEA">
        <w:t>entry points</w:t>
      </w:r>
      <w:r w:rsidRPr="00773EEA">
        <w:t xml:space="preserve"> are for high-impact and practical smart solutions. </w:t>
      </w:r>
      <w:r w:rsidR="00D4551F" w:rsidRPr="00773EEA">
        <w:t xml:space="preserve">However, there is a limitation at the TO </w:t>
      </w:r>
      <w:r w:rsidR="00387E67" w:rsidRPr="00773EEA">
        <w:t xml:space="preserve">scoping </w:t>
      </w:r>
      <w:r w:rsidR="00D4551F" w:rsidRPr="00773EEA">
        <w:t xml:space="preserve">stage </w:t>
      </w:r>
      <w:r w:rsidR="00B10C90" w:rsidRPr="00773EEA">
        <w:t xml:space="preserve">in </w:t>
      </w:r>
      <w:r w:rsidR="000C6D6B" w:rsidRPr="00773EEA">
        <w:t xml:space="preserve">fully </w:t>
      </w:r>
      <w:r w:rsidR="00D4551F" w:rsidRPr="00773EEA">
        <w:t>understand</w:t>
      </w:r>
      <w:r w:rsidR="00B10C90" w:rsidRPr="00773EEA">
        <w:t>ing</w:t>
      </w:r>
      <w:r w:rsidR="00D4551F" w:rsidRPr="00773EEA">
        <w:t xml:space="preserve"> city government capacities and institutional dynamics. As one</w:t>
      </w:r>
      <w:r w:rsidR="00A35B0B" w:rsidRPr="00773EEA">
        <w:t xml:space="preserve"> Ramboll Core T</w:t>
      </w:r>
      <w:r w:rsidR="00D4551F" w:rsidRPr="00773EEA">
        <w:t xml:space="preserve">eam member put it: </w:t>
      </w:r>
      <w:r w:rsidR="00D4551F" w:rsidRPr="00773EEA">
        <w:rPr>
          <w:i/>
          <w:iCs/>
        </w:rPr>
        <w:t xml:space="preserve">“This process doesn’t happen </w:t>
      </w:r>
      <w:r w:rsidR="00B10C90" w:rsidRPr="00773EEA">
        <w:rPr>
          <w:i/>
          <w:iCs/>
        </w:rPr>
        <w:t>overnight,</w:t>
      </w:r>
      <w:r w:rsidR="00D4551F" w:rsidRPr="00773EEA">
        <w:rPr>
          <w:i/>
          <w:iCs/>
        </w:rPr>
        <w:t xml:space="preserve"> and the program has limited funds.”</w:t>
      </w:r>
      <w:r w:rsidR="00D4551F" w:rsidRPr="00773EEA">
        <w:t xml:space="preserve"> </w:t>
      </w:r>
    </w:p>
    <w:p w14:paraId="0699EE4D" w14:textId="66EA7E15" w:rsidR="00D4551F" w:rsidRPr="00773EEA" w:rsidRDefault="00D4551F" w:rsidP="00B7602B">
      <w:pPr>
        <w:ind w:left="170"/>
        <w:jc w:val="both"/>
      </w:pPr>
      <w:r w:rsidRPr="00773EEA">
        <w:t xml:space="preserve">Sometimes, unforeseen issues emerge only once the TO </w:t>
      </w:r>
      <w:r w:rsidR="00B37437" w:rsidRPr="00773EEA">
        <w:t>has commenced</w:t>
      </w:r>
      <w:r w:rsidRPr="00773EEA">
        <w:t>. This is relevant to Kaysone (TO-03) which has not progressed to Phase 2 under A</w:t>
      </w:r>
      <w:r w:rsidR="00DC210C" w:rsidRPr="00773EEA">
        <w:t>A</w:t>
      </w:r>
      <w:r w:rsidRPr="00773EEA">
        <w:t xml:space="preserve">SCTF, due to competition for funds with other potential TOs. One of the deciding factors for ADB was the uncertainty about how the skills matching tool would be integrated and sustainably </w:t>
      </w:r>
      <w:r w:rsidR="00246012" w:rsidRPr="00773EEA">
        <w:t>utilised</w:t>
      </w:r>
      <w:r w:rsidR="0008237A" w:rsidRPr="00773EEA">
        <w:t xml:space="preserve"> </w:t>
      </w:r>
      <w:r w:rsidRPr="00773EEA">
        <w:t>by the city government</w:t>
      </w:r>
      <w:r w:rsidR="00387E67" w:rsidRPr="00773EEA">
        <w:t xml:space="preserve">, </w:t>
      </w:r>
      <w:r w:rsidR="00246012" w:rsidRPr="00773EEA">
        <w:t xml:space="preserve">despite </w:t>
      </w:r>
      <w:r w:rsidR="00387E67" w:rsidRPr="00773EEA">
        <w:t>having gone through a prolonged concept design phase</w:t>
      </w:r>
      <w:r w:rsidRPr="00773EEA">
        <w:t>.</w:t>
      </w:r>
      <w:r w:rsidR="00387E67" w:rsidRPr="00773EEA">
        <w:t xml:space="preserve"> Where possible, TO scoping should identify institutional opportunities and </w:t>
      </w:r>
      <w:r w:rsidR="00A445AB" w:rsidRPr="00773EEA">
        <w:t>risk</w:t>
      </w:r>
      <w:r w:rsidR="00387E67" w:rsidRPr="00773EEA">
        <w:t xml:space="preserve">s </w:t>
      </w:r>
      <w:r w:rsidR="009438A7" w:rsidRPr="00773EEA">
        <w:t xml:space="preserve">in as much detail as possible, to </w:t>
      </w:r>
      <w:r w:rsidR="00731C66" w:rsidRPr="00773EEA">
        <w:t>excavate the feasibility of a concept</w:t>
      </w:r>
      <w:r w:rsidR="007F1684" w:rsidRPr="00773EEA">
        <w:t xml:space="preserve"> and</w:t>
      </w:r>
      <w:r w:rsidR="00731C66" w:rsidRPr="00773EEA">
        <w:t xml:space="preserve"> </w:t>
      </w:r>
      <w:r w:rsidR="009438A7" w:rsidRPr="00773EEA">
        <w:t xml:space="preserve">maximise the </w:t>
      </w:r>
      <w:r w:rsidR="007F1684" w:rsidRPr="00773EEA">
        <w:t xml:space="preserve">likelihood of </w:t>
      </w:r>
      <w:r w:rsidR="009438A7" w:rsidRPr="00773EEA">
        <w:t>Phase 2 T</w:t>
      </w:r>
      <w:r w:rsidR="00D401F0" w:rsidRPr="00773EEA">
        <w:t>O</w:t>
      </w:r>
      <w:r w:rsidR="009438A7" w:rsidRPr="00773EEA">
        <w:t xml:space="preserve">s. </w:t>
      </w:r>
    </w:p>
    <w:p w14:paraId="5A57B326" w14:textId="4CF3D581" w:rsidR="00D4551F" w:rsidRPr="00773EEA" w:rsidRDefault="00D4551F" w:rsidP="00B7602B">
      <w:pPr>
        <w:ind w:left="170"/>
        <w:jc w:val="both"/>
      </w:pPr>
      <w:r w:rsidRPr="00773EEA">
        <w:rPr>
          <w:b/>
          <w:bCs/>
        </w:rPr>
        <w:t>City government buy-in:</w:t>
      </w:r>
      <w:r w:rsidRPr="00773EEA">
        <w:t xml:space="preserve"> From </w:t>
      </w:r>
      <w:r w:rsidR="00690AFA" w:rsidRPr="00773EEA">
        <w:t>program inception</w:t>
      </w:r>
      <w:r w:rsidRPr="00773EEA">
        <w:t xml:space="preserve">, ADB has aimed to work with cities where ADB project officers have existing relationships with city governments, which helps to </w:t>
      </w:r>
      <w:r w:rsidR="00865F34" w:rsidRPr="00773EEA">
        <w:t>ampl</w:t>
      </w:r>
      <w:r w:rsidR="0096669D" w:rsidRPr="00773EEA">
        <w:t>ify</w:t>
      </w:r>
      <w:r w:rsidR="00865F34" w:rsidRPr="00773EEA">
        <w:t xml:space="preserve"> </w:t>
      </w:r>
      <w:r w:rsidR="00737E07" w:rsidRPr="00773EEA">
        <w:t xml:space="preserve">the </w:t>
      </w:r>
      <w:r w:rsidRPr="00773EEA">
        <w:t>impact</w:t>
      </w:r>
      <w:r w:rsidR="00737E07" w:rsidRPr="00773EEA">
        <w:t xml:space="preserve"> of technical assistance</w:t>
      </w:r>
      <w:r w:rsidRPr="00773EEA">
        <w:t xml:space="preserve">. In many cities, ADB can draw on a 5 to 10-year relationship resulting from loan projects. There is strong buy-in from city governments for the </w:t>
      </w:r>
      <w:r w:rsidR="0096669D" w:rsidRPr="00773EEA">
        <w:t>Silver-</w:t>
      </w:r>
      <w:r w:rsidRPr="00773EEA">
        <w:t xml:space="preserve">level </w:t>
      </w:r>
      <w:proofErr w:type="spellStart"/>
      <w:r w:rsidRPr="00773EEA">
        <w:t>T</w:t>
      </w:r>
      <w:r w:rsidR="006C0757" w:rsidRPr="00773EEA">
        <w:t>o</w:t>
      </w:r>
      <w:r w:rsidRPr="00773EEA">
        <w:t>s</w:t>
      </w:r>
      <w:proofErr w:type="spellEnd"/>
      <w:r w:rsidRPr="00773EEA">
        <w:t xml:space="preserve">. Several city stakeholders also mentioned the value in leveraging AASCTF </w:t>
      </w:r>
      <w:r w:rsidRPr="00773EEA">
        <w:lastRenderedPageBreak/>
        <w:t>projects and DFAT and ADB association to attract investors. A</w:t>
      </w:r>
      <w:r w:rsidR="00945011" w:rsidRPr="00773EEA">
        <w:t>n</w:t>
      </w:r>
      <w:r w:rsidRPr="00773EEA">
        <w:t xml:space="preserve"> important strategy engaged by the TO teams is the identification of an intervention champion on the city government side, who can anchor the intervention</w:t>
      </w:r>
      <w:r w:rsidR="007B6B06" w:rsidRPr="00773EEA">
        <w:t>, provide crucial political sponsorship,</w:t>
      </w:r>
      <w:r w:rsidRPr="00773EEA">
        <w:t xml:space="preserve"> and carry it forward beyond the </w:t>
      </w:r>
      <w:r w:rsidR="007B6B06" w:rsidRPr="00773EEA">
        <w:t xml:space="preserve">life of the </w:t>
      </w:r>
      <w:r w:rsidRPr="00773EEA">
        <w:t xml:space="preserve">program. For example, in Baguio, the Head of the City Disaster Risk Reduction and Management Office (CDRRMO) is the project </w:t>
      </w:r>
      <w:r w:rsidR="009E10BA" w:rsidRPr="00773EEA">
        <w:t>champion,</w:t>
      </w:r>
      <w:r w:rsidRPr="00773EEA">
        <w:t xml:space="preserve"> and </w:t>
      </w:r>
      <w:r w:rsidR="00193C37" w:rsidRPr="00773EEA">
        <w:t xml:space="preserve">their </w:t>
      </w:r>
      <w:r w:rsidR="009E10BA" w:rsidRPr="00773EEA">
        <w:t xml:space="preserve">sponsorship </w:t>
      </w:r>
      <w:r w:rsidRPr="00773EEA">
        <w:t xml:space="preserve">has proven to be a </w:t>
      </w:r>
      <w:r w:rsidR="00193C37" w:rsidRPr="00773EEA">
        <w:t>crucial</w:t>
      </w:r>
      <w:r w:rsidRPr="00773EEA">
        <w:t xml:space="preserve"> aspect of enabling a coordinated approach among other city government stakeholders. </w:t>
      </w:r>
    </w:p>
    <w:p w14:paraId="55CD0FB1" w14:textId="77777777" w:rsidR="006C0757" w:rsidRPr="00773EEA" w:rsidRDefault="00B7284F" w:rsidP="00B7602B">
      <w:pPr>
        <w:ind w:left="170"/>
        <w:jc w:val="both"/>
      </w:pPr>
      <w:r w:rsidRPr="00773EEA">
        <w:rPr>
          <w:b/>
          <w:bCs/>
        </w:rPr>
        <w:t>Understanding the exit strategy from an early stage:</w:t>
      </w:r>
      <w:r w:rsidRPr="00773EEA">
        <w:t xml:space="preserve"> The TO teams have </w:t>
      </w:r>
      <w:r w:rsidR="009E10BA" w:rsidRPr="00773EEA">
        <w:t xml:space="preserve">sought </w:t>
      </w:r>
      <w:r w:rsidRPr="00773EEA">
        <w:t xml:space="preserve">to plan </w:t>
      </w:r>
      <w:r w:rsidR="009E10BA" w:rsidRPr="00773EEA">
        <w:t xml:space="preserve">out </w:t>
      </w:r>
      <w:r w:rsidRPr="00773EEA">
        <w:t xml:space="preserve">how a </w:t>
      </w:r>
      <w:r w:rsidR="009E10BA" w:rsidRPr="00773EEA">
        <w:t xml:space="preserve">developed </w:t>
      </w:r>
      <w:r w:rsidRPr="00773EEA">
        <w:t>tool or service would be handed over to the city government. This includes understanding the institutional context and thinking though how to overcome barriers selected city government department</w:t>
      </w:r>
      <w:r w:rsidR="00A134CB" w:rsidRPr="00773EEA">
        <w:t>s</w:t>
      </w:r>
      <w:r w:rsidR="000A2B13" w:rsidRPr="00773EEA">
        <w:t xml:space="preserve"> may face in</w:t>
      </w:r>
      <w:r w:rsidRPr="00773EEA">
        <w:t xml:space="preserve"> being able to </w:t>
      </w:r>
      <w:r w:rsidR="000A2B13" w:rsidRPr="00773EEA">
        <w:t>sustainably</w:t>
      </w:r>
      <w:r w:rsidRPr="00773EEA">
        <w:t xml:space="preserve"> operate </w:t>
      </w:r>
      <w:r w:rsidR="000A2B13" w:rsidRPr="00773EEA">
        <w:t xml:space="preserve">and maintain </w:t>
      </w:r>
      <w:r w:rsidRPr="00773EEA">
        <w:t xml:space="preserve">the system. In Baguio, the TO </w:t>
      </w:r>
      <w:r w:rsidR="00BC0F79" w:rsidRPr="00773EEA">
        <w:t>has</w:t>
      </w:r>
      <w:r w:rsidR="000A2B13" w:rsidRPr="00773EEA">
        <w:t xml:space="preserve"> </w:t>
      </w:r>
      <w:r w:rsidRPr="00773EEA">
        <w:t xml:space="preserve">helped establish an appropriate organisational structure for managing the FEWS, provided with a leadership role played by the CDRRMO as the project champion. </w:t>
      </w:r>
    </w:p>
    <w:p w14:paraId="582BDE51" w14:textId="49F4F7A3" w:rsidR="00B7284F" w:rsidRPr="00773EEA" w:rsidRDefault="00B7284F" w:rsidP="00B7602B">
      <w:pPr>
        <w:ind w:left="170"/>
        <w:jc w:val="both"/>
      </w:pPr>
      <w:r w:rsidRPr="00773EEA">
        <w:t>In Battambang (TO-07) the team is working closely with Ministry of Environment</w:t>
      </w:r>
      <w:r w:rsidR="00AB70CE" w:rsidRPr="00773EEA">
        <w:t>,</w:t>
      </w:r>
      <w:r w:rsidRPr="00773EEA">
        <w:t xml:space="preserve"> as the digital waste management tool will need strong ownership from government to be sustainable. </w:t>
      </w:r>
      <w:r w:rsidR="00CB63A8" w:rsidRPr="00773EEA">
        <w:t>T</w:t>
      </w:r>
      <w:r w:rsidRPr="00773EEA">
        <w:t xml:space="preserve">he program is often bringing together city departments that </w:t>
      </w:r>
      <w:r w:rsidR="002D2EC7" w:rsidRPr="00773EEA">
        <w:t>otherwise exhibit little interagency operability</w:t>
      </w:r>
      <w:r w:rsidRPr="00773EEA">
        <w:t xml:space="preserve">, helping to </w:t>
      </w:r>
      <w:r w:rsidR="002D2EC7" w:rsidRPr="00773EEA">
        <w:t xml:space="preserve">foster </w:t>
      </w:r>
      <w:r w:rsidRPr="00773EEA">
        <w:t>new partnerships</w:t>
      </w:r>
      <w:r w:rsidR="002D2EC7" w:rsidRPr="00773EEA">
        <w:t>, collaboration</w:t>
      </w:r>
      <w:r w:rsidRPr="00773EEA">
        <w:t xml:space="preserve"> and synergies in conceptualising smart city solutions. For example, in Baguio, the TO is encouraging the Local Government Unit (LGU) to establish binding agreements with </w:t>
      </w:r>
      <w:r w:rsidR="002D2EC7" w:rsidRPr="00773EEA">
        <w:t xml:space="preserve">other </w:t>
      </w:r>
      <w:r w:rsidRPr="00773EEA">
        <w:t>relevant agencies</w:t>
      </w:r>
      <w:r w:rsidR="00EA6ED8" w:rsidRPr="00773EEA">
        <w:t>,</w:t>
      </w:r>
      <w:r w:rsidRPr="00773EEA">
        <w:t xml:space="preserve"> such as the Department of Science and Technology (DOST)</w:t>
      </w:r>
      <w:r w:rsidR="00EA6ED8" w:rsidRPr="00773EEA">
        <w:t>,</w:t>
      </w:r>
      <w:r w:rsidRPr="00773EEA">
        <w:t xml:space="preserve"> where there are </w:t>
      </w:r>
      <w:r w:rsidR="00EA6ED8" w:rsidRPr="00773EEA">
        <w:t xml:space="preserve">exists </w:t>
      </w:r>
      <w:r w:rsidRPr="00773EEA">
        <w:t xml:space="preserve">joint responsibilities </w:t>
      </w:r>
      <w:r w:rsidR="00EA6ED8" w:rsidRPr="00773EEA">
        <w:t xml:space="preserve">for </w:t>
      </w:r>
      <w:r w:rsidRPr="00773EEA">
        <w:t>implementing the FEWS.</w:t>
      </w:r>
    </w:p>
    <w:p w14:paraId="08E549C4" w14:textId="77777777" w:rsidR="006C0757" w:rsidRPr="00773EEA" w:rsidRDefault="00B7284F" w:rsidP="00B7602B">
      <w:pPr>
        <w:ind w:left="170"/>
        <w:jc w:val="both"/>
      </w:pPr>
      <w:r w:rsidRPr="00773EEA">
        <w:rPr>
          <w:b/>
          <w:bCs/>
        </w:rPr>
        <w:t>Capacity development to enable sustained use of intervention tools or services:</w:t>
      </w:r>
      <w:r w:rsidRPr="00773EEA">
        <w:t xml:space="preserve"> Long</w:t>
      </w:r>
      <w:r w:rsidR="00EA6ED8" w:rsidRPr="00773EEA">
        <w:t>-</w:t>
      </w:r>
      <w:r w:rsidRPr="00773EEA">
        <w:t>term sustainability is closely tied to the capabilities of city staff to take over and use the resulting tools and services</w:t>
      </w:r>
      <w:r w:rsidR="00007741" w:rsidRPr="00773EEA">
        <w:t xml:space="preserve"> in a meaningful way</w:t>
      </w:r>
      <w:r w:rsidRPr="00773EEA">
        <w:t xml:space="preserve">. </w:t>
      </w:r>
      <w:r w:rsidR="00396947" w:rsidRPr="00773EEA">
        <w:t xml:space="preserve">Each city </w:t>
      </w:r>
      <w:r w:rsidRPr="00773EEA">
        <w:t>context</w:t>
      </w:r>
      <w:r w:rsidR="00396947" w:rsidRPr="00773EEA">
        <w:t xml:space="preserve"> differs significantly,</w:t>
      </w:r>
      <w:r w:rsidRPr="00773EEA">
        <w:t xml:space="preserve"> and </w:t>
      </w:r>
      <w:r w:rsidR="00396947" w:rsidRPr="00773EEA">
        <w:t>the</w:t>
      </w:r>
      <w:r w:rsidRPr="00773EEA">
        <w:t xml:space="preserve"> Ramboll team spoke of </w:t>
      </w:r>
      <w:r w:rsidR="00396947" w:rsidRPr="00773EEA">
        <w:t xml:space="preserve">extensive </w:t>
      </w:r>
      <w:r w:rsidRPr="00773EEA">
        <w:t>discussion</w:t>
      </w:r>
      <w:r w:rsidR="00F77494" w:rsidRPr="00773EEA">
        <w:t>s</w:t>
      </w:r>
      <w:r w:rsidRPr="00773EEA">
        <w:t xml:space="preserve"> </w:t>
      </w:r>
      <w:r w:rsidR="00276E6C" w:rsidRPr="00773EEA">
        <w:t>planning</w:t>
      </w:r>
      <w:r w:rsidR="003F0A8A" w:rsidRPr="00773EEA">
        <w:t xml:space="preserve"> </w:t>
      </w:r>
      <w:r w:rsidRPr="00773EEA">
        <w:t xml:space="preserve">how to set the right capacity foundations to enable long-term use and impact of TO tools and services. </w:t>
      </w:r>
      <w:r w:rsidR="00F77494" w:rsidRPr="00773EEA">
        <w:t>For example, i</w:t>
      </w:r>
      <w:r w:rsidRPr="00773EEA">
        <w:t xml:space="preserve">n Baguio, there has been a comprehensive effort to develop the capacity of city government staff and </w:t>
      </w:r>
      <w:r w:rsidR="00FF761A" w:rsidRPr="00773EEA">
        <w:t>an external peer group, comprising both university academics and regional/district agencies, to operate and maintain the FEWS</w:t>
      </w:r>
      <w:r w:rsidRPr="00773EEA">
        <w:t xml:space="preserve">. </w:t>
      </w:r>
    </w:p>
    <w:p w14:paraId="6772207C" w14:textId="1568B4B3" w:rsidR="00B7284F" w:rsidRPr="00773EEA" w:rsidRDefault="00B7284F" w:rsidP="00B7602B">
      <w:pPr>
        <w:ind w:left="170"/>
        <w:jc w:val="both"/>
      </w:pPr>
      <w:r w:rsidRPr="00773EEA">
        <w:t>The TO teams have also found it important</w:t>
      </w:r>
      <w:r w:rsidR="00EF1FD5" w:rsidRPr="00773EEA">
        <w:t xml:space="preserve">, to </w:t>
      </w:r>
      <w:r w:rsidRPr="00773EEA">
        <w:t xml:space="preserve">carry out capacity building </w:t>
      </w:r>
      <w:r w:rsidR="00A212B5" w:rsidRPr="00773EEA">
        <w:t xml:space="preserve">with </w:t>
      </w:r>
      <w:r w:rsidRPr="00773EEA">
        <w:t xml:space="preserve">the government staff with whom they are working, </w:t>
      </w:r>
      <w:r w:rsidR="00285A9A" w:rsidRPr="00773EEA">
        <w:t xml:space="preserve">from an early stage, </w:t>
      </w:r>
      <w:proofErr w:type="gramStart"/>
      <w:r w:rsidR="00C02D1C" w:rsidRPr="00773EEA">
        <w:t xml:space="preserve">so </w:t>
      </w:r>
      <w:r w:rsidR="00EF1FD5" w:rsidRPr="00773EEA">
        <w:t xml:space="preserve">as </w:t>
      </w:r>
      <w:r w:rsidR="00C02D1C" w:rsidRPr="00773EEA">
        <w:t>to</w:t>
      </w:r>
      <w:proofErr w:type="gramEnd"/>
      <w:r w:rsidRPr="00773EEA">
        <w:t xml:space="preserve"> </w:t>
      </w:r>
      <w:r w:rsidR="00EF1FD5" w:rsidRPr="00773EEA">
        <w:t xml:space="preserve">enable </w:t>
      </w:r>
      <w:r w:rsidRPr="00773EEA">
        <w:t xml:space="preserve">them to understand the intervention and </w:t>
      </w:r>
      <w:r w:rsidR="00EF1FD5" w:rsidRPr="00773EEA">
        <w:t xml:space="preserve">empower </w:t>
      </w:r>
      <w:r w:rsidRPr="00773EEA">
        <w:t xml:space="preserve">them to provide effective feedback and steering. This has been a learning </w:t>
      </w:r>
      <w:r w:rsidR="00704774" w:rsidRPr="00773EEA">
        <w:t>curve for</w:t>
      </w:r>
      <w:r w:rsidRPr="00773EEA">
        <w:t xml:space="preserve"> the program, as insufficient effort was </w:t>
      </w:r>
      <w:r w:rsidR="00704774" w:rsidRPr="00773EEA">
        <w:t xml:space="preserve">originally </w:t>
      </w:r>
      <w:r w:rsidRPr="00773EEA">
        <w:t xml:space="preserve">applied to this </w:t>
      </w:r>
      <w:r w:rsidR="00704774" w:rsidRPr="00773EEA">
        <w:t>during</w:t>
      </w:r>
      <w:r w:rsidRPr="00773EEA">
        <w:t xml:space="preserve"> earlier TOs</w:t>
      </w:r>
      <w:r w:rsidR="00704774" w:rsidRPr="00773EEA">
        <w:t>,</w:t>
      </w:r>
      <w:r w:rsidRPr="00773EEA">
        <w:t xml:space="preserve"> such as Makassar and Georgetown</w:t>
      </w:r>
      <w:r w:rsidR="001A4210" w:rsidRPr="00773EEA">
        <w:t>.</w:t>
      </w:r>
      <w:r w:rsidRPr="00773EEA">
        <w:t xml:space="preserve"> </w:t>
      </w:r>
      <w:r w:rsidR="00704774" w:rsidRPr="00773EEA">
        <w:t xml:space="preserve">KIIs </w:t>
      </w:r>
      <w:r w:rsidRPr="00773EEA">
        <w:t xml:space="preserve">with city government representatives show that </w:t>
      </w:r>
      <w:r w:rsidR="00704774" w:rsidRPr="00773EEA">
        <w:t>despite progress</w:t>
      </w:r>
      <w:r w:rsidR="001A04DD" w:rsidRPr="00773EEA">
        <w:t xml:space="preserve">, </w:t>
      </w:r>
      <w:r w:rsidRPr="00773EEA">
        <w:t xml:space="preserve">this remains </w:t>
      </w:r>
      <w:r w:rsidR="001A04DD" w:rsidRPr="00773EEA">
        <w:t>a critical</w:t>
      </w:r>
      <w:r w:rsidRPr="00773EEA">
        <w:t xml:space="preserve"> </w:t>
      </w:r>
      <w:r w:rsidR="001A04DD" w:rsidRPr="00773EEA">
        <w:t xml:space="preserve">area, necessitating </w:t>
      </w:r>
      <w:r w:rsidRPr="00773EEA">
        <w:t xml:space="preserve">greater focus. The transfer or turnover of personnel and </w:t>
      </w:r>
      <w:r w:rsidR="00FE7A12" w:rsidRPr="00773EEA">
        <w:t xml:space="preserve">the </w:t>
      </w:r>
      <w:r w:rsidRPr="00773EEA">
        <w:t xml:space="preserve">associated loss of </w:t>
      </w:r>
      <w:r w:rsidR="00FE7A12" w:rsidRPr="00773EEA">
        <w:t>upskilled st</w:t>
      </w:r>
      <w:r w:rsidR="006A4D03" w:rsidRPr="00773EEA">
        <w:t>a</w:t>
      </w:r>
      <w:r w:rsidR="00FE7A12" w:rsidRPr="00773EEA">
        <w:t>f</w:t>
      </w:r>
      <w:r w:rsidR="006A4D03" w:rsidRPr="00773EEA">
        <w:t>f</w:t>
      </w:r>
      <w:r w:rsidR="00FE7A12" w:rsidRPr="00773EEA">
        <w:t xml:space="preserve"> and </w:t>
      </w:r>
      <w:r w:rsidRPr="00773EEA">
        <w:t xml:space="preserve">institutional knowledge </w:t>
      </w:r>
      <w:r w:rsidR="00F77494" w:rsidRPr="00773EEA">
        <w:t xml:space="preserve">also </w:t>
      </w:r>
      <w:r w:rsidRPr="00773EEA">
        <w:t xml:space="preserve">remains a </w:t>
      </w:r>
      <w:r w:rsidR="00FE7A12" w:rsidRPr="00773EEA">
        <w:t xml:space="preserve">notable </w:t>
      </w:r>
      <w:r w:rsidRPr="00773EEA">
        <w:t xml:space="preserve">risk </w:t>
      </w:r>
      <w:r w:rsidR="00FE7A12" w:rsidRPr="00773EEA">
        <w:t xml:space="preserve">and </w:t>
      </w:r>
      <w:r w:rsidR="00A7344A" w:rsidRPr="00773EEA">
        <w:t>a</w:t>
      </w:r>
      <w:r w:rsidR="006A4D03" w:rsidRPr="00773EEA">
        <w:t xml:space="preserve"> challenging</w:t>
      </w:r>
      <w:r w:rsidR="00FE7A12" w:rsidRPr="00773EEA">
        <w:t xml:space="preserve"> </w:t>
      </w:r>
      <w:r w:rsidR="006A4D03" w:rsidRPr="00773EEA">
        <w:t>issue</w:t>
      </w:r>
      <w:r w:rsidRPr="00773EEA">
        <w:t xml:space="preserve"> </w:t>
      </w:r>
      <w:r w:rsidR="00F77494" w:rsidRPr="00773EEA">
        <w:t xml:space="preserve">for the program to </w:t>
      </w:r>
      <w:r w:rsidRPr="00773EEA">
        <w:t xml:space="preserve">address. </w:t>
      </w:r>
    </w:p>
    <w:p w14:paraId="20553148" w14:textId="3D3FD6A2" w:rsidR="00B7284F" w:rsidRPr="00773EEA" w:rsidRDefault="00B7284F" w:rsidP="00B7602B">
      <w:pPr>
        <w:ind w:left="170"/>
        <w:jc w:val="both"/>
      </w:pPr>
      <w:r w:rsidRPr="00773EEA">
        <w:rPr>
          <w:b/>
          <w:bCs/>
        </w:rPr>
        <w:t xml:space="preserve">Anticipating and mitigating operations and maintenance challenges: </w:t>
      </w:r>
      <w:r w:rsidRPr="00773EEA">
        <w:t xml:space="preserve">The </w:t>
      </w:r>
      <w:r w:rsidR="00A7344A" w:rsidRPr="00773EEA">
        <w:t>AASCTF</w:t>
      </w:r>
      <w:r w:rsidRPr="00773EEA">
        <w:t xml:space="preserve"> TO teams are making a deliberate effort to anticipate operations and maintenance challenges</w:t>
      </w:r>
      <w:r w:rsidR="0031101E" w:rsidRPr="00773EEA">
        <w:t>,</w:t>
      </w:r>
      <w:r w:rsidRPr="00773EEA">
        <w:t xml:space="preserve"> including low capacity and limited financial resources. For example, solutions are </w:t>
      </w:r>
      <w:r w:rsidR="003A1ECE" w:rsidRPr="00773EEA">
        <w:t xml:space="preserve">often </w:t>
      </w:r>
      <w:r w:rsidRPr="00773EEA">
        <w:t xml:space="preserve">based on </w:t>
      </w:r>
      <w:r w:rsidR="0031101E" w:rsidRPr="00773EEA">
        <w:t>inexpensive ‘</w:t>
      </w:r>
      <w:r w:rsidRPr="00773EEA">
        <w:t>off-the-shelf</w:t>
      </w:r>
      <w:r w:rsidR="0031101E" w:rsidRPr="00773EEA">
        <w:t>’</w:t>
      </w:r>
      <w:r w:rsidRPr="00773EEA">
        <w:t xml:space="preserve"> software</w:t>
      </w:r>
      <w:r w:rsidR="00946A3A" w:rsidRPr="00773EEA">
        <w:t xml:space="preserve"> that is</w:t>
      </w:r>
      <w:r w:rsidRPr="00773EEA">
        <w:t xml:space="preserve"> simple and easy to maintain, as demonstrated by TO-1</w:t>
      </w:r>
      <w:r w:rsidR="00285A9A" w:rsidRPr="00773EEA">
        <w:t>0</w:t>
      </w:r>
      <w:r w:rsidRPr="00773EEA">
        <w:t xml:space="preserve"> in Hue</w:t>
      </w:r>
      <w:r w:rsidR="00946A3A" w:rsidRPr="00773EEA">
        <w:t xml:space="preserve"> (</w:t>
      </w:r>
      <w:r w:rsidRPr="00773EEA">
        <w:t>Vietnam</w:t>
      </w:r>
      <w:r w:rsidR="00946A3A" w:rsidRPr="00773EEA">
        <w:t>)</w:t>
      </w:r>
      <w:r w:rsidRPr="00773EEA">
        <w:t xml:space="preserve"> which was going through this process at the time of the </w:t>
      </w:r>
      <w:r w:rsidR="00946A3A" w:rsidRPr="00773EEA">
        <w:t>MTR</w:t>
      </w:r>
      <w:r w:rsidRPr="00773EEA">
        <w:t>. Support on calculating budget</w:t>
      </w:r>
      <w:r w:rsidR="00C23CEC" w:rsidRPr="00773EEA">
        <w:t>-</w:t>
      </w:r>
      <w:r w:rsidRPr="00773EEA">
        <w:t>suitable allocations for future maintenance has also been provided to some city governments</w:t>
      </w:r>
      <w:r w:rsidR="00C23CEC" w:rsidRPr="00773EEA">
        <w:t>,</w:t>
      </w:r>
      <w:r w:rsidRPr="00773EEA">
        <w:t xml:space="preserve"> including Baguio. </w:t>
      </w:r>
    </w:p>
    <w:p w14:paraId="2DD111BE" w14:textId="3C31D586" w:rsidR="00230E70" w:rsidRPr="00773EEA" w:rsidRDefault="00230E70" w:rsidP="00230E70">
      <w:pPr>
        <w:ind w:left="170"/>
      </w:pPr>
      <w:r w:rsidRPr="00773EEA">
        <w:t xml:space="preserve">However, there </w:t>
      </w:r>
      <w:r w:rsidR="008A46B5" w:rsidRPr="00773EEA">
        <w:t xml:space="preserve">remain </w:t>
      </w:r>
      <w:proofErr w:type="gramStart"/>
      <w:r w:rsidRPr="00773EEA">
        <w:t>a number of</w:t>
      </w:r>
      <w:proofErr w:type="gramEnd"/>
      <w:r w:rsidRPr="00773EEA">
        <w:t xml:space="preserve"> risks to sustainable outcomes, which are addressed in </w:t>
      </w:r>
      <w:r w:rsidRPr="00773EEA">
        <w:rPr>
          <w:b/>
          <w:bCs/>
        </w:rPr>
        <w:t>Section 3.4</w:t>
      </w:r>
      <w:r w:rsidRPr="00773EEA">
        <w:t xml:space="preserve">. </w:t>
      </w:r>
    </w:p>
    <w:p w14:paraId="48A26A82" w14:textId="77B3B843" w:rsidR="00230E70" w:rsidRPr="00773EEA" w:rsidRDefault="00AA614E" w:rsidP="00230E70">
      <w:pPr>
        <w:ind w:left="170"/>
        <w:rPr>
          <w:rFonts w:asciiTheme="majorHAnsi" w:hAnsiTheme="majorHAnsi"/>
          <w:b/>
          <w:bCs/>
          <w:sz w:val="24"/>
          <w:szCs w:val="24"/>
        </w:rPr>
      </w:pPr>
      <w:r w:rsidRPr="00773EEA">
        <w:rPr>
          <w:rFonts w:asciiTheme="majorHAnsi" w:hAnsiTheme="majorHAnsi"/>
          <w:b/>
          <w:bCs/>
          <w:sz w:val="24"/>
          <w:szCs w:val="24"/>
        </w:rPr>
        <w:t xml:space="preserve">3.1.3. </w:t>
      </w:r>
      <w:r w:rsidR="00230E70" w:rsidRPr="00773EEA">
        <w:rPr>
          <w:rFonts w:asciiTheme="majorHAnsi" w:hAnsiTheme="majorHAnsi"/>
          <w:b/>
          <w:bCs/>
          <w:sz w:val="24"/>
          <w:szCs w:val="24"/>
        </w:rPr>
        <w:t>Is AASCTF demonstrating approaches that can be replicated in other cities?</w:t>
      </w:r>
    </w:p>
    <w:p w14:paraId="19DCD7D1" w14:textId="6107E8E7" w:rsidR="00230E70" w:rsidRPr="00773EEA" w:rsidRDefault="00230E70" w:rsidP="00B7602B">
      <w:pPr>
        <w:ind w:left="170"/>
        <w:jc w:val="both"/>
      </w:pPr>
      <w:r w:rsidRPr="00773EEA">
        <w:rPr>
          <w:b/>
          <w:bCs/>
        </w:rPr>
        <w:t xml:space="preserve">There are significant opportunities to help catalyse replication of </w:t>
      </w:r>
      <w:r w:rsidR="006D4F24" w:rsidRPr="00773EEA">
        <w:rPr>
          <w:b/>
          <w:bCs/>
        </w:rPr>
        <w:t xml:space="preserve">Silver </w:t>
      </w:r>
      <w:r w:rsidRPr="00773EEA">
        <w:rPr>
          <w:b/>
          <w:bCs/>
        </w:rPr>
        <w:t xml:space="preserve">TOs in other cities. </w:t>
      </w:r>
      <w:r w:rsidRPr="00773EEA">
        <w:t xml:space="preserve">The city-specific interventions are creating a wide range of learning and replication opportunities. While it is still too early to say how effectively the tools and services will continue to be used by city governments after the program </w:t>
      </w:r>
      <w:r w:rsidR="00BC4F92" w:rsidRPr="00773EEA">
        <w:t>concludes,</w:t>
      </w:r>
      <w:r w:rsidRPr="00773EEA">
        <w:t xml:space="preserve"> there are </w:t>
      </w:r>
      <w:r w:rsidR="0033667E" w:rsidRPr="00773EEA">
        <w:t>indications</w:t>
      </w:r>
      <w:r w:rsidRPr="00773EEA">
        <w:t xml:space="preserve"> that the foundations for sustained use and impact have largely been </w:t>
      </w:r>
      <w:r w:rsidR="00505C4A" w:rsidRPr="00773EEA">
        <w:t xml:space="preserve">well </w:t>
      </w:r>
      <w:r w:rsidRPr="00773EEA">
        <w:t xml:space="preserve">considered. The program interventions are already inspiring one or two cases of local duplication. For example, in Baguio, the University of the Cordilleras is planning to support the local government to replicate </w:t>
      </w:r>
      <w:r w:rsidR="00505C4A" w:rsidRPr="00773EEA">
        <w:t>activity undertaken</w:t>
      </w:r>
      <w:r w:rsidRPr="00773EEA">
        <w:t xml:space="preserve"> </w:t>
      </w:r>
      <w:r w:rsidR="00505C4A" w:rsidRPr="00773EEA">
        <w:t xml:space="preserve">through </w:t>
      </w:r>
      <w:r w:rsidRPr="00773EEA">
        <w:t xml:space="preserve">TO-02 on the FEWS on a separate river system nearby. Beyond this, many interviewees believed that there are significant opportunities to replicate the interventions developed by AASCTF in many other cities </w:t>
      </w:r>
      <w:r w:rsidR="00DB3D73" w:rsidRPr="00773EEA">
        <w:t>across</w:t>
      </w:r>
      <w:r w:rsidRPr="00773EEA">
        <w:t xml:space="preserve"> ASEAN. </w:t>
      </w:r>
    </w:p>
    <w:p w14:paraId="4850378E" w14:textId="3DFEBEF3" w:rsidR="00230E70" w:rsidRPr="00773EEA" w:rsidRDefault="00230E70" w:rsidP="00B7602B">
      <w:pPr>
        <w:ind w:left="170"/>
        <w:jc w:val="both"/>
      </w:pPr>
      <w:r w:rsidRPr="00773EEA">
        <w:rPr>
          <w:b/>
          <w:bCs/>
        </w:rPr>
        <w:t xml:space="preserve">While knowledge sharing events help to disseminate ideas, they are unlikely to be implemented by city governments without more dedicated support. </w:t>
      </w:r>
      <w:r w:rsidRPr="00773EEA">
        <w:t>As mentioned above, while ideas</w:t>
      </w:r>
      <w:r w:rsidR="00DB3D73" w:rsidRPr="00773EEA">
        <w:t>,</w:t>
      </w:r>
      <w:r w:rsidRPr="00773EEA">
        <w:t xml:space="preserve"> examples of smart city approaches and tangible projects may be </w:t>
      </w:r>
      <w:r w:rsidR="00DB3D73" w:rsidRPr="00773EEA">
        <w:t xml:space="preserve">being </w:t>
      </w:r>
      <w:r w:rsidRPr="00773EEA">
        <w:t xml:space="preserve">shared via influencing activities, generally, the ability of city governments to put them into action remains limited without more sustained support from AASCTF or </w:t>
      </w:r>
      <w:r w:rsidR="00B713C0" w:rsidRPr="00773EEA">
        <w:t>elsewhere</w:t>
      </w:r>
      <w:r w:rsidRPr="00773EEA">
        <w:t xml:space="preserve">. This was a common theme </w:t>
      </w:r>
      <w:r w:rsidR="00B713C0" w:rsidRPr="00773EEA">
        <w:t>voiced by</w:t>
      </w:r>
      <w:r w:rsidRPr="00773EEA">
        <w:t xml:space="preserve"> </w:t>
      </w:r>
      <w:r w:rsidR="00DB3D73" w:rsidRPr="00773EEA">
        <w:t xml:space="preserve">Bronze </w:t>
      </w:r>
      <w:r w:rsidR="00B713C0" w:rsidRPr="00773EEA">
        <w:t xml:space="preserve">City </w:t>
      </w:r>
      <w:r w:rsidRPr="00773EEA">
        <w:t xml:space="preserve">representatives in El </w:t>
      </w:r>
      <w:proofErr w:type="spellStart"/>
      <w:r w:rsidRPr="00773EEA">
        <w:t>Nido</w:t>
      </w:r>
      <w:proofErr w:type="spellEnd"/>
      <w:r w:rsidR="00DB3D73" w:rsidRPr="00773EEA">
        <w:t xml:space="preserve"> (</w:t>
      </w:r>
      <w:r w:rsidRPr="00773EEA">
        <w:t>Philippines</w:t>
      </w:r>
      <w:r w:rsidR="00DB3D73" w:rsidRPr="00773EEA">
        <w:t>)</w:t>
      </w:r>
      <w:r w:rsidRPr="00773EEA">
        <w:t xml:space="preserve"> and Semarang</w:t>
      </w:r>
      <w:r w:rsidR="00B713C0" w:rsidRPr="00773EEA">
        <w:t xml:space="preserve"> (</w:t>
      </w:r>
      <w:r w:rsidRPr="00773EEA">
        <w:t>Indonesia</w:t>
      </w:r>
      <w:r w:rsidR="00B713C0" w:rsidRPr="00773EEA">
        <w:t>)</w:t>
      </w:r>
      <w:r w:rsidRPr="00773EEA">
        <w:t xml:space="preserve">. </w:t>
      </w:r>
    </w:p>
    <w:p w14:paraId="48701921" w14:textId="73745AAF" w:rsidR="00230E70" w:rsidRPr="00773EEA" w:rsidRDefault="00AA614E" w:rsidP="009710BC">
      <w:pPr>
        <w:ind w:left="170"/>
        <w:rPr>
          <w:rFonts w:asciiTheme="majorHAnsi" w:hAnsiTheme="majorHAnsi"/>
          <w:b/>
          <w:bCs/>
          <w:sz w:val="24"/>
          <w:szCs w:val="24"/>
        </w:rPr>
      </w:pPr>
      <w:r w:rsidRPr="00773EEA">
        <w:rPr>
          <w:rFonts w:asciiTheme="majorHAnsi" w:hAnsiTheme="majorHAnsi"/>
          <w:b/>
          <w:bCs/>
          <w:sz w:val="24"/>
          <w:szCs w:val="24"/>
        </w:rPr>
        <w:t xml:space="preserve">3.1.4. </w:t>
      </w:r>
      <w:r w:rsidR="00230E70" w:rsidRPr="00773EEA">
        <w:rPr>
          <w:rFonts w:asciiTheme="majorHAnsi" w:hAnsiTheme="majorHAnsi"/>
          <w:b/>
          <w:bCs/>
          <w:sz w:val="24"/>
          <w:szCs w:val="24"/>
        </w:rPr>
        <w:t>How is the program supporting implementation of the ASEAN Sustainable Urbanisation Strategy?</w:t>
      </w:r>
    </w:p>
    <w:p w14:paraId="0F80D8F7" w14:textId="5F57706E" w:rsidR="00230E70" w:rsidRPr="00773EEA" w:rsidRDefault="00230E70" w:rsidP="00B7602B">
      <w:pPr>
        <w:ind w:left="170"/>
        <w:jc w:val="both"/>
      </w:pPr>
      <w:r w:rsidRPr="00773EEA">
        <w:rPr>
          <w:b/>
          <w:bCs/>
        </w:rPr>
        <w:t xml:space="preserve">The program is well aligned with the ASEAN Sustainable Urbanisation Strategy (ASUS) and aims to help overcome key barriers to sustainable urbanisation. </w:t>
      </w:r>
      <w:r w:rsidRPr="00773EEA">
        <w:t xml:space="preserve">The program remains relevant to the Australian and ASEAN policy contexts and priorities identified during the program design stage, in particular the ASUS, although this </w:t>
      </w:r>
      <w:r w:rsidRPr="00773EEA">
        <w:lastRenderedPageBreak/>
        <w:t xml:space="preserve">comprises a very broad framework and is </w:t>
      </w:r>
      <w:r w:rsidR="00C957F3" w:rsidRPr="00773EEA">
        <w:t xml:space="preserve">affords </w:t>
      </w:r>
      <w:r w:rsidRPr="00773EEA">
        <w:t>easy align</w:t>
      </w:r>
      <w:r w:rsidR="00C957F3" w:rsidRPr="00773EEA">
        <w:t>ment</w:t>
      </w:r>
      <w:r w:rsidRPr="00773EEA">
        <w:t xml:space="preserve">. The six ASUS priority sub-areas are: Inclusive &amp; equitable growth; Housing &amp; </w:t>
      </w:r>
      <w:r w:rsidR="00C957F3" w:rsidRPr="00773EEA">
        <w:t>Home</w:t>
      </w:r>
      <w:r w:rsidRPr="00773EEA">
        <w:t xml:space="preserve">; Water, Waste &amp; </w:t>
      </w:r>
      <w:r w:rsidR="00C957F3" w:rsidRPr="00773EEA">
        <w:t>Sanitation</w:t>
      </w:r>
      <w:r w:rsidRPr="00773EEA">
        <w:t xml:space="preserve">; Mobility; Urban </w:t>
      </w:r>
      <w:r w:rsidR="00C957F3" w:rsidRPr="00773EEA">
        <w:t>Resilience</w:t>
      </w:r>
      <w:r w:rsidRPr="00773EEA">
        <w:t xml:space="preserve">; </w:t>
      </w:r>
      <w:r w:rsidR="00C957F3" w:rsidRPr="00773EEA">
        <w:t xml:space="preserve">and </w:t>
      </w:r>
      <w:r w:rsidRPr="00773EEA">
        <w:t>Education.</w:t>
      </w:r>
      <w:r w:rsidRPr="00773EEA">
        <w:rPr>
          <w:rStyle w:val="FootnoteReference"/>
          <w:color w:val="auto"/>
        </w:rPr>
        <w:footnoteReference w:id="16"/>
      </w:r>
      <w:r w:rsidRPr="00773EEA">
        <w:t xml:space="preserve"> The A</w:t>
      </w:r>
      <w:r w:rsidR="00DC210C" w:rsidRPr="00773EEA">
        <w:t>A</w:t>
      </w:r>
      <w:r w:rsidRPr="00773EEA">
        <w:t xml:space="preserve">SCTF activities are helping to implement specific initiatives in all areas. Overcoming barriers to sustainable urban development is another important focus of the ASUS. The program is aiming to tackle many of the barriers identified in the strategy including </w:t>
      </w:r>
      <w:r w:rsidR="00DD703F" w:rsidRPr="00773EEA">
        <w:t>the need for s</w:t>
      </w:r>
      <w:r w:rsidRPr="00773EEA">
        <w:t xml:space="preserve">trategic planning (TO-01; TO-06), information failures and prioritisation of interventions (TO-01) and implementation capacity (all TOs). The holistic approach of the AASCTF also fits well within the overall </w:t>
      </w:r>
      <w:r w:rsidR="006C5C4F" w:rsidRPr="00773EEA">
        <w:t xml:space="preserve">aims </w:t>
      </w:r>
      <w:r w:rsidRPr="00773EEA">
        <w:t>of the ADB</w:t>
      </w:r>
      <w:r w:rsidR="006C5C4F" w:rsidRPr="00773EEA">
        <w:t>’s</w:t>
      </w:r>
      <w:r w:rsidRPr="00773EEA">
        <w:t xml:space="preserve"> Strategy 2030 whereby an important aim is to support cities to become prosperous, inclusive, resilient, and sustainable.</w:t>
      </w:r>
      <w:r w:rsidRPr="00773EEA">
        <w:rPr>
          <w:rStyle w:val="FootnoteReference"/>
          <w:color w:val="auto"/>
        </w:rPr>
        <w:footnoteReference w:id="17"/>
      </w:r>
      <w:r w:rsidRPr="00773EEA">
        <w:t xml:space="preserve"> </w:t>
      </w:r>
    </w:p>
    <w:p w14:paraId="0B7F9C37" w14:textId="5AC651E3" w:rsidR="002B4AC2" w:rsidRPr="00773EEA" w:rsidRDefault="00230E70" w:rsidP="00B7602B">
      <w:pPr>
        <w:ind w:left="142"/>
        <w:jc w:val="both"/>
      </w:pPr>
      <w:r w:rsidRPr="00773EEA">
        <w:rPr>
          <w:b/>
          <w:bCs/>
        </w:rPr>
        <w:t xml:space="preserve">There </w:t>
      </w:r>
      <w:r w:rsidR="00AC44CD" w:rsidRPr="00773EEA">
        <w:rPr>
          <w:b/>
          <w:bCs/>
        </w:rPr>
        <w:t>could be greater</w:t>
      </w:r>
      <w:r w:rsidRPr="00773EEA">
        <w:rPr>
          <w:b/>
          <w:bCs/>
        </w:rPr>
        <w:t xml:space="preserve"> interaction between the program and ASEAN institutions. </w:t>
      </w:r>
      <w:r w:rsidRPr="00773EEA">
        <w:t xml:space="preserve">Despite the strong alignment with ASUS, there has </w:t>
      </w:r>
      <w:r w:rsidR="00644F42" w:rsidRPr="00773EEA">
        <w:t xml:space="preserve">not </w:t>
      </w:r>
      <w:r w:rsidRPr="00773EEA">
        <w:t xml:space="preserve">been </w:t>
      </w:r>
      <w:r w:rsidR="00644F42" w:rsidRPr="00773EEA">
        <w:t xml:space="preserve">a great deal of </w:t>
      </w:r>
      <w:r w:rsidRPr="00773EEA">
        <w:t xml:space="preserve">interaction between the program and ASEAN institutions, such as the Secretariat, the ASEAN Smart Cities Network, and the ASEAN Connectivity Coordinating Committee. There has been some work in this </w:t>
      </w:r>
      <w:r w:rsidR="00544049" w:rsidRPr="00773EEA">
        <w:t>space</w:t>
      </w:r>
      <w:r w:rsidRPr="00773EEA">
        <w:t xml:space="preserve">, </w:t>
      </w:r>
      <w:r w:rsidR="002D12E5" w:rsidRPr="00773EEA">
        <w:t>such as</w:t>
      </w:r>
      <w:r w:rsidR="00266FA4" w:rsidRPr="00773EEA">
        <w:t xml:space="preserve"> </w:t>
      </w:r>
      <w:r w:rsidRPr="00773EEA">
        <w:t xml:space="preserve"> an event held in partnership with UN Habitat in 2021</w:t>
      </w:r>
      <w:r w:rsidR="00644F42" w:rsidRPr="00773EEA">
        <w:t>, participation in the</w:t>
      </w:r>
      <w:r w:rsidRPr="00773EEA">
        <w:t xml:space="preserve"> </w:t>
      </w:r>
      <w:r w:rsidR="00644F42" w:rsidRPr="00773EEA">
        <w:t xml:space="preserve">launch of the Smart Cities Innovation Lab (with ASCN) and in a Digital Trade Standards Webinar (with AADTSI) </w:t>
      </w:r>
      <w:r w:rsidRPr="00773EEA">
        <w:t>and a</w:t>
      </w:r>
      <w:r w:rsidR="00644F42" w:rsidRPr="00773EEA">
        <w:t xml:space="preserve"> recent </w:t>
      </w:r>
      <w:r w:rsidRPr="00773EEA">
        <w:t>discussion with the ASEAN Secretariat, including on a possible repository on smart city knowledge</w:t>
      </w:r>
      <w:r w:rsidR="006C67CF" w:rsidRPr="00773EEA">
        <w:t xml:space="preserve"> with the ASEAN Smart Cities Network</w:t>
      </w:r>
      <w:r w:rsidRPr="00773EEA">
        <w:t>, but overall, very little by way of active partnerships</w:t>
      </w:r>
      <w:r w:rsidR="002736CB" w:rsidRPr="00773EEA">
        <w:t>, collaboration</w:t>
      </w:r>
      <w:r w:rsidRPr="00773EEA">
        <w:t xml:space="preserve"> or synergies</w:t>
      </w:r>
      <w:r w:rsidR="002736CB" w:rsidRPr="00773EEA">
        <w:t xml:space="preserve"> have been pursued</w:t>
      </w:r>
      <w:r w:rsidRPr="00773EEA">
        <w:t xml:space="preserve">. Ramboll has been reluctant to initiate </w:t>
      </w:r>
      <w:r w:rsidR="00D71C7C" w:rsidRPr="00773EEA">
        <w:t xml:space="preserve">greater engagement due to </w:t>
      </w:r>
      <w:r w:rsidR="007F5EDE" w:rsidRPr="00773EEA">
        <w:t xml:space="preserve">resource limitations </w:t>
      </w:r>
      <w:r w:rsidR="00D71C7C" w:rsidRPr="00773EEA">
        <w:t xml:space="preserve">and </w:t>
      </w:r>
      <w:r w:rsidR="00266FA4" w:rsidRPr="00773EEA">
        <w:t xml:space="preserve">has </w:t>
      </w:r>
      <w:r w:rsidR="00D71C7C" w:rsidRPr="00773EEA">
        <w:t xml:space="preserve">relied on ADB to </w:t>
      </w:r>
      <w:r w:rsidR="002736CB" w:rsidRPr="00773EEA">
        <w:t xml:space="preserve">flag </w:t>
      </w:r>
      <w:r w:rsidR="00D71C7C" w:rsidRPr="00773EEA">
        <w:t xml:space="preserve">when </w:t>
      </w:r>
      <w:r w:rsidR="007F5EDE" w:rsidRPr="00773EEA">
        <w:t xml:space="preserve">such </w:t>
      </w:r>
      <w:r w:rsidR="00D71C7C" w:rsidRPr="00773EEA">
        <w:t xml:space="preserve">discussions are </w:t>
      </w:r>
      <w:r w:rsidR="007F5EDE" w:rsidRPr="00773EEA">
        <w:t>appropriate</w:t>
      </w:r>
      <w:r w:rsidR="00D71C7C" w:rsidRPr="00773EEA">
        <w:t xml:space="preserve">. ADB could play a more active role </w:t>
      </w:r>
      <w:r w:rsidR="007F5EDE" w:rsidRPr="00773EEA">
        <w:t xml:space="preserve">in engaging </w:t>
      </w:r>
      <w:r w:rsidRPr="00773EEA">
        <w:rPr>
          <w:rFonts w:cstheme="minorHAnsi"/>
          <w:bCs/>
        </w:rPr>
        <w:t xml:space="preserve">relevant regional working groups and programs for ASEAN </w:t>
      </w:r>
      <w:r w:rsidR="00614ECF" w:rsidRPr="00773EEA">
        <w:rPr>
          <w:rFonts w:cstheme="minorHAnsi"/>
          <w:bCs/>
        </w:rPr>
        <w:t>Members States</w:t>
      </w:r>
      <w:r w:rsidRPr="00773EEA">
        <w:rPr>
          <w:rFonts w:cstheme="minorHAnsi"/>
          <w:bCs/>
        </w:rPr>
        <w:t xml:space="preserve">, which facilitate regional dialogue on low-carbon development and disaster resilience. </w:t>
      </w:r>
      <w:r w:rsidR="007F5EDE" w:rsidRPr="00773EEA">
        <w:rPr>
          <w:rFonts w:cstheme="minorHAnsi"/>
          <w:bCs/>
        </w:rPr>
        <w:t>Those particularly</w:t>
      </w:r>
      <w:r w:rsidRPr="00773EEA">
        <w:rPr>
          <w:rFonts w:cstheme="minorHAnsi"/>
          <w:bCs/>
        </w:rPr>
        <w:t xml:space="preserve"> relevant to the AASCTF are summarise</w:t>
      </w:r>
      <w:r w:rsidR="00DD703F" w:rsidRPr="00773EEA">
        <w:rPr>
          <w:rFonts w:cstheme="minorHAnsi"/>
          <w:bCs/>
        </w:rPr>
        <w:t>d</w:t>
      </w:r>
      <w:r w:rsidRPr="00773EEA">
        <w:rPr>
          <w:rFonts w:cstheme="minorHAnsi"/>
          <w:bCs/>
        </w:rPr>
        <w:t xml:space="preserve"> in </w:t>
      </w:r>
      <w:r w:rsidRPr="00773EEA">
        <w:rPr>
          <w:rFonts w:cstheme="minorHAnsi"/>
          <w:b/>
        </w:rPr>
        <w:t xml:space="preserve">Box </w:t>
      </w:r>
      <w:r w:rsidR="00DD703F" w:rsidRPr="00773EEA">
        <w:rPr>
          <w:rFonts w:cstheme="minorHAnsi"/>
          <w:b/>
        </w:rPr>
        <w:t>A4.1</w:t>
      </w:r>
      <w:r w:rsidR="00DD703F" w:rsidRPr="00773EEA">
        <w:rPr>
          <w:rFonts w:cstheme="minorHAnsi"/>
          <w:bCs/>
        </w:rPr>
        <w:t xml:space="preserve"> in Annex 4</w:t>
      </w:r>
      <w:r w:rsidRPr="00773EEA">
        <w:rPr>
          <w:rFonts w:cstheme="minorHAnsi"/>
          <w:bCs/>
        </w:rPr>
        <w:t>.</w:t>
      </w:r>
      <w:r w:rsidR="002B4AC2" w:rsidRPr="00773EEA">
        <w:rPr>
          <w:rFonts w:cstheme="minorHAnsi"/>
          <w:bCs/>
        </w:rPr>
        <w:t xml:space="preserve"> </w:t>
      </w:r>
    </w:p>
    <w:p w14:paraId="428DCB83" w14:textId="24823A91" w:rsidR="00B30C9A" w:rsidRPr="00773EEA" w:rsidRDefault="7C2F6B61" w:rsidP="00177735">
      <w:pPr>
        <w:pStyle w:val="Heading2"/>
        <w:numPr>
          <w:ilvl w:val="1"/>
          <w:numId w:val="7"/>
        </w:numPr>
      </w:pPr>
      <w:bookmarkStart w:id="31" w:name="_Toc110683225"/>
      <w:bookmarkStart w:id="32" w:name="_Toc110692284"/>
      <w:bookmarkStart w:id="33" w:name="_Toc110683226"/>
      <w:bookmarkStart w:id="34" w:name="_Toc110692285"/>
      <w:bookmarkStart w:id="35" w:name="_Toc110683227"/>
      <w:bookmarkStart w:id="36" w:name="_Toc110692286"/>
      <w:bookmarkEnd w:id="31"/>
      <w:bookmarkEnd w:id="32"/>
      <w:bookmarkEnd w:id="33"/>
      <w:bookmarkEnd w:id="34"/>
      <w:bookmarkEnd w:id="35"/>
      <w:bookmarkEnd w:id="36"/>
      <w:r w:rsidRPr="00773EEA">
        <w:t xml:space="preserve"> </w:t>
      </w:r>
      <w:bookmarkStart w:id="37" w:name="_Toc123633719"/>
      <w:r w:rsidRPr="00773EEA">
        <w:t>KEQ2: How efficiently is AASCTF managing its resources?</w:t>
      </w:r>
      <w:bookmarkEnd w:id="37"/>
    </w:p>
    <w:p w14:paraId="26030878" w14:textId="61464ACD" w:rsidR="00A06E2B" w:rsidRPr="00773EEA" w:rsidRDefault="00C06492" w:rsidP="00B7602B">
      <w:pPr>
        <w:ind w:left="142"/>
        <w:jc w:val="both"/>
      </w:pPr>
      <w:r w:rsidRPr="00773EEA">
        <w:rPr>
          <w:rFonts w:eastAsia="Arial" w:cs="Arial"/>
          <w:szCs w:val="20"/>
          <w:lang w:val="en-US"/>
        </w:rPr>
        <w:t>The A</w:t>
      </w:r>
      <w:r w:rsidR="00DC210C" w:rsidRPr="00773EEA">
        <w:rPr>
          <w:rFonts w:eastAsia="Arial" w:cs="Arial"/>
          <w:szCs w:val="20"/>
          <w:lang w:val="en-US"/>
        </w:rPr>
        <w:t>A</w:t>
      </w:r>
      <w:r w:rsidRPr="00773EEA">
        <w:rPr>
          <w:rFonts w:eastAsia="Arial" w:cs="Arial"/>
          <w:szCs w:val="20"/>
          <w:lang w:val="en-US"/>
        </w:rPr>
        <w:t>SCTF</w:t>
      </w:r>
      <w:r w:rsidRPr="00773EEA">
        <w:t xml:space="preserve"> implementation team, comprising of ADB and Ramboll, </w:t>
      </w:r>
      <w:r w:rsidR="009340C5" w:rsidRPr="00773EEA">
        <w:t>and supported by several partners such as Practical Action</w:t>
      </w:r>
      <w:r w:rsidR="005F3C07" w:rsidRPr="00773EEA">
        <w:t xml:space="preserve"> (TO-05)</w:t>
      </w:r>
      <w:r w:rsidR="009340C5" w:rsidRPr="00773EEA">
        <w:t xml:space="preserve"> and </w:t>
      </w:r>
      <w:r w:rsidR="005F3C07" w:rsidRPr="00773EEA">
        <w:t>T</w:t>
      </w:r>
      <w:r w:rsidR="009340C5" w:rsidRPr="00773EEA">
        <w:t>he Asia Foundation</w:t>
      </w:r>
      <w:r w:rsidR="005F3C07" w:rsidRPr="00773EEA">
        <w:t xml:space="preserve"> (TO-09)</w:t>
      </w:r>
      <w:r w:rsidR="009340C5" w:rsidRPr="00773EEA">
        <w:t xml:space="preserve">, </w:t>
      </w:r>
      <w:r w:rsidRPr="00773EEA">
        <w:t>have deployed well-qualified experts, almost exclusively in-house, to deliver the specific TOs.</w:t>
      </w:r>
      <w:r w:rsidR="009340C5" w:rsidRPr="00773EEA">
        <w:t xml:space="preserve"> Project management has been well executed by the Ramboll Core Team and the network of TTLs, supported by efficient project and risk management tools and processes. </w:t>
      </w:r>
      <w:r w:rsidR="007738D0" w:rsidRPr="00773EEA">
        <w:t>M</w:t>
      </w:r>
      <w:r w:rsidR="005F3C07" w:rsidRPr="00773EEA">
        <w:t>anagement</w:t>
      </w:r>
      <w:r w:rsidR="007738D0" w:rsidRPr="00773EEA">
        <w:t xml:space="preserve"> and allocation of AASCTF resources is also influenced by comprehensive M&amp;E processes</w:t>
      </w:r>
      <w:r w:rsidR="00DB5FCB" w:rsidRPr="00773EEA">
        <w:t>. These are working well to help evaluate progress against program targets</w:t>
      </w:r>
      <w:r w:rsidR="00FC1FF4" w:rsidRPr="00773EEA">
        <w:t>,</w:t>
      </w:r>
      <w:r w:rsidR="00DB5FCB" w:rsidRPr="00773EEA">
        <w:t xml:space="preserve"> </w:t>
      </w:r>
      <w:r w:rsidR="00FC1FF4" w:rsidRPr="00773EEA">
        <w:t xml:space="preserve">though </w:t>
      </w:r>
      <w:r w:rsidR="00DB5FCB" w:rsidRPr="00773EEA">
        <w:t>there remains some room for improvement, both to enable more useful learning feedback loops for each city intervention</w:t>
      </w:r>
      <w:r w:rsidR="006F3D6E" w:rsidRPr="00773EEA">
        <w:t>,</w:t>
      </w:r>
      <w:r w:rsidR="00DB5FCB" w:rsidRPr="00773EEA">
        <w:t xml:space="preserve"> and to identify potential for scal</w:t>
      </w:r>
      <w:r w:rsidR="006F3D6E" w:rsidRPr="00773EEA">
        <w:t>ability</w:t>
      </w:r>
      <w:r w:rsidR="00DB5FCB" w:rsidRPr="00773EEA">
        <w:t xml:space="preserve"> and replicability of TO</w:t>
      </w:r>
      <w:r w:rsidR="00695CE4" w:rsidRPr="00773EEA">
        <w:t>s</w:t>
      </w:r>
      <w:r w:rsidR="00DB5FCB" w:rsidRPr="00773EEA">
        <w:t xml:space="preserve">. </w:t>
      </w:r>
    </w:p>
    <w:p w14:paraId="5E5BAB2E" w14:textId="2A5BC9A7" w:rsidR="00A06E2B" w:rsidRPr="00773EEA" w:rsidRDefault="00A06E2B" w:rsidP="00B7602B">
      <w:pPr>
        <w:ind w:left="142"/>
        <w:jc w:val="both"/>
        <w:rPr>
          <w:rFonts w:eastAsia="Arial" w:cs="Arial"/>
          <w:szCs w:val="20"/>
          <w:lang w:val="en-US"/>
        </w:rPr>
      </w:pPr>
      <w:r w:rsidRPr="00773EEA">
        <w:rPr>
          <w:rFonts w:eastAsia="Arial" w:cs="Arial"/>
          <w:szCs w:val="20"/>
          <w:lang w:val="en-US"/>
        </w:rPr>
        <w:t>Coherence of wide-ranging AASCTF components is enabled collectively by the effective framework of urban planning, service delivery and financial management pillars, as well as the crosscutting climate change and GESI themes. The AASCTF demonstrates flexibility, able to identify and rapidly respond to evolving city needs. This is driven by the demand-led design, strong coordination between ADB and Ramboll, and close relationships nurtured with city governments. DFAT’s outsourcing of A</w:t>
      </w:r>
      <w:r w:rsidR="00DC210C" w:rsidRPr="00773EEA">
        <w:rPr>
          <w:rFonts w:eastAsia="Arial" w:cs="Arial"/>
          <w:szCs w:val="20"/>
          <w:lang w:val="en-US"/>
        </w:rPr>
        <w:t>A</w:t>
      </w:r>
      <w:r w:rsidRPr="00773EEA">
        <w:rPr>
          <w:rFonts w:eastAsia="Arial" w:cs="Arial"/>
          <w:szCs w:val="20"/>
          <w:lang w:val="en-US"/>
        </w:rPr>
        <w:t xml:space="preserve">SCTF to ADB is working effectively, creating space and flexibility for innovation. However, ADB’s </w:t>
      </w:r>
      <w:r w:rsidR="0039185A" w:rsidRPr="00773EEA">
        <w:rPr>
          <w:rFonts w:eastAsia="Arial" w:cs="Arial"/>
          <w:szCs w:val="20"/>
          <w:lang w:val="en-US"/>
        </w:rPr>
        <w:t>funding</w:t>
      </w:r>
      <w:r w:rsidRPr="00773EEA">
        <w:rPr>
          <w:rFonts w:eastAsia="Arial" w:cs="Arial"/>
          <w:szCs w:val="20"/>
          <w:lang w:val="en-US"/>
        </w:rPr>
        <w:t xml:space="preserve"> of the Ramboll-managed component via ADB’s </w:t>
      </w:r>
      <w:r w:rsidRPr="00773EEA">
        <w:t xml:space="preserve">Southeast Asia Urban Services Facility (SURF) </w:t>
      </w:r>
      <w:r w:rsidRPr="00773EEA">
        <w:rPr>
          <w:rFonts w:eastAsia="Arial" w:cs="Arial"/>
          <w:szCs w:val="20"/>
          <w:lang w:val="en-US"/>
        </w:rPr>
        <w:t xml:space="preserve">reduces flexibility, as the </w:t>
      </w:r>
      <w:r w:rsidR="0039185A" w:rsidRPr="00773EEA">
        <w:rPr>
          <w:rFonts w:eastAsia="Arial" w:cs="Arial"/>
          <w:szCs w:val="20"/>
          <w:lang w:val="en-US"/>
        </w:rPr>
        <w:t xml:space="preserve">budget for the </w:t>
      </w:r>
      <w:r w:rsidRPr="00773EEA">
        <w:rPr>
          <w:rFonts w:eastAsia="Arial" w:cs="Arial"/>
          <w:szCs w:val="20"/>
          <w:lang w:val="en-US"/>
        </w:rPr>
        <w:t xml:space="preserve">Ramboll component is almost completely committed within the current TO </w:t>
      </w:r>
      <w:r w:rsidR="00DB0B98" w:rsidRPr="00773EEA">
        <w:rPr>
          <w:rFonts w:eastAsia="Arial" w:cs="Arial"/>
          <w:szCs w:val="20"/>
          <w:lang w:val="en-US"/>
        </w:rPr>
        <w:t>portfolio and</w:t>
      </w:r>
      <w:r w:rsidRPr="00773EEA">
        <w:rPr>
          <w:rFonts w:eastAsia="Arial" w:cs="Arial"/>
          <w:szCs w:val="20"/>
          <w:lang w:val="en-US"/>
        </w:rPr>
        <w:t xml:space="preserve"> cannot be easily </w:t>
      </w:r>
      <w:r w:rsidR="0039185A" w:rsidRPr="00773EEA">
        <w:rPr>
          <w:rFonts w:eastAsia="Arial" w:cs="Arial"/>
          <w:szCs w:val="20"/>
          <w:lang w:val="en-US"/>
        </w:rPr>
        <w:t>increased to fund further work</w:t>
      </w:r>
      <w:r w:rsidRPr="00773EEA">
        <w:rPr>
          <w:rFonts w:eastAsia="Arial" w:cs="Arial"/>
          <w:szCs w:val="20"/>
          <w:lang w:val="en-US"/>
        </w:rPr>
        <w:t xml:space="preserve">. </w:t>
      </w:r>
    </w:p>
    <w:p w14:paraId="06512BC0" w14:textId="27F86960" w:rsidR="00387E67" w:rsidRPr="00773EEA" w:rsidRDefault="00387E67" w:rsidP="00B7602B">
      <w:pPr>
        <w:ind w:left="170"/>
        <w:jc w:val="both"/>
        <w:rPr>
          <w:rFonts w:eastAsia="Arial" w:cs="Arial"/>
          <w:szCs w:val="20"/>
          <w:lang w:val="en-US"/>
        </w:rPr>
      </w:pPr>
      <w:r w:rsidRPr="00773EEA">
        <w:rPr>
          <w:rFonts w:eastAsia="Arial" w:cs="Arial"/>
          <w:szCs w:val="20"/>
          <w:lang w:val="en-US"/>
        </w:rPr>
        <w:t>In the following sections, detailed response</w:t>
      </w:r>
      <w:r w:rsidR="001A356D" w:rsidRPr="00773EEA">
        <w:rPr>
          <w:rFonts w:eastAsia="Arial" w:cs="Arial"/>
          <w:szCs w:val="20"/>
          <w:lang w:val="en-US"/>
        </w:rPr>
        <w:t>s</w:t>
      </w:r>
      <w:r w:rsidRPr="00773EEA">
        <w:rPr>
          <w:rFonts w:eastAsia="Arial" w:cs="Arial"/>
          <w:szCs w:val="20"/>
          <w:lang w:val="en-US"/>
        </w:rPr>
        <w:t xml:space="preserve"> to KEQ </w:t>
      </w:r>
      <w:r w:rsidR="005F3C07" w:rsidRPr="00773EEA">
        <w:rPr>
          <w:rFonts w:eastAsia="Arial" w:cs="Arial"/>
          <w:szCs w:val="20"/>
          <w:lang w:val="en-US"/>
        </w:rPr>
        <w:t>2</w:t>
      </w:r>
      <w:r w:rsidRPr="00773EEA">
        <w:rPr>
          <w:rFonts w:eastAsia="Arial" w:cs="Arial"/>
          <w:szCs w:val="20"/>
          <w:lang w:val="en-US"/>
        </w:rPr>
        <w:t xml:space="preserve"> </w:t>
      </w:r>
      <w:r w:rsidR="001A356D" w:rsidRPr="00773EEA">
        <w:rPr>
          <w:rFonts w:eastAsia="Arial" w:cs="Arial"/>
          <w:szCs w:val="20"/>
          <w:lang w:val="en-US"/>
        </w:rPr>
        <w:t>are</w:t>
      </w:r>
      <w:r w:rsidRPr="00773EEA">
        <w:rPr>
          <w:rFonts w:eastAsia="Arial" w:cs="Arial"/>
          <w:szCs w:val="20"/>
          <w:lang w:val="en-US"/>
        </w:rPr>
        <w:t xml:space="preserve"> broken down by sub-questions</w:t>
      </w:r>
      <w:r w:rsidR="001A356D" w:rsidRPr="00773EEA">
        <w:rPr>
          <w:rFonts w:eastAsia="Arial" w:cs="Arial"/>
          <w:szCs w:val="20"/>
          <w:lang w:val="en-US"/>
        </w:rPr>
        <w:t>:</w:t>
      </w:r>
      <w:r w:rsidRPr="00773EEA">
        <w:rPr>
          <w:rFonts w:eastAsia="Arial" w:cs="Arial"/>
          <w:szCs w:val="20"/>
          <w:lang w:val="en-US"/>
        </w:rPr>
        <w:t xml:space="preserve"> </w:t>
      </w:r>
    </w:p>
    <w:p w14:paraId="1CFD6EFC" w14:textId="7C4B7B92" w:rsidR="005C4CDA" w:rsidRPr="00773EEA" w:rsidRDefault="00AA614E" w:rsidP="005C4CDA">
      <w:pPr>
        <w:ind w:left="170"/>
        <w:rPr>
          <w:rFonts w:asciiTheme="majorHAnsi" w:hAnsiTheme="majorHAnsi"/>
          <w:b/>
          <w:bCs/>
          <w:sz w:val="24"/>
          <w:szCs w:val="24"/>
        </w:rPr>
      </w:pPr>
      <w:r w:rsidRPr="00773EEA">
        <w:rPr>
          <w:rFonts w:asciiTheme="majorHAnsi" w:hAnsiTheme="majorHAnsi"/>
          <w:b/>
          <w:bCs/>
          <w:sz w:val="24"/>
          <w:szCs w:val="24"/>
        </w:rPr>
        <w:t xml:space="preserve">3.2.1. </w:t>
      </w:r>
      <w:r w:rsidR="005C4CDA" w:rsidRPr="00773EEA">
        <w:rPr>
          <w:rFonts w:asciiTheme="majorHAnsi" w:hAnsiTheme="majorHAnsi"/>
          <w:b/>
          <w:bCs/>
          <w:sz w:val="24"/>
          <w:szCs w:val="24"/>
        </w:rPr>
        <w:t>How effectively are the reporting, coordination and risk management processes working across the AASCTF? What could be improved?</w:t>
      </w:r>
    </w:p>
    <w:p w14:paraId="371882E6" w14:textId="77777777" w:rsidR="00FD3A6C" w:rsidRPr="00773EEA" w:rsidRDefault="005C4CDA" w:rsidP="00B7602B">
      <w:pPr>
        <w:ind w:left="170"/>
        <w:jc w:val="both"/>
      </w:pPr>
      <w:r w:rsidRPr="00773EEA">
        <w:rPr>
          <w:b/>
          <w:bCs/>
        </w:rPr>
        <w:t>Project management and internal communication processes are well defined and effective, improving over time as the program has become established.</w:t>
      </w:r>
      <w:r w:rsidRPr="00773EEA">
        <w:t xml:space="preserve"> The Ramboll-led component of the AASCTF – effectively the </w:t>
      </w:r>
      <w:r w:rsidR="006E7277" w:rsidRPr="00773EEA">
        <w:t xml:space="preserve">Bronze </w:t>
      </w:r>
      <w:r w:rsidRPr="00773EEA">
        <w:t xml:space="preserve">and </w:t>
      </w:r>
      <w:r w:rsidR="006E7277" w:rsidRPr="00773EEA">
        <w:t>Silver</w:t>
      </w:r>
      <w:r w:rsidRPr="00773EEA">
        <w:t xml:space="preserve">-level activities – is generally seen by internal team members and external partners to be well managed. </w:t>
      </w:r>
      <w:r w:rsidR="00BA2EEE" w:rsidRPr="00773EEA">
        <w:t>Working closely with ADB, t</w:t>
      </w:r>
      <w:r w:rsidRPr="00773EEA">
        <w:t xml:space="preserve">he Core Team provide strategic direction, overall </w:t>
      </w:r>
      <w:r w:rsidR="00FE1072" w:rsidRPr="00773EEA">
        <w:t>coordination,</w:t>
      </w:r>
      <w:r w:rsidRPr="00773EEA">
        <w:t xml:space="preserve"> and quality assurance, as well as program level communications and monitoring and evaluation. TO teams are led by a TTL</w:t>
      </w:r>
      <w:r w:rsidR="00DB0B98" w:rsidRPr="00773EEA">
        <w:t xml:space="preserve"> (</w:t>
      </w:r>
      <w:r w:rsidRPr="00773EEA">
        <w:t xml:space="preserve">a permanent </w:t>
      </w:r>
      <w:r w:rsidR="00D029C5" w:rsidRPr="00773EEA">
        <w:t xml:space="preserve">staff </w:t>
      </w:r>
      <w:r w:rsidRPr="00773EEA">
        <w:t>member of Ramboll</w:t>
      </w:r>
      <w:r w:rsidR="00DB0B98" w:rsidRPr="00773EEA">
        <w:t>)</w:t>
      </w:r>
      <w:r w:rsidRPr="00773EEA">
        <w:t xml:space="preserve"> and supported by a range of necessary internal and sub-contracted experts and support staff. The geographically dispersed nature of the Ramboll team due to C</w:t>
      </w:r>
      <w:r w:rsidR="00E371F3" w:rsidRPr="00773EEA">
        <w:t>OVID-19</w:t>
      </w:r>
      <w:r w:rsidRPr="00773EEA">
        <w:t xml:space="preserve"> (See </w:t>
      </w:r>
      <w:r w:rsidRPr="00773EEA">
        <w:rPr>
          <w:b/>
          <w:bCs/>
        </w:rPr>
        <w:t>Section 3.5</w:t>
      </w:r>
      <w:r w:rsidRPr="00773EEA">
        <w:t>) has generally worked well. Staff based at the city or country</w:t>
      </w:r>
      <w:r w:rsidR="00FE1072" w:rsidRPr="00773EEA">
        <w:t>-</w:t>
      </w:r>
      <w:r w:rsidRPr="00773EEA">
        <w:t xml:space="preserve">level have also helped to implement TOs, particularly following the realisation in Makassar (TO-01) that </w:t>
      </w:r>
      <w:r w:rsidR="00E371F3" w:rsidRPr="00773EEA">
        <w:t>delivery necessitated</w:t>
      </w:r>
      <w:r w:rsidRPr="00773EEA">
        <w:t xml:space="preserve"> more team members on the ground to enable stronger communications with </w:t>
      </w:r>
      <w:r w:rsidR="00E371F3" w:rsidRPr="00773EEA">
        <w:t xml:space="preserve">city </w:t>
      </w:r>
      <w:r w:rsidRPr="00773EEA">
        <w:t>government and stakeholders. Coordination on some early TOs such</w:t>
      </w:r>
      <w:r w:rsidR="00FE1072" w:rsidRPr="00773EEA">
        <w:t>,</w:t>
      </w:r>
      <w:r w:rsidRPr="00773EEA">
        <w:t xml:space="preserve"> as Kaysone</w:t>
      </w:r>
      <w:r w:rsidR="00FE1072" w:rsidRPr="00773EEA">
        <w:t>,</w:t>
      </w:r>
      <w:r w:rsidRPr="00773EEA">
        <w:t xml:space="preserve"> were </w:t>
      </w:r>
      <w:r w:rsidRPr="00773EEA">
        <w:lastRenderedPageBreak/>
        <w:t xml:space="preserve">considered by internal and external partners to have been weaker than desired, but the processes have improved over the course of the program. </w:t>
      </w:r>
    </w:p>
    <w:p w14:paraId="69834DBF" w14:textId="26511424" w:rsidR="005C4CDA" w:rsidRPr="00773EEA" w:rsidRDefault="00FD3A6C" w:rsidP="00B7602B">
      <w:pPr>
        <w:ind w:left="170"/>
        <w:jc w:val="both"/>
      </w:pPr>
      <w:r w:rsidRPr="00773EEA">
        <w:t xml:space="preserve">Trello and </w:t>
      </w:r>
      <w:proofErr w:type="spellStart"/>
      <w:r w:rsidRPr="00773EEA">
        <w:t>Goalscape</w:t>
      </w:r>
      <w:proofErr w:type="spellEnd"/>
      <w:r w:rsidRPr="00773EEA">
        <w:t xml:space="preserve"> are both innovative tools tested by Ramboll to augment existing project management IT solutions such as </w:t>
      </w:r>
      <w:proofErr w:type="spellStart"/>
      <w:r w:rsidRPr="00773EEA">
        <w:t>Sharepoint</w:t>
      </w:r>
      <w:proofErr w:type="spellEnd"/>
      <w:r w:rsidRPr="00773EEA">
        <w:t xml:space="preserve">. </w:t>
      </w:r>
      <w:r w:rsidR="00F442D9" w:rsidRPr="00773EEA">
        <w:t>Initially,</w:t>
      </w:r>
      <w:r w:rsidR="005C4CDA" w:rsidRPr="00773EEA">
        <w:t xml:space="preserve"> Trello</w:t>
      </w:r>
      <w:r w:rsidR="00F442D9" w:rsidRPr="00773EEA">
        <w:t xml:space="preserve"> was</w:t>
      </w:r>
      <w:r w:rsidR="005C4CDA" w:rsidRPr="00773EEA">
        <w:t xml:space="preserve"> </w:t>
      </w:r>
      <w:r w:rsidRPr="00773EEA">
        <w:t xml:space="preserve">piloted from March 2021 to March 2022. However, team uptake remained limited and since April </w:t>
      </w:r>
      <w:r w:rsidR="005C4CDA" w:rsidRPr="00773EEA">
        <w:t>2022</w:t>
      </w:r>
      <w:r w:rsidR="00DE0B55" w:rsidRPr="00773EEA">
        <w:t xml:space="preserve"> </w:t>
      </w:r>
      <w:r w:rsidRPr="00773EEA">
        <w:t xml:space="preserve">Ramboll have been piloting the use of </w:t>
      </w:r>
      <w:proofErr w:type="spellStart"/>
      <w:r w:rsidR="005C4CDA" w:rsidRPr="00773EEA">
        <w:t>Goal</w:t>
      </w:r>
      <w:r w:rsidR="003A3F10" w:rsidRPr="00773EEA">
        <w:t>s</w:t>
      </w:r>
      <w:r w:rsidR="005C4CDA" w:rsidRPr="00773EEA">
        <w:t>cape</w:t>
      </w:r>
      <w:proofErr w:type="spellEnd"/>
      <w:r w:rsidR="005C4CDA" w:rsidRPr="00773EEA">
        <w:t xml:space="preserve">, </w:t>
      </w:r>
      <w:r w:rsidR="00BA2EEE" w:rsidRPr="00773EEA">
        <w:t>a</w:t>
      </w:r>
      <w:r w:rsidR="005C4CDA" w:rsidRPr="00773EEA">
        <w:t xml:space="preserve"> </w:t>
      </w:r>
      <w:r w:rsidR="00DE0B55" w:rsidRPr="00773EEA">
        <w:t xml:space="preserve">more </w:t>
      </w:r>
      <w:r w:rsidR="00FA4DEC" w:rsidRPr="00773EEA">
        <w:t>comprehensive</w:t>
      </w:r>
      <w:r w:rsidR="00DE0B55" w:rsidRPr="00773EEA">
        <w:t xml:space="preserve"> </w:t>
      </w:r>
      <w:r w:rsidR="005C4CDA" w:rsidRPr="00773EEA">
        <w:t>communication and project management tool.</w:t>
      </w:r>
      <w:r w:rsidRPr="00773EEA">
        <w:t xml:space="preserve"> If </w:t>
      </w:r>
      <w:proofErr w:type="gramStart"/>
      <w:r w:rsidRPr="00773EEA">
        <w:t>successful</w:t>
      </w:r>
      <w:proofErr w:type="gramEnd"/>
      <w:r w:rsidRPr="00773EEA">
        <w:t xml:space="preserve"> this will be rolled out more widely across the program team.</w:t>
      </w:r>
      <w:r w:rsidR="005C4CDA" w:rsidRPr="00773EEA">
        <w:t xml:space="preserve"> Internal project reporting comprises </w:t>
      </w:r>
      <w:r w:rsidR="00DE0B55" w:rsidRPr="00773EEA">
        <w:t xml:space="preserve">of </w:t>
      </w:r>
      <w:r w:rsidR="005C4CDA" w:rsidRPr="00773EEA">
        <w:t xml:space="preserve">Quarterly Progress Reports and Activity Level Progress Assessments (ALPAs) for each TO. Several </w:t>
      </w:r>
      <w:r w:rsidR="00DE0B55" w:rsidRPr="00773EEA">
        <w:t xml:space="preserve">KIIs </w:t>
      </w:r>
      <w:r w:rsidR="005C4CDA" w:rsidRPr="00773EEA">
        <w:t xml:space="preserve">stated internal progress reporting </w:t>
      </w:r>
      <w:r w:rsidR="000961FB" w:rsidRPr="00773EEA">
        <w:t>was</w:t>
      </w:r>
      <w:r w:rsidR="005C4CDA" w:rsidRPr="00773EEA">
        <w:t xml:space="preserve"> too cumbersome </w:t>
      </w:r>
      <w:r w:rsidR="000961FB" w:rsidRPr="00773EEA">
        <w:t xml:space="preserve">and </w:t>
      </w:r>
      <w:r w:rsidR="00FF256B" w:rsidRPr="00773EEA">
        <w:t>time intensive for</w:t>
      </w:r>
      <w:r w:rsidR="005C4CDA" w:rsidRPr="00773EEA">
        <w:t xml:space="preserve"> TTLs</w:t>
      </w:r>
      <w:r w:rsidR="000961FB" w:rsidRPr="00773EEA">
        <w:t>,</w:t>
      </w:r>
      <w:r w:rsidR="005C4CDA" w:rsidRPr="00773EEA">
        <w:t xml:space="preserve"> </w:t>
      </w:r>
      <w:r w:rsidR="00FF256B" w:rsidRPr="00773EEA">
        <w:t xml:space="preserve">consuming </w:t>
      </w:r>
      <w:r w:rsidR="005C4CDA" w:rsidRPr="00773EEA">
        <w:t xml:space="preserve">up to a few days per month. This detracts from implementation and there may be a role for </w:t>
      </w:r>
      <w:r w:rsidR="00FF256B" w:rsidRPr="00773EEA">
        <w:t xml:space="preserve">more </w:t>
      </w:r>
      <w:r w:rsidR="005C4CDA" w:rsidRPr="00773EEA">
        <w:t xml:space="preserve">junior colleagues or project managers to </w:t>
      </w:r>
      <w:r w:rsidR="000C4C43" w:rsidRPr="00773EEA">
        <w:t xml:space="preserve">better </w:t>
      </w:r>
      <w:r w:rsidR="005C4CDA" w:rsidRPr="00773EEA">
        <w:t>support</w:t>
      </w:r>
      <w:r w:rsidR="00426C7A" w:rsidRPr="00773EEA">
        <w:t xml:space="preserve"> </w:t>
      </w:r>
      <w:r w:rsidR="000C4C43" w:rsidRPr="00773EEA">
        <w:t xml:space="preserve">TTL </w:t>
      </w:r>
      <w:r w:rsidR="00426C7A" w:rsidRPr="00773EEA">
        <w:t xml:space="preserve">reporting </w:t>
      </w:r>
      <w:r w:rsidR="005C4CDA" w:rsidRPr="00773EEA">
        <w:t xml:space="preserve">on each TO.  </w:t>
      </w:r>
    </w:p>
    <w:p w14:paraId="6D4A81F5" w14:textId="493CEE69" w:rsidR="005C4CDA" w:rsidRPr="00773EEA" w:rsidRDefault="005C4CDA" w:rsidP="00B7602B">
      <w:pPr>
        <w:ind w:left="170"/>
        <w:jc w:val="both"/>
      </w:pPr>
      <w:r w:rsidRPr="00773EEA">
        <w:rPr>
          <w:b/>
          <w:bCs/>
        </w:rPr>
        <w:t xml:space="preserve">Collaboration is strong between Ramboll and ADB teams, although administrative processes can sometimes be slow. </w:t>
      </w:r>
      <w:r w:rsidR="00FF256B" w:rsidRPr="00773EEA">
        <w:t>T</w:t>
      </w:r>
      <w:r w:rsidRPr="00773EEA">
        <w:t>he Ramboll team and ADB</w:t>
      </w:r>
      <w:r w:rsidR="00FF256B" w:rsidRPr="00773EEA">
        <w:t xml:space="preserve"> display strong collaboration and</w:t>
      </w:r>
      <w:r w:rsidRPr="00773EEA">
        <w:t xml:space="preserve"> work in a collegial and productive way. This has enabled flexibility and innovation in the conceptualisation and delivery of TOs. The Ramboll team provides weekly updates to ADB and there are frequent, informal communications between TTLs and ADB project officers, often via channels such as WhatsApp. </w:t>
      </w:r>
      <w:r w:rsidR="00BA2EEE" w:rsidRPr="00773EEA">
        <w:t xml:space="preserve">Comments from one </w:t>
      </w:r>
      <w:r w:rsidR="00B445A6" w:rsidRPr="00773EEA">
        <w:t xml:space="preserve">KII </w:t>
      </w:r>
      <w:r w:rsidRPr="00773EEA">
        <w:t xml:space="preserve">suggested that ADB often takes time to process </w:t>
      </w:r>
      <w:r w:rsidR="00EA773D" w:rsidRPr="00773EEA">
        <w:t xml:space="preserve">requests </w:t>
      </w:r>
      <w:r w:rsidRPr="00773EEA">
        <w:t xml:space="preserve">and could be more agile. This is not hindering overall </w:t>
      </w:r>
      <w:proofErr w:type="gramStart"/>
      <w:r w:rsidRPr="00773EEA">
        <w:t>progress</w:t>
      </w:r>
      <w:r w:rsidR="00C83788" w:rsidRPr="00773EEA">
        <w:t>,</w:t>
      </w:r>
      <w:r w:rsidRPr="00773EEA">
        <w:t xml:space="preserve"> but</w:t>
      </w:r>
      <w:proofErr w:type="gramEnd"/>
      <w:r w:rsidRPr="00773EEA">
        <w:t xml:space="preserve"> </w:t>
      </w:r>
      <w:r w:rsidR="00EA773D" w:rsidRPr="00773EEA">
        <w:t>may</w:t>
      </w:r>
      <w:r w:rsidR="00C83788" w:rsidRPr="00773EEA">
        <w:t xml:space="preserve"> </w:t>
      </w:r>
      <w:r w:rsidR="00E2442B" w:rsidRPr="00773EEA">
        <w:t>act</w:t>
      </w:r>
      <w:r w:rsidRPr="00773EEA">
        <w:t xml:space="preserve"> as a constraint. For example, on pre-approval for costs, even for small </w:t>
      </w:r>
      <w:r w:rsidR="00B54EDB" w:rsidRPr="00773EEA">
        <w:t xml:space="preserve">assets, </w:t>
      </w:r>
      <w:r w:rsidRPr="00773EEA">
        <w:t xml:space="preserve">like hard disks for data, approval processes can be </w:t>
      </w:r>
      <w:r w:rsidR="00B54EDB" w:rsidRPr="00773EEA">
        <w:t>protracted,</w:t>
      </w:r>
      <w:r w:rsidR="004D6F15" w:rsidRPr="00773EEA">
        <w:t xml:space="preserve"> and</w:t>
      </w:r>
      <w:r w:rsidR="00BA2EEE" w:rsidRPr="00773EEA">
        <w:t xml:space="preserve"> ADB could seek to </w:t>
      </w:r>
      <w:r w:rsidR="004D6F15" w:rsidRPr="00773EEA">
        <w:t>expedite</w:t>
      </w:r>
      <w:r w:rsidR="00BA2EEE" w:rsidRPr="00773EEA">
        <w:t xml:space="preserve"> such processes. </w:t>
      </w:r>
      <w:r w:rsidRPr="00773EEA">
        <w:t xml:space="preserve"> </w:t>
      </w:r>
    </w:p>
    <w:p w14:paraId="6CA5EB73" w14:textId="08C4F562" w:rsidR="005C4CDA" w:rsidRPr="00773EEA" w:rsidRDefault="005C4CDA" w:rsidP="00B7602B">
      <w:pPr>
        <w:ind w:left="170"/>
        <w:jc w:val="both"/>
      </w:pPr>
      <w:r w:rsidRPr="00773EEA">
        <w:rPr>
          <w:b/>
          <w:bCs/>
        </w:rPr>
        <w:t xml:space="preserve">Reporting is high-quality but could be presented in a way that allows DFAT to </w:t>
      </w:r>
      <w:r w:rsidR="004D6F15" w:rsidRPr="00773EEA">
        <w:rPr>
          <w:b/>
          <w:bCs/>
        </w:rPr>
        <w:t>understand progress more easily</w:t>
      </w:r>
      <w:r w:rsidRPr="00773EEA">
        <w:rPr>
          <w:b/>
          <w:bCs/>
        </w:rPr>
        <w:t xml:space="preserve"> against key indicators. </w:t>
      </w:r>
      <w:r w:rsidRPr="00773EEA">
        <w:t>ADB is responsible for reporting to DFAT, and Ramboll</w:t>
      </w:r>
      <w:r w:rsidR="00E32C3E" w:rsidRPr="00773EEA">
        <w:t xml:space="preserve"> is</w:t>
      </w:r>
      <w:r w:rsidRPr="00773EEA">
        <w:t xml:space="preserve"> contracted to ADB. In practice joint </w:t>
      </w:r>
      <w:r w:rsidR="00E32C3E" w:rsidRPr="00773EEA">
        <w:t xml:space="preserve">progress </w:t>
      </w:r>
      <w:r w:rsidRPr="00773EEA">
        <w:t xml:space="preserve">reports are produced by Ramboll and ADB and submitted to DFAT on a biannual basis. As DFAT has asked for concise reports Ramboll and ADB </w:t>
      </w:r>
      <w:r w:rsidR="00CA65FE" w:rsidRPr="00773EEA">
        <w:t>have sought ways to</w:t>
      </w:r>
      <w:r w:rsidRPr="00773EEA">
        <w:t xml:space="preserve"> </w:t>
      </w:r>
      <w:r w:rsidR="00CA65FE" w:rsidRPr="00773EEA">
        <w:t>b</w:t>
      </w:r>
      <w:r w:rsidRPr="00773EEA">
        <w:t xml:space="preserve">est </w:t>
      </w:r>
      <w:r w:rsidR="00CA65FE" w:rsidRPr="00773EEA">
        <w:t>to provide information succinctly</w:t>
      </w:r>
      <w:r w:rsidRPr="00773EEA">
        <w:t>. Reports are very well presented</w:t>
      </w:r>
      <w:r w:rsidR="004A5FD3" w:rsidRPr="00773EEA">
        <w:t>, h</w:t>
      </w:r>
      <w:r w:rsidRPr="00773EEA">
        <w:t>owever, they do</w:t>
      </w:r>
      <w:r w:rsidR="004A5FD3" w:rsidRPr="00773EEA">
        <w:t xml:space="preserve"> not</w:t>
      </w:r>
      <w:r w:rsidRPr="00773EEA">
        <w:t xml:space="preserve"> easily allow readers to </w:t>
      </w:r>
      <w:r w:rsidR="00D1696C" w:rsidRPr="00773EEA">
        <w:t xml:space="preserve">access or </w:t>
      </w:r>
      <w:r w:rsidRPr="00773EEA">
        <w:t xml:space="preserve">understand </w:t>
      </w:r>
      <w:r w:rsidR="00D1696C" w:rsidRPr="00773EEA">
        <w:t>the most salient</w:t>
      </w:r>
      <w:r w:rsidRPr="00773EEA">
        <w:t xml:space="preserve"> issue</w:t>
      </w:r>
      <w:r w:rsidR="00D1696C" w:rsidRPr="00773EEA">
        <w:t>s</w:t>
      </w:r>
      <w:r w:rsidRPr="00773EEA">
        <w:t xml:space="preserve"> or assess clear progress against project indicators. Assessment against common criteria such as effectiveness, efficiency, sustainability, as well as results matric indicators</w:t>
      </w:r>
      <w:r w:rsidR="002B2D94" w:rsidRPr="00773EEA">
        <w:t>,</w:t>
      </w:r>
      <w:r w:rsidRPr="00773EEA">
        <w:t xml:space="preserve"> should be clearly included in progress reporting. </w:t>
      </w:r>
    </w:p>
    <w:p w14:paraId="34469151" w14:textId="324A4472" w:rsidR="005C4CDA" w:rsidRPr="00773EEA" w:rsidRDefault="005C4CDA" w:rsidP="00B7602B">
      <w:pPr>
        <w:ind w:left="170"/>
        <w:jc w:val="both"/>
      </w:pPr>
      <w:r w:rsidRPr="00773EEA">
        <w:rPr>
          <w:b/>
          <w:bCs/>
        </w:rPr>
        <w:t>Risk management processes are well defined and applied for all project components</w:t>
      </w:r>
      <w:r w:rsidR="0020554A" w:rsidRPr="00773EEA">
        <w:rPr>
          <w:b/>
          <w:bCs/>
        </w:rPr>
        <w:t xml:space="preserve"> and have improved since the start of the program</w:t>
      </w:r>
      <w:r w:rsidRPr="00773EEA">
        <w:rPr>
          <w:b/>
          <w:bCs/>
        </w:rPr>
        <w:t xml:space="preserve">. </w:t>
      </w:r>
      <w:r w:rsidR="0020554A" w:rsidRPr="00773EEA">
        <w:t>There has been</w:t>
      </w:r>
      <w:r w:rsidR="005A7961" w:rsidRPr="00773EEA">
        <w:t xml:space="preserve"> </w:t>
      </w:r>
      <w:r w:rsidR="0020554A" w:rsidRPr="00773EEA">
        <w:t xml:space="preserve">steady improvement </w:t>
      </w:r>
      <w:r w:rsidR="005A7961" w:rsidRPr="00773EEA">
        <w:t>of</w:t>
      </w:r>
      <w:r w:rsidR="0020554A" w:rsidRPr="00773EEA">
        <w:t xml:space="preserve"> risk management processes since the early stages of the program, </w:t>
      </w:r>
      <w:r w:rsidR="005A7961" w:rsidRPr="00773EEA">
        <w:t>under</w:t>
      </w:r>
      <w:r w:rsidR="0020554A" w:rsidRPr="00773EEA">
        <w:t xml:space="preserve"> TO-01. The whole </w:t>
      </w:r>
      <w:r w:rsidR="004A2445" w:rsidRPr="00773EEA">
        <w:t>AASCTF derived significant</w:t>
      </w:r>
      <w:r w:rsidR="0020554A" w:rsidRPr="00773EEA">
        <w:t xml:space="preserve"> </w:t>
      </w:r>
      <w:r w:rsidR="005A7961" w:rsidRPr="00773EEA">
        <w:t xml:space="preserve">learning from </w:t>
      </w:r>
      <w:r w:rsidR="0020554A" w:rsidRPr="00773EEA">
        <w:t xml:space="preserve">that initial phase and has been able to transfer risk-related processes to subsequent </w:t>
      </w:r>
      <w:r w:rsidR="005A7961" w:rsidRPr="00773EEA">
        <w:t>TOs</w:t>
      </w:r>
      <w:r w:rsidR="0020554A" w:rsidRPr="00773EEA">
        <w:t xml:space="preserve">. </w:t>
      </w:r>
      <w:r w:rsidR="006C148F" w:rsidRPr="00773EEA">
        <w:t xml:space="preserve">Most </w:t>
      </w:r>
      <w:r w:rsidRPr="00773EEA">
        <w:t>TOs usually have frequent (often weekly) meetings, and often with representatives from local city government, to keep track of progress and challenges to delivery. Generally</w:t>
      </w:r>
      <w:r w:rsidR="006C148F" w:rsidRPr="00773EEA">
        <w:t>,</w:t>
      </w:r>
      <w:r w:rsidRPr="00773EEA">
        <w:t xml:space="preserve"> </w:t>
      </w:r>
      <w:r w:rsidR="002B2D94" w:rsidRPr="00773EEA">
        <w:t>TTLs</w:t>
      </w:r>
      <w:r w:rsidRPr="00773EEA">
        <w:t xml:space="preserve"> assess risks every three months and </w:t>
      </w:r>
      <w:r w:rsidR="00FA13EA" w:rsidRPr="00773EEA">
        <w:t xml:space="preserve">capture </w:t>
      </w:r>
      <w:r w:rsidRPr="00773EEA">
        <w:t>risks and mitigati</w:t>
      </w:r>
      <w:r w:rsidR="00FA13EA" w:rsidRPr="00773EEA">
        <w:t xml:space="preserve">ons </w:t>
      </w:r>
      <w:r w:rsidRPr="00773EEA">
        <w:t xml:space="preserve">to the Quarterly Progress Report (QPR) for </w:t>
      </w:r>
      <w:proofErr w:type="spellStart"/>
      <w:r w:rsidRPr="00773EEA">
        <w:t>their</w:t>
      </w:r>
      <w:proofErr w:type="spellEnd"/>
      <w:r w:rsidRPr="00773EEA">
        <w:t xml:space="preserve"> TO. TTLs typically talk through them with the Ramboll Core Team on a call that follows submission of the QPR. </w:t>
      </w:r>
      <w:r w:rsidR="00DD552A" w:rsidRPr="00773EEA">
        <w:t xml:space="preserve">Mitigations </w:t>
      </w:r>
      <w:r w:rsidRPr="00773EEA">
        <w:t xml:space="preserve">are usually suggested by the intervention team, with support from the Core Team where needed. With </w:t>
      </w:r>
      <w:r w:rsidR="004F1894" w:rsidRPr="00773EEA">
        <w:t>the volume of</w:t>
      </w:r>
      <w:r w:rsidRPr="00773EEA">
        <w:t xml:space="preserve"> TOs </w:t>
      </w:r>
      <w:r w:rsidR="004F1894" w:rsidRPr="00773EEA">
        <w:t>mobilised,</w:t>
      </w:r>
      <w:r w:rsidRPr="00773EEA">
        <w:t xml:space="preserve"> there is a risk that this </w:t>
      </w:r>
      <w:r w:rsidR="004F1894" w:rsidRPr="00773EEA">
        <w:t xml:space="preserve">is reduced to a </w:t>
      </w:r>
      <w:r w:rsidRPr="00773EEA">
        <w:t xml:space="preserve">tick-box exercise. Ramboll is </w:t>
      </w:r>
      <w:r w:rsidR="004F1894" w:rsidRPr="00773EEA">
        <w:t xml:space="preserve">alive to </w:t>
      </w:r>
      <w:r w:rsidRPr="00773EEA">
        <w:t xml:space="preserve">this risk to the </w:t>
      </w:r>
      <w:r w:rsidR="00AB6FE7" w:rsidRPr="00773EEA">
        <w:t xml:space="preserve">efficacy of the </w:t>
      </w:r>
      <w:r w:rsidRPr="00773EEA">
        <w:t>risk management process itself</w:t>
      </w:r>
      <w:r w:rsidR="00AB6FE7" w:rsidRPr="00773EEA">
        <w:t>,</w:t>
      </w:r>
      <w:r w:rsidRPr="00773EEA">
        <w:t xml:space="preserve"> and</w:t>
      </w:r>
      <w:r w:rsidR="00AB6FE7" w:rsidRPr="00773EEA">
        <w:t>,</w:t>
      </w:r>
      <w:r w:rsidRPr="00773EEA">
        <w:t xml:space="preserve"> alongside the submission of each QPR, there is also </w:t>
      </w:r>
      <w:r w:rsidR="00AB6FE7" w:rsidRPr="00773EEA">
        <w:t xml:space="preserve">now </w:t>
      </w:r>
      <w:r w:rsidRPr="00773EEA">
        <w:t>a 30-minute meeting to accompany each report</w:t>
      </w:r>
      <w:r w:rsidR="00293C15" w:rsidRPr="00773EEA">
        <w:t>,</w:t>
      </w:r>
      <w:r w:rsidR="00011542" w:rsidRPr="00773EEA">
        <w:t xml:space="preserve"> </w:t>
      </w:r>
      <w:r w:rsidRPr="00773EEA">
        <w:t>enabl</w:t>
      </w:r>
      <w:r w:rsidR="00011542" w:rsidRPr="00773EEA">
        <w:t>ing</w:t>
      </w:r>
      <w:r w:rsidRPr="00773EEA">
        <w:t xml:space="preserve"> greater dialogue between TTLs, the Ramboll core team and the ADB Project Officers. </w:t>
      </w:r>
    </w:p>
    <w:p w14:paraId="124191B1" w14:textId="748EA46B" w:rsidR="005C4CDA" w:rsidRPr="00773EEA" w:rsidRDefault="005C4CDA" w:rsidP="00B7602B">
      <w:pPr>
        <w:ind w:left="170"/>
        <w:jc w:val="both"/>
      </w:pPr>
      <w:r w:rsidRPr="00773EEA">
        <w:t xml:space="preserve">As an example of the risk management process </w:t>
      </w:r>
      <w:r w:rsidR="004353BC" w:rsidRPr="00773EEA">
        <w:t>in practice</w:t>
      </w:r>
      <w:r w:rsidRPr="00773EEA">
        <w:t xml:space="preserve">, the Makassar team identified the risk that the Urban Development Scenario document and the draft Liveable City Plan would be </w:t>
      </w:r>
      <w:r w:rsidR="0020554A" w:rsidRPr="00773EEA">
        <w:t>inaccessible</w:t>
      </w:r>
      <w:r w:rsidRPr="00773EEA">
        <w:t xml:space="preserve"> to </w:t>
      </w:r>
      <w:r w:rsidR="0020554A" w:rsidRPr="00773EEA">
        <w:t xml:space="preserve">many </w:t>
      </w:r>
      <w:r w:rsidRPr="00773EEA">
        <w:t xml:space="preserve">city staff and </w:t>
      </w:r>
      <w:r w:rsidR="0024709E" w:rsidRPr="00773EEA">
        <w:t xml:space="preserve">so </w:t>
      </w:r>
      <w:r w:rsidRPr="00773EEA">
        <w:t xml:space="preserve">unlikely to be widely read, </w:t>
      </w:r>
      <w:r w:rsidR="0024709E" w:rsidRPr="00773EEA">
        <w:t xml:space="preserve">understood, </w:t>
      </w:r>
      <w:r w:rsidRPr="00773EEA">
        <w:t>disseminated</w:t>
      </w:r>
      <w:r w:rsidR="0024709E" w:rsidRPr="00773EEA">
        <w:t>,</w:t>
      </w:r>
      <w:r w:rsidRPr="00773EEA">
        <w:t xml:space="preserve"> and acted or commented upon. The team, therefore, developed a more accessible interactive report format, which is also easily shar</w:t>
      </w:r>
      <w:r w:rsidR="0024709E" w:rsidRPr="00773EEA">
        <w:t>able</w:t>
      </w:r>
      <w:r w:rsidRPr="00773EEA">
        <w:t xml:space="preserve"> online.</w:t>
      </w:r>
      <w:r w:rsidRPr="00773EEA">
        <w:rPr>
          <w:rStyle w:val="FootnoteReference"/>
          <w:color w:val="auto"/>
        </w:rPr>
        <w:footnoteReference w:id="18"/>
      </w:r>
      <w:r w:rsidRPr="00773EEA">
        <w:t xml:space="preserve"> This </w:t>
      </w:r>
      <w:r w:rsidR="0024709E" w:rsidRPr="00773EEA">
        <w:t>s</w:t>
      </w:r>
      <w:r w:rsidRPr="00773EEA">
        <w:t xml:space="preserve">hows how </w:t>
      </w:r>
      <w:r w:rsidR="0020554A" w:rsidRPr="00773EEA">
        <w:t xml:space="preserve">digital tools </w:t>
      </w:r>
      <w:r w:rsidRPr="00773EEA">
        <w:t xml:space="preserve">can be integrated into the consultancy and strategy development space to </w:t>
      </w:r>
      <w:r w:rsidR="0024709E" w:rsidRPr="00773EEA">
        <w:t xml:space="preserve">more effectively </w:t>
      </w:r>
      <w:r w:rsidRPr="00773EEA">
        <w:t>communicate ideas with city governments and stakeholders. Another example is that TO implementation is often delayed by the process of gaining government permission for Ramboll to engage with stakeholders. The extent of this depends on country contexts and is a notable barrier in Cambodia, Thailand</w:t>
      </w:r>
      <w:r w:rsidR="0024709E" w:rsidRPr="00773EEA">
        <w:t>,</w:t>
      </w:r>
      <w:r w:rsidRPr="00773EEA">
        <w:t xml:space="preserve"> and Vietnam. </w:t>
      </w:r>
      <w:r w:rsidR="0024709E" w:rsidRPr="00773EEA">
        <w:t>Well-conceived</w:t>
      </w:r>
      <w:r w:rsidR="00FD3A6C" w:rsidRPr="00773EEA">
        <w:t xml:space="preserve"> and agile</w:t>
      </w:r>
      <w:r w:rsidR="0024709E" w:rsidRPr="00773EEA">
        <w:t xml:space="preserve"> advanced p</w:t>
      </w:r>
      <w:r w:rsidRPr="00773EEA">
        <w:t>lanning to minimise delays ha</w:t>
      </w:r>
      <w:r w:rsidR="0024709E" w:rsidRPr="00773EEA">
        <w:t>ve</w:t>
      </w:r>
      <w:r w:rsidRPr="00773EEA">
        <w:t xml:space="preserve"> been important aspect</w:t>
      </w:r>
      <w:r w:rsidR="0024709E" w:rsidRPr="00773EEA">
        <w:t>s</w:t>
      </w:r>
      <w:r w:rsidRPr="00773EEA">
        <w:t xml:space="preserve"> of risk mitigation in relation to engagement with </w:t>
      </w:r>
      <w:r w:rsidR="00FD3A6C" w:rsidRPr="00773EEA">
        <w:t xml:space="preserve">government and </w:t>
      </w:r>
      <w:r w:rsidRPr="00773EEA">
        <w:t xml:space="preserve">non-government stakeholders. </w:t>
      </w:r>
    </w:p>
    <w:p w14:paraId="74FFC07D" w14:textId="419320F7" w:rsidR="0020554A" w:rsidRPr="00773EEA" w:rsidRDefault="0020554A" w:rsidP="00B7602B">
      <w:pPr>
        <w:ind w:left="170"/>
        <w:jc w:val="both"/>
      </w:pPr>
      <w:r w:rsidRPr="00773EEA">
        <w:t xml:space="preserve">DFAT </w:t>
      </w:r>
      <w:r w:rsidR="008D0A35" w:rsidRPr="00773EEA">
        <w:t>is</w:t>
      </w:r>
      <w:r w:rsidRPr="00773EEA">
        <w:t xml:space="preserve"> not formally engaging on risks with ADB, although there is much informal interaction between DFAT and ADB on aspects of the program</w:t>
      </w:r>
      <w:r w:rsidR="009C657C" w:rsidRPr="00773EEA">
        <w:t>, and there are processes in place for regular discussions on risks</w:t>
      </w:r>
      <w:r w:rsidRPr="00773EEA">
        <w:t>. Risk assessments between ADB and DFAT could be formalised during the coming two years of the program via a Quarterly Risk Report.</w:t>
      </w:r>
    </w:p>
    <w:p w14:paraId="6B873A49" w14:textId="11D9454E" w:rsidR="0020554A" w:rsidRPr="00773EEA" w:rsidRDefault="7C2F6B61" w:rsidP="00B7602B">
      <w:pPr>
        <w:ind w:left="170"/>
        <w:jc w:val="both"/>
      </w:pPr>
      <w:r w:rsidRPr="00773EEA">
        <w:rPr>
          <w:b/>
          <w:bCs/>
        </w:rPr>
        <w:lastRenderedPageBreak/>
        <w:t xml:space="preserve">Interaction with city governments has generally been very positive, although there are some areas for improvement. </w:t>
      </w:r>
      <w:r w:rsidRPr="00773EEA">
        <w:t>TO teams have been able to build strong relationships with most city governments, despite the limitations of Covid</w:t>
      </w:r>
      <w:r w:rsidR="00FC7DBD" w:rsidRPr="00773EEA">
        <w:t>-19</w:t>
      </w:r>
      <w:r w:rsidRPr="00773EEA">
        <w:t xml:space="preserve">, as explained in </w:t>
      </w:r>
      <w:r w:rsidRPr="00773EEA">
        <w:rPr>
          <w:b/>
          <w:bCs/>
        </w:rPr>
        <w:t>Section 3.5</w:t>
      </w:r>
      <w:r w:rsidRPr="00773EEA">
        <w:t xml:space="preserve">. </w:t>
      </w:r>
      <w:r w:rsidR="0020554A" w:rsidRPr="00773EEA">
        <w:t xml:space="preserve">This experience has led the whole Ramboll team to be sensitive to communication related risks with city government and other stakeholders. </w:t>
      </w:r>
    </w:p>
    <w:p w14:paraId="5EEDAEE3" w14:textId="019B21FE" w:rsidR="00F00D5E" w:rsidRPr="00773EEA" w:rsidRDefault="7C2F6B61" w:rsidP="00B7602B">
      <w:pPr>
        <w:ind w:left="170"/>
        <w:jc w:val="both"/>
      </w:pPr>
      <w:r w:rsidRPr="00773EEA">
        <w:t xml:space="preserve">One challenging aspect of interaction has been gaps in expertise between the well-qualified Ramboll team and the city governments, which sometimes makes interaction and city feedback difficult. There is a strong need to check that the basics in each context, such as principles of transport modelling in the case of Georgetown, are understood by the relevant city staff, helping to inform design and maximise the usefulness of tools when handed over at the end of each TO. This was raised in relation to Georgetown, Penang and Baguio interventions, and is likely to apply across other </w:t>
      </w:r>
      <w:proofErr w:type="gramStart"/>
      <w:r w:rsidR="003E4034" w:rsidRPr="00773EEA">
        <w:t>Silver</w:t>
      </w:r>
      <w:proofErr w:type="gramEnd"/>
      <w:r w:rsidRPr="00773EEA">
        <w:t xml:space="preserve"> cities. Capacity building efforts are required to mitigate </w:t>
      </w:r>
      <w:r w:rsidR="008075EE" w:rsidRPr="00773EEA">
        <w:t>this,</w:t>
      </w:r>
      <w:r w:rsidRPr="00773EEA">
        <w:t xml:space="preserve"> and it is important that program resources are available for this. The challenge was also raised during the AASCTF</w:t>
      </w:r>
      <w:r w:rsidR="0020554A" w:rsidRPr="00773EEA">
        <w:t>’s</w:t>
      </w:r>
      <w:r w:rsidRPr="00773EEA">
        <w:t xml:space="preserve"> internal mid-term review, but it is important for the team to continue to address this across all TOs. </w:t>
      </w:r>
    </w:p>
    <w:p w14:paraId="5F5B2217" w14:textId="2FB80BDA" w:rsidR="00F00D5E" w:rsidRPr="00773EEA" w:rsidRDefault="7C2F6B61" w:rsidP="00B7602B">
      <w:pPr>
        <w:ind w:left="170"/>
        <w:jc w:val="both"/>
      </w:pPr>
      <w:r w:rsidRPr="00773EEA">
        <w:t xml:space="preserve">Interviews with government staff in the sampled cities showed that it can be a significant burden for city government staff to meet the demands of the project team, </w:t>
      </w:r>
      <w:r w:rsidR="003126F0" w:rsidRPr="00773EEA">
        <w:t xml:space="preserve">particularly if </w:t>
      </w:r>
      <w:r w:rsidRPr="00773EEA">
        <w:t>coincid</w:t>
      </w:r>
      <w:r w:rsidR="003126F0" w:rsidRPr="00773EEA">
        <w:t>ing</w:t>
      </w:r>
      <w:r w:rsidRPr="00773EEA">
        <w:t xml:space="preserve"> with the city participating in TO-08 or TO-09. </w:t>
      </w:r>
      <w:r w:rsidR="008A607A" w:rsidRPr="00773EEA">
        <w:t>This</w:t>
      </w:r>
      <w:r w:rsidRPr="00773EEA">
        <w:t xml:space="preserve"> </w:t>
      </w:r>
      <w:r w:rsidR="0020554A" w:rsidRPr="00773EEA">
        <w:t xml:space="preserve">can </w:t>
      </w:r>
      <w:r w:rsidRPr="00773EEA">
        <w:t xml:space="preserve">impact on the effectiveness of </w:t>
      </w:r>
      <w:r w:rsidR="008A607A" w:rsidRPr="00773EEA">
        <w:t xml:space="preserve">the </w:t>
      </w:r>
      <w:r w:rsidR="003E4034" w:rsidRPr="00773EEA">
        <w:t>Silver</w:t>
      </w:r>
      <w:r w:rsidR="008A607A" w:rsidRPr="00773EEA">
        <w:t xml:space="preserve"> </w:t>
      </w:r>
      <w:proofErr w:type="gramStart"/>
      <w:r w:rsidR="008A607A" w:rsidRPr="00773EEA">
        <w:t>TO</w:t>
      </w:r>
      <w:proofErr w:type="gramEnd"/>
      <w:r w:rsidR="008A607A" w:rsidRPr="00773EEA">
        <w:t xml:space="preserve"> and the </w:t>
      </w:r>
      <w:r w:rsidRPr="00773EEA">
        <w:t>knowledge transfer</w:t>
      </w:r>
      <w:r w:rsidR="008A607A" w:rsidRPr="00773EEA">
        <w:t xml:space="preserve"> activities and i</w:t>
      </w:r>
      <w:r w:rsidRPr="00773EEA">
        <w:t xml:space="preserve">t is important for the </w:t>
      </w:r>
      <w:r w:rsidR="008A607A" w:rsidRPr="00773EEA">
        <w:t xml:space="preserve">AASCTF </w:t>
      </w:r>
      <w:r w:rsidRPr="00773EEA">
        <w:t>team to carefully consider how best to interact with city staff to avoid over-burdening them while maintaining close collaboration</w:t>
      </w:r>
      <w:r w:rsidR="008A607A" w:rsidRPr="00773EEA">
        <w:t xml:space="preserve"> and synergies between influencing and implementing activities</w:t>
      </w:r>
      <w:r w:rsidRPr="00773EEA">
        <w:t>.</w:t>
      </w:r>
    </w:p>
    <w:p w14:paraId="1D6905E2" w14:textId="0075BBFA" w:rsidR="00DC3A12" w:rsidRPr="00773EEA" w:rsidRDefault="00DC3A12" w:rsidP="003169CC">
      <w:pPr>
        <w:ind w:left="170"/>
        <w:jc w:val="both"/>
      </w:pPr>
      <w:r w:rsidRPr="00773EEA">
        <w:t xml:space="preserve">It is also important to ensure that the program clearly communicates important decisions to city governments. While communications are generally very strong, there has been a lapse in Kaysone. Following the implementation of TO-03 on the feasibility study for the skills matching tool, </w:t>
      </w:r>
      <w:r w:rsidR="003169CC" w:rsidRPr="00773EEA">
        <w:t>ADB decided not to immediately continue with Phase 2. ADB recognised that the intervention has strong potential for impact and demand from city and university stakeholders and sought alternative funding options.</w:t>
      </w:r>
      <w:r w:rsidRPr="00773EEA">
        <w:t xml:space="preserve"> However, city stakeholders feel that they have been left without an explanation of the possible outcomes, which could be a negative influence on ADB and DFAT’s reputation in Lao PDR.</w:t>
      </w:r>
    </w:p>
    <w:p w14:paraId="07185EBE" w14:textId="3A00F64F" w:rsidR="0088594B" w:rsidRPr="00773EEA" w:rsidRDefault="0088594B" w:rsidP="00B7602B">
      <w:pPr>
        <w:ind w:left="170"/>
        <w:jc w:val="both"/>
      </w:pPr>
      <w:r w:rsidRPr="00773EEA">
        <w:rPr>
          <w:b/>
          <w:bCs/>
        </w:rPr>
        <w:t xml:space="preserve">Harmonisation with other donors is generally strong in the </w:t>
      </w:r>
      <w:proofErr w:type="gramStart"/>
      <w:r w:rsidR="003E4034" w:rsidRPr="00773EEA">
        <w:rPr>
          <w:b/>
          <w:bCs/>
        </w:rPr>
        <w:t>Silver</w:t>
      </w:r>
      <w:proofErr w:type="gramEnd"/>
      <w:r w:rsidRPr="00773EEA">
        <w:rPr>
          <w:b/>
          <w:bCs/>
        </w:rPr>
        <w:t xml:space="preserve"> cities, leveraging ADB’s existing relationships. </w:t>
      </w:r>
      <w:r w:rsidRPr="00773EEA">
        <w:t xml:space="preserve">ADB generally provides strong relationships and entry points in each program city. This is particularly beneficial for </w:t>
      </w:r>
      <w:proofErr w:type="gramStart"/>
      <w:r w:rsidR="003E4034" w:rsidRPr="00773EEA">
        <w:t>Silver</w:t>
      </w:r>
      <w:proofErr w:type="gramEnd"/>
      <w:r w:rsidRPr="00773EEA">
        <w:t xml:space="preserve"> cities, where the AASCTF can leverage existing relationships with government officials and other stakeholders. This makes initial work on scoping the interventions more efficient. Most of Ramboll’s TO teams are also engaging well with other donors. For example, in Battambang, exchange with USAID and UNDP has been very important for understanding how the AASCTF intervention could add value. In Luang Prabang, the TO-12 team is engaging with UNESCO, who provide considerable support to the city on urban planning and cultural heritage.  </w:t>
      </w:r>
    </w:p>
    <w:p w14:paraId="08AFCBE2" w14:textId="7369D116" w:rsidR="00836E70" w:rsidRPr="00773EEA" w:rsidRDefault="7C2F6B61" w:rsidP="00B7602B">
      <w:pPr>
        <w:ind w:left="170"/>
        <w:jc w:val="both"/>
      </w:pPr>
      <w:r w:rsidRPr="00773EEA">
        <w:rPr>
          <w:b/>
          <w:bCs/>
        </w:rPr>
        <w:t xml:space="preserve">Ramboll Country </w:t>
      </w:r>
      <w:r w:rsidR="00AF0B64" w:rsidRPr="00773EEA">
        <w:rPr>
          <w:b/>
          <w:bCs/>
        </w:rPr>
        <w:t xml:space="preserve">Focal Points </w:t>
      </w:r>
      <w:r w:rsidRPr="00773EEA">
        <w:rPr>
          <w:b/>
          <w:bCs/>
        </w:rPr>
        <w:t xml:space="preserve">could be more prominent to stakeholders and play an important role in outreach and dissemination of news and updates. </w:t>
      </w:r>
      <w:r w:rsidRPr="00773EEA">
        <w:t xml:space="preserve">Ramboll has deployed Country </w:t>
      </w:r>
      <w:r w:rsidR="00AF0B64" w:rsidRPr="00773EEA">
        <w:t xml:space="preserve">Focal Points </w:t>
      </w:r>
      <w:r w:rsidRPr="00773EEA">
        <w:t xml:space="preserve">as part of its implementing teams. However, government and non-government stakeholders </w:t>
      </w:r>
      <w:r w:rsidR="00836E70" w:rsidRPr="00773EEA">
        <w:t>interviewed we</w:t>
      </w:r>
      <w:r w:rsidRPr="00773EEA">
        <w:t xml:space="preserve">re generally unaware of the Country </w:t>
      </w:r>
      <w:r w:rsidR="00AF0B64" w:rsidRPr="00773EEA">
        <w:t xml:space="preserve">Focal Point </w:t>
      </w:r>
      <w:r w:rsidRPr="00773EEA">
        <w:t>role</w:t>
      </w:r>
      <w:r w:rsidR="00836E70" w:rsidRPr="00773EEA">
        <w:t xml:space="preserve">, bringing into question how effective they are. There is sometimes confusion on the part of the city government staff between </w:t>
      </w:r>
      <w:proofErr w:type="gramStart"/>
      <w:r w:rsidR="003E4034" w:rsidRPr="00773EEA">
        <w:t>Silver</w:t>
      </w:r>
      <w:r w:rsidR="00836E70" w:rsidRPr="00773EEA">
        <w:t xml:space="preserve"> and </w:t>
      </w:r>
      <w:r w:rsidR="00D92B24" w:rsidRPr="00773EEA">
        <w:t>Bronze</w:t>
      </w:r>
      <w:proofErr w:type="gramEnd"/>
      <w:r w:rsidR="00836E70" w:rsidRPr="00773EEA">
        <w:t xml:space="preserve"> level activities, a point that was raised by one or two key informants from city government. Country </w:t>
      </w:r>
      <w:r w:rsidR="00AF0B64" w:rsidRPr="00773EEA">
        <w:t xml:space="preserve">Focal Points </w:t>
      </w:r>
      <w:r w:rsidR="00836E70" w:rsidRPr="00773EEA">
        <w:t xml:space="preserve">could be more effectively used to play an important role in clarifying program activities and </w:t>
      </w:r>
      <w:r w:rsidR="00836E70" w:rsidRPr="00773EEA">
        <w:rPr>
          <w:lang w:val="en-US"/>
        </w:rPr>
        <w:t xml:space="preserve">helping to disseminate dedicated communication materials </w:t>
      </w:r>
      <w:r w:rsidR="0096430B" w:rsidRPr="00773EEA">
        <w:rPr>
          <w:lang w:val="en-US"/>
        </w:rPr>
        <w:t>such as the</w:t>
      </w:r>
      <w:r w:rsidR="00836E70" w:rsidRPr="00773EEA">
        <w:rPr>
          <w:lang w:val="en-US"/>
        </w:rPr>
        <w:t xml:space="preserve"> 2-page flyer</w:t>
      </w:r>
      <w:r w:rsidR="0096430B" w:rsidRPr="00773EEA">
        <w:rPr>
          <w:lang w:val="en-US"/>
        </w:rPr>
        <w:t xml:space="preserve"> and</w:t>
      </w:r>
      <w:r w:rsidR="00836E70" w:rsidRPr="00773EEA">
        <w:rPr>
          <w:lang w:val="en-US"/>
        </w:rPr>
        <w:t xml:space="preserve"> introductory video</w:t>
      </w:r>
      <w:r w:rsidR="0096430B" w:rsidRPr="00773EEA">
        <w:rPr>
          <w:lang w:val="en-US"/>
        </w:rPr>
        <w:t xml:space="preserve"> on the AASCTF, prepared by Ramboll. </w:t>
      </w:r>
    </w:p>
    <w:p w14:paraId="47B483B5" w14:textId="7CCBF16E" w:rsidR="0088594B" w:rsidRPr="00773EEA" w:rsidRDefault="0088594B" w:rsidP="00B7602B">
      <w:pPr>
        <w:ind w:left="170"/>
        <w:jc w:val="both"/>
      </w:pPr>
      <w:r w:rsidRPr="00773EEA">
        <w:rPr>
          <w:b/>
          <w:bCs/>
        </w:rPr>
        <w:t xml:space="preserve">More formal interaction with other DFAT posts, particularly the ASEAN Mission, would be welcomed and could lead to greater synergies. </w:t>
      </w:r>
      <w:r w:rsidR="0096430B" w:rsidRPr="00773EEA">
        <w:t>Interviews with DFAT posts indicated that t</w:t>
      </w:r>
      <w:r w:rsidRPr="00773EEA">
        <w:t>here should be more proactive interaction by Ramboll and ADB with posts</w:t>
      </w:r>
      <w:r w:rsidR="0096430B" w:rsidRPr="00773EEA">
        <w:t xml:space="preserve"> across ASEAN</w:t>
      </w:r>
      <w:r w:rsidRPr="00773EEA">
        <w:t xml:space="preserve">. This particularly applies to the ASEAN mission in </w:t>
      </w:r>
      <w:r w:rsidR="00046DA3" w:rsidRPr="00773EEA">
        <w:t>Jakarta</w:t>
      </w:r>
      <w:r w:rsidRPr="00773EEA">
        <w:t xml:space="preserve">, where there is potential to seek synergies and knowledge exchange with the mission’s related smart cities and infrastructure initiatives and </w:t>
      </w:r>
      <w:r w:rsidR="00821512" w:rsidRPr="00773EEA">
        <w:t xml:space="preserve">its </w:t>
      </w:r>
      <w:r w:rsidRPr="00773EEA">
        <w:t xml:space="preserve">close ties to ASEAN institutions and groups such as the ASEAN Smart Cities Network. </w:t>
      </w:r>
      <w:r w:rsidR="002D52DA" w:rsidRPr="00773EEA">
        <w:t>S</w:t>
      </w:r>
      <w:r w:rsidRPr="00773EEA">
        <w:t xml:space="preserve">everal DFAT post representatives suggested it would be good to have quarterly or 6-montly regional updates with ADB to share progress. If there was a standing agenda of updates and objectives that DFAT Posts and ADB could talk about and be updated on, it would provide greater assurance that they are working toward the same broader ASEAN-Australia set of priorities. This would provide a stronger basis for communication with the ASEAN Secretariat. </w:t>
      </w:r>
    </w:p>
    <w:p w14:paraId="732D81E7" w14:textId="63E20986" w:rsidR="0088594B" w:rsidRPr="00773EEA" w:rsidRDefault="7C2F6B61" w:rsidP="00B7602B">
      <w:pPr>
        <w:ind w:left="170"/>
        <w:jc w:val="both"/>
      </w:pPr>
      <w:r w:rsidRPr="00773EEA">
        <w:rPr>
          <w:b/>
          <w:bCs/>
        </w:rPr>
        <w:t xml:space="preserve">The AASCTF demonstrates robust M&amp;E processes, reflected by the 2020 M&amp;E Strategy and the well-developed Design and Monitoring Framework (DMF), although it lacks clarity for some team members. </w:t>
      </w:r>
      <w:r w:rsidRPr="00773EEA">
        <w:t xml:space="preserve">The internal M&amp;E system includes reporting on M&amp;E targets in QPRs, the use of Activity Level Performance Assessments (ALPAs) and </w:t>
      </w:r>
      <w:r w:rsidR="007738D0" w:rsidRPr="00773EEA">
        <w:t>recently</w:t>
      </w:r>
      <w:r w:rsidRPr="00773EEA">
        <w:t xml:space="preserve"> implemented Activity Level Evaluation Reports (ALERs). The system </w:t>
      </w:r>
      <w:proofErr w:type="gramStart"/>
      <w:r w:rsidRPr="00773EEA">
        <w:t>is considered to be</w:t>
      </w:r>
      <w:proofErr w:type="gramEnd"/>
      <w:r w:rsidRPr="00773EEA">
        <w:t xml:space="preserve"> a ‘gold standard’ of M&amp;E by ADB. However, interviews </w:t>
      </w:r>
      <w:r w:rsidR="007738D0" w:rsidRPr="00773EEA">
        <w:t xml:space="preserve">with Ramboll TTLs </w:t>
      </w:r>
      <w:r w:rsidRPr="00773EEA">
        <w:t xml:space="preserve">revealed that M&amp;E reporting lacks clarity and is not well understood by many team members in Ramboll. Some interviewee comments suggest ALPAs are seen as an administrative burden or a tick-box exercise with little intervention level appreciation of their value. For some TO’s such as the VISSIM modelling in Georgetown (TO-06) team members have found it difficult to connect progress and outputs to the overarching AASCTF KPIs, particularly on gender and inclusion. Another TTL has said that they </w:t>
      </w:r>
      <w:r w:rsidRPr="00773EEA">
        <w:lastRenderedPageBreak/>
        <w:t xml:space="preserve">understand the potential of M&amp;E, but the current system is not flexible enough to pull out key aspects such as </w:t>
      </w:r>
      <w:r w:rsidR="007738D0" w:rsidRPr="00773EEA">
        <w:t xml:space="preserve">potential for </w:t>
      </w:r>
      <w:r w:rsidRPr="00773EEA">
        <w:t xml:space="preserve">replicability and sustainability for each TO. </w:t>
      </w:r>
    </w:p>
    <w:p w14:paraId="5095E020" w14:textId="77777777" w:rsidR="006C0757" w:rsidRPr="00773EEA" w:rsidRDefault="7C2F6B61" w:rsidP="00B7602B">
      <w:pPr>
        <w:ind w:left="170"/>
        <w:jc w:val="both"/>
      </w:pPr>
      <w:r w:rsidRPr="00773EEA">
        <w:rPr>
          <w:b/>
          <w:bCs/>
        </w:rPr>
        <w:t xml:space="preserve">M&amp;E processes could be improved to be fully appropriate for a ‘sandbox’ program approach. </w:t>
      </w:r>
      <w:r w:rsidRPr="00773EEA">
        <w:t xml:space="preserve">The AASCTF </w:t>
      </w:r>
      <w:r w:rsidR="003E4034" w:rsidRPr="00773EEA">
        <w:t>Silver</w:t>
      </w:r>
      <w:r w:rsidRPr="00773EEA">
        <w:t xml:space="preserve"> interventions are seen by ADB and Ramboll as a ‘sandbox’ where there is programmatic space for trial and error. M&amp;E processes are important in this case to monitor what’s working well or failing. Some interviewees have said that the M&amp;E framework is well suited to the overall aggregated program indicators and for components like TO</w:t>
      </w:r>
      <w:r w:rsidR="0076666A" w:rsidRPr="00773EEA">
        <w:t>-0</w:t>
      </w:r>
      <w:r w:rsidRPr="00773EEA">
        <w:t xml:space="preserve">8 &amp; </w:t>
      </w:r>
      <w:r w:rsidR="0076666A" w:rsidRPr="00773EEA">
        <w:t>0</w:t>
      </w:r>
      <w:r w:rsidRPr="00773EEA">
        <w:t xml:space="preserve">9. However, Activity Level Performance Assessments (ALPAs) are designed to help the program monitor progress for each TO at a more granular level and identify how to correct the course of an approach, if something is not working well. </w:t>
      </w:r>
      <w:r w:rsidR="00D21F13" w:rsidRPr="00773EEA">
        <w:t>While</w:t>
      </w:r>
      <w:r w:rsidRPr="00773EEA">
        <w:t xml:space="preserve"> t</w:t>
      </w:r>
      <w:r w:rsidRPr="00773EEA">
        <w:rPr>
          <w:lang w:val="en-US"/>
        </w:rPr>
        <w:t xml:space="preserve">he ALPAs are tailored to each TO, </w:t>
      </w:r>
      <w:r w:rsidR="00D21F13" w:rsidRPr="00773EEA">
        <w:rPr>
          <w:lang w:val="en-US"/>
        </w:rPr>
        <w:t>interviewees pointed out that it is</w:t>
      </w:r>
      <w:r w:rsidRPr="00773EEA">
        <w:rPr>
          <w:lang w:val="en-US"/>
        </w:rPr>
        <w:t xml:space="preserve"> </w:t>
      </w:r>
      <w:r w:rsidR="00D21F13" w:rsidRPr="00773EEA">
        <w:rPr>
          <w:lang w:val="en-US"/>
        </w:rPr>
        <w:t xml:space="preserve">challenging </w:t>
      </w:r>
      <w:r w:rsidRPr="00773EEA">
        <w:rPr>
          <w:lang w:val="en-US"/>
        </w:rPr>
        <w:t>to aggregate indicators, considering the diversity of TOs. To help mitigate this, each TTL is asked to develop their own DMF for each TO, drawing on Core M&amp;E Expert support.</w:t>
      </w:r>
      <w:r w:rsidR="007738D0" w:rsidRPr="00773EEA">
        <w:t xml:space="preserve"> </w:t>
      </w:r>
    </w:p>
    <w:p w14:paraId="7D5803E3" w14:textId="5780CF6F" w:rsidR="00A678FB" w:rsidRPr="00773EEA" w:rsidRDefault="007738D0" w:rsidP="00B7602B">
      <w:pPr>
        <w:ind w:left="170"/>
        <w:jc w:val="both"/>
      </w:pPr>
      <w:r w:rsidRPr="00773EEA">
        <w:t>O</w:t>
      </w:r>
      <w:r w:rsidR="7C2F6B61" w:rsidRPr="00773EEA">
        <w:t xml:space="preserve">verall, the M&amp;E system is working </w:t>
      </w:r>
      <w:proofErr w:type="gramStart"/>
      <w:r w:rsidR="7C2F6B61" w:rsidRPr="00773EEA">
        <w:t>fairly well</w:t>
      </w:r>
      <w:proofErr w:type="gramEnd"/>
      <w:r w:rsidR="7C2F6B61" w:rsidRPr="00773EEA">
        <w:t xml:space="preserve"> to help evaluate </w:t>
      </w:r>
      <w:r w:rsidRPr="00773EEA">
        <w:t>progress against program targets</w:t>
      </w:r>
      <w:r w:rsidR="006C0757" w:rsidRPr="00773EEA">
        <w:t>,</w:t>
      </w:r>
      <w:r w:rsidR="7C2F6B61" w:rsidRPr="00773EEA">
        <w:t xml:space="preserve"> but there remains some room for improvement to enable more useful learning feedback loops</w:t>
      </w:r>
      <w:r w:rsidRPr="00773EEA">
        <w:t xml:space="preserve"> for each city intervention</w:t>
      </w:r>
      <w:r w:rsidR="006C0757" w:rsidRPr="00773EEA">
        <w:t xml:space="preserve">. This </w:t>
      </w:r>
      <w:r w:rsidR="008C51FD" w:rsidRPr="00773EEA">
        <w:t xml:space="preserve">will help </w:t>
      </w:r>
      <w:r w:rsidR="006C0757" w:rsidRPr="00773EEA">
        <w:t xml:space="preserve">the program </w:t>
      </w:r>
      <w:r w:rsidR="008C51FD" w:rsidRPr="00773EEA">
        <w:t>understand more clearly and rapidly what is working well</w:t>
      </w:r>
      <w:r w:rsidR="006C0757" w:rsidRPr="00773EEA">
        <w:t>,</w:t>
      </w:r>
      <w:r w:rsidR="008C51FD" w:rsidRPr="00773EEA">
        <w:t xml:space="preserve"> what can be adapted during an intervention</w:t>
      </w:r>
      <w:r w:rsidR="006C0757" w:rsidRPr="00773EEA">
        <w:t>,</w:t>
      </w:r>
      <w:r w:rsidR="008C51FD" w:rsidRPr="00773EEA">
        <w:t xml:space="preserve"> or replicated or scaled up after an intervention has been completed, either within AASCTF or by other entities.</w:t>
      </w:r>
      <w:r w:rsidR="7C2F6B61" w:rsidRPr="00773EEA">
        <w:t xml:space="preserve"> It will also be useful to conduct an evaluation one or two years after</w:t>
      </w:r>
      <w:r w:rsidR="00907313" w:rsidRPr="00773EEA">
        <w:t xml:space="preserve"> </w:t>
      </w:r>
      <w:r w:rsidR="7C2F6B61" w:rsidRPr="00773EEA">
        <w:t xml:space="preserve">each </w:t>
      </w:r>
      <w:r w:rsidR="008075EE" w:rsidRPr="00773EEA">
        <w:t>intervention has</w:t>
      </w:r>
      <w:r w:rsidR="7C2F6B61" w:rsidRPr="00773EEA">
        <w:t xml:space="preserve"> have ended to gain valuable learning on sustainability of outcomes and to better understand what has worked or failed in the medium term. </w:t>
      </w:r>
    </w:p>
    <w:p w14:paraId="3E378340" w14:textId="1E5A6FD4" w:rsidR="000E62FD" w:rsidRPr="00773EEA" w:rsidRDefault="00AA614E" w:rsidP="00B7602B">
      <w:pPr>
        <w:ind w:left="170"/>
        <w:jc w:val="both"/>
        <w:rPr>
          <w:rFonts w:asciiTheme="majorHAnsi" w:hAnsiTheme="majorHAnsi"/>
          <w:b/>
          <w:bCs/>
          <w:sz w:val="24"/>
          <w:szCs w:val="24"/>
        </w:rPr>
      </w:pPr>
      <w:r w:rsidRPr="00773EEA">
        <w:rPr>
          <w:rFonts w:asciiTheme="majorHAnsi" w:hAnsiTheme="majorHAnsi"/>
          <w:b/>
          <w:bCs/>
          <w:sz w:val="24"/>
          <w:szCs w:val="24"/>
        </w:rPr>
        <w:t xml:space="preserve">3.2.2. </w:t>
      </w:r>
      <w:r w:rsidR="000E62FD" w:rsidRPr="00773EEA">
        <w:rPr>
          <w:rFonts w:asciiTheme="majorHAnsi" w:hAnsiTheme="majorHAnsi"/>
          <w:b/>
          <w:bCs/>
          <w:sz w:val="24"/>
          <w:szCs w:val="24"/>
        </w:rPr>
        <w:t>What is working well and/or what challenges are there in terms of linking the city and program levels together in terms of shared program objectives?</w:t>
      </w:r>
    </w:p>
    <w:p w14:paraId="0F8DD850" w14:textId="3C20EC32" w:rsidR="006C0757" w:rsidRPr="00773EEA" w:rsidRDefault="000E62FD" w:rsidP="006C0757">
      <w:pPr>
        <w:ind w:left="170"/>
        <w:jc w:val="both"/>
      </w:pPr>
      <w:r w:rsidRPr="00773EEA">
        <w:rPr>
          <w:b/>
          <w:bCs/>
        </w:rPr>
        <w:t xml:space="preserve">The program pillars and cross-cutting objectives help to tie the components together. </w:t>
      </w:r>
      <w:r w:rsidRPr="00773EEA">
        <w:t xml:space="preserve">As shown in Section 2, AASCTF is a complex </w:t>
      </w:r>
      <w:r w:rsidR="00157AAF" w:rsidRPr="00773EEA">
        <w:t>program</w:t>
      </w:r>
      <w:r w:rsidRPr="00773EEA">
        <w:t xml:space="preserve"> comprising a wide range of </w:t>
      </w:r>
      <w:proofErr w:type="gramStart"/>
      <w:r w:rsidR="003E4034" w:rsidRPr="00773EEA">
        <w:t>Silver</w:t>
      </w:r>
      <w:r w:rsidRPr="00773EEA">
        <w:t xml:space="preserve"> and </w:t>
      </w:r>
      <w:r w:rsidR="00D92B24" w:rsidRPr="00773EEA">
        <w:t>Bronze</w:t>
      </w:r>
      <w:proofErr w:type="gramEnd"/>
      <w:r w:rsidRPr="00773EEA">
        <w:t xml:space="preserve"> level interventions, </w:t>
      </w:r>
      <w:r w:rsidR="00AF0B64" w:rsidRPr="00773EEA">
        <w:t>Resource Person and Direct Charge</w:t>
      </w:r>
      <w:r w:rsidRPr="00773EEA">
        <w:t xml:space="preserve"> projects and the expected addition of </w:t>
      </w:r>
      <w:r w:rsidR="00010678" w:rsidRPr="00773EEA">
        <w:t>G</w:t>
      </w:r>
      <w:r w:rsidRPr="00773EEA">
        <w:t>old level investments</w:t>
      </w:r>
      <w:r w:rsidR="00D21F13" w:rsidRPr="00773EEA">
        <w:t xml:space="preserve"> or initiatives</w:t>
      </w:r>
      <w:r w:rsidRPr="00773EEA">
        <w:t xml:space="preserve">. There is a risk of </w:t>
      </w:r>
      <w:r w:rsidR="000D79EB" w:rsidRPr="00773EEA">
        <w:t xml:space="preserve">reduced efficiency and effectiveness as a result of </w:t>
      </w:r>
      <w:r w:rsidRPr="00773EEA">
        <w:t xml:space="preserve">disparate initiatives that are not clearly linked into a coherent </w:t>
      </w:r>
      <w:r w:rsidR="00157AAF" w:rsidRPr="00773EEA">
        <w:t>program</w:t>
      </w:r>
      <w:r w:rsidRPr="00773EEA">
        <w:t xml:space="preserve"> whole. </w:t>
      </w:r>
    </w:p>
    <w:p w14:paraId="72B2F44E" w14:textId="486CC351" w:rsidR="000E62FD" w:rsidRPr="00773EEA" w:rsidRDefault="000E62FD" w:rsidP="006C0757">
      <w:pPr>
        <w:ind w:left="170"/>
        <w:jc w:val="both"/>
      </w:pPr>
      <w:r w:rsidRPr="00773EEA">
        <w:t xml:space="preserve">However, coherence </w:t>
      </w:r>
      <w:r w:rsidR="000D79EB" w:rsidRPr="00773EEA">
        <w:t>is provided by the</w:t>
      </w:r>
      <w:r w:rsidRPr="00773EEA">
        <w:t xml:space="preserve"> frameworks that are used to structure the program. </w:t>
      </w:r>
      <w:r w:rsidR="008075EE" w:rsidRPr="00773EEA">
        <w:t>Firstly,</w:t>
      </w:r>
      <w:r w:rsidRPr="00773EEA">
        <w:t xml:space="preserve"> the three thematic pillars of urban planning, service delivery and financial management help to organise interventions and influencing activities, although </w:t>
      </w:r>
      <w:proofErr w:type="gramStart"/>
      <w:r w:rsidRPr="00773EEA">
        <w:t>in reality there</w:t>
      </w:r>
      <w:proofErr w:type="gramEnd"/>
      <w:r w:rsidRPr="00773EEA">
        <w:t xml:space="preserve"> are a number of overlapping elements such as digital payments for waste management service delivery, which is a possible focus in TO-07 in Battambang. Secondly, the Foundational, Influencing and Implementing categories help to provide a framework to consider how outputs are contributing to outcomes. Thirdly the cross-cutting considerations of climate change, private sector development and gender equality and social inclusion help to bring in common lenses through which to plan and organise the common objectives of program interventions. As mentioned above there is also coherence in terms of city selection whereby selected cities are linked to long-standing ADB relationships and interventions.</w:t>
      </w:r>
    </w:p>
    <w:p w14:paraId="551B02A8" w14:textId="1C1FF5F8" w:rsidR="00A678FB" w:rsidRPr="00773EEA" w:rsidRDefault="00A678FB" w:rsidP="00B7602B">
      <w:pPr>
        <w:ind w:left="170"/>
        <w:jc w:val="both"/>
      </w:pPr>
      <w:r w:rsidRPr="00773EEA">
        <w:rPr>
          <w:b/>
          <w:bCs/>
        </w:rPr>
        <w:t xml:space="preserve">The capacity building components of the program also help to tie all the themes and approaches together into a coherent whole. </w:t>
      </w:r>
      <w:r w:rsidRPr="00773EEA">
        <w:t xml:space="preserve">Another important set of threads running through the program are the influencing events, including the webinars, city introduction works, Inclusive City Dialogues and smart city networking days under TO-08 and TO-09. These events often draw on examples and learning from across the program, such that </w:t>
      </w:r>
      <w:r w:rsidR="003E4034" w:rsidRPr="00773EEA">
        <w:t>Silver</w:t>
      </w:r>
      <w:r w:rsidRPr="00773EEA">
        <w:t xml:space="preserve"> TOs help to reinforce knowledge sharing in the influencing activities as well as TO teams being able to draw on the knowledge and resources available in these influencing activities. For example, the city government champion for the FEWS in Baguio was a speaker at the recent Smart City Networking Days 2022. </w:t>
      </w:r>
    </w:p>
    <w:p w14:paraId="0841D8C7" w14:textId="438DE11C" w:rsidR="00A678FB" w:rsidRPr="00773EEA" w:rsidRDefault="00A678FB" w:rsidP="00B7602B">
      <w:pPr>
        <w:ind w:left="170"/>
        <w:jc w:val="both"/>
      </w:pPr>
      <w:r w:rsidRPr="00773EEA">
        <w:rPr>
          <w:b/>
          <w:bCs/>
        </w:rPr>
        <w:t xml:space="preserve">Further expanding the program to cover greater numbers of cities and types of interventions would risk losing coherence and ability to create impact in certain target areas. </w:t>
      </w:r>
      <w:r w:rsidRPr="00773EEA">
        <w:t xml:space="preserve">The program already covers a wide range of topics, thematic pillars and participating cities. As DFAT and ADB consider the next two years of the current program or a possible extension beyond 2024, it will be important to consider how best to consolidate program results. The sustainability challenges related to the current TOs </w:t>
      </w:r>
      <w:r w:rsidR="000D79EB" w:rsidRPr="00773EEA">
        <w:t xml:space="preserve">and the DMF indicators relating to scaling and replicating interventions, </w:t>
      </w:r>
      <w:r w:rsidRPr="00773EEA">
        <w:t xml:space="preserve">suggest that it is </w:t>
      </w:r>
      <w:r w:rsidR="000D79EB" w:rsidRPr="00773EEA">
        <w:t xml:space="preserve">advisable </w:t>
      </w:r>
      <w:r w:rsidRPr="00773EEA">
        <w:t xml:space="preserve">to go deeper rather than wider in terms of city engagement, building on areas of traction and consolidating city relationships. There are important opportunities to continue supporting beneficiary governments as they </w:t>
      </w:r>
      <w:r w:rsidR="000D79EB" w:rsidRPr="00773EEA">
        <w:t>adopt and integrate</w:t>
      </w:r>
      <w:r w:rsidRPr="00773EEA">
        <w:t xml:space="preserve"> A</w:t>
      </w:r>
      <w:r w:rsidR="00DC210C" w:rsidRPr="00773EEA">
        <w:t>A</w:t>
      </w:r>
      <w:r w:rsidRPr="00773EEA">
        <w:t xml:space="preserve">SCTF-developed tools and services, which is likely to boost overall success at the outcome and impact levels. </w:t>
      </w:r>
    </w:p>
    <w:p w14:paraId="60196DD1" w14:textId="720A6329" w:rsidR="00A6509F" w:rsidRPr="00773EEA" w:rsidRDefault="00135EE9" w:rsidP="00B7602B">
      <w:pPr>
        <w:ind w:left="170"/>
        <w:jc w:val="both"/>
        <w:rPr>
          <w:rFonts w:asciiTheme="majorHAnsi" w:hAnsiTheme="majorHAnsi"/>
          <w:b/>
          <w:bCs/>
          <w:sz w:val="24"/>
          <w:szCs w:val="24"/>
        </w:rPr>
      </w:pPr>
      <w:r w:rsidRPr="00773EEA">
        <w:rPr>
          <w:rFonts w:asciiTheme="majorHAnsi" w:hAnsiTheme="majorHAnsi"/>
          <w:b/>
          <w:bCs/>
          <w:sz w:val="24"/>
          <w:szCs w:val="24"/>
        </w:rPr>
        <w:t xml:space="preserve">3.2.3. </w:t>
      </w:r>
      <w:r w:rsidR="00A6509F" w:rsidRPr="00773EEA">
        <w:rPr>
          <w:rFonts w:asciiTheme="majorHAnsi" w:hAnsiTheme="majorHAnsi"/>
          <w:b/>
          <w:bCs/>
          <w:sz w:val="24"/>
          <w:szCs w:val="24"/>
        </w:rPr>
        <w:t>Is AASCTF able to respond to emerging priorities and make timely decisions? What factors help the program’s ability to respond and what hinders it?</w:t>
      </w:r>
    </w:p>
    <w:p w14:paraId="4A96D027" w14:textId="42E077BC" w:rsidR="00A6509F" w:rsidRPr="00773EEA" w:rsidRDefault="00A6509F" w:rsidP="00B7602B">
      <w:pPr>
        <w:ind w:left="170"/>
        <w:jc w:val="both"/>
      </w:pPr>
      <w:r w:rsidRPr="00773EEA">
        <w:rPr>
          <w:b/>
          <w:bCs/>
        </w:rPr>
        <w:t xml:space="preserve">Strong flexibility, in terms of the ability to rapidly respond to changing city government needs, is demonstrated across the </w:t>
      </w:r>
      <w:r w:rsidR="00157AAF" w:rsidRPr="00773EEA">
        <w:rPr>
          <w:b/>
          <w:bCs/>
        </w:rPr>
        <w:t>program</w:t>
      </w:r>
      <w:r w:rsidRPr="00773EEA">
        <w:rPr>
          <w:b/>
          <w:bCs/>
        </w:rPr>
        <w:t>.</w:t>
      </w:r>
      <w:r w:rsidRPr="00773EEA">
        <w:t xml:space="preserve"> For example, </w:t>
      </w:r>
      <w:r w:rsidR="008075EE" w:rsidRPr="00773EEA">
        <w:t>the</w:t>
      </w:r>
      <w:r w:rsidRPr="00773EEA">
        <w:t xml:space="preserve"> evolution of TO-01 in Makassar from preparing a Liveability Plan to designing and implementing an online tool to prioritise smart city investments; and meeting the request of the Indonesian government to implement an upcoming task order (TO) to support the smart city development of Nusantara in Kalimantan, the newly planned capital city. There are also many smaller examples across the program of an agile </w:t>
      </w:r>
      <w:r w:rsidRPr="00773EEA">
        <w:lastRenderedPageBreak/>
        <w:t xml:space="preserve">Ramboll team that </w:t>
      </w:r>
      <w:proofErr w:type="gramStart"/>
      <w:r w:rsidRPr="00773EEA">
        <w:t>is able to</w:t>
      </w:r>
      <w:proofErr w:type="gramEnd"/>
      <w:r w:rsidRPr="00773EEA">
        <w:t xml:space="preserve"> adapt their approach to better collaborate with the city government and other stakeholders, such as the integration of TO-05, led by Practical Action, on a gender transformative approach to the Baguio work package, which was requested by the Mayor of Baguio. </w:t>
      </w:r>
    </w:p>
    <w:p w14:paraId="16BC5138" w14:textId="77777777" w:rsidR="00A6509F" w:rsidRPr="00773EEA" w:rsidRDefault="00A6509F" w:rsidP="00B7602B">
      <w:pPr>
        <w:ind w:left="170"/>
        <w:jc w:val="both"/>
        <w:rPr>
          <w:b/>
          <w:bCs/>
        </w:rPr>
      </w:pPr>
      <w:r w:rsidRPr="00773EEA">
        <w:rPr>
          <w:b/>
          <w:bCs/>
        </w:rPr>
        <w:t>The ability of the program to respond in a flexible way to city staff is driven by the demand-led design, strong coordination between ADB and Ramboll and close relationships with city governments.</w:t>
      </w:r>
    </w:p>
    <w:p w14:paraId="51849E25" w14:textId="3501CD48" w:rsidR="00A6509F" w:rsidRPr="00773EEA" w:rsidRDefault="00A6509F" w:rsidP="00B7602B">
      <w:pPr>
        <w:ind w:left="170"/>
        <w:jc w:val="both"/>
      </w:pPr>
      <w:r w:rsidRPr="00773EEA">
        <w:t xml:space="preserve">Interviews have shown that a range of factors contribute to program flexibility. Foremost is the design of the program, which is demand-driven, seeking to try new ideas and proactively responding to ideas and requests for city officials. The Ramboll core team has a time-based contract with ADB and then lump sum payments are set up for the TOs. As a Ramboll team member put it: </w:t>
      </w:r>
      <w:r w:rsidRPr="00773EEA">
        <w:rPr>
          <w:i/>
          <w:iCs/>
        </w:rPr>
        <w:t>“We don't really need to always have clearly defined outputs, you know, if an opportunity arises, if there was an emerging priority in relation to COVID-19, or any other disruption, then we can adjust and we can organise ourselves to react and to deliver accordingly”.</w:t>
      </w:r>
      <w:r w:rsidRPr="00773EEA">
        <w:t xml:space="preserve"> Changes to scope are generally considered and approved </w:t>
      </w:r>
      <w:proofErr w:type="gramStart"/>
      <w:r w:rsidRPr="00773EEA">
        <w:t>fairly rapidly</w:t>
      </w:r>
      <w:proofErr w:type="gramEnd"/>
      <w:r w:rsidRPr="00773EEA">
        <w:t xml:space="preserve"> between Ramboll and ADB. Other factors include the on-the-ground staff in each </w:t>
      </w:r>
      <w:r w:rsidR="003E4034" w:rsidRPr="00773EEA">
        <w:t>Silver</w:t>
      </w:r>
      <w:r w:rsidRPr="00773EEA">
        <w:t xml:space="preserve"> city, well-coordinated teams and good relationships with city staff. </w:t>
      </w:r>
    </w:p>
    <w:p w14:paraId="67B3D23F" w14:textId="769E7786" w:rsidR="00A6509F" w:rsidRPr="00773EEA" w:rsidRDefault="00135EE9" w:rsidP="00B7602B">
      <w:pPr>
        <w:ind w:left="170"/>
        <w:jc w:val="both"/>
        <w:rPr>
          <w:rFonts w:asciiTheme="majorHAnsi" w:hAnsiTheme="majorHAnsi"/>
          <w:b/>
          <w:bCs/>
          <w:sz w:val="24"/>
          <w:szCs w:val="24"/>
        </w:rPr>
      </w:pPr>
      <w:r w:rsidRPr="00773EEA">
        <w:rPr>
          <w:rFonts w:asciiTheme="majorHAnsi" w:hAnsiTheme="majorHAnsi"/>
          <w:b/>
          <w:bCs/>
          <w:sz w:val="24"/>
          <w:szCs w:val="24"/>
        </w:rPr>
        <w:t xml:space="preserve">3.2.4. </w:t>
      </w:r>
      <w:r w:rsidR="00A6509F" w:rsidRPr="00773EEA">
        <w:rPr>
          <w:rFonts w:asciiTheme="majorHAnsi" w:hAnsiTheme="majorHAnsi"/>
          <w:b/>
          <w:bCs/>
          <w:sz w:val="24"/>
          <w:szCs w:val="24"/>
        </w:rPr>
        <w:t>How is learning facilitated or enabled and documented across countries and intervention teams within the region?</w:t>
      </w:r>
    </w:p>
    <w:p w14:paraId="23C26AD4" w14:textId="77777777" w:rsidR="006C0757" w:rsidRPr="00773EEA" w:rsidRDefault="7C2F6B61" w:rsidP="00B7602B">
      <w:pPr>
        <w:ind w:left="170"/>
        <w:jc w:val="both"/>
      </w:pPr>
      <w:r w:rsidRPr="00773EEA">
        <w:rPr>
          <w:b/>
          <w:bCs/>
        </w:rPr>
        <w:t xml:space="preserve">Internal learning processes are </w:t>
      </w:r>
      <w:proofErr w:type="gramStart"/>
      <w:r w:rsidRPr="00773EEA">
        <w:rPr>
          <w:b/>
          <w:bCs/>
        </w:rPr>
        <w:t>fairly strong</w:t>
      </w:r>
      <w:proofErr w:type="gramEnd"/>
      <w:r w:rsidRPr="00773EEA">
        <w:rPr>
          <w:b/>
          <w:bCs/>
        </w:rPr>
        <w:t xml:space="preserve">, with some room for improvement. </w:t>
      </w:r>
      <w:r w:rsidRPr="00773EEA">
        <w:t>Learning from earlier TOs has been applied to subsequent TOs. For example, in delivering TO-01 in Makassar, it became evident that more on-the</w:t>
      </w:r>
      <w:r w:rsidR="00C759DE" w:rsidRPr="00773EEA">
        <w:t>-</w:t>
      </w:r>
      <w:r w:rsidRPr="00773EEA">
        <w:t xml:space="preserve">ground team representation was necessary to build relationships and overcome the challenges of restricted team travel resulting from Covid-19. It was understood that greater emphasis was needed on government capacity building to use the digital tools being developed by the program. These points and many others were applied to following TOs. </w:t>
      </w:r>
    </w:p>
    <w:p w14:paraId="7D6306BD" w14:textId="13CA8890" w:rsidR="006C0757" w:rsidRPr="00773EEA" w:rsidRDefault="7C2F6B61" w:rsidP="006C0757">
      <w:pPr>
        <w:ind w:left="170"/>
        <w:jc w:val="both"/>
      </w:pPr>
      <w:r w:rsidRPr="00773EEA">
        <w:t>However, internal learning is largely based on knowing who to speak to in the team, such as TTLs. This is largely well-facilitated by the Ramboll Core Team</w:t>
      </w:r>
      <w:r w:rsidR="006C0757" w:rsidRPr="00773EEA">
        <w:t>,</w:t>
      </w:r>
      <w:r w:rsidRPr="00773EEA">
        <w:t xml:space="preserve"> although an example of this being less effective, from KIIs</w:t>
      </w:r>
      <w:r w:rsidR="003B2407" w:rsidRPr="00773EEA">
        <w:t>,</w:t>
      </w:r>
      <w:r w:rsidRPr="00773EEA">
        <w:t xml:space="preserve"> is that there has been limited engagement by the recently </w:t>
      </w:r>
      <w:r w:rsidR="003169CC" w:rsidRPr="00773EEA">
        <w:t xml:space="preserve">mobilised </w:t>
      </w:r>
      <w:r w:rsidRPr="00773EEA">
        <w:t>Luang Prabang TO</w:t>
      </w:r>
      <w:r w:rsidR="003169CC" w:rsidRPr="00773EEA">
        <w:t>-12</w:t>
      </w:r>
      <w:r w:rsidRPr="00773EEA">
        <w:t xml:space="preserve"> team to draw on the learning points </w:t>
      </w:r>
      <w:r w:rsidR="00EB7014" w:rsidRPr="00773EEA">
        <w:t xml:space="preserve">related to country operations and political economy considerations </w:t>
      </w:r>
      <w:r w:rsidRPr="00773EEA">
        <w:t>with the TTL of the earlier Kaysone TO-03 in Lao PDR</w:t>
      </w:r>
      <w:r w:rsidR="00EB7014" w:rsidRPr="00773EEA">
        <w:t xml:space="preserve">. However, </w:t>
      </w:r>
      <w:r w:rsidRPr="00773EEA">
        <w:t>the subject matter of these two TOs is very different</w:t>
      </w:r>
      <w:r w:rsidR="00EB7014" w:rsidRPr="00773EEA">
        <w:t xml:space="preserve"> and thematic learning points have been effectively shared from TO-01 in Makassar to TO-12 in Luang Prabang</w:t>
      </w:r>
      <w:r w:rsidRPr="00773EEA">
        <w:t xml:space="preserve">. </w:t>
      </w:r>
    </w:p>
    <w:p w14:paraId="7895AECC" w14:textId="2AA45524" w:rsidR="00A6509F" w:rsidRPr="00773EEA" w:rsidRDefault="7C2F6B61" w:rsidP="006C0757">
      <w:pPr>
        <w:ind w:left="170"/>
        <w:jc w:val="both"/>
      </w:pPr>
      <w:r w:rsidRPr="00773EEA">
        <w:t xml:space="preserve">Ramboll could potentially implement an internal learning database or knowledge hub to help make learning more systematic and indeed, their new management and communications tool, </w:t>
      </w:r>
      <w:proofErr w:type="spellStart"/>
      <w:r w:rsidRPr="00773EEA">
        <w:t>Goal</w:t>
      </w:r>
      <w:r w:rsidR="003A3F10" w:rsidRPr="00773EEA">
        <w:t>s</w:t>
      </w:r>
      <w:r w:rsidRPr="00773EEA">
        <w:t>cape</w:t>
      </w:r>
      <w:proofErr w:type="spellEnd"/>
      <w:r w:rsidRPr="00773EEA">
        <w:t xml:space="preserve">, should also support internal learning exchange. Several Ramboll interviewees also suggested they could set up an internal quarterly exchange session for all team members and any other Ramboll staff would be able to feed knowledge into the program or benefit from the experience of AASCTF. It is also an important point that the TO-08 webinars act as both external communications </w:t>
      </w:r>
      <w:proofErr w:type="gramStart"/>
      <w:r w:rsidRPr="00773EEA">
        <w:t>and also</w:t>
      </w:r>
      <w:proofErr w:type="gramEnd"/>
      <w:r w:rsidRPr="00773EEA">
        <w:t xml:space="preserve"> internal learning for the Ramboll and ADB teams, as a way of exchanging new ideas.</w:t>
      </w:r>
    </w:p>
    <w:p w14:paraId="0DB19AA0" w14:textId="2D0C76D8" w:rsidR="006C0757" w:rsidRPr="00773EEA" w:rsidRDefault="00A6509F" w:rsidP="00B7602B">
      <w:pPr>
        <w:ind w:left="170"/>
        <w:jc w:val="both"/>
      </w:pPr>
      <w:r w:rsidRPr="00773EEA">
        <w:rPr>
          <w:b/>
          <w:bCs/>
        </w:rPr>
        <w:t xml:space="preserve">Knowledge sharing across the program could be more targeted towards the subject areas of the </w:t>
      </w:r>
      <w:r w:rsidR="003E4034" w:rsidRPr="00773EEA">
        <w:rPr>
          <w:b/>
          <w:bCs/>
        </w:rPr>
        <w:t>Silver</w:t>
      </w:r>
      <w:r w:rsidRPr="00773EEA">
        <w:rPr>
          <w:b/>
          <w:bCs/>
        </w:rPr>
        <w:t xml:space="preserve"> TOs, with greater emphasis on learning both from those interventions and from external examples.</w:t>
      </w:r>
      <w:r w:rsidRPr="00773EEA">
        <w:t xml:space="preserve"> This approach should be increasingly valuable as the </w:t>
      </w:r>
      <w:proofErr w:type="spellStart"/>
      <w:r w:rsidRPr="00773EEA">
        <w:t>T</w:t>
      </w:r>
      <w:r w:rsidR="006C0757" w:rsidRPr="00773EEA">
        <w:t>o</w:t>
      </w:r>
      <w:r w:rsidRPr="00773EEA">
        <w:t>s</w:t>
      </w:r>
      <w:proofErr w:type="spellEnd"/>
      <w:r w:rsidRPr="00773EEA">
        <w:t xml:space="preserve"> progress. For example, sharing knowledge on digital tools to enhance solid waste management would be relevant to support the Battambang team conceptualise an intervention approach with the city government. At the same time, webinars and other events can increasingly </w:t>
      </w:r>
      <w:proofErr w:type="gramStart"/>
      <w:r w:rsidRPr="00773EEA">
        <w:t>make reference</w:t>
      </w:r>
      <w:proofErr w:type="gramEnd"/>
      <w:r w:rsidRPr="00773EEA">
        <w:t xml:space="preserve"> to the </w:t>
      </w:r>
      <w:r w:rsidR="003E4034" w:rsidRPr="00773EEA">
        <w:t>Silver</w:t>
      </w:r>
      <w:r w:rsidRPr="00773EEA">
        <w:t xml:space="preserve"> TO interventions as case studies and sources of learning. Several members of the project implementation team have said that it will be important to celebrate the progress of AASCTF over the coming months and to build on the experience and learning so far. </w:t>
      </w:r>
    </w:p>
    <w:p w14:paraId="72919703" w14:textId="16B7367A" w:rsidR="00A6509F" w:rsidRPr="00773EEA" w:rsidRDefault="00A6509F" w:rsidP="00B7602B">
      <w:pPr>
        <w:ind w:left="170"/>
        <w:jc w:val="both"/>
      </w:pPr>
      <w:r w:rsidRPr="00773EEA">
        <w:t>This is already partly being put into practice by Ramboll; an upcoming series of workshops in Autumn 2022 on flood mitigation approaches and tools, will draw heavily on the experience from TO-02</w:t>
      </w:r>
      <w:r w:rsidR="00C759DE" w:rsidRPr="00773EEA">
        <w:t>/05</w:t>
      </w:r>
      <w:r w:rsidRPr="00773EEA">
        <w:t xml:space="preserve"> in Baguio. Learning and knowledge sharing could be expanded to include a wider range of stakeholders, such as those now closely integrated in the Baguio FEWS. Interviews with the academic stakeholders in Baguio showed that they are not currently invited to participate in the wider influencing activities, even though they are an important part of the FEWS intervention in Baguio. </w:t>
      </w:r>
    </w:p>
    <w:p w14:paraId="565B3989" w14:textId="0795E0CD" w:rsidR="00A6509F" w:rsidRPr="00773EEA" w:rsidRDefault="00135EE9" w:rsidP="00B7602B">
      <w:pPr>
        <w:ind w:left="170"/>
        <w:jc w:val="both"/>
        <w:rPr>
          <w:rFonts w:asciiTheme="majorHAnsi" w:hAnsiTheme="majorHAnsi"/>
          <w:b/>
          <w:bCs/>
          <w:sz w:val="24"/>
          <w:szCs w:val="24"/>
        </w:rPr>
      </w:pPr>
      <w:r w:rsidRPr="00773EEA">
        <w:rPr>
          <w:rFonts w:asciiTheme="majorHAnsi" w:hAnsiTheme="majorHAnsi"/>
          <w:b/>
          <w:bCs/>
          <w:sz w:val="24"/>
          <w:szCs w:val="24"/>
        </w:rPr>
        <w:t xml:space="preserve">3.2.5. </w:t>
      </w:r>
      <w:r w:rsidR="00A6509F" w:rsidRPr="00773EEA">
        <w:rPr>
          <w:rFonts w:asciiTheme="majorHAnsi" w:hAnsiTheme="majorHAnsi"/>
          <w:b/>
          <w:bCs/>
          <w:sz w:val="24"/>
          <w:szCs w:val="24"/>
        </w:rPr>
        <w:t xml:space="preserve">How well does the overall program modality work in terms of disbursing DFAT resources to support sustainable and smart urban development? </w:t>
      </w:r>
    </w:p>
    <w:p w14:paraId="44131EB0" w14:textId="0F3454ED" w:rsidR="006C0757" w:rsidRPr="00773EEA" w:rsidRDefault="7C2F6B61" w:rsidP="00B7602B">
      <w:pPr>
        <w:ind w:left="170"/>
        <w:jc w:val="both"/>
      </w:pPr>
      <w:r w:rsidRPr="00773EEA">
        <w:rPr>
          <w:b/>
          <w:bCs/>
        </w:rPr>
        <w:t xml:space="preserve">The modality of AASCTF works well and is resulting in demand-led, innovative city interventions and well-informed knowledge sharing activities, although DFAT branding could be stronger. </w:t>
      </w:r>
      <w:r w:rsidRPr="00773EEA">
        <w:t>The project modality of outsourcing delivery of A</w:t>
      </w:r>
      <w:r w:rsidR="00DC210C" w:rsidRPr="00773EEA">
        <w:t>A</w:t>
      </w:r>
      <w:r w:rsidRPr="00773EEA">
        <w:t xml:space="preserve">SCTF to ADB is working effectively, creating space and flexibility for innovation and city staff capacity building at the city level and enabling discussion and knowledge sharing in a wider network of cities and related stakeholders </w:t>
      </w:r>
    </w:p>
    <w:p w14:paraId="5D9E37EF" w14:textId="14CF52FB" w:rsidR="006C0757" w:rsidRPr="00773EEA" w:rsidRDefault="00A6509F" w:rsidP="00B7602B">
      <w:pPr>
        <w:ind w:left="170"/>
        <w:jc w:val="both"/>
      </w:pPr>
      <w:r w:rsidRPr="00773EEA">
        <w:rPr>
          <w:b/>
          <w:bCs/>
        </w:rPr>
        <w:lastRenderedPageBreak/>
        <w:t xml:space="preserve">ADB’s modality of implementing the Ramboll-managed component via it’s </w:t>
      </w:r>
      <w:r w:rsidR="009C657C" w:rsidRPr="00773EEA">
        <w:rPr>
          <w:b/>
          <w:bCs/>
        </w:rPr>
        <w:t>Southeast Asia Urban Services Facility (</w:t>
      </w:r>
      <w:r w:rsidRPr="00773EEA">
        <w:rPr>
          <w:b/>
          <w:bCs/>
        </w:rPr>
        <w:t>SURF</w:t>
      </w:r>
      <w:r w:rsidR="009C657C" w:rsidRPr="00773EEA">
        <w:rPr>
          <w:b/>
          <w:bCs/>
        </w:rPr>
        <w:t>)</w:t>
      </w:r>
      <w:r w:rsidRPr="00773EEA">
        <w:rPr>
          <w:b/>
          <w:bCs/>
        </w:rPr>
        <w:t xml:space="preserve"> reduces flexibility as it is almost completely committed and can’t be easily topped up. </w:t>
      </w:r>
      <w:r w:rsidRPr="00773EEA">
        <w:t>At the start of the program, ADB allocated US$10M to SURF, to cover the technical assistance (TA) provided by Ramboll. This has now been almost completely exhausted. ADB still have US$3.5 M allocated to AASCTF in their Sustainable Development and Climate Change (SDCC) unit, but they are not able add more to the SURF, which has reached its cap. This was explained in the ADB’s February 2022 note to DFAT on this topic.</w:t>
      </w:r>
      <w:r w:rsidRPr="00773EEA">
        <w:rPr>
          <w:rStyle w:val="FootnoteReference"/>
          <w:color w:val="auto"/>
        </w:rPr>
        <w:footnoteReference w:id="19"/>
      </w:r>
      <w:r w:rsidRPr="00773EEA">
        <w:t xml:space="preserve"> ADB </w:t>
      </w:r>
      <w:r w:rsidR="00E320FE" w:rsidRPr="00773EEA">
        <w:t xml:space="preserve">are in the process of </w:t>
      </w:r>
      <w:r w:rsidRPr="00773EEA">
        <w:t>open</w:t>
      </w:r>
      <w:r w:rsidR="00E320FE" w:rsidRPr="00773EEA">
        <w:t>ing</w:t>
      </w:r>
      <w:r w:rsidRPr="00773EEA">
        <w:t xml:space="preserve"> a new SURF TA window, but can’t automatically allocate it to Ramboll, due to procurement requirements. </w:t>
      </w:r>
    </w:p>
    <w:p w14:paraId="1B1C90CA" w14:textId="0C741D8C" w:rsidR="00A6509F" w:rsidRPr="00773EEA" w:rsidRDefault="00A6509F" w:rsidP="00B7602B">
      <w:pPr>
        <w:ind w:left="170"/>
        <w:jc w:val="both"/>
      </w:pPr>
      <w:r w:rsidRPr="00773EEA">
        <w:t>ADB’s modality for the program would have been more flexible if everything was originally added to the SURF, which is an acknowledged point of learning</w:t>
      </w:r>
      <w:r w:rsidR="00E320FE" w:rsidRPr="00773EEA">
        <w:t xml:space="preserve"> by ADB</w:t>
      </w:r>
      <w:r w:rsidRPr="00773EEA">
        <w:t xml:space="preserve">. Therefore, to move forward, the ADB is preparing a new SURF window, which would need to be topped up by additional DFAT resources, but they will need to retender the program, rather than automatically giving it to Ramboll, in order to comply with their procurement rules. While Ramboll are likely to be able to complete currently endorsed TOs within the existing budget, this break may create challenging delays and loss in momentum in the implementation of AASCTF’s additional </w:t>
      </w:r>
      <w:proofErr w:type="gramStart"/>
      <w:r w:rsidR="00D92B24" w:rsidRPr="00773EEA">
        <w:t>Bronze</w:t>
      </w:r>
      <w:r w:rsidRPr="00773EEA">
        <w:t xml:space="preserve"> and </w:t>
      </w:r>
      <w:r w:rsidR="003E4034" w:rsidRPr="00773EEA">
        <w:t>Silver</w:t>
      </w:r>
      <w:proofErr w:type="gramEnd"/>
      <w:r w:rsidRPr="00773EEA">
        <w:t xml:space="preserve"> activities. </w:t>
      </w:r>
    </w:p>
    <w:p w14:paraId="265C0E93" w14:textId="77777777" w:rsidR="006C0757" w:rsidRPr="00773EEA" w:rsidRDefault="009704C1">
      <w:pPr>
        <w:ind w:left="170"/>
        <w:jc w:val="both"/>
      </w:pPr>
      <w:r w:rsidRPr="00773EEA">
        <w:rPr>
          <w:b/>
          <w:bCs/>
        </w:rPr>
        <w:t>Non-development outcomes, such as showcasing Australian expertise, has been enabled by the A</w:t>
      </w:r>
      <w:r w:rsidR="00DC210C" w:rsidRPr="00773EEA">
        <w:rPr>
          <w:b/>
          <w:bCs/>
        </w:rPr>
        <w:t>A</w:t>
      </w:r>
      <w:r w:rsidRPr="00773EEA">
        <w:rPr>
          <w:b/>
          <w:bCs/>
        </w:rPr>
        <w:t xml:space="preserve">SCTF. </w:t>
      </w:r>
      <w:r w:rsidRPr="00773EEA">
        <w:t>While the sustainable development objectives are a considerable priority for DFAT, secondary benefits related to political influence in the ASEAN region and business and investment opportunities for Australian businesses remain high priorities and are expected to be achieved as a result of each investment such as the AASCTF. There are many business-related opportunities related to the smart city sector in ASEAN. For example, according to the McKinsey Global Institute (MGI), disruptive technologies, including mobile Internet, big data, cloud technology, the Internet of Things (IoT), have the potential to generate between US$220-US$625 billion in annual economic impact in ASEAN by 2030.</w:t>
      </w:r>
      <w:r w:rsidRPr="00773EEA">
        <w:rPr>
          <w:rStyle w:val="FootnoteReference"/>
          <w:color w:val="auto"/>
        </w:rPr>
        <w:footnoteReference w:id="20"/>
      </w:r>
      <w:r w:rsidRPr="00773EEA">
        <w:t xml:space="preserve"> The AASCTF has the potential to help leverage opportunities in the program cities and countries. </w:t>
      </w:r>
    </w:p>
    <w:p w14:paraId="117B1B0C" w14:textId="689FF2F1" w:rsidR="009704C1" w:rsidRPr="00773EEA" w:rsidRDefault="009704C1">
      <w:pPr>
        <w:ind w:left="170"/>
        <w:jc w:val="both"/>
      </w:pPr>
      <w:r w:rsidRPr="00773EEA">
        <w:t xml:space="preserve">For example, both Makassar and Luang Prabang have attracted senior representatives of the Government of Australia; </w:t>
      </w:r>
      <w:r w:rsidR="008075EE" w:rsidRPr="00773EEA">
        <w:t>indeed,</w:t>
      </w:r>
      <w:r w:rsidRPr="00773EEA">
        <w:t xml:space="preserve"> the newly elected Prime Minister Albanese </w:t>
      </w:r>
      <w:r w:rsidR="009C657C" w:rsidRPr="00773EEA">
        <w:t xml:space="preserve">and Foreign Minister Wong </w:t>
      </w:r>
      <w:r w:rsidRPr="00773EEA">
        <w:t xml:space="preserve">visited Makassar in June 2022. </w:t>
      </w:r>
      <w:r w:rsidR="0076666A" w:rsidRPr="00773EEA">
        <w:t>Interviews with DFAT Posts suggest that t</w:t>
      </w:r>
      <w:r w:rsidRPr="00773EEA">
        <w:t xml:space="preserve">he program provides strong DFAT visibility a good talking point for officials, helping to establish stronger foundations for government and business cooperation. The program has also engaged the expertise of a number of Australian organisations, including the Commonwealth Scientific and Industrial Research Organisation (CSIRO) to help develop the Makassar smart solution prioritisation platform; the </w:t>
      </w:r>
      <w:r w:rsidR="7C2F6B61" w:rsidRPr="00773EEA">
        <w:rPr>
          <w:lang w:val="en-US"/>
        </w:rPr>
        <w:t xml:space="preserve">Australian Bureau of Statistics and Queensland University of Technology in webinar #1; University of Technology Sydney for webinar #4; Australian National University Centre for Digital Humanities Research for webinar #7; </w:t>
      </w:r>
      <w:r w:rsidRPr="00773EEA">
        <w:t xml:space="preserve">and enabling interaction of Gold Coast and Perth with Makassar and Baguio, via the twinning program.  </w:t>
      </w:r>
    </w:p>
    <w:p w14:paraId="18A6021B" w14:textId="1B86ACF6" w:rsidR="00AE2810" w:rsidRPr="00773EEA" w:rsidRDefault="00092D7F" w:rsidP="00177735">
      <w:pPr>
        <w:pStyle w:val="Heading2"/>
        <w:numPr>
          <w:ilvl w:val="1"/>
          <w:numId w:val="7"/>
        </w:numPr>
        <w:jc w:val="both"/>
      </w:pPr>
      <w:bookmarkStart w:id="38" w:name="_Toc110683229"/>
      <w:bookmarkStart w:id="39" w:name="_Toc110692288"/>
      <w:bookmarkStart w:id="40" w:name="_Toc110683230"/>
      <w:bookmarkStart w:id="41" w:name="_Toc110692289"/>
      <w:bookmarkStart w:id="42" w:name="_Toc110683231"/>
      <w:bookmarkStart w:id="43" w:name="_Toc110692290"/>
      <w:bookmarkStart w:id="44" w:name="_Toc110683232"/>
      <w:bookmarkStart w:id="45" w:name="_Toc110692291"/>
      <w:bookmarkStart w:id="46" w:name="_Toc110683233"/>
      <w:bookmarkStart w:id="47" w:name="_Toc110692292"/>
      <w:bookmarkStart w:id="48" w:name="_Toc110683234"/>
      <w:bookmarkStart w:id="49" w:name="_Toc110692293"/>
      <w:bookmarkStart w:id="50" w:name="_Toc110683235"/>
      <w:bookmarkStart w:id="51" w:name="_Toc110692294"/>
      <w:bookmarkStart w:id="52" w:name="_Toc110683303"/>
      <w:bookmarkStart w:id="53" w:name="_Toc1106923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73EEA">
        <w:t xml:space="preserve"> </w:t>
      </w:r>
      <w:bookmarkStart w:id="54" w:name="_Toc123633720"/>
      <w:r w:rsidR="00916EB5" w:rsidRPr="00773EEA">
        <w:t>KEQ3: Is the program making progress in effectively promoting gender equality and women’s empowerment in the program implementation?</w:t>
      </w:r>
      <w:bookmarkEnd w:id="54"/>
    </w:p>
    <w:p w14:paraId="63415FD6" w14:textId="36A0C31F" w:rsidR="0086032C" w:rsidRPr="00773EEA" w:rsidRDefault="0086032C" w:rsidP="0086032C">
      <w:pPr>
        <w:spacing w:before="120"/>
        <w:ind w:left="142"/>
        <w:jc w:val="both"/>
      </w:pPr>
      <w:r w:rsidRPr="00773EEA">
        <w:t xml:space="preserve">Of the 5 </w:t>
      </w:r>
      <w:r w:rsidR="003E4034" w:rsidRPr="00773EEA">
        <w:t>Silver</w:t>
      </w:r>
      <w:r w:rsidRPr="00773EEA">
        <w:t xml:space="preserve"> cities sampled (6 TOs; program total 12 TOs, excluding TO-04 Yangon), TO-01 (Makassar) Strategic Urban Framework and GESI-targeted TO-05 (Baguio) Gender Transformative FEWS demonstrated very good progress in effectively promoting GESI and have potential to contribute to beneficial outcomes for GESI target groups. </w:t>
      </w:r>
    </w:p>
    <w:p w14:paraId="5E066D4E" w14:textId="55E501AE" w:rsidR="0086032C" w:rsidRPr="00773EEA" w:rsidRDefault="00D92B24" w:rsidP="00B7602B">
      <w:pPr>
        <w:spacing w:before="120"/>
        <w:ind w:left="142"/>
        <w:jc w:val="both"/>
      </w:pPr>
      <w:r w:rsidRPr="00773EEA">
        <w:t>Bronze</w:t>
      </w:r>
      <w:r w:rsidR="0086032C" w:rsidRPr="00773EEA">
        <w:t xml:space="preserve"> activities were assessed by survey and KIIs. Survey results indicated that 78% of participants (n=50) found GESI-related content in events to be useful, but evidence that this translated into action is lacking. GESI-targeted Regional TO-09 (Smart Cities-Inclusive Cities) has potential to catalyse progress towards GESI outcomes. Regional TO-08 may </w:t>
      </w:r>
      <w:r w:rsidR="00962FA6" w:rsidRPr="00773EEA">
        <w:t>increase</w:t>
      </w:r>
      <w:r w:rsidR="0086032C" w:rsidRPr="00773EEA">
        <w:t xml:space="preserve"> GESI knowledge and awareness through outputs produced but may not be designed to achieve overarching GESI outcomes. </w:t>
      </w:r>
    </w:p>
    <w:p w14:paraId="379C3E00" w14:textId="77777777" w:rsidR="0086032C" w:rsidRPr="00773EEA" w:rsidRDefault="0086032C" w:rsidP="00B7602B">
      <w:pPr>
        <w:spacing w:before="120"/>
        <w:ind w:left="142"/>
        <w:jc w:val="both"/>
      </w:pPr>
      <w:r w:rsidRPr="00773EEA">
        <w:t>The MTR did not sample ADB’s 8 Direct Charge and Resource Person contract activities.</w:t>
      </w:r>
    </w:p>
    <w:p w14:paraId="000358BA" w14:textId="7C08516E" w:rsidR="0086032C" w:rsidRPr="00773EEA" w:rsidRDefault="0086032C" w:rsidP="00177735">
      <w:pPr>
        <w:pStyle w:val="ListParagraph"/>
        <w:numPr>
          <w:ilvl w:val="2"/>
          <w:numId w:val="7"/>
        </w:numPr>
        <w:spacing w:before="240"/>
        <w:jc w:val="both"/>
        <w:rPr>
          <w:rFonts w:asciiTheme="majorHAnsi" w:hAnsiTheme="majorHAnsi"/>
          <w:b/>
          <w:bCs/>
          <w:sz w:val="24"/>
          <w:szCs w:val="24"/>
        </w:rPr>
      </w:pPr>
      <w:r w:rsidRPr="00773EEA">
        <w:rPr>
          <w:rFonts w:asciiTheme="majorHAnsi" w:hAnsiTheme="majorHAnsi"/>
          <w:b/>
          <w:bCs/>
          <w:sz w:val="24"/>
          <w:szCs w:val="24"/>
        </w:rPr>
        <w:t>How effectively is GESI being mainstreamed through the design and implementation of program interventions? (Addressing 5 sub-KEQs)</w:t>
      </w:r>
    </w:p>
    <w:p w14:paraId="1B6F7911" w14:textId="77777777" w:rsidR="0086032C" w:rsidRPr="00773EEA" w:rsidRDefault="0086032C" w:rsidP="00B7602B">
      <w:pPr>
        <w:spacing w:before="120"/>
        <w:ind w:left="142"/>
        <w:jc w:val="both"/>
      </w:pPr>
      <w:r w:rsidRPr="00773EEA">
        <w:rPr>
          <w:rStyle w:val="BookTitle"/>
          <w:color w:val="auto"/>
        </w:rPr>
        <w:t xml:space="preserve">Intention to mainstream GESI in Silver City TOs is documented, yet understanding of GESI mainstreaming, what GESI outcomes could look like and what evidence might demonstrate GESI outcomes is variable. </w:t>
      </w:r>
      <w:r w:rsidRPr="00773EEA">
        <w:t xml:space="preserve">Effectiveness is considered as the likelihood or actuality of achieving, or significantly </w:t>
      </w:r>
      <w:r w:rsidRPr="00773EEA">
        <w:lastRenderedPageBreak/>
        <w:t>contributing to, short- to medium-term intermediate GESI outcomes. If interventions can demonstrate meaningful engagement with GESI target groups, and those groups’ inputs inform design and implementation, then tangible benefits are more likely to eventuate. There is a strong AASCTF focus on outputs, with indicators such as numbers of participants attending events and assessing their knowledge/capacity as having increased. This is a starting point, however, increasing participants’ knowledge, awareness, and capacity on GESI only translates into outcomes if those participants apply this knowledge, awareness and capacity in ways that lead to beneficial changes. Effectiveness might be demonstrable if the program’s M&amp;E system tracked this (</w:t>
      </w:r>
      <w:proofErr w:type="gramStart"/>
      <w:r w:rsidRPr="00773EEA">
        <w:t>e.g.</w:t>
      </w:r>
      <w:proofErr w:type="gramEnd"/>
      <w:r w:rsidRPr="00773EEA">
        <w:t xml:space="preserve"> via random sample participant follow-ups) to identify evidence of change, such as policies, plans, operations, practices; or clear pathways or commitments to GESI. Evidence tracking also informs better targeting, design, and delivery of interventions. </w:t>
      </w:r>
    </w:p>
    <w:p w14:paraId="1E843C13" w14:textId="77777777" w:rsidR="0086032C" w:rsidRPr="00773EEA" w:rsidRDefault="0086032C" w:rsidP="00B7602B">
      <w:pPr>
        <w:spacing w:before="120"/>
        <w:ind w:left="142"/>
        <w:jc w:val="both"/>
      </w:pPr>
      <w:r w:rsidRPr="00773EEA">
        <w:t xml:space="preserve">For example, the MTR’s Bronze City survey asked about attendance at AASCTF webinars/workshops and whether participants had done anything differently in their role as a result of what they’d learned. While 92% had attended one or more webinars/workshops, only 14% could give a real-world example of practical application of knowledge and of those only one was GESI-related (transport for people with a disability). 78% rated the usefulness of GESI-related content in webinars/workshops as 3 or 4 (1=poor, 5=excellent); 40% had attended Inclusive Cities Dialogue Module 1 and 28% had attended Inclusive Cities Dialogue Module 2, indicating reasonable exposure to GESI issues/knowledge. </w:t>
      </w:r>
    </w:p>
    <w:p w14:paraId="52015D5C" w14:textId="399EF890" w:rsidR="0086032C" w:rsidRPr="00773EEA" w:rsidRDefault="0086032C" w:rsidP="00DE15CB">
      <w:pPr>
        <w:spacing w:before="120"/>
        <w:ind w:left="142"/>
        <w:jc w:val="both"/>
      </w:pPr>
      <w:r w:rsidRPr="00773EEA">
        <w:t xml:space="preserve">Implementing partners KIIs </w:t>
      </w:r>
      <w:r w:rsidR="00962FA6" w:rsidRPr="00773EEA">
        <w:t>explored</w:t>
      </w:r>
      <w:r w:rsidRPr="00773EEA">
        <w:t xml:space="preserve"> what benefits GESI target groups could expect to see from interventions. </w:t>
      </w:r>
      <w:proofErr w:type="gramStart"/>
      <w:r w:rsidRPr="00773EEA">
        <w:t>The majority of</w:t>
      </w:r>
      <w:proofErr w:type="gramEnd"/>
      <w:r w:rsidRPr="00773EEA">
        <w:t xml:space="preserve"> responses were vague and/or unrelated, suggesting that thinking/discussion about GESI outcomes (rather than outputs) is not a focus. </w:t>
      </w:r>
    </w:p>
    <w:p w14:paraId="19677A50" w14:textId="77777777" w:rsidR="0086032C" w:rsidRPr="00773EEA" w:rsidRDefault="0086032C" w:rsidP="00B7602B">
      <w:pPr>
        <w:spacing w:before="120"/>
        <w:ind w:left="142"/>
        <w:jc w:val="both"/>
      </w:pPr>
      <w:r w:rsidRPr="00773EEA">
        <w:rPr>
          <w:b/>
          <w:bCs/>
        </w:rPr>
        <w:t>The AASCTF GESI Strategy provides clear guidance on GESI mainstreaming.</w:t>
      </w:r>
      <w:r w:rsidRPr="00773EEA">
        <w:t xml:space="preserve"> The AASCTF GESI Strategy, developed with DFAT during 2020, reflects DFAT’s twin-track approach of mainstreaming (consideration of GESI in all program activities and GESI-specific interventions) that can deliver significant benefits to GESI target groups. The Strategy comprises considerable supporting material, including country GESI profiles, well-researched contextual information, GESI entry points for AASCTF interventions, and M&amp;E guidance. </w:t>
      </w:r>
    </w:p>
    <w:p w14:paraId="31CC0FCD" w14:textId="14BD4781" w:rsidR="0086032C" w:rsidRDefault="0086032C" w:rsidP="00B7602B">
      <w:pPr>
        <w:spacing w:before="120"/>
        <w:ind w:left="142"/>
        <w:jc w:val="both"/>
      </w:pPr>
      <w:r w:rsidRPr="00773EEA">
        <w:t xml:space="preserve">The expected program impact for GESI target groups is noted in </w:t>
      </w:r>
      <w:r w:rsidRPr="00773EEA">
        <w:rPr>
          <w:b/>
          <w:bCs/>
        </w:rPr>
        <w:t>Box 2</w:t>
      </w:r>
      <w:r w:rsidRPr="00773EEA">
        <w:t xml:space="preserve"> below. The expected short- to medium-term </w:t>
      </w:r>
      <w:r w:rsidRPr="00773EEA">
        <w:rPr>
          <w:b/>
        </w:rPr>
        <w:t>intermediate outcomes</w:t>
      </w:r>
      <w:r w:rsidRPr="00773EEA">
        <w:t xml:space="preserve"> (</w:t>
      </w:r>
      <w:proofErr w:type="gramStart"/>
      <w:r w:rsidRPr="00773EEA">
        <w:t>i.e.</w:t>
      </w:r>
      <w:proofErr w:type="gramEnd"/>
      <w:r w:rsidRPr="00773EEA">
        <w:t xml:space="preserve"> within the AASCTF timeframe and GESI Strategy approach to mainstreaming) are noted in </w:t>
      </w:r>
      <w:r w:rsidRPr="00773EEA">
        <w:rPr>
          <w:b/>
          <w:bCs/>
        </w:rPr>
        <w:t xml:space="preserve">Annex </w:t>
      </w:r>
      <w:r w:rsidR="00962FA6" w:rsidRPr="00773EEA">
        <w:rPr>
          <w:b/>
          <w:bCs/>
        </w:rPr>
        <w:t>4, Box</w:t>
      </w:r>
      <w:r w:rsidRPr="00773EEA">
        <w:rPr>
          <w:b/>
          <w:bCs/>
        </w:rPr>
        <w:t xml:space="preserve"> A4.2</w:t>
      </w:r>
      <w:r w:rsidRPr="00773EEA">
        <w:t xml:space="preserve"> and </w:t>
      </w:r>
      <w:r w:rsidRPr="00773EEA">
        <w:rPr>
          <w:b/>
          <w:bCs/>
        </w:rPr>
        <w:t>Box A4.3</w:t>
      </w:r>
      <w:r w:rsidRPr="00773EEA">
        <w:t xml:space="preserve"> respectively. Effective mainstreaming can and should support interventions to move beyond outputs to intermediate outcomes, or to demonstrate a viable or likely pathway to intermediate outcomes.</w:t>
      </w:r>
    </w:p>
    <w:p w14:paraId="3C6CCA33" w14:textId="0AB9EFB5" w:rsidR="00ED3973" w:rsidRPr="00773EEA" w:rsidRDefault="00ED3973" w:rsidP="00ED3973">
      <w:pPr>
        <w:pStyle w:val="Pa1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3D984" w:themeFill="accent1" w:themeFillTint="99"/>
        <w:spacing w:before="60" w:after="60"/>
        <w:ind w:left="142" w:right="1513"/>
        <w:jc w:val="center"/>
      </w:pPr>
      <w:r w:rsidRPr="00773EEA">
        <w:rPr>
          <w:rFonts w:asciiTheme="minorHAnsi" w:hAnsiTheme="minorHAnsi" w:cstheme="minorHAnsi"/>
          <w:b/>
          <w:bCs/>
          <w:sz w:val="18"/>
          <w:szCs w:val="18"/>
          <w:lang w:val="en-GB"/>
        </w:rPr>
        <w:t>Box 2: GESI-focused Impact</w:t>
      </w:r>
      <w:r>
        <w:rPr>
          <w:rFonts w:asciiTheme="minorHAnsi" w:hAnsiTheme="minorHAnsi" w:cstheme="minorHAnsi"/>
          <w:b/>
          <w:bCs/>
          <w:sz w:val="18"/>
          <w:szCs w:val="18"/>
          <w:lang w:val="en-GB"/>
        </w:rPr>
        <w:br/>
      </w:r>
      <w:r>
        <w:rPr>
          <w:rFonts w:asciiTheme="minorHAnsi" w:hAnsiTheme="minorHAnsi" w:cstheme="minorHAnsi"/>
          <w:b/>
          <w:bCs/>
          <w:sz w:val="18"/>
          <w:szCs w:val="18"/>
          <w:lang w:val="en-GB"/>
        </w:rPr>
        <w:br/>
      </w:r>
      <w:r w:rsidRPr="00773EEA">
        <w:rPr>
          <w:rFonts w:asciiTheme="minorHAnsi" w:hAnsiTheme="minorHAnsi" w:cstheme="minorHAnsi"/>
          <w:i/>
          <w:iCs/>
          <w:sz w:val="18"/>
          <w:szCs w:val="18"/>
        </w:rPr>
        <w:t>“Inclusive cities that are more accessible and responsive to the needs of women, people with disabilities, children, older persons and members of other intersectional groups using smart solutions.”</w:t>
      </w:r>
      <w:r>
        <w:rPr>
          <w:rFonts w:asciiTheme="minorHAnsi" w:hAnsiTheme="minorHAnsi" w:cstheme="minorHAnsi"/>
          <w:i/>
          <w:iCs/>
          <w:sz w:val="18"/>
          <w:szCs w:val="18"/>
        </w:rPr>
        <w:br/>
      </w:r>
      <w:r>
        <w:rPr>
          <w:rFonts w:asciiTheme="minorHAnsi" w:hAnsiTheme="minorHAnsi" w:cstheme="minorHAnsi"/>
          <w:i/>
          <w:iCs/>
          <w:sz w:val="18"/>
          <w:szCs w:val="18"/>
        </w:rPr>
        <w:br/>
      </w:r>
      <w:r w:rsidRPr="00773EEA">
        <w:rPr>
          <w:rFonts w:asciiTheme="minorHAnsi" w:hAnsiTheme="minorHAnsi" w:cstheme="minorHAnsi"/>
          <w:i/>
          <w:iCs/>
          <w:sz w:val="18"/>
          <w:szCs w:val="18"/>
        </w:rPr>
        <w:t xml:space="preserve">Source: AASCTF GESI Strategy, Table 1, </w:t>
      </w:r>
      <w:proofErr w:type="spellStart"/>
      <w:r w:rsidRPr="00773EEA">
        <w:rPr>
          <w:rFonts w:asciiTheme="minorHAnsi" w:hAnsiTheme="minorHAnsi" w:cstheme="minorHAnsi"/>
          <w:i/>
          <w:iCs/>
          <w:sz w:val="18"/>
          <w:szCs w:val="18"/>
        </w:rPr>
        <w:t>p.xii</w:t>
      </w:r>
      <w:proofErr w:type="spellEnd"/>
    </w:p>
    <w:p w14:paraId="7824BCFB" w14:textId="77777777" w:rsidR="0086032C" w:rsidRPr="00773EEA" w:rsidRDefault="0086032C" w:rsidP="00DE15CB">
      <w:pPr>
        <w:spacing w:before="240"/>
        <w:ind w:left="142"/>
        <w:jc w:val="both"/>
        <w:rPr>
          <w:b/>
          <w:bCs/>
        </w:rPr>
      </w:pPr>
      <w:r w:rsidRPr="00773EEA">
        <w:rPr>
          <w:b/>
          <w:bCs/>
        </w:rPr>
        <w:t xml:space="preserve">From ALPAs, program documents and KIIs, there is strong evidence of mainstreaming and progress towards outcomes in one non-targeted TO, but variable or limited evidence in other TO. </w:t>
      </w:r>
    </w:p>
    <w:p w14:paraId="3472E38B" w14:textId="77777777" w:rsidR="0086032C" w:rsidRPr="00773EEA" w:rsidRDefault="0086032C" w:rsidP="00B7602B">
      <w:pPr>
        <w:spacing w:before="240"/>
        <w:ind w:left="142"/>
        <w:jc w:val="both"/>
      </w:pPr>
      <w:r w:rsidRPr="00773EEA">
        <w:rPr>
          <w:b/>
          <w:bCs/>
        </w:rPr>
        <w:t>TO-01 Makassar</w:t>
      </w:r>
      <w:r w:rsidRPr="00773EEA">
        <w:t xml:space="preserve"> </w:t>
      </w:r>
      <w:r w:rsidRPr="00773EEA">
        <w:rPr>
          <w:b/>
          <w:bCs/>
        </w:rPr>
        <w:t xml:space="preserve">Strategic Urban Framework (Silver) </w:t>
      </w:r>
      <w:r w:rsidRPr="00773EEA">
        <w:t xml:space="preserve">– analysis for digital tools, tool design and plan, to support better planning decisions, including for GESI groups. This TO took logical and appropriate sequential steps to achieve GESI mainstreaming, which were clearly and coherently articulated in documentation (ALPA, GESI profile/needs assessment, citizen engagement survey and survey tool, Liveable City Plan) and KIIs. GESI inputs were actively sought, including through a citizen survey of over 2000 people. There was also strong understanding of the digital divide and how smart city interventions needed to account for this to design inclusive services. The TO self-identified areas for improvement, including needing better discussions with government stakeholders on GESI; encouraging wider participation of disadvantaged groups; and reporting quality of inputs and participation at meetings, rather than purely attendance numbers. Broad-based consultation and verification processes with GESI target groups and representatives were planned, however remote working limited this to key government and CSO stakeholders. Self-assessment concluded there was no tangible evidence, yet, of benefits to GESI target groups. </w:t>
      </w:r>
    </w:p>
    <w:p w14:paraId="369016CD" w14:textId="77777777" w:rsidR="0086032C" w:rsidRPr="00773EEA" w:rsidRDefault="0086032C" w:rsidP="00B7602B">
      <w:pPr>
        <w:spacing w:before="120"/>
        <w:ind w:left="142"/>
        <w:jc w:val="both"/>
      </w:pPr>
      <w:r w:rsidRPr="00773EEA">
        <w:t>Mainstreaming: Gender Action Plan exists; gender balance in trainings/workshops recorded (mainly 30-45%; meetings small, reasonable gender representation); TO team gender balance generally good; inclusive/accessible guidance for public outputs will be applied to final deliverables; GESI issues/challenges identified early, consultation with GESI-related agencies, GESI situation analysis and disaggregation of data for GESI purposes completed; in-person stakeholder engagement survey conducted including GESI target groups and used to inform Liveable City Plan; intervention prioritization included GESI consideration/objectives; meeting/event accessibility improved as majority were online due to Covid-19.</w:t>
      </w:r>
    </w:p>
    <w:p w14:paraId="50C77F01" w14:textId="77777777" w:rsidR="0086032C" w:rsidRPr="00773EEA" w:rsidRDefault="0086032C" w:rsidP="00B7602B">
      <w:pPr>
        <w:spacing w:before="120"/>
        <w:ind w:left="142"/>
        <w:jc w:val="both"/>
      </w:pPr>
      <w:r w:rsidRPr="00773EEA">
        <w:t>GESI considerations have been well-</w:t>
      </w:r>
      <w:proofErr w:type="gramStart"/>
      <w:r w:rsidRPr="00773EEA">
        <w:t>integrated</w:t>
      </w:r>
      <w:proofErr w:type="gramEnd"/>
      <w:r w:rsidRPr="00773EEA">
        <w:t xml:space="preserve"> and mainstreaming is clearly understood in this TO, reflected in the process followed, self-assessment offered and the ability to distinguish between outputs and outcomes. GESI outcomes may be seen if, for example, the participatory planning tool is used, participants views are reflected in city </w:t>
      </w:r>
      <w:r w:rsidRPr="00773EEA">
        <w:lastRenderedPageBreak/>
        <w:t xml:space="preserve">government planning and implementation, and benefits to GESI groups are evident. This TO has created a pathway and solid foundations, and if there is continued engagement with city officials, it may be able to influence GESI outcomes. The program’s M&amp;E system should periodically follow up to identify and document any evidence of intermediate outcomes. TO-01 demonstrates that effective GESI mainstreaming is achievable in a ‘technical’ project. </w:t>
      </w:r>
    </w:p>
    <w:p w14:paraId="10601C9D" w14:textId="7DF553CE" w:rsidR="0086032C" w:rsidRPr="00773EEA" w:rsidRDefault="0086032C" w:rsidP="00B7602B">
      <w:pPr>
        <w:spacing w:before="120"/>
        <w:ind w:left="142"/>
        <w:jc w:val="both"/>
      </w:pPr>
      <w:r w:rsidRPr="00773EEA">
        <w:rPr>
          <w:b/>
          <w:bCs/>
        </w:rPr>
        <w:t>TO-02 Baguio Smart Flood Warning, Information and Mitigation System (Silver)</w:t>
      </w:r>
      <w:r w:rsidRPr="00773EEA">
        <w:t xml:space="preserve"> – a technical and capacity building activity, TO-02 was described in KIIs as originally not being explicit on GESI. GESI-targeted TO-05 Gender Transformative FEWS was added to address this. The intention was to integrate the two TOs, with TO-05 GESI findings, recommendations and actions informing aspects of TO-02, with docking points noted in both TO ALPAs. During KIIs this arrangement was described as “parallel tracks but close synergy”, with TO-02 contributing to TO-05 policy recommendations on risks, vulnerability and preparedness. However, not all TO-05 recommendations could be taken </w:t>
      </w:r>
      <w:r w:rsidR="0093165F" w:rsidRPr="00773EEA">
        <w:t>up,</w:t>
      </w:r>
      <w:r w:rsidRPr="00773EEA">
        <w:t xml:space="preserve"> but plans remain to integrate later, if possible. Ramboll note substantial integration occurred in the Data Dissemination &amp; Outreach Plan (not included in MTR documents), though it is not clear what other integrated outputs are planned. </w:t>
      </w:r>
    </w:p>
    <w:p w14:paraId="52365EF1" w14:textId="77777777" w:rsidR="0086032C" w:rsidRPr="00773EEA" w:rsidRDefault="0086032C" w:rsidP="00B7602B">
      <w:pPr>
        <w:spacing w:before="120"/>
        <w:ind w:left="142"/>
        <w:jc w:val="both"/>
      </w:pPr>
      <w:r w:rsidRPr="00773EEA">
        <w:t xml:space="preserve">Mainstreaming: TO-02 ALPAs refer GESI considerations to the TO-05 ALPA, although it is also an intervention in its own right; little recording of gender balance data; GESI entry points/issues likely not considered at TO-02 start; no reference to consideration of accessibility of its own meetings/workshops. </w:t>
      </w:r>
    </w:p>
    <w:p w14:paraId="0AE52E54" w14:textId="77777777" w:rsidR="0086032C" w:rsidRPr="00773EEA" w:rsidRDefault="0086032C" w:rsidP="00B7602B">
      <w:pPr>
        <w:spacing w:before="120"/>
        <w:ind w:left="142"/>
        <w:jc w:val="both"/>
      </w:pPr>
      <w:r w:rsidRPr="00773EEA">
        <w:t xml:space="preserve">The integrated FEWS is intended to result in better communicated and appropriately timely flood warnings to citizens, particularly GESI target groups., GESI-responsive preparedness and response measures are addressed by TO-05 partnering with city government. There is potential for a good GESI outcome due to the TO-05 work, but the integrated FEWS would need to be tested to assess this. </w:t>
      </w:r>
    </w:p>
    <w:p w14:paraId="152EF9C6" w14:textId="5B380461" w:rsidR="0086032C" w:rsidRPr="00773EEA" w:rsidRDefault="0086032C" w:rsidP="00B7602B">
      <w:pPr>
        <w:spacing w:before="120"/>
        <w:ind w:left="142"/>
        <w:jc w:val="both"/>
      </w:pPr>
      <w:r w:rsidRPr="00773EEA">
        <w:rPr>
          <w:b/>
          <w:bCs/>
        </w:rPr>
        <w:t>TO-03 Kaysone Enhanced Employment Service Platform and e-Learning Modules (Silver)</w:t>
      </w:r>
      <w:r w:rsidRPr="00773EEA">
        <w:t xml:space="preserve"> – concept for a digital labour market information system, with digital skills matching capability and skills training through e-learning modules. TO-03 did not progress beyond pre-feasibility stage. ADB is exploring alternative funding sources to continue this intervention (unclear if it would be part of the AASCTF). Mainstreaming: while the Pre-Feasibility Report includes a good GESI analysis and GESI Framework for a Pilot stage, GESI considerations were</w:t>
      </w:r>
      <w:r w:rsidR="007F01E1" w:rsidRPr="00773EEA">
        <w:t xml:space="preserve"> not</w:t>
      </w:r>
      <w:r w:rsidRPr="00773EEA">
        <w:t xml:space="preserve"> reflected in the consultation/concept planning processes. Other mainstreaming actions not recorded at that time (pre-ALPA).</w:t>
      </w:r>
    </w:p>
    <w:p w14:paraId="4630EFAE" w14:textId="0223FBC4" w:rsidR="0086032C" w:rsidRPr="00773EEA" w:rsidRDefault="0086032C" w:rsidP="00B7602B">
      <w:pPr>
        <w:spacing w:before="120"/>
        <w:ind w:left="142"/>
        <w:jc w:val="both"/>
      </w:pPr>
      <w:r w:rsidRPr="00773EEA">
        <w:rPr>
          <w:b/>
          <w:bCs/>
        </w:rPr>
        <w:t>TO-06 Penang Smart Mobility Micro-Simulation Model (Silver)</w:t>
      </w:r>
      <w:r w:rsidRPr="00773EEA">
        <w:t xml:space="preserve"> – tailoring the VISSIM modelling tool for Georgetown World Heritage Area, to inform traffic planning/policy. Based on interviews, seen as a </w:t>
      </w:r>
      <w:r w:rsidR="0093165F" w:rsidRPr="00773EEA">
        <w:t>narrowly focused</w:t>
      </w:r>
      <w:r w:rsidRPr="00773EEA">
        <w:t xml:space="preserve"> technical tool creation and training intervention, with limited ability to consider social issues. Assumption is that planning using the tool would provide benefits to all, with indirect GESI benefits, such as improved public transport stations, safer spaces, wider footpaths. There was a possibility of testing the model on solutions that could have GESI benefits. Mainstreaming: No consultation with GESI target groups; TO team encourages local partners to include women in training to use the tool; there are some women in senior positions and indirectly they will demonstrate inclusion by having a woman at presentations. Gender balance in workshops/ meetings recorded (relatively low female participation); </w:t>
      </w:r>
      <w:r w:rsidR="002D7A31" w:rsidRPr="00773EEA">
        <w:t>t</w:t>
      </w:r>
      <w:r w:rsidRPr="00773EEA">
        <w:t xml:space="preserve">eam gender balance achieved through a local consultant; consulted with GESI specialist on GESI Action Plan; two </w:t>
      </w:r>
      <w:r w:rsidR="0093165F" w:rsidRPr="00773EEA">
        <w:t>actions planned</w:t>
      </w:r>
      <w:r w:rsidRPr="00773EEA">
        <w:t xml:space="preserve"> for end of intervention – aim for gender balance in training and awareness raising of ability of use tool to assess, e.g., impact of transport decisions on women, other solutions with GESI benefits.</w:t>
      </w:r>
    </w:p>
    <w:p w14:paraId="5E67BC60" w14:textId="77777777" w:rsidR="0086032C" w:rsidRPr="00773EEA" w:rsidRDefault="0086032C" w:rsidP="00B7602B">
      <w:pPr>
        <w:spacing w:before="120"/>
        <w:ind w:left="142"/>
        <w:jc w:val="both"/>
      </w:pPr>
      <w:r w:rsidRPr="00773EEA">
        <w:t>Early engagement with GESI target groups by both TO team and city officials would inform the thinking and increase the likelihood of the tool being used to address issues affecting GESI target groups. This would also meet international tourist expectations of accessibility and safety. More engagement of city officials/Digital Penang by the TO team on GESI issues, would also help. There is currently no pathway to GESI outcomes.</w:t>
      </w:r>
    </w:p>
    <w:p w14:paraId="4CB2AABB" w14:textId="2941F70C" w:rsidR="0086032C" w:rsidRPr="00773EEA" w:rsidRDefault="0086032C" w:rsidP="00B7602B">
      <w:pPr>
        <w:spacing w:before="120"/>
        <w:ind w:left="142"/>
        <w:jc w:val="both"/>
      </w:pPr>
      <w:r w:rsidRPr="00773EEA">
        <w:rPr>
          <w:b/>
          <w:bCs/>
        </w:rPr>
        <w:t>TO-07 Battambang Smart Solid Waste Financial Management (Silver)</w:t>
      </w:r>
      <w:r w:rsidRPr="00773EEA">
        <w:t xml:space="preserve"> – currently scoping options to pilot tools/solutions for planning, monitoring and revenue raising in the waste management sector, and identifying needs, challenges, priorities. Based on interview/ALPAs, currently considered challenging to engage government stakeholders on GESI, as engaging on waste management is already difficult. Gender balance in meetings also challenging, as government stakeholders dominated by senior males. The intention is to wait for the pilot stage to do GESI analysis/stakeholder consultation, consider the informal sector and engage with an NGO. Mainstreaming: gender balance at workshops/meetings recorded (generally low); Gender Action Plan exists, notes that Task Team mostly male; meeting accessibility facilitated as majority are online; a stakeholder presentation received GESI expert input. Other actions are listed for pilot stage. There appears to be a missed opportunity to engage with GESI target groups/representatives/NGOs at the scoping stage, to inform the needs, </w:t>
      </w:r>
      <w:r w:rsidR="0093165F" w:rsidRPr="00773EEA">
        <w:t>challenges,</w:t>
      </w:r>
      <w:r w:rsidRPr="00773EEA">
        <w:t xml:space="preserve"> and priorities. A consultative process may generate more ideas, more interest from government officials and identify pathways to GESI outcomes that can be built into pilot(s).</w:t>
      </w:r>
    </w:p>
    <w:p w14:paraId="7D4CAB6F" w14:textId="1BBB4AA2" w:rsidR="0086032C" w:rsidRPr="00773EEA" w:rsidRDefault="0086032C" w:rsidP="00B7602B">
      <w:pPr>
        <w:spacing w:before="120"/>
        <w:ind w:left="142"/>
        <w:jc w:val="both"/>
      </w:pPr>
      <w:r w:rsidRPr="00773EEA">
        <w:rPr>
          <w:b/>
          <w:bCs/>
        </w:rPr>
        <w:t>Regional TO-08 Baseline Development and Capacity Building for AASCTF Cities (Bronze)</w:t>
      </w:r>
      <w:r w:rsidRPr="00773EEA">
        <w:t xml:space="preserve"> – according </w:t>
      </w:r>
      <w:r w:rsidR="0093165F" w:rsidRPr="00773EEA">
        <w:t>to ALPA</w:t>
      </w:r>
      <w:r w:rsidRPr="00773EEA">
        <w:t xml:space="preserve">, covers multiple activities including integration of GESI data quality indicators into an M&amp;E baseline dashboard. A Baseline Scoping Report notes it will focus on Smart Governance, considering how e-governance in AASCTF cities supports the cross-cutting areas of GESI, Climate Change and Private Sector Engagement. A survey including GESI </w:t>
      </w:r>
      <w:r w:rsidRPr="00773EEA">
        <w:lastRenderedPageBreak/>
        <w:t xml:space="preserve">topics was conducted, receiving 400+ responses from 16 cities, and will be used to create a Smart City Survey dashboard that can be used by city officials to identify key GESI issues/challenges relevant to </w:t>
      </w:r>
      <w:proofErr w:type="gramStart"/>
      <w:r w:rsidRPr="00773EEA">
        <w:t>Bronze</w:t>
      </w:r>
      <w:proofErr w:type="gramEnd"/>
      <w:r w:rsidRPr="00773EEA">
        <w:t xml:space="preserve"> cities. Mainstreaming: gender balance of workshops/meetings recorded (workshops: good balance for Baguio, El </w:t>
      </w:r>
      <w:proofErr w:type="spellStart"/>
      <w:r w:rsidRPr="00773EEA">
        <w:t>Nido</w:t>
      </w:r>
      <w:proofErr w:type="spellEnd"/>
      <w:r w:rsidRPr="00773EEA">
        <w:t xml:space="preserve"> PHI, 9%-31% for other </w:t>
      </w:r>
      <w:r w:rsidR="0093165F" w:rsidRPr="00773EEA">
        <w:t>cities; workshops dominated</w:t>
      </w:r>
      <w:r w:rsidRPr="00773EEA">
        <w:t xml:space="preserve"> by men in higher positions; meetings generally balanced); accessibility enhanced by hybrid model, choice of on-line or physical attendance, to address lack of access to ICT; TO team majority women; National Focal Points gender balance 50:</w:t>
      </w:r>
      <w:r w:rsidR="0093165F" w:rsidRPr="00773EEA">
        <w:t>50; Gender</w:t>
      </w:r>
      <w:r w:rsidRPr="00773EEA">
        <w:t xml:space="preserve"> Action Plan exists. Unclear how the intervention will track whether the knowledge of GESI issues/challenges is used by city officials and translated into GESI outcomes. It was noted in the ALPA that sustainability of the M&amp;E dashboard and Survey tool after the program ends was questionable.</w:t>
      </w:r>
    </w:p>
    <w:p w14:paraId="0159C9EC" w14:textId="15790C3B" w:rsidR="0086032C" w:rsidRPr="00773EEA" w:rsidRDefault="0086032C" w:rsidP="00B7602B">
      <w:pPr>
        <w:spacing w:before="120"/>
        <w:ind w:left="142"/>
        <w:jc w:val="both"/>
      </w:pPr>
      <w:r w:rsidRPr="00773EEA">
        <w:rPr>
          <w:b/>
          <w:bCs/>
        </w:rPr>
        <w:t xml:space="preserve">TTLs should </w:t>
      </w:r>
      <w:r w:rsidR="0093165F" w:rsidRPr="00773EEA">
        <w:rPr>
          <w:b/>
          <w:bCs/>
        </w:rPr>
        <w:t>take a</w:t>
      </w:r>
      <w:r w:rsidRPr="00773EEA">
        <w:rPr>
          <w:b/>
          <w:bCs/>
        </w:rPr>
        <w:t xml:space="preserve"> leadership role in integrating GESI considerations into interventions. </w:t>
      </w:r>
      <w:r w:rsidR="0093165F" w:rsidRPr="00773EEA">
        <w:t>A GESI</w:t>
      </w:r>
      <w:r w:rsidRPr="00773EEA">
        <w:t xml:space="preserve"> Specialist on the core team provide</w:t>
      </w:r>
      <w:r w:rsidR="009C657C" w:rsidRPr="00773EEA">
        <w:t>s</w:t>
      </w:r>
      <w:r w:rsidRPr="00773EEA">
        <w:t xml:space="preserve"> guidance and support to the TO teams, although TO teams are responsible for integrating GESI considerations into their work. This suggests that </w:t>
      </w:r>
      <w:r w:rsidR="009C657C" w:rsidRPr="00773EEA">
        <w:t>TTLs</w:t>
      </w:r>
      <w:r w:rsidRPr="00773EEA">
        <w:t xml:space="preserve"> need to take a leadership role if GESI mainstreaming is to be successfully achieved. Ramboll advised that the GESI and M&amp;E Specialists hold a </w:t>
      </w:r>
      <w:r w:rsidR="0093165F" w:rsidRPr="00773EEA">
        <w:t>1.5-to-2-hour</w:t>
      </w:r>
      <w:r w:rsidRPr="00773EEA">
        <w:t xml:space="preserve"> workshop with TO teams, usually within 1-2 months of implementation. GESI Specialists also provide inputs during weekly meetings/when otherwise required; support development and review of GESI Action Plans; incorporation of GESI elements into TO design; and identification and selection of GESI stakeholders. TOs teams can include local gender/social development specialists. Of the TOs sampled, those performing well/demonstrating good potential effectiveness on GESI appear to have strong engagement with core/local GESI Specialists, GESI target groups, NGOs/CSOs, or are led by the core GESI Specialist. </w:t>
      </w:r>
    </w:p>
    <w:p w14:paraId="6CA41B4E" w14:textId="4CA7882C" w:rsidR="0086032C" w:rsidRPr="00773EEA" w:rsidRDefault="0086032C" w:rsidP="00B7602B">
      <w:pPr>
        <w:spacing w:before="120"/>
        <w:ind w:left="142"/>
        <w:jc w:val="both"/>
      </w:pPr>
      <w:r w:rsidRPr="00773EEA">
        <w:rPr>
          <w:b/>
          <w:bCs/>
        </w:rPr>
        <w:t xml:space="preserve">Women and marginalized groups have not been consistently involved in design and delivery of interventions and GESI issues/entry points have not often been considered. </w:t>
      </w:r>
      <w:r w:rsidRPr="00773EEA">
        <w:t xml:space="preserve">Other than TO-1 Makassar and TO-05 Baguio, </w:t>
      </w:r>
      <w:r w:rsidR="0093165F" w:rsidRPr="00773EEA">
        <w:t>consultation,</w:t>
      </w:r>
      <w:r w:rsidRPr="00773EEA">
        <w:t xml:space="preserve"> and references to stakeholders/beneficiaries </w:t>
      </w:r>
      <w:proofErr w:type="gramStart"/>
      <w:r w:rsidRPr="00773EEA">
        <w:t>in TO</w:t>
      </w:r>
      <w:proofErr w:type="gramEnd"/>
      <w:r w:rsidRPr="00773EEA">
        <w:t xml:space="preserve"> documentation usually refers to government/city officials, and sometimes external experts. GESI target groups, and citizens more broadly, are not routinely consulted at the conceptual stage or to inform prioritization, although it would be possible to seek those views/inputs. It may be an assumption that this wouldn’t be of interest to city officials or that GESI perspectives would not add value at early stages, but all city government decisions/actions will impact on citizens, so consulting them makes those impacts clear and it may identify different, </w:t>
      </w:r>
      <w:r w:rsidR="0093165F" w:rsidRPr="00773EEA">
        <w:t>better,</w:t>
      </w:r>
      <w:r w:rsidRPr="00773EEA">
        <w:t xml:space="preserve"> or more appropriate approaches/solutions.  </w:t>
      </w:r>
    </w:p>
    <w:p w14:paraId="6EB85E7E" w14:textId="77777777" w:rsidR="0086032C" w:rsidRPr="00773EEA" w:rsidRDefault="0086032C" w:rsidP="00B7602B">
      <w:pPr>
        <w:spacing w:before="120"/>
        <w:ind w:left="142"/>
        <w:jc w:val="both"/>
      </w:pPr>
      <w:r w:rsidRPr="00773EEA">
        <w:rPr>
          <w:b/>
          <w:bCs/>
        </w:rPr>
        <w:t xml:space="preserve">Gender balance in meetings/events is more successful in some countries than others. </w:t>
      </w:r>
      <w:r w:rsidRPr="00773EEA">
        <w:t xml:space="preserve">TO teams are aware of and encourage gender balance in participants for meetings/workshops. Gender balance in presenters/trainers is also sought. Achieving gender balance in </w:t>
      </w:r>
      <w:proofErr w:type="gramStart"/>
      <w:r w:rsidRPr="00773EEA">
        <w:t>Silver</w:t>
      </w:r>
      <w:proofErr w:type="gramEnd"/>
      <w:r w:rsidRPr="00773EEA">
        <w:t xml:space="preserve"> cities varies considerably, from good balance in the Philippines to relatively poor gender balance in Lao PDR and Cambodia. In interviews, it was suggested that having more in-person engagement in those countries might be more influential. Reported Bronze level event data (2021 APR) mirrors this, with better gender balance in the Philippines (although that varies significantly between cities) than other countries. Data indicates gender balance at events is better in cities that have had more engagement with TO implementation teams, suggesting interventions are having a positive influence on local partners in this regard.</w:t>
      </w:r>
    </w:p>
    <w:p w14:paraId="11BC5BE6" w14:textId="77777777" w:rsidR="006C0757" w:rsidRPr="00773EEA" w:rsidRDefault="0086032C" w:rsidP="00B7602B">
      <w:pPr>
        <w:spacing w:before="120"/>
        <w:ind w:left="142"/>
        <w:jc w:val="both"/>
      </w:pPr>
      <w:r w:rsidRPr="00773EEA">
        <w:t xml:space="preserve">Gender balance in numbers is not effective unless women (and others from GESI target groups) are willing and able to contribute their views, insights, </w:t>
      </w:r>
      <w:r w:rsidR="0093165F" w:rsidRPr="00773EEA">
        <w:t>experiences,</w:t>
      </w:r>
      <w:r w:rsidRPr="00773EEA">
        <w:t xml:space="preserve"> and ideas.  It may create a more conducive environment for </w:t>
      </w:r>
      <w:r w:rsidR="0093165F" w:rsidRPr="00773EEA">
        <w:t>participation but</w:t>
      </w:r>
      <w:r w:rsidRPr="00773EEA">
        <w:t xml:space="preserve"> may not be sufficient to overcome cultural barriers to Western-style participation and discussion of sensitive topics (such as gender-based violence/harassment or even the need for appropriate toilet facilities), deference to hierarchy and other power imbalances. </w:t>
      </w:r>
    </w:p>
    <w:p w14:paraId="320E0761" w14:textId="583C05EE" w:rsidR="0086032C" w:rsidRPr="00773EEA" w:rsidRDefault="0086032C" w:rsidP="00B7602B">
      <w:pPr>
        <w:spacing w:before="120"/>
        <w:ind w:left="142"/>
        <w:jc w:val="both"/>
      </w:pPr>
      <w:r w:rsidRPr="00773EEA">
        <w:t>Difficulties with meaningful participation have been documented by the program’s interventions and use of technology to allow anonymous responses has been employed to overcome this (</w:t>
      </w:r>
      <w:proofErr w:type="spellStart"/>
      <w:r w:rsidRPr="00773EEA">
        <w:t>eg</w:t>
      </w:r>
      <w:proofErr w:type="spellEnd"/>
      <w:r w:rsidRPr="00773EEA">
        <w:t xml:space="preserve">, </w:t>
      </w:r>
      <w:proofErr w:type="spellStart"/>
      <w:r w:rsidRPr="00773EEA">
        <w:t>Mentimeter</w:t>
      </w:r>
      <w:proofErr w:type="spellEnd"/>
      <w:r w:rsidRPr="00773EEA">
        <w:t xml:space="preserve">). Allowing smaller groups of women to discuss and come up with issues/solutions as a group may also be more </w:t>
      </w:r>
      <w:r w:rsidR="0093165F" w:rsidRPr="00773EEA">
        <w:t>productive and</w:t>
      </w:r>
      <w:r w:rsidRPr="00773EEA">
        <w:t xml:space="preserve"> would provide a useful comparison to inputs received using anonymous means such as </w:t>
      </w:r>
      <w:proofErr w:type="spellStart"/>
      <w:r w:rsidRPr="00773EEA">
        <w:t>Mentimeter</w:t>
      </w:r>
      <w:proofErr w:type="spellEnd"/>
      <w:r w:rsidRPr="00773EEA">
        <w:t xml:space="preserve">. Ramboll advises that other modified approaches are being adopted to address this, such as event organisers taking a back seat to avoid dominating the dialogues in TO-09 Inclusive Cities Dialogue. This has had a positive impact on interaction and contributions from participants, who are mainly women. In addition to addressing gender balance, inclusion of people with a disability and other vulnerable/marginalised groups should be actively sought, to better inform interventions. </w:t>
      </w:r>
    </w:p>
    <w:p w14:paraId="5F3DD49A" w14:textId="0EA1A9C9" w:rsidR="0086032C" w:rsidRPr="00773EEA" w:rsidRDefault="0069712D" w:rsidP="000247E9">
      <w:pPr>
        <w:spacing w:before="120"/>
        <w:ind w:left="142"/>
        <w:jc w:val="both"/>
      </w:pPr>
      <w:r w:rsidRPr="00773EEA">
        <w:t>Similarly, a</w:t>
      </w:r>
      <w:r w:rsidR="0086032C" w:rsidRPr="00773EEA">
        <w:t>lternative approaches to engaging with and listening to the views of women in city officials’ meetings, particularly where all senior government representatives are male, may need to be employed (</w:t>
      </w:r>
      <w:proofErr w:type="spellStart"/>
      <w:r w:rsidR="0086032C" w:rsidRPr="00773EEA">
        <w:t>eg</w:t>
      </w:r>
      <w:proofErr w:type="spellEnd"/>
      <w:r w:rsidR="0086032C" w:rsidRPr="00773EEA">
        <w:t xml:space="preserve">, convening separate meetings specifically for women). </w:t>
      </w:r>
      <w:r w:rsidR="00B247A0" w:rsidRPr="00773EEA">
        <w:t xml:space="preserve"> Female officials may have useful insights and observations to offer on gaps, barriers and potential unintended consequences </w:t>
      </w:r>
      <w:r w:rsidR="00D73890" w:rsidRPr="00773EEA">
        <w:t>for</w:t>
      </w:r>
      <w:r w:rsidR="00B247A0" w:rsidRPr="00773EEA">
        <w:t xml:space="preserve"> women and other vulnerable</w:t>
      </w:r>
      <w:r w:rsidR="00092D7F" w:rsidRPr="00773EEA">
        <w:t xml:space="preserve"> or otherwise </w:t>
      </w:r>
      <w:r w:rsidR="00B247A0" w:rsidRPr="00773EEA">
        <w:t xml:space="preserve">disadvantaged groups, but </w:t>
      </w:r>
      <w:r w:rsidR="00D73890" w:rsidRPr="00773EEA">
        <w:t>where senior male officials</w:t>
      </w:r>
      <w:r w:rsidR="00F0514B" w:rsidRPr="00773EEA">
        <w:t xml:space="preserve"> </w:t>
      </w:r>
      <w:r w:rsidR="00092D7F" w:rsidRPr="00773EEA">
        <w:t>may</w:t>
      </w:r>
      <w:r w:rsidR="00DB309C" w:rsidRPr="00773EEA">
        <w:t xml:space="preserve"> </w:t>
      </w:r>
      <w:r w:rsidR="00F0514B" w:rsidRPr="00773EEA">
        <w:t>dominate meetings,</w:t>
      </w:r>
      <w:r w:rsidR="00D73890" w:rsidRPr="00773EEA">
        <w:t xml:space="preserve"> </w:t>
      </w:r>
      <w:r w:rsidR="00A43990" w:rsidRPr="00773EEA">
        <w:t>these views may not be heard.</w:t>
      </w:r>
      <w:r w:rsidR="00D73890" w:rsidRPr="00773EEA">
        <w:t xml:space="preserve"> </w:t>
      </w:r>
      <w:r w:rsidR="009F3C04" w:rsidRPr="00773EEA">
        <w:t xml:space="preserve">Specifically asking women for their views in meetings may help, but </w:t>
      </w:r>
      <w:r w:rsidR="007562C7" w:rsidRPr="00773EEA">
        <w:t>some women may find this intimidating</w:t>
      </w:r>
      <w:r w:rsidR="009F3C04" w:rsidRPr="00773EEA">
        <w:t xml:space="preserve">. </w:t>
      </w:r>
    </w:p>
    <w:p w14:paraId="6211F2E8" w14:textId="77777777" w:rsidR="0086032C" w:rsidRPr="00773EEA" w:rsidRDefault="0086032C" w:rsidP="00B7602B">
      <w:pPr>
        <w:spacing w:before="120"/>
        <w:ind w:left="142"/>
        <w:jc w:val="both"/>
      </w:pPr>
      <w:r w:rsidRPr="00773EEA">
        <w:rPr>
          <w:b/>
          <w:bCs/>
        </w:rPr>
        <w:t xml:space="preserve">Disability inclusion is not clearly addressed in most TOs. </w:t>
      </w:r>
      <w:r w:rsidRPr="00773EEA">
        <w:t xml:space="preserve">ALPAs/interviews indicate that implementing teams are aware of the need to make meetings/workshops accessible to all and that the shift to online meetings/events due to Covid-19 facilitated greater accessibility. Whether this increased the participation of people with a disability cannot be </w:t>
      </w:r>
      <w:r w:rsidRPr="00773EEA">
        <w:lastRenderedPageBreak/>
        <w:t xml:space="preserve">assessed unless relevant data is collected. A Bahasa sign language translator was provided for one city government meeting in Indonesia and Ramboll indicated it is considering how to provide this service more widely, identifying needs via stakeholder issue/mapping. GESI-targeted TO-09 conducts workshops with both sign language and spoken language interpretation for all participating cities. It is unclear how pro-active non-targeted TO teams are in seeking to include people with a disability in workshops/events.  </w:t>
      </w:r>
    </w:p>
    <w:p w14:paraId="65A09BC0" w14:textId="77777777" w:rsidR="0086032C" w:rsidRPr="00773EEA" w:rsidRDefault="0086032C" w:rsidP="00177735">
      <w:pPr>
        <w:pStyle w:val="ListParagraph"/>
        <w:numPr>
          <w:ilvl w:val="2"/>
          <w:numId w:val="7"/>
        </w:numPr>
        <w:spacing w:before="240"/>
        <w:jc w:val="both"/>
        <w:rPr>
          <w:rFonts w:asciiTheme="majorHAnsi" w:hAnsiTheme="majorHAnsi"/>
          <w:b/>
          <w:bCs/>
          <w:sz w:val="24"/>
          <w:szCs w:val="24"/>
        </w:rPr>
      </w:pPr>
      <w:r w:rsidRPr="00773EEA">
        <w:rPr>
          <w:rFonts w:asciiTheme="majorHAnsi" w:hAnsiTheme="majorHAnsi"/>
          <w:b/>
          <w:bCs/>
          <w:sz w:val="24"/>
          <w:szCs w:val="24"/>
        </w:rPr>
        <w:t>GESI-targeted interventions - progress towards intermediate outcomes</w:t>
      </w:r>
    </w:p>
    <w:p w14:paraId="5D83FD0C" w14:textId="77777777" w:rsidR="0086032C" w:rsidRPr="00773EEA" w:rsidRDefault="0086032C" w:rsidP="00B7602B">
      <w:pPr>
        <w:spacing w:before="120"/>
        <w:ind w:left="142"/>
        <w:jc w:val="both"/>
        <w:rPr>
          <w:b/>
          <w:bCs/>
        </w:rPr>
      </w:pPr>
      <w:r w:rsidRPr="00773EEA">
        <w:rPr>
          <w:b/>
          <w:bCs/>
        </w:rPr>
        <w:t xml:space="preserve">TO-05 Baguio Gender Transformative FEWS and Regional TO-09 Smart Cities-Inclusive worked with NGOs and engaged with/included GESI target groups from the early stages of the intervention. They demonstrate an effective approach to progress towards GESI outcomes, and to increase the likelihood of achieving GESI outcomes. </w:t>
      </w:r>
    </w:p>
    <w:p w14:paraId="2B8FAF92" w14:textId="77777777" w:rsidR="0086032C" w:rsidRPr="00773EEA" w:rsidRDefault="0086032C" w:rsidP="00B7602B">
      <w:pPr>
        <w:spacing w:before="120"/>
        <w:ind w:left="142"/>
        <w:jc w:val="both"/>
      </w:pPr>
      <w:r w:rsidRPr="00773EEA">
        <w:rPr>
          <w:b/>
          <w:bCs/>
        </w:rPr>
        <w:t>TO-05 Gender Transformative Flood Early Warning System, Baguio (Silver)</w:t>
      </w:r>
      <w:r w:rsidRPr="00773EEA">
        <w:t xml:space="preserve"> - led by Ramboll’s GESI Specialist, supported by NGO Practical Action and partnering with the city government, TO-05 aims to ensure timely early warning reaches all, including the most vulnerable/marginalized; improve decision-makers understanding of GESI; and improve representation/link the needs of vulnerable and marginalized groups to preparedness planning and response actions. GESI target groups were consulted to inform decision-making, planning and response measures (research report, recommendations/actions documents, stakeholder and issue mapping, ALPA). Practical Action considers this approach to developing GESI-specific actions for an Early Warning System to be unique and believe it should be shared among all ASEAN cities. Their engagement with TO-02 improved some team members’ understanding of why GESI needed to be considered and they also engaged with TO-07 Battambang. One TO-02 comment described Practical Action as the engine behind the GESI work.</w:t>
      </w:r>
    </w:p>
    <w:p w14:paraId="424F3155" w14:textId="620D77A4" w:rsidR="0086032C" w:rsidRPr="00773EEA" w:rsidRDefault="0086032C" w:rsidP="00B7602B">
      <w:pPr>
        <w:spacing w:before="120"/>
        <w:ind w:left="142"/>
        <w:jc w:val="both"/>
      </w:pPr>
      <w:r w:rsidRPr="00773EEA">
        <w:t xml:space="preserve">There is strong leadership, </w:t>
      </w:r>
      <w:r w:rsidR="003E4034" w:rsidRPr="00773EEA">
        <w:t>ownership,</w:t>
      </w:r>
      <w:r w:rsidRPr="00773EEA">
        <w:t xml:space="preserve"> and commitment to TO-05 from key city government representatives. Two women lead on the activity and are acknowledged by internal and external interviewees as the driving force behind TO-05. One has delivered presentations on TO-05, including to the ASEAN Sustainable Urbanisation Forum. Interviews with city and civil society representatives indicate that increased city government awareness of GESI </w:t>
      </w:r>
      <w:r w:rsidR="003E4034" w:rsidRPr="00773EEA">
        <w:t>has led</w:t>
      </w:r>
      <w:r w:rsidRPr="00773EEA">
        <w:t xml:space="preserve"> to changes such as gender sensitive facilities in evacuation centres and gender sensitive restrooms. Baguio’s City Planning and Development Office have now included promotion of gender equality in their wider work. The M&amp;E system should document tangible evidence of change resulting from interventions. A truly gender transformative outcome (</w:t>
      </w:r>
      <w:r w:rsidR="0082659F" w:rsidRPr="00773EEA">
        <w:t>e.g.</w:t>
      </w:r>
      <w:r w:rsidRPr="00773EEA">
        <w:t>, changes in power relations, norms), may be harder to achieve, but the M&amp;E system should look for evidence of change that might lead to that outcome.</w:t>
      </w:r>
    </w:p>
    <w:p w14:paraId="732453AE" w14:textId="3C901FB3" w:rsidR="0086032C" w:rsidRPr="00773EEA" w:rsidRDefault="0086032C" w:rsidP="00B7602B">
      <w:pPr>
        <w:spacing w:before="120"/>
        <w:ind w:left="142"/>
        <w:jc w:val="both"/>
      </w:pPr>
      <w:r w:rsidRPr="00773EEA">
        <w:t xml:space="preserve">TO-05 and TO-02 </w:t>
      </w:r>
      <w:r w:rsidR="003E4034" w:rsidRPr="00773EEA">
        <w:t>were intended</w:t>
      </w:r>
      <w:r w:rsidRPr="00773EEA">
        <w:t xml:space="preserve"> to be integrated to produce </w:t>
      </w:r>
      <w:r w:rsidR="0082659F" w:rsidRPr="00773EEA">
        <w:t>a</w:t>
      </w:r>
      <w:r w:rsidRPr="00773EEA">
        <w:t xml:space="preserve"> holistic FEWS. TO-05 has developed recommendations and actions for this purpose (policy brief, recommendations to actions document, implementation plan). TO-05’s Gender Action Plan documents interactions with TO-02, including running workshops for TO-02. A Data Dissemination and Outreach Plan is one integration product, but it is unclear if other </w:t>
      </w:r>
      <w:r w:rsidR="003E4034" w:rsidRPr="00773EEA">
        <w:t>integration products</w:t>
      </w:r>
      <w:r w:rsidRPr="00773EEA">
        <w:t xml:space="preserve"> are planned. If integrated successfully, the FEWS has strong potential to deliver GESI outcomes, however, this will only be apparent when the system is deployed. </w:t>
      </w:r>
    </w:p>
    <w:p w14:paraId="53AB3731" w14:textId="5407A91F" w:rsidR="0086032C" w:rsidRPr="00773EEA" w:rsidRDefault="0086032C" w:rsidP="00B7602B">
      <w:pPr>
        <w:spacing w:before="120"/>
        <w:ind w:left="142"/>
        <w:jc w:val="both"/>
      </w:pPr>
      <w:r w:rsidRPr="00773EEA">
        <w:rPr>
          <w:b/>
          <w:bCs/>
        </w:rPr>
        <w:t>Regional TO-09 Inclusive Cities Capacity Building Program (Bronze)</w:t>
      </w:r>
      <w:r w:rsidRPr="00773EEA">
        <w:t xml:space="preserve"> - led by Ramboll’s GESI Specialist and supported by The Asia Foundation (TAF), TO-09 will run interactive workshops/dialogues/e-learning modules for city officials, civil society groups and other relevant actors, to identify inclusion challenges and measures to address them, with the intention to galvanise action to implement these measures. Dialogues will allow joint consideration of marginalization and exclusion issues between government and non-government </w:t>
      </w:r>
      <w:r w:rsidR="003E4034" w:rsidRPr="00773EEA">
        <w:t>stakeholders and</w:t>
      </w:r>
      <w:r w:rsidRPr="00773EEA">
        <w:t xml:space="preserve"> sharing of knowledge and </w:t>
      </w:r>
      <w:r w:rsidR="003E4034" w:rsidRPr="00773EEA">
        <w:t>experience.</w:t>
      </w:r>
      <w:r w:rsidRPr="00773EEA">
        <w:t xml:space="preserve"> All activities were to be online due to Covid. Language interpretation for all participant cities and sign language interpretation will be provided. </w:t>
      </w:r>
      <w:proofErr w:type="gramStart"/>
      <w:r w:rsidRPr="00773EEA">
        <w:t>A number of</w:t>
      </w:r>
      <w:proofErr w:type="gramEnd"/>
      <w:r w:rsidRPr="00773EEA">
        <w:t xml:space="preserve"> sessions have been implemented in 2022, with over 140 participants from 30 cities.</w:t>
      </w:r>
    </w:p>
    <w:p w14:paraId="6A712BBD" w14:textId="77777777" w:rsidR="0086032C" w:rsidRPr="00773EEA" w:rsidRDefault="0086032C" w:rsidP="00B7602B">
      <w:pPr>
        <w:spacing w:before="120"/>
        <w:ind w:left="142"/>
        <w:jc w:val="both"/>
      </w:pPr>
      <w:r w:rsidRPr="00773EEA">
        <w:t xml:space="preserve">This TO has potential for good GESI outcomes, although translating dialogues to action may be challenging, especially if city government funding is required. If the intervention is successful, the benefits for GESI target groups are that city governments will address </w:t>
      </w:r>
      <w:proofErr w:type="gramStart"/>
      <w:r w:rsidRPr="00773EEA">
        <w:t>particular challenges</w:t>
      </w:r>
      <w:proofErr w:type="gramEnd"/>
      <w:r w:rsidRPr="00773EEA">
        <w:t xml:space="preserve"> they face, with solutions that are appropriate because they have been informed by or suggested by GESI target groups. The program’s M&amp;E system should track (through follow-ups) and document any substantive actions that demonstrate progress to outcomes or achievement of outcomes. Another possible and beneficial outcome is that city governments adopt a consultative or participatory approach with GESI target groups in their own cities</w:t>
      </w:r>
    </w:p>
    <w:p w14:paraId="12A7E2CE" w14:textId="77777777" w:rsidR="0086032C" w:rsidRPr="00773EEA" w:rsidRDefault="0086032C" w:rsidP="00177735">
      <w:pPr>
        <w:pStyle w:val="ListParagraph"/>
        <w:numPr>
          <w:ilvl w:val="2"/>
          <w:numId w:val="7"/>
        </w:numPr>
        <w:spacing w:before="240"/>
        <w:jc w:val="both"/>
        <w:rPr>
          <w:rFonts w:asciiTheme="majorHAnsi" w:hAnsiTheme="majorHAnsi"/>
          <w:b/>
          <w:bCs/>
          <w:sz w:val="24"/>
          <w:szCs w:val="24"/>
        </w:rPr>
      </w:pPr>
      <w:r w:rsidRPr="00773EEA">
        <w:rPr>
          <w:rFonts w:asciiTheme="majorHAnsi" w:hAnsiTheme="majorHAnsi"/>
          <w:b/>
          <w:bCs/>
          <w:sz w:val="24"/>
          <w:szCs w:val="24"/>
        </w:rPr>
        <w:t>Has the GESI Strategy been implemented across all AASCTF activities and how is this reflected in the data collection and reporting?</w:t>
      </w:r>
    </w:p>
    <w:p w14:paraId="28DB785F" w14:textId="62380645" w:rsidR="0086032C" w:rsidRPr="00773EEA" w:rsidRDefault="0086032C" w:rsidP="00DE15CB">
      <w:pPr>
        <w:pStyle w:val="BodyText"/>
        <w:spacing w:before="120"/>
        <w:ind w:left="142"/>
        <w:jc w:val="both"/>
        <w:rPr>
          <w:rFonts w:cstheme="minorHAnsi"/>
        </w:rPr>
      </w:pPr>
      <w:r w:rsidRPr="00773EEA">
        <w:rPr>
          <w:b/>
          <w:bCs/>
        </w:rPr>
        <w:t xml:space="preserve">Program reporting on GESI does not currently comply with DFAT requirements, as stipulated in the </w:t>
      </w:r>
      <w:r w:rsidRPr="00773EEA">
        <w:rPr>
          <w:b/>
        </w:rPr>
        <w:t>AASCTF Investment Design Summary</w:t>
      </w:r>
      <w:r w:rsidRPr="00773EEA">
        <w:t xml:space="preserve">. AASCTF reporting to DFAT is in the form of Annual Progress Reports (APRs) and Semi-Annual Progress Reports (SAPRs). The APRs/SAPRs take a promotional/public relations approach, rather than </w:t>
      </w:r>
      <w:r w:rsidRPr="00773EEA">
        <w:lastRenderedPageBreak/>
        <w:t xml:space="preserve">providing all relevant facts and figures (including sex-disaggregated data for participants and disability inclusion data) relating to program implementation progress, challenges and results, whether positive or not. This is required for DFAT program monitoring, oversight and internal reporting and needs to be provided to DFAT in an easily accessible format for this purpose. </w:t>
      </w:r>
    </w:p>
    <w:p w14:paraId="06A5A42A" w14:textId="77777777" w:rsidR="0086032C" w:rsidRPr="00773EEA" w:rsidRDefault="0086032C" w:rsidP="00177735">
      <w:pPr>
        <w:pStyle w:val="ListParagraph"/>
        <w:numPr>
          <w:ilvl w:val="2"/>
          <w:numId w:val="7"/>
        </w:numPr>
        <w:spacing w:before="240"/>
        <w:jc w:val="both"/>
        <w:rPr>
          <w:rFonts w:asciiTheme="majorHAnsi" w:hAnsiTheme="majorHAnsi"/>
          <w:b/>
          <w:bCs/>
          <w:sz w:val="24"/>
          <w:szCs w:val="24"/>
        </w:rPr>
      </w:pPr>
      <w:r w:rsidRPr="00773EEA">
        <w:rPr>
          <w:rFonts w:asciiTheme="majorHAnsi" w:hAnsiTheme="majorHAnsi"/>
          <w:b/>
          <w:bCs/>
          <w:sz w:val="24"/>
          <w:szCs w:val="24"/>
        </w:rPr>
        <w:t>Do implementing partners lead by example, demonstrating gender equality, women’s empowerment and inclusiveness in their own staffing composition, workplace culture and structure?</w:t>
      </w:r>
    </w:p>
    <w:p w14:paraId="50B5A8D9" w14:textId="72881BA6" w:rsidR="0086032C" w:rsidRPr="00773EEA" w:rsidRDefault="0086032C" w:rsidP="00B7602B">
      <w:pPr>
        <w:spacing w:before="120"/>
        <w:ind w:left="142"/>
        <w:jc w:val="both"/>
      </w:pPr>
      <w:r w:rsidRPr="00773EEA">
        <w:rPr>
          <w:b/>
          <w:bCs/>
        </w:rPr>
        <w:t xml:space="preserve">Based on MTR interviews and self-assessment, ADB and Ramboll are considered to lead by example, demonstrating gender balance, diversity and women in senior leadership roles, with some room for improvement. </w:t>
      </w:r>
      <w:r w:rsidRPr="00773EEA">
        <w:t>Government officials and external stakeholders interviewed as part of the MTR were of the view that Ramboll led by example in terms of gender and inclusion. In interview, Ramboll Core Team members stated that diversity and inclusion was part of the Ramboll Group’s ‘DNA’, and therefore active efforts are made to achieve gender balance across program teams. There is evidence of this in ALPAs. There are women in senior leadership roles on the AASCTF team, including the Deputy Team Leader</w:t>
      </w:r>
      <w:r w:rsidR="00E70AE0" w:rsidRPr="00773EEA">
        <w:t xml:space="preserve">. Of the sampled </w:t>
      </w:r>
      <w:proofErr w:type="gramStart"/>
      <w:r w:rsidR="00E70AE0" w:rsidRPr="00773EEA">
        <w:t>Silver</w:t>
      </w:r>
      <w:proofErr w:type="gramEnd"/>
      <w:r w:rsidR="00E70AE0" w:rsidRPr="00773EEA">
        <w:t xml:space="preserve"> interventions, only TTLs for TO-05 Baguio and Regional TO-09 are women. In </w:t>
      </w:r>
      <w:r w:rsidR="00720E54" w:rsidRPr="00773EEA">
        <w:t>addition,</w:t>
      </w:r>
      <w:r w:rsidR="00E70AE0" w:rsidRPr="00773EEA">
        <w:t xml:space="preserve"> the TTL for the </w:t>
      </w:r>
      <w:r w:rsidR="003C6F02" w:rsidRPr="00773EEA">
        <w:t xml:space="preserve">non-sampled </w:t>
      </w:r>
      <w:r w:rsidR="00E70AE0" w:rsidRPr="00773EEA">
        <w:t xml:space="preserve">Chonburi/EEC TO-11 is a woman. </w:t>
      </w:r>
      <w:r w:rsidRPr="00773EEA">
        <w:t>Some interviewees pointed out that it seemed traditional that women were allocated lead roles only on GESI specific interventions, and the point was made that both male and female team members should be proficient in GESI. There is good integration of both male and female national team members into the intervention teams. ADB commented that the AASCTF team has better gender representation than normal for Ramboll.</w:t>
      </w:r>
    </w:p>
    <w:p w14:paraId="3A597586" w14:textId="7ACCCB64" w:rsidR="009271DF" w:rsidRPr="00773EEA" w:rsidRDefault="7C8EDEC0" w:rsidP="00177735">
      <w:pPr>
        <w:pStyle w:val="Heading2"/>
        <w:numPr>
          <w:ilvl w:val="1"/>
          <w:numId w:val="7"/>
        </w:numPr>
        <w:spacing w:before="360"/>
        <w:ind w:left="612" w:hanging="442"/>
        <w:jc w:val="both"/>
      </w:pPr>
      <w:bookmarkStart w:id="55" w:name="_Toc110692364"/>
      <w:bookmarkEnd w:id="55"/>
      <w:r w:rsidRPr="00773EEA">
        <w:t xml:space="preserve"> </w:t>
      </w:r>
      <w:bookmarkStart w:id="56" w:name="_Toc123633721"/>
      <w:r w:rsidRPr="00773EEA">
        <w:t>KEQ4: What are the key program risks that may affect successfully achieving end of program outcomes?</w:t>
      </w:r>
      <w:bookmarkEnd w:id="56"/>
    </w:p>
    <w:p w14:paraId="48AD0A14" w14:textId="0E77B4E4" w:rsidR="00157695" w:rsidRPr="00773EEA" w:rsidRDefault="00157695" w:rsidP="00B7602B">
      <w:pPr>
        <w:ind w:left="170"/>
        <w:jc w:val="both"/>
      </w:pPr>
      <w:r w:rsidRPr="00773EEA">
        <w:t>Four areas of program risk, judged to be the most significant, are set out below. Until the end of 2021, the main risks to program implementation arose from Covid</w:t>
      </w:r>
      <w:r w:rsidR="00450B15" w:rsidRPr="00773EEA">
        <w:t>-19</w:t>
      </w:r>
      <w:r w:rsidRPr="00773EEA">
        <w:t xml:space="preserve"> </w:t>
      </w:r>
      <w:r w:rsidR="00450B15" w:rsidRPr="00773EEA">
        <w:t xml:space="preserve">impacts </w:t>
      </w:r>
      <w:r w:rsidRPr="00773EEA">
        <w:t xml:space="preserve">and </w:t>
      </w:r>
      <w:r w:rsidR="00450B15" w:rsidRPr="00773EEA">
        <w:t xml:space="preserve">related </w:t>
      </w:r>
      <w:r w:rsidRPr="00773EEA">
        <w:t xml:space="preserve">delays. This has now been superseded by other risks as the pandemic has eased, </w:t>
      </w:r>
      <w:r w:rsidR="00450B15" w:rsidRPr="00773EEA">
        <w:t xml:space="preserve">although it </w:t>
      </w:r>
      <w:r w:rsidRPr="00773EEA">
        <w:t xml:space="preserve">remains a concern. </w:t>
      </w:r>
    </w:p>
    <w:p w14:paraId="31687855" w14:textId="043678A6" w:rsidR="00157695" w:rsidRPr="00773EEA" w:rsidRDefault="00135EE9" w:rsidP="00B7602B">
      <w:pPr>
        <w:spacing w:after="60"/>
        <w:ind w:left="170"/>
        <w:jc w:val="both"/>
      </w:pPr>
      <w:r w:rsidRPr="00773EEA">
        <w:rPr>
          <w:rStyle w:val="BookTitle"/>
          <w:color w:val="auto"/>
        </w:rPr>
        <w:t xml:space="preserve">3.4.1. </w:t>
      </w:r>
      <w:r w:rsidR="00157695" w:rsidRPr="00773EEA">
        <w:rPr>
          <w:rStyle w:val="BookTitle"/>
          <w:color w:val="auto"/>
        </w:rPr>
        <w:t xml:space="preserve">Risk 1: Sustained use of processes, systems and tools by city governments. </w:t>
      </w:r>
      <w:r w:rsidR="00157695" w:rsidRPr="00773EEA">
        <w:t>The program has a strong focus on developing tools and systems in collaboration with city governments, which represents a strong design point of the program and responds to the demand form cities for tangible technology and knowledge transfer. As mentioned in Section 2.1 (</w:t>
      </w:r>
      <w:r w:rsidR="0069745F" w:rsidRPr="00773EEA">
        <w:t>under ‘</w:t>
      </w:r>
      <w:r w:rsidR="00157695" w:rsidRPr="00773EEA">
        <w:t>Sustainability</w:t>
      </w:r>
      <w:r w:rsidR="0069745F" w:rsidRPr="00773EEA">
        <w:t>’</w:t>
      </w:r>
      <w:r w:rsidR="00157695" w:rsidRPr="00773EEA">
        <w:t xml:space="preserve">) </w:t>
      </w:r>
      <w:r w:rsidR="003E4034" w:rsidRPr="00773EEA">
        <w:t>Silver</w:t>
      </w:r>
      <w:r w:rsidR="00157695" w:rsidRPr="00773EEA">
        <w:t xml:space="preserve"> city interventions are demand-led and carried out in a participatory way with city stakeholders. However, there remain some </w:t>
      </w:r>
      <w:r w:rsidR="00F04D41" w:rsidRPr="00773EEA">
        <w:t xml:space="preserve">significant </w:t>
      </w:r>
      <w:r w:rsidR="00157695" w:rsidRPr="00773EEA">
        <w:t xml:space="preserve">risks in the hand-over of these tools and systems at the end of each intervention. These are covered in the following five areas: </w:t>
      </w:r>
    </w:p>
    <w:p w14:paraId="37DE24D5" w14:textId="77777777" w:rsidR="00D06C2A" w:rsidRPr="00773EEA" w:rsidRDefault="00157695" w:rsidP="00177735">
      <w:pPr>
        <w:pStyle w:val="ListParagraph"/>
        <w:numPr>
          <w:ilvl w:val="0"/>
          <w:numId w:val="8"/>
        </w:numPr>
        <w:tabs>
          <w:tab w:val="left" w:pos="567"/>
        </w:tabs>
        <w:spacing w:after="60" w:line="276" w:lineRule="auto"/>
        <w:ind w:left="567" w:hanging="425"/>
        <w:contextualSpacing w:val="0"/>
        <w:jc w:val="both"/>
      </w:pPr>
      <w:r w:rsidRPr="00773EEA">
        <w:rPr>
          <w:b/>
          <w:bCs/>
        </w:rPr>
        <w:t>Capacity development:</w:t>
      </w:r>
      <w:r w:rsidRPr="00773EEA">
        <w:t xml:space="preserve"> </w:t>
      </w:r>
      <w:r w:rsidR="008F61E0" w:rsidRPr="00773EEA">
        <w:t xml:space="preserve">While the program team has aimed to put in place capacity development for a pool of government staff users and sometimes, external stakeholders, as in the case of Baguio, there is a high risk that city governments will </w:t>
      </w:r>
      <w:r w:rsidR="00271EBF" w:rsidRPr="00773EEA">
        <w:t xml:space="preserve">still </w:t>
      </w:r>
      <w:r w:rsidR="008F61E0" w:rsidRPr="00773EEA">
        <w:t>not have a sufficient knowledge base to continue to use a system after hand-over. The turnover of staff, which tends to be high in secondary city municipal governments,</w:t>
      </w:r>
      <w:r w:rsidR="008F61E0" w:rsidRPr="00773EEA">
        <w:rPr>
          <w:rStyle w:val="FootnoteReference"/>
          <w:color w:val="auto"/>
        </w:rPr>
        <w:footnoteReference w:id="21"/>
      </w:r>
      <w:r w:rsidR="008F61E0" w:rsidRPr="00773EEA">
        <w:t xml:space="preserve"> is also another risk to the sustained level of capacity. There are mixed feeling</w:t>
      </w:r>
      <w:r w:rsidR="0082659F" w:rsidRPr="00773EEA">
        <w:t>s</w:t>
      </w:r>
      <w:r w:rsidR="008F61E0" w:rsidRPr="00773EEA">
        <w:t xml:space="preserve"> across the </w:t>
      </w:r>
      <w:r w:rsidR="003E4034" w:rsidRPr="00773EEA">
        <w:t>Silver</w:t>
      </w:r>
      <w:r w:rsidR="008F61E0" w:rsidRPr="00773EEA">
        <w:t xml:space="preserve"> TOs </w:t>
      </w:r>
      <w:r w:rsidR="00E6688A" w:rsidRPr="00773EEA">
        <w:t>as to whether</w:t>
      </w:r>
      <w:r w:rsidR="008F61E0" w:rsidRPr="00773EEA">
        <w:t xml:space="preserve"> sufficient capacity development support will be provided by the program. </w:t>
      </w:r>
    </w:p>
    <w:p w14:paraId="26F714BF" w14:textId="52A8FC26" w:rsidR="008F61E0" w:rsidRPr="00773EEA" w:rsidRDefault="008F61E0" w:rsidP="002B63A4">
      <w:pPr>
        <w:pStyle w:val="ListParagraph"/>
        <w:tabs>
          <w:tab w:val="left" w:pos="567"/>
        </w:tabs>
        <w:spacing w:after="60" w:line="276" w:lineRule="auto"/>
        <w:ind w:left="567"/>
        <w:contextualSpacing w:val="0"/>
        <w:jc w:val="both"/>
      </w:pPr>
      <w:r w:rsidRPr="00773EEA">
        <w:t>For example, in Makassar, an external stakeholder said that they haven’t seen anything to reassuring that Ramboll will continue to support and ensure successful hand over in the longer term. This lack of support after a project has happened many times before in the city. In Baguio, the Ramboll and ADB teams are aware that the city government is unlikely to be able to carry on implementing the FEWS without program support beyond the end of 2022. ADB is considering options to continue engagement after 2022, to find a way to support capacity and systems. Continued A</w:t>
      </w:r>
      <w:r w:rsidR="00DC210C" w:rsidRPr="00773EEA">
        <w:t>A</w:t>
      </w:r>
      <w:r w:rsidRPr="00773EEA">
        <w:t xml:space="preserve">SCTF support may be the best approach and </w:t>
      </w:r>
      <w:r w:rsidR="0002713A" w:rsidRPr="00773EEA">
        <w:t xml:space="preserve">is likely to </w:t>
      </w:r>
      <w:r w:rsidRPr="00773EEA">
        <w:t xml:space="preserve">offer DFAT good </w:t>
      </w:r>
      <w:r w:rsidR="0002713A" w:rsidRPr="00773EEA">
        <w:t>value for money (</w:t>
      </w:r>
      <w:r w:rsidRPr="00773EEA">
        <w:t>VfM</w:t>
      </w:r>
      <w:r w:rsidR="0002713A" w:rsidRPr="00773EEA">
        <w:t>)</w:t>
      </w:r>
      <w:r w:rsidRPr="00773EEA">
        <w:t xml:space="preserve"> </w:t>
      </w:r>
      <w:r w:rsidR="0002713A" w:rsidRPr="00773EEA">
        <w:t>in</w:t>
      </w:r>
      <w:r w:rsidRPr="00773EEA">
        <w:t xml:space="preserve"> consolidat</w:t>
      </w:r>
      <w:r w:rsidR="0002713A" w:rsidRPr="00773EEA">
        <w:t>ing</w:t>
      </w:r>
      <w:r w:rsidRPr="00773EEA">
        <w:t xml:space="preserve"> the work that has already been done.</w:t>
      </w:r>
      <w:r w:rsidRPr="00773EEA">
        <w:rPr>
          <w:shd w:val="clear" w:color="auto" w:fill="FFFF00"/>
        </w:rPr>
        <w:t xml:space="preserve"> </w:t>
      </w:r>
    </w:p>
    <w:p w14:paraId="33B7D61F" w14:textId="326D511A" w:rsidR="00157695" w:rsidRPr="00773EEA" w:rsidRDefault="7C2F6B61" w:rsidP="00177735">
      <w:pPr>
        <w:pStyle w:val="ListParagraph"/>
        <w:numPr>
          <w:ilvl w:val="0"/>
          <w:numId w:val="8"/>
        </w:numPr>
        <w:tabs>
          <w:tab w:val="left" w:pos="567"/>
        </w:tabs>
        <w:spacing w:after="60" w:line="276" w:lineRule="auto"/>
        <w:ind w:left="567" w:hanging="425"/>
        <w:contextualSpacing w:val="0"/>
        <w:jc w:val="both"/>
      </w:pPr>
      <w:r w:rsidRPr="00773EEA">
        <w:rPr>
          <w:b/>
          <w:bCs/>
        </w:rPr>
        <w:t>Resources to continue:</w:t>
      </w:r>
      <w:r w:rsidRPr="00773EEA">
        <w:t xml:space="preserve"> Many of the systems require a budget for operations and maintenance. While the program team has often worked with the city government to consider this and encouraged the allocation of a budget for future years, how effectively this will be done in practice remains an uncertain. </w:t>
      </w:r>
    </w:p>
    <w:p w14:paraId="2E9E23A0" w14:textId="3C22DF96" w:rsidR="00157695" w:rsidRPr="00773EEA" w:rsidRDefault="7C2F6B61" w:rsidP="00177735">
      <w:pPr>
        <w:pStyle w:val="ListParagraph"/>
        <w:numPr>
          <w:ilvl w:val="0"/>
          <w:numId w:val="8"/>
        </w:numPr>
        <w:tabs>
          <w:tab w:val="left" w:pos="567"/>
        </w:tabs>
        <w:spacing w:after="60" w:line="276" w:lineRule="auto"/>
        <w:ind w:left="567" w:hanging="425"/>
        <w:contextualSpacing w:val="0"/>
        <w:jc w:val="both"/>
      </w:pPr>
      <w:r w:rsidRPr="00773EEA">
        <w:rPr>
          <w:b/>
          <w:bCs/>
        </w:rPr>
        <w:t>Institutional processes:</w:t>
      </w:r>
      <w:r w:rsidRPr="00773EEA">
        <w:t xml:space="preserve"> Some of the tools will reply on wider institutional frameworks for their effective use. For example, the continued use of the VISSIM model in Georgetown will rely on integrating the modelling process </w:t>
      </w:r>
      <w:r w:rsidRPr="00773EEA">
        <w:lastRenderedPageBreak/>
        <w:t xml:space="preserve">into policy and procedure related to transport planning and city planning. Once this has been done, there is much more </w:t>
      </w:r>
      <w:r w:rsidR="00271EBF" w:rsidRPr="00773EEA">
        <w:t>likelihood of its continued</w:t>
      </w:r>
      <w:r w:rsidRPr="00773EEA">
        <w:t xml:space="preserve"> use over time. </w:t>
      </w:r>
      <w:r w:rsidR="00271EBF" w:rsidRPr="00773EEA">
        <w:t xml:space="preserve">To address </w:t>
      </w:r>
      <w:r w:rsidRPr="00773EEA">
        <w:t xml:space="preserve">this </w:t>
      </w:r>
      <w:r w:rsidR="00271EBF" w:rsidRPr="00773EEA">
        <w:t>risk</w:t>
      </w:r>
      <w:r w:rsidRPr="00773EEA">
        <w:t>, Ramboll have introduced a demonstration model which was beyond scope, helping city stakeholders to understand the tool and its impact and the software capabilities, thus aiming to maximise its integration into city processes.</w:t>
      </w:r>
      <w:r w:rsidR="00271EBF" w:rsidRPr="00773EEA">
        <w:t xml:space="preserve"> The TTL is taking actions such as commitment letters for further engagement, running engagement workshops for the city government in Penang, but it remains an area of concern. These institutional longevity concerns have been raised with ADB.</w:t>
      </w:r>
    </w:p>
    <w:p w14:paraId="03C98C18" w14:textId="214E08C8" w:rsidR="00157695" w:rsidRPr="00773EEA" w:rsidRDefault="7C2F6B61" w:rsidP="00177735">
      <w:pPr>
        <w:pStyle w:val="ListParagraph"/>
        <w:numPr>
          <w:ilvl w:val="0"/>
          <w:numId w:val="8"/>
        </w:numPr>
        <w:tabs>
          <w:tab w:val="left" w:pos="567"/>
        </w:tabs>
        <w:spacing w:after="60" w:line="276" w:lineRule="auto"/>
        <w:ind w:left="567" w:hanging="425"/>
        <w:contextualSpacing w:val="0"/>
        <w:jc w:val="both"/>
      </w:pPr>
      <w:r w:rsidRPr="00773EEA">
        <w:rPr>
          <w:b/>
          <w:bCs/>
        </w:rPr>
        <w:t>Buy-in, ownership and political continuity:</w:t>
      </w:r>
      <w:r w:rsidRPr="00773EEA">
        <w:t xml:space="preserve"> A fourth critical area of risk for sustained use of tools and systems developed by the program, is how well they survive political shifts and policy changes. If a </w:t>
      </w:r>
      <w:r w:rsidR="00E6688A" w:rsidRPr="00773EEA">
        <w:t>mayor</w:t>
      </w:r>
      <w:r w:rsidRPr="00773EEA">
        <w:t xml:space="preserve"> or city official who is a champion of an AASCTF intervention moves on, the foundations for its continued use may be lost. Furthermore, the FEWS in Baguio requires endorsement by national agencies as well, including Philippine Atmospheric, Geophysical and Astronomical Services Administration (PAGASA) and the Department of Science and Technology (DOST), which adds another vulnerability to its sustained use. </w:t>
      </w:r>
    </w:p>
    <w:p w14:paraId="66101576" w14:textId="40B07645" w:rsidR="00157695" w:rsidRPr="00773EEA" w:rsidRDefault="7C2F6B61" w:rsidP="00177735">
      <w:pPr>
        <w:pStyle w:val="ListParagraph"/>
        <w:numPr>
          <w:ilvl w:val="0"/>
          <w:numId w:val="8"/>
        </w:numPr>
        <w:spacing w:after="60" w:line="276" w:lineRule="auto"/>
        <w:ind w:left="567" w:hanging="425"/>
        <w:contextualSpacing w:val="0"/>
        <w:jc w:val="both"/>
      </w:pPr>
      <w:r w:rsidRPr="00773EEA">
        <w:rPr>
          <w:b/>
          <w:bCs/>
        </w:rPr>
        <w:t>Uptake by the public:</w:t>
      </w:r>
      <w:r w:rsidRPr="00773EEA">
        <w:t xml:space="preserve"> How well the public makes use of a service is also relevant to some TOs. It will take time to build up awareness and behavioural change. For the FEWS in Baguio, for example, Ramboll sees the city government as being responsible for the disaster response side of the system. If the public fail to buy-into the system over time, this may come to be seen as a weakness in the overall FEWS approach. In Battambang, a digital tool </w:t>
      </w:r>
      <w:r w:rsidR="00271EBF" w:rsidRPr="00773EEA">
        <w:t xml:space="preserve">resulting from TO-07 </w:t>
      </w:r>
      <w:r w:rsidRPr="00773EEA">
        <w:t xml:space="preserve">to help facilitate waste management would need to be accepted by the public and by private sector entities in the waste management sector. </w:t>
      </w:r>
    </w:p>
    <w:p w14:paraId="05A70AB4" w14:textId="1C2FAE48" w:rsidR="006F401B" w:rsidRPr="00773EEA" w:rsidRDefault="006F401B" w:rsidP="00B7602B">
      <w:pPr>
        <w:spacing w:before="120"/>
        <w:ind w:left="170"/>
        <w:jc w:val="both"/>
      </w:pPr>
      <w:r w:rsidRPr="00773EEA">
        <w:t xml:space="preserve">ADB and Ramboll are implementing a ‘sandbox’ approach to test new ideas and systems and see which gain traction. ADB are not expecting 100% sustainable impact for all activities. There will be an inherent risk and there will </w:t>
      </w:r>
      <w:r w:rsidR="008C51FD" w:rsidRPr="00773EEA">
        <w:t xml:space="preserve">likely </w:t>
      </w:r>
      <w:r w:rsidRPr="00773EEA">
        <w:t>be some failure. However, the justification is that the learning value for the program is high and systems that can be sustained over time have potential for replication in other cities</w:t>
      </w:r>
      <w:r w:rsidR="00FC7DBD" w:rsidRPr="00773EEA">
        <w:t xml:space="preserve">, </w:t>
      </w:r>
      <w:proofErr w:type="gramStart"/>
      <w:r w:rsidR="00FC7DBD" w:rsidRPr="00773EEA">
        <w:t>as long as</w:t>
      </w:r>
      <w:proofErr w:type="gramEnd"/>
      <w:r w:rsidR="00FC7DBD" w:rsidRPr="00773EEA">
        <w:t xml:space="preserve"> the risks highlighted above can be mitigated</w:t>
      </w:r>
      <w:r w:rsidRPr="00773EEA">
        <w:t xml:space="preserve">. </w:t>
      </w:r>
    </w:p>
    <w:p w14:paraId="28AA7C41" w14:textId="6C3DC131" w:rsidR="00CE1D2E" w:rsidRPr="00773EEA" w:rsidRDefault="00CE1D2E" w:rsidP="002B63A4">
      <w:pPr>
        <w:ind w:left="170"/>
        <w:jc w:val="both"/>
      </w:pPr>
      <w:r w:rsidRPr="00773EEA">
        <w:rPr>
          <w:rStyle w:val="BookTitle"/>
          <w:color w:val="auto"/>
        </w:rPr>
        <w:t xml:space="preserve">Risk 2: Lack of </w:t>
      </w:r>
      <w:r w:rsidR="00C759DE" w:rsidRPr="00773EEA">
        <w:rPr>
          <w:rStyle w:val="BookTitle"/>
          <w:color w:val="auto"/>
        </w:rPr>
        <w:t>coverage</w:t>
      </w:r>
      <w:r w:rsidRPr="00773EEA">
        <w:rPr>
          <w:rStyle w:val="BookTitle"/>
          <w:color w:val="auto"/>
        </w:rPr>
        <w:t xml:space="preserve"> and results related to pillar three – financial management. </w:t>
      </w:r>
      <w:r w:rsidRPr="00773EEA">
        <w:t xml:space="preserve">The results framework of the AASCTF includes a set of indicators for pillar three on improving financial management in cities. However, very little has been achieved against these targets, for the reasons set out in Section 3.1, mainly due to the demand-led nature of the </w:t>
      </w:r>
      <w:r w:rsidR="003E4034" w:rsidRPr="00773EEA">
        <w:t>Silver</w:t>
      </w:r>
      <w:r w:rsidRPr="00773EEA">
        <w:t xml:space="preserve"> TOs resulting in a greater </w:t>
      </w:r>
      <w:r w:rsidRPr="00773EEA">
        <w:rPr>
          <w:iCs/>
        </w:rPr>
        <w:t>number</w:t>
      </w:r>
      <w:r w:rsidRPr="00773EEA">
        <w:t xml:space="preserve"> of urban planning and service delivery interventions. While there is time to implement more interventions that meet these targets in the final two years of this phase of the AASCTF, it s</w:t>
      </w:r>
      <w:r w:rsidR="00F04D41" w:rsidRPr="00773EEA">
        <w:t>e</w:t>
      </w:r>
      <w:r w:rsidRPr="00773EEA">
        <w:t xml:space="preserve">ems unlikely that the city government </w:t>
      </w:r>
      <w:r w:rsidR="00F04D41" w:rsidRPr="00773EEA">
        <w:t>preference for</w:t>
      </w:r>
      <w:r w:rsidRPr="00773EEA">
        <w:t xml:space="preserve"> urban planning and service delivery interventions will change. Furthermore, the Ramboll budget for A</w:t>
      </w:r>
      <w:r w:rsidR="00DC210C" w:rsidRPr="00773EEA">
        <w:t>A</w:t>
      </w:r>
      <w:r w:rsidRPr="00773EEA">
        <w:t xml:space="preserve">SCTF has almost been exhausted, meaning that more funds would need to be allocated from ADB or DFAT to continue work in this area. </w:t>
      </w:r>
    </w:p>
    <w:p w14:paraId="50FA7A34" w14:textId="49C68EF1" w:rsidR="00432DDC" w:rsidRPr="00773EEA" w:rsidRDefault="00441168" w:rsidP="002B63A4">
      <w:pPr>
        <w:ind w:left="170"/>
        <w:jc w:val="both"/>
      </w:pPr>
      <w:r w:rsidRPr="00773EEA">
        <w:rPr>
          <w:rStyle w:val="BookTitle"/>
          <w:color w:val="auto"/>
        </w:rPr>
        <w:t xml:space="preserve">Risk </w:t>
      </w:r>
      <w:r w:rsidR="00CE1D2E" w:rsidRPr="00773EEA">
        <w:rPr>
          <w:rStyle w:val="BookTitle"/>
          <w:color w:val="auto"/>
        </w:rPr>
        <w:t>3</w:t>
      </w:r>
      <w:r w:rsidRPr="00773EEA">
        <w:rPr>
          <w:rStyle w:val="BookTitle"/>
          <w:color w:val="auto"/>
        </w:rPr>
        <w:t xml:space="preserve">: Lack of </w:t>
      </w:r>
      <w:r w:rsidR="0045550E" w:rsidRPr="00773EEA">
        <w:rPr>
          <w:rStyle w:val="BookTitle"/>
          <w:color w:val="auto"/>
        </w:rPr>
        <w:t>a clear pathway to implement</w:t>
      </w:r>
      <w:r w:rsidRPr="00773EEA">
        <w:rPr>
          <w:rStyle w:val="BookTitle"/>
          <w:color w:val="auto"/>
        </w:rPr>
        <w:t xml:space="preserve"> </w:t>
      </w:r>
      <w:proofErr w:type="gramStart"/>
      <w:r w:rsidRPr="00773EEA">
        <w:rPr>
          <w:rStyle w:val="BookTitle"/>
          <w:color w:val="auto"/>
        </w:rPr>
        <w:t>Gold</w:t>
      </w:r>
      <w:proofErr w:type="gramEnd"/>
      <w:r w:rsidRPr="00773EEA">
        <w:rPr>
          <w:rStyle w:val="BookTitle"/>
          <w:color w:val="auto"/>
        </w:rPr>
        <w:t xml:space="preserve"> level investments</w:t>
      </w:r>
      <w:r w:rsidR="00832C2C" w:rsidRPr="00773EEA">
        <w:rPr>
          <w:rStyle w:val="BookTitle"/>
          <w:color w:val="auto"/>
        </w:rPr>
        <w:t>.</w:t>
      </w:r>
      <w:r w:rsidRPr="00773EEA">
        <w:rPr>
          <w:rStyle w:val="BookTitle"/>
          <w:color w:val="auto"/>
        </w:rPr>
        <w:t xml:space="preserve"> </w:t>
      </w:r>
      <w:r w:rsidR="00432DDC" w:rsidRPr="00773EEA">
        <w:t xml:space="preserve">As mentioned in Section 3.1, the program has not defined a clear process </w:t>
      </w:r>
      <w:r w:rsidR="0045550E" w:rsidRPr="00773EEA">
        <w:t xml:space="preserve">and outcome </w:t>
      </w:r>
      <w:r w:rsidR="00432DDC" w:rsidRPr="00773EEA">
        <w:t xml:space="preserve">for the gold-level investments. ADB remains confident that there are many possibilities for </w:t>
      </w:r>
      <w:proofErr w:type="gramStart"/>
      <w:r w:rsidR="00D92B24" w:rsidRPr="00773EEA">
        <w:t>Gold</w:t>
      </w:r>
      <w:proofErr w:type="gramEnd"/>
      <w:r w:rsidR="00432DDC" w:rsidRPr="00773EEA">
        <w:t xml:space="preserve"> investments in AASCTF cities that are well aligned with the program objectives. However, the modality to enable investments remains unclear and discussion on this is overshadowing consideration of what the investment</w:t>
      </w:r>
      <w:r w:rsidR="008C51FD" w:rsidRPr="00773EEA">
        <w:t xml:space="preserve">s </w:t>
      </w:r>
      <w:r w:rsidR="00432DDC" w:rsidRPr="00773EEA">
        <w:t xml:space="preserve">should </w:t>
      </w:r>
      <w:r w:rsidR="008C51FD" w:rsidRPr="00773EEA">
        <w:t>address</w:t>
      </w:r>
      <w:r w:rsidR="00432DDC" w:rsidRPr="00773EEA">
        <w:t xml:space="preserve"> and why. With two years to run until the end of the program, </w:t>
      </w:r>
      <w:r w:rsidR="0045550E" w:rsidRPr="00773EEA">
        <w:t>there is also very limited time available to</w:t>
      </w:r>
      <w:r w:rsidR="00432DDC" w:rsidRPr="00773EEA">
        <w:t xml:space="preserve"> implement </w:t>
      </w:r>
      <w:r w:rsidR="00D92B24" w:rsidRPr="00773EEA">
        <w:t>Gold</w:t>
      </w:r>
      <w:r w:rsidR="00432DDC" w:rsidRPr="00773EEA">
        <w:t xml:space="preserve">-level investments. If an extension is granted to the program, then planning and implementing </w:t>
      </w:r>
      <w:proofErr w:type="gramStart"/>
      <w:r w:rsidR="00D92B24" w:rsidRPr="00773EEA">
        <w:t>Gold</w:t>
      </w:r>
      <w:proofErr w:type="gramEnd"/>
      <w:r w:rsidR="00432DDC" w:rsidRPr="00773EEA">
        <w:t xml:space="preserve"> level investments should move forward as rapidly as possible, to maximise the influence of the program on how the investments are realised. </w:t>
      </w:r>
    </w:p>
    <w:p w14:paraId="655E9AE9" w14:textId="77777777" w:rsidR="006C0757" w:rsidRPr="00773EEA" w:rsidRDefault="00441168" w:rsidP="00B7602B">
      <w:pPr>
        <w:ind w:left="170"/>
        <w:jc w:val="both"/>
      </w:pPr>
      <w:r w:rsidRPr="00773EEA">
        <w:rPr>
          <w:rStyle w:val="BookTitle"/>
          <w:color w:val="auto"/>
        </w:rPr>
        <w:t xml:space="preserve">Risk </w:t>
      </w:r>
      <w:r w:rsidR="00CE1D2E" w:rsidRPr="00773EEA">
        <w:rPr>
          <w:rStyle w:val="BookTitle"/>
          <w:color w:val="auto"/>
        </w:rPr>
        <w:t>4</w:t>
      </w:r>
      <w:r w:rsidRPr="00773EEA">
        <w:rPr>
          <w:rStyle w:val="BookTitle"/>
          <w:color w:val="auto"/>
        </w:rPr>
        <w:t xml:space="preserve">: </w:t>
      </w:r>
      <w:r w:rsidR="00CE1D2E" w:rsidRPr="00773EEA">
        <w:rPr>
          <w:rStyle w:val="BookTitle"/>
          <w:color w:val="auto"/>
        </w:rPr>
        <w:t xml:space="preserve">Notable </w:t>
      </w:r>
      <w:r w:rsidRPr="00773EEA">
        <w:rPr>
          <w:rStyle w:val="BookTitle"/>
          <w:color w:val="auto"/>
        </w:rPr>
        <w:t xml:space="preserve">resources spent on influencing activities may fail to produce impact. </w:t>
      </w:r>
      <w:r w:rsidR="00F33742" w:rsidRPr="00773EEA">
        <w:t>Bronze level activities are an important component of the A</w:t>
      </w:r>
      <w:r w:rsidR="00DC210C" w:rsidRPr="00773EEA">
        <w:t>A</w:t>
      </w:r>
      <w:r w:rsidR="00F33742" w:rsidRPr="00773EEA">
        <w:t xml:space="preserve">SCTF and comprise a </w:t>
      </w:r>
      <w:r w:rsidR="00CE1D2E" w:rsidRPr="00773EEA">
        <w:t xml:space="preserve">notable </w:t>
      </w:r>
      <w:r w:rsidR="00F33742" w:rsidRPr="00773EEA">
        <w:t>proportion of the budget at around US$ 1.4 million</w:t>
      </w:r>
      <w:r w:rsidR="00361908" w:rsidRPr="00773EEA">
        <w:t>, as well as additional resources spent on influencing activities by the Core Team and within other TOs</w:t>
      </w:r>
      <w:r w:rsidR="00F33742" w:rsidRPr="00773EEA">
        <w:t xml:space="preserve">. </w:t>
      </w:r>
      <w:r w:rsidRPr="00773EEA">
        <w:t xml:space="preserve">As shown in </w:t>
      </w:r>
      <w:r w:rsidRPr="00773EEA">
        <w:rPr>
          <w:b/>
          <w:bCs/>
        </w:rPr>
        <w:t>Section 2.2</w:t>
      </w:r>
      <w:r w:rsidRPr="00773EEA">
        <w:t xml:space="preserve">, the webinars, Inclusive Cities Dialogues and other events and workshops are generally well-received by participants. They offer valuable content, relevant examples and inspiring pathways for cities to learn from and adopt. Bronze interventions are seen by the program team as part of creating discussion in the region and providing good ideas. </w:t>
      </w:r>
    </w:p>
    <w:p w14:paraId="71615008" w14:textId="77777777" w:rsidR="00D06C2A" w:rsidRPr="00773EEA" w:rsidRDefault="00441168" w:rsidP="00B7602B">
      <w:pPr>
        <w:ind w:left="170"/>
        <w:jc w:val="both"/>
      </w:pPr>
      <w:r w:rsidRPr="00773EEA">
        <w:t xml:space="preserve">However, interviews with several </w:t>
      </w:r>
      <w:r w:rsidR="00D92B24" w:rsidRPr="00773EEA">
        <w:t>Bronze</w:t>
      </w:r>
      <w:r w:rsidRPr="00773EEA">
        <w:t xml:space="preserve"> city government representatives made it clear that while the </w:t>
      </w:r>
      <w:proofErr w:type="gramStart"/>
      <w:r w:rsidR="00D92B24" w:rsidRPr="00773EEA">
        <w:t>Bronze</w:t>
      </w:r>
      <w:proofErr w:type="gramEnd"/>
      <w:r w:rsidRPr="00773EEA">
        <w:t xml:space="preserve"> level activities are all of the above, their impact will remain rather limited without any sustained program support from A</w:t>
      </w:r>
      <w:r w:rsidR="00DC210C" w:rsidRPr="00773EEA">
        <w:t>A</w:t>
      </w:r>
      <w:r w:rsidRPr="00773EEA">
        <w:t xml:space="preserve">SCTF to help put into practice some of the key elements being advocated. </w:t>
      </w:r>
      <w:r w:rsidR="00CE1D2E" w:rsidRPr="00773EEA">
        <w:t xml:space="preserve">This is being considered and mitigated to some extent by </w:t>
      </w:r>
      <w:r w:rsidR="00AF6371" w:rsidRPr="00773EEA">
        <w:t>the AASCTF e-learning courses that will be hosted by ADB, the MoU between AD</w:t>
      </w:r>
      <w:r w:rsidR="0082010A" w:rsidRPr="00773EEA">
        <w:t>B</w:t>
      </w:r>
      <w:r w:rsidR="00AF6371" w:rsidRPr="00773EEA">
        <w:t xml:space="preserve"> and </w:t>
      </w:r>
      <w:r w:rsidR="008F1167" w:rsidRPr="00773EEA">
        <w:rPr>
          <w:lang w:val="en-US"/>
        </w:rPr>
        <w:t xml:space="preserve">the Indonesian Ministry of Home Affairs (MoHA) </w:t>
      </w:r>
      <w:r w:rsidR="00AF6371" w:rsidRPr="00773EEA">
        <w:t>to help expand smart city capacity development across the 540 cities and districts in the country</w:t>
      </w:r>
      <w:r w:rsidR="008F1167" w:rsidRPr="00773EEA">
        <w:t>,</w:t>
      </w:r>
      <w:r w:rsidR="00AF6371" w:rsidRPr="00773EEA">
        <w:t xml:space="preserve"> and a possible repository of AASCTF resources and learning embedded. </w:t>
      </w:r>
    </w:p>
    <w:p w14:paraId="45F86A7F" w14:textId="5F4E908D" w:rsidR="00441168" w:rsidRPr="00773EEA" w:rsidRDefault="00AF6371" w:rsidP="00B7602B">
      <w:pPr>
        <w:ind w:left="170"/>
        <w:jc w:val="both"/>
      </w:pPr>
      <w:r w:rsidRPr="00773EEA">
        <w:t xml:space="preserve">Networks of </w:t>
      </w:r>
      <w:r w:rsidR="00D92B24" w:rsidRPr="00773EEA">
        <w:t>Bronze</w:t>
      </w:r>
      <w:r w:rsidRPr="00773EEA">
        <w:t xml:space="preserve"> city participants, such as the 140 stakeholders from 40 cities that </w:t>
      </w:r>
      <w:r w:rsidR="0045550E" w:rsidRPr="00773EEA">
        <w:t>a</w:t>
      </w:r>
      <w:r w:rsidRPr="00773EEA">
        <w:t xml:space="preserve">re participating in TO-09, can be maintained during the program but there is a risk that these will be lost once the AASCTF comes to an end. ADB and Ramboll should consider how best to </w:t>
      </w:r>
      <w:r w:rsidR="0045550E" w:rsidRPr="00773EEA">
        <w:t>integrate the AASCTF network into more permanent networks or institutions.</w:t>
      </w:r>
      <w:r w:rsidRPr="00773EEA">
        <w:t xml:space="preserve"> </w:t>
      </w:r>
      <w:r w:rsidR="00441168" w:rsidRPr="00773EEA">
        <w:t>It may also interest DFAT to leverage th</w:t>
      </w:r>
      <w:r w:rsidR="0045550E" w:rsidRPr="00773EEA">
        <w:t>is</w:t>
      </w:r>
      <w:r w:rsidR="00441168" w:rsidRPr="00773EEA">
        <w:t xml:space="preserve"> network to inform possible private sector investment opportunities for Australian business. </w:t>
      </w:r>
    </w:p>
    <w:p w14:paraId="40A8960D" w14:textId="77777777" w:rsidR="00C74277" w:rsidRPr="00773EEA" w:rsidRDefault="00C74277" w:rsidP="00B7602B">
      <w:pPr>
        <w:ind w:left="170"/>
        <w:jc w:val="both"/>
      </w:pPr>
    </w:p>
    <w:p w14:paraId="0442D20D" w14:textId="661B11CA" w:rsidR="00630522" w:rsidRPr="00773EEA" w:rsidRDefault="00720E54" w:rsidP="00177735">
      <w:pPr>
        <w:pStyle w:val="Heading2"/>
        <w:numPr>
          <w:ilvl w:val="1"/>
          <w:numId w:val="7"/>
        </w:numPr>
        <w:jc w:val="both"/>
      </w:pPr>
      <w:bookmarkStart w:id="57" w:name="_Toc110683306"/>
      <w:bookmarkStart w:id="58" w:name="_Toc110692366"/>
      <w:bookmarkEnd w:id="57"/>
      <w:bookmarkEnd w:id="58"/>
      <w:r w:rsidRPr="00773EEA">
        <w:t xml:space="preserve"> </w:t>
      </w:r>
      <w:bookmarkStart w:id="59" w:name="_Toc123633722"/>
      <w:r w:rsidR="006E6680" w:rsidRPr="00773EEA">
        <w:t>KEQ5: How effectively has the program pivoted to address the impacts of COVID 19?</w:t>
      </w:r>
      <w:bookmarkEnd w:id="59"/>
    </w:p>
    <w:p w14:paraId="495156BB" w14:textId="14DC64C1" w:rsidR="003B12AC" w:rsidRPr="00773EEA" w:rsidRDefault="003B12AC" w:rsidP="00B7602B">
      <w:pPr>
        <w:ind w:left="170"/>
        <w:jc w:val="both"/>
      </w:pPr>
      <w:r w:rsidRPr="00773EEA">
        <w:t>The program has coincided with Covid-19</w:t>
      </w:r>
      <w:r w:rsidR="007D472D" w:rsidRPr="00773EEA">
        <w:t>; all</w:t>
      </w:r>
      <w:r w:rsidRPr="00773EEA">
        <w:t xml:space="preserve"> TOs have been implemented </w:t>
      </w:r>
      <w:r w:rsidR="007D472D" w:rsidRPr="00773EEA">
        <w:t xml:space="preserve">within the pandemic </w:t>
      </w:r>
      <w:r w:rsidRPr="00773EEA">
        <w:t xml:space="preserve">and thus have been affected by severe limitations on international travel, local travel and the ability to hold in-person meetings and events. The countries and cities covered by the AASCTF have been impacted in a wide range of ways and many have suffered from external macro-economic changes and lack of tourism and trade. The sections below set out how the program has operated within this context. </w:t>
      </w:r>
    </w:p>
    <w:p w14:paraId="50793034" w14:textId="51B70E3D" w:rsidR="003B12AC" w:rsidRPr="00773EEA" w:rsidRDefault="00135EE9" w:rsidP="00B7602B">
      <w:pPr>
        <w:ind w:left="170"/>
        <w:jc w:val="both"/>
        <w:rPr>
          <w:b/>
          <w:bCs/>
          <w:sz w:val="24"/>
          <w:szCs w:val="24"/>
        </w:rPr>
      </w:pPr>
      <w:r w:rsidRPr="00773EEA">
        <w:rPr>
          <w:b/>
          <w:bCs/>
          <w:sz w:val="24"/>
          <w:szCs w:val="24"/>
        </w:rPr>
        <w:t xml:space="preserve">3.5.1. How well has </w:t>
      </w:r>
      <w:r w:rsidR="003B12AC" w:rsidRPr="00773EEA">
        <w:rPr>
          <w:b/>
          <w:bCs/>
          <w:sz w:val="24"/>
          <w:szCs w:val="24"/>
        </w:rPr>
        <w:t xml:space="preserve">the program </w:t>
      </w:r>
      <w:r w:rsidRPr="00773EEA">
        <w:rPr>
          <w:b/>
          <w:bCs/>
          <w:sz w:val="24"/>
          <w:szCs w:val="24"/>
        </w:rPr>
        <w:t xml:space="preserve">pivoted </w:t>
      </w:r>
      <w:r w:rsidR="0062740D" w:rsidRPr="00773EEA">
        <w:rPr>
          <w:b/>
          <w:bCs/>
          <w:sz w:val="24"/>
          <w:szCs w:val="24"/>
        </w:rPr>
        <w:t>and/</w:t>
      </w:r>
      <w:r w:rsidRPr="00773EEA">
        <w:rPr>
          <w:b/>
          <w:bCs/>
          <w:sz w:val="24"/>
          <w:szCs w:val="24"/>
        </w:rPr>
        <w:t xml:space="preserve">or adapted in the context of </w:t>
      </w:r>
      <w:r w:rsidR="003B12AC" w:rsidRPr="00773EEA">
        <w:rPr>
          <w:b/>
          <w:bCs/>
          <w:sz w:val="24"/>
          <w:szCs w:val="24"/>
        </w:rPr>
        <w:t xml:space="preserve">COVID 19? </w:t>
      </w:r>
    </w:p>
    <w:p w14:paraId="39970B08" w14:textId="77777777" w:rsidR="00D06C2A" w:rsidRPr="00773EEA" w:rsidRDefault="003B12AC" w:rsidP="00B7602B">
      <w:pPr>
        <w:ind w:left="170"/>
        <w:jc w:val="both"/>
      </w:pPr>
      <w:r w:rsidRPr="00773EEA">
        <w:rPr>
          <w:rStyle w:val="BookTitle"/>
          <w:color w:val="auto"/>
        </w:rPr>
        <w:t>The program is broadly aligned with Covid-19 recovery strategies but could do so in a more explicit way in many interventions.</w:t>
      </w:r>
      <w:r w:rsidRPr="00773EEA">
        <w:rPr>
          <w:b/>
          <w:bCs/>
        </w:rPr>
        <w:t xml:space="preserve"> </w:t>
      </w:r>
      <w:r w:rsidRPr="00773EEA">
        <w:t>While the Ramboll and ADB team had strategic discussions on how to address Covid, it was decided that a significant program pivot was not necessary in terms of meeting the program objectives and addressing cross-cutting issues. In many ways, Covid</w:t>
      </w:r>
      <w:r w:rsidR="009F47E2" w:rsidRPr="00773EEA">
        <w:t>-19</w:t>
      </w:r>
      <w:r w:rsidRPr="00773EEA">
        <w:t xml:space="preserve"> has reemphasised how important the objectives of AASCTF are for cities in terms of sustainable urban planning and service delivery.</w:t>
      </w:r>
      <w:r w:rsidRPr="00773EEA">
        <w:rPr>
          <w:rStyle w:val="FootnoteReference"/>
          <w:color w:val="auto"/>
        </w:rPr>
        <w:footnoteReference w:id="22"/>
      </w:r>
      <w:r w:rsidRPr="00773EEA">
        <w:t xml:space="preserve"> Pandemics can break down urban systems and resilience is greatly enhanced with smart city solutions, such as digital payment that enables e-commerce and deliveries of groceries, for example. </w:t>
      </w:r>
    </w:p>
    <w:p w14:paraId="543B26C9" w14:textId="2A0915D3" w:rsidR="003B12AC" w:rsidRPr="00773EEA" w:rsidRDefault="003B12AC" w:rsidP="00B7602B">
      <w:pPr>
        <w:ind w:left="170"/>
        <w:jc w:val="both"/>
      </w:pPr>
      <w:r w:rsidRPr="00773EEA">
        <w:t xml:space="preserve">Covid-19 has also shifted urban development agendas toward ‘build back better’ with </w:t>
      </w:r>
      <w:r w:rsidR="003342BD" w:rsidRPr="00773EEA">
        <w:t xml:space="preserve">an </w:t>
      </w:r>
      <w:r w:rsidRPr="00773EEA">
        <w:t xml:space="preserve">important role of nature-based solutions, that can provide much needed green and recreational space, help reduce </w:t>
      </w:r>
      <w:r w:rsidR="003342BD" w:rsidRPr="00773EEA">
        <w:t xml:space="preserve">the </w:t>
      </w:r>
      <w:r w:rsidRPr="00773EEA">
        <w:t xml:space="preserve">likelihood of </w:t>
      </w:r>
      <w:r w:rsidR="003342BD" w:rsidRPr="00773EEA">
        <w:t xml:space="preserve">viral </w:t>
      </w:r>
      <w:r w:rsidRPr="00773EEA">
        <w:t xml:space="preserve">transmission, while improving flood risk mitigation. These messages are captured in the Covid-19 specific outputs of the program such as the ‘Smart Cities </w:t>
      </w:r>
      <w:proofErr w:type="spellStart"/>
      <w:r w:rsidRPr="00773EEA">
        <w:t>Datathon</w:t>
      </w:r>
      <w:proofErr w:type="spellEnd"/>
      <w:r w:rsidRPr="00773EEA">
        <w:t xml:space="preserve">’ to challenge innovators in the </w:t>
      </w:r>
      <w:proofErr w:type="gramStart"/>
      <w:r w:rsidR="00D92B24" w:rsidRPr="00773EEA">
        <w:t>Bronze</w:t>
      </w:r>
      <w:proofErr w:type="gramEnd"/>
      <w:r w:rsidRPr="00773EEA">
        <w:t xml:space="preserve"> cities to come up with solutions that help address Covid-19 challenges and the AASCTF manual by ADB and the Future Cities Lab on ‘Leveraging Spatial Data for Pandemic-Resilient Cities’ based </w:t>
      </w:r>
      <w:r w:rsidR="003342BD" w:rsidRPr="00773EEA">
        <w:t xml:space="preserve">the </w:t>
      </w:r>
      <w:r w:rsidRPr="00773EEA">
        <w:t>Makassar</w:t>
      </w:r>
      <w:r w:rsidR="003342BD" w:rsidRPr="00773EEA">
        <w:t xml:space="preserve"> city experience</w:t>
      </w:r>
      <w:r w:rsidRPr="00773EEA">
        <w:t>.</w:t>
      </w:r>
      <w:r w:rsidRPr="00773EEA">
        <w:rPr>
          <w:rStyle w:val="FootnoteReference"/>
          <w:color w:val="auto"/>
        </w:rPr>
        <w:footnoteReference w:id="23"/>
      </w:r>
      <w:r w:rsidRPr="00773EEA">
        <w:t xml:space="preserve"> </w:t>
      </w:r>
    </w:p>
    <w:p w14:paraId="7C4BDC6F" w14:textId="3C22FA31" w:rsidR="003B12AC" w:rsidRPr="00773EEA" w:rsidRDefault="003B12AC" w:rsidP="00B7602B">
      <w:pPr>
        <w:ind w:left="170"/>
        <w:jc w:val="both"/>
      </w:pPr>
      <w:r w:rsidRPr="00773EEA">
        <w:t xml:space="preserve">Apart from Makassar (TO-01), </w:t>
      </w:r>
      <w:r w:rsidR="007D472D" w:rsidRPr="00773EEA">
        <w:t>Baguio (TO-02) and Battambang (TO-07), the</w:t>
      </w:r>
      <w:r w:rsidRPr="00773EEA">
        <w:t xml:space="preserve"> TOs were scoped in the context of the pandemic and have aimed to factor in synergies with Covid</w:t>
      </w:r>
      <w:r w:rsidR="006719D9" w:rsidRPr="00773EEA">
        <w:t>-19</w:t>
      </w:r>
      <w:r w:rsidRPr="00773EEA">
        <w:t xml:space="preserve"> resilience and recovery, where possible. For TO-01, the team were able to align with the ‘Makassar Recover’ policy in areas such as economy, public health and adaptation to the pandemic. </w:t>
      </w:r>
      <w:r w:rsidR="00E6688A" w:rsidRPr="00773EEA">
        <w:t>Overall,</w:t>
      </w:r>
      <w:r w:rsidRPr="00773EEA">
        <w:t xml:space="preserve"> the AASCTF is well aligned with Covid-19 recovery, including</w:t>
      </w:r>
      <w:r w:rsidR="007B1D28" w:rsidRPr="00773EEA">
        <w:t xml:space="preserve"> supporting infrastructure development to enable economic recovery in Southeast Asia, as mentioned in</w:t>
      </w:r>
      <w:r w:rsidRPr="00773EEA">
        <w:t xml:space="preserve"> ‘</w:t>
      </w:r>
      <w:r w:rsidRPr="00773EEA">
        <w:rPr>
          <w:b/>
          <w:bCs/>
          <w:i/>
          <w:iCs/>
        </w:rPr>
        <w:t>Partnerships for Recovery: Australia’s Covid-19 Development Response’</w:t>
      </w:r>
      <w:r w:rsidRPr="00773EEA">
        <w:t>.</w:t>
      </w:r>
      <w:r w:rsidR="007B1D28" w:rsidRPr="00773EEA">
        <w:rPr>
          <w:rStyle w:val="FootnoteReference"/>
          <w:color w:val="auto"/>
        </w:rPr>
        <w:footnoteReference w:id="24"/>
      </w:r>
      <w:r w:rsidRPr="00773EEA">
        <w:t xml:space="preserve"> However, there remains an opportunity for TOs to reconsider how they can align more fully with city specific strategies for Covid recovery. </w:t>
      </w:r>
    </w:p>
    <w:p w14:paraId="7B66760C" w14:textId="77777777" w:rsidR="00D06C2A" w:rsidRPr="00773EEA" w:rsidRDefault="003B12AC" w:rsidP="00B7602B">
      <w:pPr>
        <w:ind w:left="170"/>
        <w:jc w:val="both"/>
      </w:pPr>
      <w:r w:rsidRPr="00773EEA">
        <w:rPr>
          <w:rStyle w:val="BookTitle"/>
          <w:color w:val="auto"/>
        </w:rPr>
        <w:t>The program has progressed well in the context of the Covid-19 pandemic despite the travel restrictions imposed, although there have been limitations in stakeholder engagement.</w:t>
      </w:r>
      <w:r w:rsidRPr="00773EEA">
        <w:rPr>
          <w:b/>
          <w:bCs/>
        </w:rPr>
        <w:t xml:space="preserve"> </w:t>
      </w:r>
      <w:r w:rsidRPr="00773EEA">
        <w:t xml:space="preserve">Generally, the need for Ramboll intervention teams working remotely has not greatly hindered team efficiency or project management processes. There has been a significant shift since the start of the </w:t>
      </w:r>
      <w:r w:rsidR="00157AAF" w:rsidRPr="00773EEA">
        <w:t>program</w:t>
      </w:r>
      <w:r w:rsidRPr="00773EEA">
        <w:t xml:space="preserve"> when the Core team was expected to be based in Manila. Covid-19 has enabled a normalisation of online meetings and the team has become efficient with virtual communications internally and with external city government staff and other entities. However, the lack of face-to face meetings has been a barrier to faster relationship building with the city governments and the ability to consult stakeholders that are harder to reach. While this has been greatly mitigated by online remote meetings for engaging with city officials, this is less effective for stakeholder engagement. </w:t>
      </w:r>
    </w:p>
    <w:p w14:paraId="6437F809" w14:textId="787A0032" w:rsidR="003B12AC" w:rsidRPr="00773EEA" w:rsidRDefault="003B12AC" w:rsidP="00B7602B">
      <w:pPr>
        <w:ind w:left="170"/>
        <w:jc w:val="both"/>
      </w:pPr>
      <w:r w:rsidRPr="00773EEA">
        <w:t xml:space="preserve">Some TOs have </w:t>
      </w:r>
      <w:proofErr w:type="gramStart"/>
      <w:r w:rsidRPr="00773EEA">
        <w:t>made an effort</w:t>
      </w:r>
      <w:proofErr w:type="gramEnd"/>
      <w:r w:rsidRPr="00773EEA">
        <w:t xml:space="preserve"> to reach representatives of stakeholder groups that are harder to reach, such as TO-05 in Baguio via Practical Action’s ‘</w:t>
      </w:r>
      <w:r w:rsidR="00A824DE" w:rsidRPr="00773EEA">
        <w:t>Missing V</w:t>
      </w:r>
      <w:r w:rsidRPr="00773EEA">
        <w:t xml:space="preserve">oices’ methodology. However, as mentioned in Section 3.3, most TOs have put in place rather little process to engage with disadvantaged groups to understand how the intervention could best meet their needs. </w:t>
      </w:r>
      <w:r w:rsidR="001C5648" w:rsidRPr="00773EEA">
        <w:t xml:space="preserve">A lack of in-person meetings and events </w:t>
      </w:r>
      <w:r w:rsidRPr="00773EEA">
        <w:t xml:space="preserve">is also a barrier to more </w:t>
      </w:r>
      <w:r w:rsidR="001C5648" w:rsidRPr="00773EEA">
        <w:t xml:space="preserve">effective </w:t>
      </w:r>
      <w:r w:rsidRPr="00773EEA">
        <w:t>political economy analysis to help understand the power dynamics and influencing ability of certain stakeholders</w:t>
      </w:r>
      <w:r w:rsidR="001C5648" w:rsidRPr="00773EEA">
        <w:t>, which can</w:t>
      </w:r>
      <w:r w:rsidRPr="00773EEA">
        <w:t xml:space="preserve"> be done more effectively in a physical venue, rather than just via short breakout sessions in an online workshop. </w:t>
      </w:r>
      <w:r w:rsidR="001C5648" w:rsidRPr="00773EEA">
        <w:t xml:space="preserve">This also highlights the importance of having reliable team members on the ground in </w:t>
      </w:r>
      <w:proofErr w:type="gramStart"/>
      <w:r w:rsidR="003E4034" w:rsidRPr="00773EEA">
        <w:t>Silver</w:t>
      </w:r>
      <w:proofErr w:type="gramEnd"/>
      <w:r w:rsidR="001C5648" w:rsidRPr="00773EEA">
        <w:t xml:space="preserve"> cities. </w:t>
      </w:r>
    </w:p>
    <w:p w14:paraId="52334A5C" w14:textId="4ECC5514" w:rsidR="003B12AC" w:rsidRPr="00773EEA" w:rsidRDefault="7C2F6B61" w:rsidP="00B7602B">
      <w:pPr>
        <w:ind w:left="170"/>
        <w:jc w:val="both"/>
      </w:pPr>
      <w:r w:rsidRPr="00773EEA">
        <w:rPr>
          <w:rStyle w:val="BookTitle"/>
          <w:color w:val="auto"/>
        </w:rPr>
        <w:t>In some cases, delays caused by Covid-19 meant that timelines of different work packages didn’t always align.</w:t>
      </w:r>
      <w:r w:rsidRPr="00773EEA">
        <w:t xml:space="preserve"> For example, the GESI focus of TO-05 was unable to have a more direct impact on the training of the TO-2 </w:t>
      </w:r>
      <w:r w:rsidRPr="00773EEA">
        <w:lastRenderedPageBreak/>
        <w:t>FEWS stakeholder group in June 2022, in Baguio. The pandemic caused disruption to TOs that need</w:t>
      </w:r>
      <w:r w:rsidR="00013D70" w:rsidRPr="00773EEA">
        <w:t>ed</w:t>
      </w:r>
      <w:r w:rsidRPr="00773EEA">
        <w:t xml:space="preserve"> to collect data that represents ‘normal’ conditions, such as traffic surveys to inform the VISSIM modelling in Georgetown. Due to lockdowns and reduced and altered transport patterns, this was not possible until early 2022. The TO-06 team mitigated </w:t>
      </w:r>
      <w:r w:rsidR="006A03AD" w:rsidRPr="00773EEA">
        <w:t>frontloading</w:t>
      </w:r>
      <w:r w:rsidRPr="00773EEA">
        <w:t xml:space="preserve"> as possible without the traffic data</w:t>
      </w:r>
      <w:r w:rsidR="006A03AD" w:rsidRPr="00773EEA">
        <w:t>,</w:t>
      </w:r>
      <w:r w:rsidRPr="00773EEA">
        <w:t xml:space="preserve"> and </w:t>
      </w:r>
      <w:r w:rsidR="006A03AD" w:rsidRPr="00773EEA">
        <w:t>so</w:t>
      </w:r>
      <w:r w:rsidRPr="00773EEA">
        <w:t xml:space="preserve"> the TO is not delayed by more than a few months. </w:t>
      </w:r>
    </w:p>
    <w:p w14:paraId="14B88424" w14:textId="40E93711" w:rsidR="003B12AC" w:rsidRPr="00773EEA" w:rsidRDefault="00135EE9" w:rsidP="00B7602B">
      <w:pPr>
        <w:ind w:left="170"/>
        <w:jc w:val="both"/>
        <w:rPr>
          <w:b/>
          <w:bCs/>
          <w:sz w:val="24"/>
          <w:szCs w:val="24"/>
        </w:rPr>
      </w:pPr>
      <w:r w:rsidRPr="00773EEA">
        <w:rPr>
          <w:b/>
          <w:bCs/>
          <w:sz w:val="24"/>
          <w:szCs w:val="24"/>
        </w:rPr>
        <w:t xml:space="preserve">3.5.2. </w:t>
      </w:r>
      <w:r w:rsidR="003B12AC" w:rsidRPr="00773EEA">
        <w:rPr>
          <w:b/>
          <w:bCs/>
          <w:sz w:val="24"/>
          <w:szCs w:val="24"/>
        </w:rPr>
        <w:t>Did any opportunities emerge as a result of changes to ways of working due to COVID 19?</w:t>
      </w:r>
    </w:p>
    <w:p w14:paraId="05B20EF5" w14:textId="24E4F8B4" w:rsidR="003B12AC" w:rsidRPr="00773EEA" w:rsidRDefault="003B12AC" w:rsidP="00B7602B">
      <w:pPr>
        <w:ind w:left="170"/>
        <w:jc w:val="both"/>
      </w:pPr>
      <w:r w:rsidRPr="00773EEA">
        <w:rPr>
          <w:rStyle w:val="BookTitle"/>
          <w:color w:val="auto"/>
        </w:rPr>
        <w:t xml:space="preserve">The pandemic has accelerated the use and acceptance of digital tools by many </w:t>
      </w:r>
      <w:r w:rsidR="00AB31A0" w:rsidRPr="00773EEA">
        <w:rPr>
          <w:rStyle w:val="BookTitle"/>
          <w:color w:val="auto"/>
        </w:rPr>
        <w:t>cities’</w:t>
      </w:r>
      <w:r w:rsidRPr="00773EEA">
        <w:rPr>
          <w:rStyle w:val="BookTitle"/>
          <w:color w:val="auto"/>
        </w:rPr>
        <w:t xml:space="preserve"> government staff and stakeholders.</w:t>
      </w:r>
      <w:r w:rsidRPr="00773EEA">
        <w:rPr>
          <w:b/>
          <w:bCs/>
        </w:rPr>
        <w:t xml:space="preserve"> </w:t>
      </w:r>
      <w:r w:rsidRPr="00773EEA">
        <w:t xml:space="preserve">One indirect positive of the </w:t>
      </w:r>
      <w:proofErr w:type="gramStart"/>
      <w:r w:rsidRPr="00773EEA">
        <w:t>pandemic</w:t>
      </w:r>
      <w:proofErr w:type="gramEnd"/>
      <w:r w:rsidRPr="00773EEA">
        <w:t xml:space="preserve"> is that city governments have built up their digital capacity such as using video conference platforms like MS Teams. In Battambang, for example, prior to the pandemic, the city government had very few computers and almost everything was done face-to-face. At this point in the program, city government staff now make good use of video conferences, supported by much stronger internet connections. In Makassar, there is a strong focus by the city government, championed by the Major, on becoming a world-class smart city, including how to harness emerging concepts such as the Metaverse (renamed by the city as the ‘</w:t>
      </w:r>
      <w:proofErr w:type="spellStart"/>
      <w:r w:rsidRPr="00773EEA">
        <w:t>Makaverse</w:t>
      </w:r>
      <w:proofErr w:type="spellEnd"/>
      <w:r w:rsidRPr="00773EEA">
        <w:t>’). The A</w:t>
      </w:r>
      <w:r w:rsidR="00DC210C" w:rsidRPr="00773EEA">
        <w:t>A</w:t>
      </w:r>
      <w:r w:rsidRPr="00773EEA">
        <w:t xml:space="preserve">SCTF team has worked with the city to trial several digital approaches to citizen engagement, including a digital survey to better understand the needs and concerns of citizens, although this had far fewer respondents to the in-person survey, and using WhatsApp groups for Q&amp;A alongside workshops to present project ideas to stakeholders. </w:t>
      </w:r>
    </w:p>
    <w:p w14:paraId="3F5ADB78" w14:textId="0D0CDFBE" w:rsidR="00DE11A8" w:rsidRPr="00773EEA" w:rsidRDefault="7C2F6B61" w:rsidP="00B7602B">
      <w:pPr>
        <w:ind w:left="170"/>
        <w:jc w:val="both"/>
      </w:pPr>
      <w:r w:rsidRPr="00773EEA">
        <w:rPr>
          <w:rStyle w:val="BookTitle"/>
          <w:color w:val="auto"/>
        </w:rPr>
        <w:t>New ways of working and engagement such as video calls have enabled more efficient engagement, albeit with limitations.</w:t>
      </w:r>
      <w:r w:rsidRPr="00773EEA">
        <w:rPr>
          <w:b/>
          <w:bCs/>
        </w:rPr>
        <w:t xml:space="preserve"> </w:t>
      </w:r>
      <w:r w:rsidRPr="00773EEA">
        <w:t xml:space="preserve">New ways of working and engagement such as video calls, are often seen by Ramboll and by city government and civil society stakeholders as more efficient and perhaps better at bringing together groups in different locations and maintaining relationships, compared to much less frequent face-to-face meetings that would have been the norm without Covid-19. For example, for city twinning, delegations may only happen once a year if there had been no pandemic </w:t>
      </w:r>
      <w:r w:rsidR="00362A86" w:rsidRPr="00773EEA">
        <w:t>and</w:t>
      </w:r>
      <w:r w:rsidRPr="00773EEA">
        <w:t xml:space="preserve"> video calls </w:t>
      </w:r>
      <w:r w:rsidR="00362A86" w:rsidRPr="00773EEA">
        <w:t>have been</w:t>
      </w:r>
      <w:r w:rsidRPr="00773EEA">
        <w:t xml:space="preserve"> effective for </w:t>
      </w:r>
      <w:r w:rsidR="00362A86" w:rsidRPr="00773EEA">
        <w:t xml:space="preserve">frequent </w:t>
      </w:r>
      <w:r w:rsidRPr="00773EEA">
        <w:t xml:space="preserve">engagement and relationship building. </w:t>
      </w:r>
      <w:r w:rsidR="00362A86" w:rsidRPr="00773EEA">
        <w:t>P</w:t>
      </w:r>
      <w:r w:rsidR="003B12AC" w:rsidRPr="00773EEA">
        <w:t xml:space="preserve">rogram efficiencies that are enabled by virtual communications </w:t>
      </w:r>
      <w:r w:rsidR="00362A86" w:rsidRPr="00773EEA">
        <w:t>have also enabled</w:t>
      </w:r>
      <w:r w:rsidR="003B12AC" w:rsidRPr="00773EEA">
        <w:t xml:space="preserve"> savings in time and </w:t>
      </w:r>
      <w:r w:rsidR="00362A86" w:rsidRPr="00773EEA">
        <w:t>costs such as</w:t>
      </w:r>
      <w:r w:rsidR="003B12AC" w:rsidRPr="00773EEA">
        <w:t xml:space="preserve"> transport and accommodation, which have been reallocated to fee days for the teams. </w:t>
      </w:r>
    </w:p>
    <w:p w14:paraId="4BFC10C6" w14:textId="77777777" w:rsidR="00D06C2A" w:rsidRPr="00773EEA" w:rsidRDefault="003B12AC" w:rsidP="00B7602B">
      <w:pPr>
        <w:ind w:left="170"/>
        <w:jc w:val="both"/>
      </w:pPr>
      <w:r w:rsidRPr="00773EEA">
        <w:rPr>
          <w:rStyle w:val="BookTitle"/>
          <w:color w:val="auto"/>
        </w:rPr>
        <w:t xml:space="preserve">Digital communications are likely to have improved attendance of </w:t>
      </w:r>
      <w:r w:rsidR="00DE11A8" w:rsidRPr="00773EEA">
        <w:rPr>
          <w:rStyle w:val="BookTitle"/>
          <w:color w:val="auto"/>
        </w:rPr>
        <w:t>influencing</w:t>
      </w:r>
      <w:r w:rsidRPr="00773EEA">
        <w:rPr>
          <w:rStyle w:val="BookTitle"/>
          <w:color w:val="auto"/>
        </w:rPr>
        <w:t xml:space="preserve"> activities, but the value of conferences and in person networking remains high for city governments.</w:t>
      </w:r>
      <w:r w:rsidRPr="00773EEA">
        <w:rPr>
          <w:b/>
          <w:bCs/>
        </w:rPr>
        <w:t xml:space="preserve"> </w:t>
      </w:r>
      <w:r w:rsidRPr="00773EEA">
        <w:t xml:space="preserve">The shift to greater online attendance of events and workshops, prompted by the pandemic, has been beneficial for attracting audiences to the </w:t>
      </w:r>
      <w:proofErr w:type="gramStart"/>
      <w:r w:rsidR="00D92B24" w:rsidRPr="00773EEA">
        <w:t>Bronze</w:t>
      </w:r>
      <w:proofErr w:type="gramEnd"/>
      <w:r w:rsidRPr="00773EEA">
        <w:t xml:space="preserve"> level events such as the series of webinars, the Smart Cities Networking 2022 and the TO-09 Inclusive Cities Dialogue. Indeed, these activities would have been very challenging to coordinate for many secondary cities in ASEAN before Covid-19. The TO-09 has produced a good </w:t>
      </w:r>
      <w:r w:rsidR="00013D70" w:rsidRPr="00773EEA">
        <w:t xml:space="preserve">participant </w:t>
      </w:r>
      <w:r w:rsidRPr="00773EEA">
        <w:t xml:space="preserve">return rate for the series of online training sessions, where each city government or stakeholder participant receives six hours of training over three sessions. </w:t>
      </w:r>
    </w:p>
    <w:p w14:paraId="6CC17961" w14:textId="77777777" w:rsidR="00D06C2A" w:rsidRPr="00773EEA" w:rsidRDefault="00DE11A8" w:rsidP="00B7602B">
      <w:pPr>
        <w:ind w:left="170"/>
        <w:jc w:val="both"/>
      </w:pPr>
      <w:r w:rsidRPr="00773EEA">
        <w:t xml:space="preserve">However, while virtual engagement is a new normal and it is easier to bring people together </w:t>
      </w:r>
      <w:r w:rsidR="006A03AD" w:rsidRPr="00773EEA">
        <w:t>from</w:t>
      </w:r>
      <w:r w:rsidRPr="00773EEA">
        <w:t xml:space="preserve"> multiple locations with digital tools, the value of in-person meetings, particularly for relationship building and key events, was emphasised by all city representatives. </w:t>
      </w:r>
      <w:r w:rsidR="7C2F6B61" w:rsidRPr="00773EEA">
        <w:t xml:space="preserve">For webinars and training workshops such as for the Inclusive Cities Dialogues, a disadvantage of remote participation has been the lack of unstructured conversation and valuable networking. Social media groups have been established </w:t>
      </w:r>
      <w:r w:rsidR="7C2F6B61" w:rsidRPr="00773EEA">
        <w:rPr>
          <w:lang w:val="en-US"/>
        </w:rPr>
        <w:t xml:space="preserve">via different </w:t>
      </w:r>
      <w:r w:rsidR="7C2F6B61" w:rsidRPr="00773EEA">
        <w:t>apps, (</w:t>
      </w:r>
      <w:r w:rsidR="006A03AD" w:rsidRPr="00773EEA">
        <w:t xml:space="preserve">including </w:t>
      </w:r>
      <w:r w:rsidR="7C2F6B61" w:rsidRPr="00773EEA">
        <w:t>WhatsApp, Viber</w:t>
      </w:r>
      <w:r w:rsidR="006A03AD" w:rsidRPr="00773EEA">
        <w:t xml:space="preserve"> and</w:t>
      </w:r>
      <w:r w:rsidR="7C2F6B61" w:rsidRPr="00773EEA">
        <w:t xml:space="preserve"> Telegram</w:t>
      </w:r>
      <w:r w:rsidR="006A03AD" w:rsidRPr="00773EEA">
        <w:t>)</w:t>
      </w:r>
      <w:r w:rsidR="7C2F6B61" w:rsidRPr="00773EEA">
        <w:t xml:space="preserve"> as</w:t>
      </w:r>
      <w:r w:rsidR="7C2F6B61" w:rsidRPr="00773EEA">
        <w:rPr>
          <w:lang w:val="en-US"/>
        </w:rPr>
        <w:t xml:space="preserve"> per the preference of a particular city, </w:t>
      </w:r>
      <w:r w:rsidR="7C2F6B61" w:rsidRPr="00773EEA">
        <w:t xml:space="preserve">to replicate this. </w:t>
      </w:r>
      <w:r w:rsidR="006A03AD" w:rsidRPr="00773EEA">
        <w:t>KIIs</w:t>
      </w:r>
      <w:r w:rsidR="7C2F6B61" w:rsidRPr="00773EEA">
        <w:t xml:space="preserve"> have indicated that these are working with varying degrees of success. </w:t>
      </w:r>
    </w:p>
    <w:p w14:paraId="07B6398D" w14:textId="5EA4A101" w:rsidR="003B12AC" w:rsidRPr="00773EEA" w:rsidRDefault="7C2F6B61" w:rsidP="00B7602B">
      <w:pPr>
        <w:ind w:left="170"/>
        <w:jc w:val="both"/>
        <w:rPr>
          <w:lang w:val="en-US"/>
        </w:rPr>
      </w:pPr>
      <w:r w:rsidRPr="00773EEA">
        <w:t xml:space="preserve">For the city twinning, the Makassar city delegation is visiting Gold Coast in July 2022, which is widely seen as a welcome return to normal engagement. There was some hope among city government stakeholders that future AASCTF events such as Smart Cities Networking Days could be a physical </w:t>
      </w:r>
      <w:r w:rsidR="006A03AD" w:rsidRPr="00773EEA">
        <w:t xml:space="preserve">event </w:t>
      </w:r>
      <w:r w:rsidRPr="00773EEA">
        <w:t xml:space="preserve">in the future. However, this must be balanced against the large carbon footprint and project costs associated with gathering large groups together from different cities </w:t>
      </w:r>
      <w:r w:rsidR="006A03AD" w:rsidRPr="00773EEA">
        <w:t xml:space="preserve">and </w:t>
      </w:r>
      <w:r w:rsidRPr="00773EEA">
        <w:t xml:space="preserve">countries. </w:t>
      </w:r>
    </w:p>
    <w:p w14:paraId="53EAFBEE" w14:textId="1B6A59C6" w:rsidR="001F58B1" w:rsidRPr="00773EEA" w:rsidRDefault="00135EE9" w:rsidP="00B7602B">
      <w:pPr>
        <w:ind w:left="170"/>
        <w:jc w:val="both"/>
        <w:rPr>
          <w:b/>
          <w:bCs/>
          <w:sz w:val="24"/>
          <w:szCs w:val="24"/>
        </w:rPr>
      </w:pPr>
      <w:r w:rsidRPr="00773EEA">
        <w:rPr>
          <w:b/>
          <w:bCs/>
          <w:sz w:val="24"/>
          <w:szCs w:val="24"/>
        </w:rPr>
        <w:t xml:space="preserve">3.5.3. </w:t>
      </w:r>
      <w:r w:rsidR="001F58B1" w:rsidRPr="00773EEA">
        <w:rPr>
          <w:b/>
          <w:bCs/>
          <w:sz w:val="24"/>
          <w:szCs w:val="24"/>
        </w:rPr>
        <w:t>Noting the impacts of COVID 19 on implementation, should AASCTF be extended beyond 2024?</w:t>
      </w:r>
    </w:p>
    <w:p w14:paraId="15478D81" w14:textId="77777777" w:rsidR="00D06C2A" w:rsidRPr="00773EEA" w:rsidRDefault="00D573D5" w:rsidP="00B7602B">
      <w:pPr>
        <w:ind w:left="170"/>
        <w:jc w:val="both"/>
      </w:pPr>
      <w:r w:rsidRPr="00773EEA">
        <w:t>It is t</w:t>
      </w:r>
      <w:r w:rsidR="00135EE9" w:rsidRPr="00773EEA">
        <w:t xml:space="preserve">oo early in the program to really advise DFAT on a potential extension beyond 2024. </w:t>
      </w:r>
      <w:r w:rsidRPr="00773EEA">
        <w:t xml:space="preserve">Two years remain for the current phase and </w:t>
      </w:r>
      <w:r w:rsidR="00505DB0" w:rsidRPr="00773EEA">
        <w:t>the program still has much to achieve in terms of the DMF indicators</w:t>
      </w:r>
      <w:r w:rsidRPr="00773EEA">
        <w:t xml:space="preserve">. </w:t>
      </w:r>
      <w:r w:rsidR="006D39E0" w:rsidRPr="00773EEA">
        <w:t>Furthermore, t</w:t>
      </w:r>
      <w:r w:rsidR="001F58B1" w:rsidRPr="00773EEA">
        <w:t xml:space="preserve">he Covid-29 situation remains dynamic and the emergence of a new variant with more resistance to vaccines could restart the recent impacts such as reduced travel capabilities. </w:t>
      </w:r>
    </w:p>
    <w:p w14:paraId="7AEA4B72" w14:textId="4B685FC7" w:rsidR="006D39E0" w:rsidRPr="00773EEA" w:rsidRDefault="00C211CE" w:rsidP="00B7602B">
      <w:pPr>
        <w:ind w:left="170"/>
        <w:jc w:val="both"/>
      </w:pPr>
      <w:r w:rsidRPr="00773EEA">
        <w:t>However, a</w:t>
      </w:r>
      <w:r w:rsidR="001F58B1" w:rsidRPr="00773EEA">
        <w:t>s the sections above have shown, a great deal can be done remotely</w:t>
      </w:r>
      <w:r w:rsidRPr="00773EEA">
        <w:t xml:space="preserve">, with support of reliable team members on the ground in </w:t>
      </w:r>
      <w:r w:rsidR="006D39E0" w:rsidRPr="00773EEA">
        <w:t xml:space="preserve">intervention cities. </w:t>
      </w:r>
      <w:r w:rsidR="00505DB0" w:rsidRPr="00773EEA">
        <w:t>The p</w:t>
      </w:r>
      <w:r w:rsidR="006D39E0" w:rsidRPr="00773EEA">
        <w:t xml:space="preserve">rogram objectives remain </w:t>
      </w:r>
      <w:r w:rsidR="00AB31A0" w:rsidRPr="00773EEA">
        <w:t>relevant,</w:t>
      </w:r>
      <w:r w:rsidR="00505DB0" w:rsidRPr="00773EEA">
        <w:t xml:space="preserve"> and the program is creating valuable and demand-led pilots for smart city interventions, helping to contribute towards sustainable urban development. There are therefore no reasons at this stage for the program not to be continued. However, it is recommended that DFAT assess the situation closer to the end of the program, </w:t>
      </w:r>
      <w:proofErr w:type="gramStart"/>
      <w:r w:rsidR="00505DB0" w:rsidRPr="00773EEA">
        <w:t>in light of</w:t>
      </w:r>
      <w:proofErr w:type="gramEnd"/>
      <w:r w:rsidR="00505DB0" w:rsidRPr="00773EEA">
        <w:t xml:space="preserve"> the updated program achievements and other factors such as Covid-19. </w:t>
      </w:r>
    </w:p>
    <w:p w14:paraId="1173936C" w14:textId="10B60710" w:rsidR="002B47AA" w:rsidRPr="00773EEA" w:rsidRDefault="00EA36ED" w:rsidP="00177735">
      <w:pPr>
        <w:pStyle w:val="Heading1"/>
        <w:numPr>
          <w:ilvl w:val="0"/>
          <w:numId w:val="7"/>
        </w:numPr>
        <w:rPr>
          <w:color w:val="auto"/>
        </w:rPr>
      </w:pPr>
      <w:bookmarkStart w:id="60" w:name="_Toc123633723"/>
      <w:r w:rsidRPr="00773EEA">
        <w:rPr>
          <w:color w:val="auto"/>
        </w:rPr>
        <w:lastRenderedPageBreak/>
        <w:t>Conclusions and Recommendations</w:t>
      </w:r>
      <w:bookmarkEnd w:id="60"/>
    </w:p>
    <w:p w14:paraId="7FE70050" w14:textId="3F2E3DF5" w:rsidR="00E86400" w:rsidRPr="00773EEA" w:rsidRDefault="00E86400" w:rsidP="00B7602B">
      <w:pPr>
        <w:spacing w:before="360"/>
        <w:jc w:val="both"/>
      </w:pPr>
      <w:r w:rsidRPr="00773EEA">
        <w:t xml:space="preserve">Following the analysis of findings, the MTR </w:t>
      </w:r>
      <w:r w:rsidR="00832C2C" w:rsidRPr="00773EEA">
        <w:t xml:space="preserve">makes the following </w:t>
      </w:r>
      <w:r w:rsidRPr="00773EEA">
        <w:t xml:space="preserve">conclusions and </w:t>
      </w:r>
      <w:r w:rsidR="00832C2C" w:rsidRPr="00773EEA">
        <w:t xml:space="preserve">resultant </w:t>
      </w:r>
      <w:r w:rsidRPr="00773EEA">
        <w:t>recommendations.</w:t>
      </w:r>
    </w:p>
    <w:p w14:paraId="5C03F15A" w14:textId="7F25CF21" w:rsidR="00E86400" w:rsidRPr="00773EEA" w:rsidRDefault="00E86400" w:rsidP="00177735">
      <w:pPr>
        <w:pStyle w:val="Heading2"/>
        <w:numPr>
          <w:ilvl w:val="1"/>
          <w:numId w:val="7"/>
        </w:numPr>
      </w:pPr>
      <w:bookmarkStart w:id="61" w:name="_Toc109678918"/>
      <w:r w:rsidRPr="00773EEA">
        <w:t xml:space="preserve"> </w:t>
      </w:r>
      <w:bookmarkStart w:id="62" w:name="_Toc123633724"/>
      <w:r w:rsidRPr="00773EEA">
        <w:t>Conclusions</w:t>
      </w:r>
      <w:bookmarkEnd w:id="61"/>
      <w:bookmarkEnd w:id="62"/>
      <w:r w:rsidRPr="00773EEA">
        <w:t xml:space="preserve"> </w:t>
      </w:r>
    </w:p>
    <w:p w14:paraId="663953EF" w14:textId="7E36B1D3" w:rsidR="00AE6AE0" w:rsidRPr="00773EEA" w:rsidRDefault="001B2523" w:rsidP="006E405C">
      <w:pPr>
        <w:spacing w:before="60"/>
        <w:jc w:val="both"/>
      </w:pPr>
      <w:r w:rsidRPr="00773EEA">
        <w:t xml:space="preserve">Overall, </w:t>
      </w:r>
      <w:r w:rsidR="00117EFE" w:rsidRPr="00773EEA">
        <w:t>the A</w:t>
      </w:r>
      <w:r w:rsidR="00DC210C" w:rsidRPr="00773EEA">
        <w:t>A</w:t>
      </w:r>
      <w:r w:rsidR="00117EFE" w:rsidRPr="00773EEA">
        <w:t xml:space="preserve">SCTF </w:t>
      </w:r>
      <w:r w:rsidR="00E94232" w:rsidRPr="00773EEA">
        <w:t xml:space="preserve">is implementing innovative smart city solutions that meet the need of governments in the selected ASEAN cities. Program objectives related to city planning and service delivery are likely to be met, but the financial management pillar is unlikely to meet its program objectives, in part due to the demand led nature of TO design. </w:t>
      </w:r>
      <w:r w:rsidR="00AE6AE0" w:rsidRPr="00773EEA">
        <w:t xml:space="preserve">Sustainability of the interventions is generally likely to be enhanced with targeted capacity building activities, although </w:t>
      </w:r>
      <w:proofErr w:type="gramStart"/>
      <w:r w:rsidR="00AE6AE0" w:rsidRPr="00773EEA">
        <w:t>a number of</w:t>
      </w:r>
      <w:proofErr w:type="gramEnd"/>
      <w:r w:rsidR="00AE6AE0" w:rsidRPr="00773EEA">
        <w:t xml:space="preserve"> risks remain such as tools and systems being integrated effectively into institutional processes in a city. While influencing activities and </w:t>
      </w:r>
      <w:r w:rsidR="003E4034" w:rsidRPr="00773EEA">
        <w:t>Silver</w:t>
      </w:r>
      <w:r w:rsidR="00AE6AE0" w:rsidRPr="00773EEA">
        <w:t xml:space="preserve"> city TOs are progressing well, there is a lack of clarity on the progression to </w:t>
      </w:r>
      <w:proofErr w:type="gramStart"/>
      <w:r w:rsidR="00D92B24" w:rsidRPr="00773EEA">
        <w:t>Gold</w:t>
      </w:r>
      <w:proofErr w:type="gramEnd"/>
      <w:r w:rsidR="00AE6AE0" w:rsidRPr="00773EEA">
        <w:t xml:space="preserve"> level investments and limited time to implement this in practice. </w:t>
      </w:r>
    </w:p>
    <w:p w14:paraId="3ABA7181" w14:textId="34C6B013" w:rsidR="00AE6AE0" w:rsidRPr="00773EEA" w:rsidRDefault="00EA157E" w:rsidP="00011656">
      <w:pPr>
        <w:spacing w:before="60"/>
        <w:jc w:val="both"/>
      </w:pPr>
      <w:r w:rsidRPr="00773EEA">
        <w:t>T</w:t>
      </w:r>
      <w:r w:rsidR="001B2523" w:rsidRPr="00773EEA">
        <w:t xml:space="preserve">he modality of outsourcing AASCTF to ADB is working well and Ramboll have provided comprehensive program management capabilities. The program is making appropriate use of Australia’s time and resources to achieve the outputs. This is supported by strong program </w:t>
      </w:r>
      <w:r w:rsidR="00117EFE" w:rsidRPr="00773EEA">
        <w:t xml:space="preserve">and risk </w:t>
      </w:r>
      <w:r w:rsidR="001B2523" w:rsidRPr="00773EEA">
        <w:t>management processes</w:t>
      </w:r>
      <w:r w:rsidR="00117EFE" w:rsidRPr="00773EEA">
        <w:t>, flexibility and responsiveness to city government needs, strong internal learning processes</w:t>
      </w:r>
      <w:r w:rsidR="001534DA" w:rsidRPr="00773EEA">
        <w:t xml:space="preserve">. Covid-19 has been double edged sword in terms of delaying some activities and reducing in-person meetings and stakeholder engagement, but also accelerating the adoption of digital solutions by city governments and stakeholders, which </w:t>
      </w:r>
      <w:r w:rsidR="00AB31A0" w:rsidRPr="00773EEA">
        <w:t>has</w:t>
      </w:r>
      <w:r w:rsidR="001534DA" w:rsidRPr="00773EEA">
        <w:t xml:space="preserve"> enabled greater participation in remote activities such as TO-09 Inclusive Cities Dialogues. </w:t>
      </w:r>
      <w:r w:rsidRPr="00773EEA">
        <w:t>The TO budgets</w:t>
      </w:r>
      <w:r w:rsidR="001B2523" w:rsidRPr="00773EEA">
        <w:t xml:space="preserve"> </w:t>
      </w:r>
      <w:r w:rsidR="00A54280" w:rsidRPr="00773EEA">
        <w:t xml:space="preserve">(See </w:t>
      </w:r>
      <w:r w:rsidR="00A54280" w:rsidRPr="00773EEA">
        <w:rPr>
          <w:b/>
          <w:bCs/>
        </w:rPr>
        <w:t>Table A4.1</w:t>
      </w:r>
      <w:r w:rsidR="00A54280" w:rsidRPr="00773EEA">
        <w:t xml:space="preserve"> in Annex 4) </w:t>
      </w:r>
      <w:r w:rsidRPr="00773EEA">
        <w:t>are also</w:t>
      </w:r>
      <w:r w:rsidR="00117EFE" w:rsidRPr="00773EEA">
        <w:t xml:space="preserve"> generally commensurate with</w:t>
      </w:r>
      <w:r w:rsidR="001B2523" w:rsidRPr="00773EEA">
        <w:t xml:space="preserve"> </w:t>
      </w:r>
      <w:r w:rsidR="00E0205F" w:rsidRPr="00773EEA">
        <w:t xml:space="preserve">the scope and </w:t>
      </w:r>
      <w:r w:rsidR="00A54280" w:rsidRPr="00773EEA">
        <w:t xml:space="preserve">aims </w:t>
      </w:r>
      <w:r w:rsidR="00E0205F" w:rsidRPr="00773EEA">
        <w:t>of the TOs</w:t>
      </w:r>
      <w:r w:rsidR="001B2523" w:rsidRPr="00773EEA">
        <w:t xml:space="preserve">. </w:t>
      </w:r>
    </w:p>
    <w:p w14:paraId="60FCA3B4" w14:textId="245957A9" w:rsidR="006E405C" w:rsidRPr="00773EEA" w:rsidRDefault="00011656">
      <w:pPr>
        <w:spacing w:before="60"/>
        <w:jc w:val="both"/>
      </w:pPr>
      <w:r w:rsidRPr="00773EEA">
        <w:t>Th</w:t>
      </w:r>
      <w:r w:rsidR="00117EFE" w:rsidRPr="00773EEA">
        <w:t xml:space="preserve">e intention </w:t>
      </w:r>
      <w:r w:rsidR="00E0205F" w:rsidRPr="00773EEA">
        <w:t xml:space="preserve">to address GESI challenges </w:t>
      </w:r>
      <w:r w:rsidR="00117EFE" w:rsidRPr="00773EEA">
        <w:t xml:space="preserve">is </w:t>
      </w:r>
      <w:r w:rsidRPr="00773EEA">
        <w:t xml:space="preserve">built into program design, supported by a GESI Strategy and M&amp;E system. The MTR found three good examples demonstrating potential for progress to outcomes, within the sampled TOs, but in other cases there appear to be gaps in understanding and ability to conceptualise GESI intermediate outcomes and pathways for that to occur. Greater interaction with implementation teams appears to have a positive influence on </w:t>
      </w:r>
      <w:r w:rsidR="00EA157E" w:rsidRPr="00773EEA">
        <w:t>city government and other stakeholders</w:t>
      </w:r>
      <w:r w:rsidR="00EA157E" w:rsidRPr="00773EEA" w:rsidDel="00EA157E">
        <w:t xml:space="preserve"> </w:t>
      </w:r>
      <w:r w:rsidRPr="00773EEA">
        <w:t xml:space="preserve">in </w:t>
      </w:r>
      <w:proofErr w:type="gramStart"/>
      <w:r w:rsidR="00D92B24" w:rsidRPr="00773EEA">
        <w:t>Bronze</w:t>
      </w:r>
      <w:proofErr w:type="gramEnd"/>
      <w:r w:rsidRPr="00773EEA">
        <w:t xml:space="preserve"> knowledge/awareness activities. There were some tangible examples of changes made by </w:t>
      </w:r>
      <w:r w:rsidR="00EA157E" w:rsidRPr="00773EEA">
        <w:t>city governments</w:t>
      </w:r>
      <w:r w:rsidRPr="00773EEA">
        <w:t>, notably as a result of GESI-targeted interventions.</w:t>
      </w:r>
    </w:p>
    <w:p w14:paraId="12B518B0" w14:textId="27FC2B7F" w:rsidR="00287369" w:rsidRPr="00773EEA" w:rsidRDefault="7C8EDEC0" w:rsidP="00177735">
      <w:pPr>
        <w:pStyle w:val="Heading2"/>
        <w:numPr>
          <w:ilvl w:val="1"/>
          <w:numId w:val="7"/>
        </w:numPr>
        <w:jc w:val="both"/>
      </w:pPr>
      <w:bookmarkStart w:id="63" w:name="_Toc110683310"/>
      <w:bookmarkStart w:id="64" w:name="_Toc110692370"/>
      <w:bookmarkStart w:id="65" w:name="_Toc110683311"/>
      <w:bookmarkStart w:id="66" w:name="_Toc110692371"/>
      <w:bookmarkStart w:id="67" w:name="_Toc110683312"/>
      <w:bookmarkStart w:id="68" w:name="_Toc110692372"/>
      <w:bookmarkStart w:id="69" w:name="_Toc110683313"/>
      <w:bookmarkStart w:id="70" w:name="_Toc110692373"/>
      <w:bookmarkStart w:id="71" w:name="_Toc110683314"/>
      <w:bookmarkStart w:id="72" w:name="_Toc110692374"/>
      <w:bookmarkStart w:id="73" w:name="_Toc110683315"/>
      <w:bookmarkStart w:id="74" w:name="_Toc110692375"/>
      <w:bookmarkStart w:id="75" w:name="_Toc110683316"/>
      <w:bookmarkStart w:id="76" w:name="_Toc110692376"/>
      <w:bookmarkStart w:id="77" w:name="_Toc110683317"/>
      <w:bookmarkStart w:id="78" w:name="_Toc110692377"/>
      <w:bookmarkStart w:id="79" w:name="_Toc110683318"/>
      <w:bookmarkStart w:id="80" w:name="_Toc110692378"/>
      <w:bookmarkStart w:id="81" w:name="_Toc12363372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73EEA">
        <w:t>Recommendations</w:t>
      </w:r>
      <w:bookmarkEnd w:id="81"/>
      <w:r w:rsidRPr="00773EEA">
        <w:t xml:space="preserve"> </w:t>
      </w:r>
    </w:p>
    <w:p w14:paraId="32607FB0" w14:textId="1284C05F" w:rsidR="00A101BC" w:rsidRPr="00773EEA" w:rsidRDefault="00A101BC" w:rsidP="00011656">
      <w:pPr>
        <w:spacing w:before="60"/>
        <w:jc w:val="both"/>
      </w:pPr>
      <w:r w:rsidRPr="00773EEA">
        <w:rPr>
          <w:bCs/>
        </w:rPr>
        <w:t xml:space="preserve">Based on the above findings, as well as key learnings and areas for improvement identified by interviewees, this review suggests the following recommendations </w:t>
      </w:r>
      <w:r w:rsidRPr="00773EEA">
        <w:t>for the current program</w:t>
      </w:r>
      <w:r w:rsidR="00817B02" w:rsidRPr="00773EEA">
        <w:t>, structured by Effectiveness, Efficiency and GESI</w:t>
      </w:r>
      <w:r w:rsidR="00363116" w:rsidRPr="00773EEA">
        <w:t>. The recommendations are ordered by priority</w:t>
      </w:r>
      <w:r w:rsidR="00F217AF" w:rsidRPr="00773EEA">
        <w:t>, with more strategic recommendations at the top of each sub-section</w:t>
      </w:r>
      <w:r w:rsidR="00363116" w:rsidRPr="00773EEA">
        <w:t>.</w:t>
      </w:r>
    </w:p>
    <w:p w14:paraId="5A7A2170" w14:textId="4AF2F797" w:rsidR="00464F17" w:rsidRPr="00773EEA" w:rsidRDefault="00817B02" w:rsidP="00B7602B">
      <w:pPr>
        <w:jc w:val="both"/>
        <w:rPr>
          <w:rStyle w:val="BookTitle"/>
          <w:color w:val="auto"/>
        </w:rPr>
      </w:pPr>
      <w:r w:rsidRPr="00773EEA">
        <w:rPr>
          <w:rStyle w:val="BookTitle"/>
          <w:color w:val="auto"/>
        </w:rPr>
        <w:t>Recommendations to improve Effectiveness</w:t>
      </w:r>
    </w:p>
    <w:p w14:paraId="1B75828A" w14:textId="09D4A50D" w:rsidR="000A19EC" w:rsidRPr="00773EEA" w:rsidRDefault="000A19EC" w:rsidP="00177735">
      <w:pPr>
        <w:pStyle w:val="ListParagraph"/>
        <w:numPr>
          <w:ilvl w:val="0"/>
          <w:numId w:val="8"/>
        </w:numPr>
        <w:spacing w:line="276" w:lineRule="auto"/>
        <w:ind w:left="709" w:hanging="357"/>
        <w:contextualSpacing w:val="0"/>
        <w:jc w:val="both"/>
      </w:pPr>
      <w:r w:rsidRPr="00773EEA">
        <w:t>Bearing in mind that this is part of the original DMF targets, review program strategy and results framework relating to delivery of integrated financial management information systems, either putting in place measures to increase the program focus on financial management in order to meet the DMF targets, or a re-framing of the DMF targets in collaboration with DFAT to reflect a greater focus on the first two pillars</w:t>
      </w:r>
    </w:p>
    <w:p w14:paraId="759ACFE6" w14:textId="79917A86"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ADB and Ramboll should clarify the linkages and ‘graduation process’ from </w:t>
      </w:r>
      <w:r w:rsidR="00D92B24" w:rsidRPr="00773EEA">
        <w:t>Bronze</w:t>
      </w:r>
      <w:r w:rsidRPr="00773EEA">
        <w:t xml:space="preserve"> to </w:t>
      </w:r>
      <w:r w:rsidR="003E4034" w:rsidRPr="00773EEA">
        <w:t>Silver</w:t>
      </w:r>
      <w:r w:rsidRPr="00773EEA">
        <w:t xml:space="preserve"> to </w:t>
      </w:r>
      <w:r w:rsidR="00D92B24" w:rsidRPr="00773EEA">
        <w:t>Gold</w:t>
      </w:r>
      <w:r w:rsidRPr="00773EEA">
        <w:t xml:space="preserve"> tiers in the program and communicate this to city government counterparts. </w:t>
      </w:r>
    </w:p>
    <w:p w14:paraId="313D1F6A" w14:textId="50C701CE"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ADB should clarify the possible options and time frames for </w:t>
      </w:r>
      <w:proofErr w:type="gramStart"/>
      <w:r w:rsidR="00D92B24" w:rsidRPr="00773EEA">
        <w:t>Gold</w:t>
      </w:r>
      <w:proofErr w:type="gramEnd"/>
      <w:r w:rsidRPr="00773EEA">
        <w:t xml:space="preserve"> level investments of the AASCTF with DFAT. A framework for planning and assessing the alignment with program objectives and the impact of </w:t>
      </w:r>
      <w:proofErr w:type="gramStart"/>
      <w:r w:rsidR="00D92B24" w:rsidRPr="00773EEA">
        <w:t>Gold</w:t>
      </w:r>
      <w:proofErr w:type="gramEnd"/>
      <w:r w:rsidRPr="00773EEA">
        <w:t xml:space="preserve"> investments should also be developed. This is an important program component and there is limited time </w:t>
      </w:r>
      <w:r w:rsidR="00465AB0" w:rsidRPr="00773EEA">
        <w:t xml:space="preserve">remaining </w:t>
      </w:r>
      <w:r w:rsidRPr="00773EEA">
        <w:t xml:space="preserve">in the current </w:t>
      </w:r>
      <w:r w:rsidR="00157AAF" w:rsidRPr="00773EEA">
        <w:t>program</w:t>
      </w:r>
      <w:r w:rsidRPr="00773EEA">
        <w:t xml:space="preserve"> to finance and implement tangible assets that can result from </w:t>
      </w:r>
      <w:r w:rsidR="00D92B24" w:rsidRPr="00773EEA">
        <w:t>Gold</w:t>
      </w:r>
      <w:r w:rsidRPr="00773EEA">
        <w:t xml:space="preserve">-level investments. </w:t>
      </w:r>
    </w:p>
    <w:p w14:paraId="1CF67AF4" w14:textId="274D072F" w:rsidR="00482895" w:rsidRPr="00773EEA" w:rsidRDefault="00482895" w:rsidP="00177735">
      <w:pPr>
        <w:pStyle w:val="ListParagraph"/>
        <w:numPr>
          <w:ilvl w:val="0"/>
          <w:numId w:val="8"/>
        </w:numPr>
        <w:spacing w:line="276" w:lineRule="auto"/>
        <w:ind w:left="709" w:hanging="357"/>
        <w:contextualSpacing w:val="0"/>
        <w:jc w:val="both"/>
      </w:pPr>
      <w:r w:rsidRPr="00773EEA">
        <w:t>Ramboll TO teams should increase focus on capacity development to reduce knowledge gaps between Ramboll experts and city government staff during the process of working together, enabling government staff to provide more effective steering and feedback</w:t>
      </w:r>
      <w:r w:rsidR="006A0C53" w:rsidRPr="00773EEA">
        <w:t>, as well as to maximise chances of success as tools and services developed by TOs are handed over to city governments</w:t>
      </w:r>
      <w:r w:rsidRPr="00773EEA">
        <w:t xml:space="preserve">. </w:t>
      </w:r>
    </w:p>
    <w:p w14:paraId="719D1889" w14:textId="7E2F442F" w:rsidR="005F0676" w:rsidRPr="00773EEA" w:rsidRDefault="005F0676" w:rsidP="00177735">
      <w:pPr>
        <w:pStyle w:val="ListParagraph"/>
        <w:numPr>
          <w:ilvl w:val="0"/>
          <w:numId w:val="8"/>
        </w:numPr>
        <w:spacing w:line="276" w:lineRule="auto"/>
        <w:ind w:left="709" w:hanging="357"/>
        <w:contextualSpacing w:val="0"/>
        <w:jc w:val="both"/>
      </w:pPr>
      <w:r w:rsidRPr="00773EEA">
        <w:t xml:space="preserve">Further extend the reach and resonance of influencing activities, such that networks of participants and access to learning material </w:t>
      </w:r>
      <w:r w:rsidR="000450BB" w:rsidRPr="00773EEA">
        <w:t>will</w:t>
      </w:r>
      <w:r w:rsidRPr="00773EEA">
        <w:t xml:space="preserve"> be available beyond the end of AASCTF, building on ongoing efforts such as the development of materials to be hosted on </w:t>
      </w:r>
      <w:proofErr w:type="spellStart"/>
      <w:r w:rsidRPr="00773EEA">
        <w:t>eLEARN</w:t>
      </w:r>
      <w:proofErr w:type="spellEnd"/>
      <w:r w:rsidRPr="00773EEA">
        <w:t xml:space="preserve"> and ADB’s </w:t>
      </w:r>
      <w:r w:rsidR="004006E8" w:rsidRPr="00773EEA">
        <w:t>initiative</w:t>
      </w:r>
      <w:r w:rsidRPr="00773EEA">
        <w:t xml:space="preserve"> under TO-08 to support existing smart city networks and key institutions at a national level in Indonesia. </w:t>
      </w:r>
    </w:p>
    <w:p w14:paraId="2129E559" w14:textId="7657B8AE" w:rsidR="00482895" w:rsidRPr="00773EEA" w:rsidRDefault="00482895" w:rsidP="00177735">
      <w:pPr>
        <w:pStyle w:val="ListParagraph"/>
        <w:numPr>
          <w:ilvl w:val="0"/>
          <w:numId w:val="8"/>
        </w:numPr>
        <w:spacing w:line="276" w:lineRule="auto"/>
        <w:ind w:left="709" w:hanging="357"/>
        <w:contextualSpacing w:val="0"/>
        <w:jc w:val="both"/>
      </w:pPr>
      <w:r w:rsidRPr="00773EEA">
        <w:lastRenderedPageBreak/>
        <w:t xml:space="preserve">DFAT, ADB and Ramboll could improve the visibility of </w:t>
      </w:r>
      <w:proofErr w:type="gramStart"/>
      <w:r w:rsidR="00D92B24" w:rsidRPr="00773EEA">
        <w:t>Bronze</w:t>
      </w:r>
      <w:r w:rsidRPr="00773EEA">
        <w:t xml:space="preserve"> and </w:t>
      </w:r>
      <w:r w:rsidR="003E4034" w:rsidRPr="00773EEA">
        <w:t>Silver</w:t>
      </w:r>
      <w:proofErr w:type="gramEnd"/>
      <w:r w:rsidRPr="00773EEA">
        <w:t xml:space="preserve"> level activities to a wider audience. One suggestion is to make greater use of DFAT social media for example, on the Australian Ambassador’s Twitter feed in the program countries, which has an influential following, connecting with different Ambassadors and Ministers.  </w:t>
      </w:r>
    </w:p>
    <w:p w14:paraId="5F6383A6" w14:textId="4FB542AD"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DFAT and the </w:t>
      </w:r>
      <w:r w:rsidR="00157AAF" w:rsidRPr="00773EEA">
        <w:t>program</w:t>
      </w:r>
      <w:r w:rsidRPr="00773EEA">
        <w:t xml:space="preserve"> implementation partners should consider how to increase engagement and synergies with ASEAN institutions such as the Connectivity Division in the Secretariat and the ASEAN Smart Cities Network. Synergies could cover regional knowledge sharing. </w:t>
      </w:r>
    </w:p>
    <w:p w14:paraId="4A89F199" w14:textId="400EF420" w:rsidR="00F20E44" w:rsidRPr="00773EEA" w:rsidRDefault="00F20E44" w:rsidP="00177735">
      <w:pPr>
        <w:pStyle w:val="ListParagraph"/>
        <w:numPr>
          <w:ilvl w:val="0"/>
          <w:numId w:val="8"/>
        </w:numPr>
        <w:spacing w:line="276" w:lineRule="auto"/>
        <w:ind w:left="709" w:hanging="357"/>
        <w:contextualSpacing w:val="0"/>
        <w:jc w:val="both"/>
      </w:pPr>
      <w:r w:rsidRPr="00773EEA">
        <w:t xml:space="preserve">DFAT </w:t>
      </w:r>
      <w:r w:rsidR="003A6895" w:rsidRPr="00773EEA">
        <w:t xml:space="preserve">should </w:t>
      </w:r>
      <w:r w:rsidRPr="00773EEA">
        <w:t xml:space="preserve">explore opportunities for greater synergies </w:t>
      </w:r>
      <w:r w:rsidR="003A6895" w:rsidRPr="00773EEA">
        <w:t xml:space="preserve">and amplification opportunities </w:t>
      </w:r>
      <w:r w:rsidRPr="00773EEA">
        <w:t xml:space="preserve">between AASCTF and other </w:t>
      </w:r>
      <w:r w:rsidR="003A6895" w:rsidRPr="00773EEA">
        <w:t xml:space="preserve">significant </w:t>
      </w:r>
      <w:r w:rsidRPr="00773EEA">
        <w:t xml:space="preserve">DFAT </w:t>
      </w:r>
      <w:r w:rsidR="003A6895" w:rsidRPr="00773EEA">
        <w:t xml:space="preserve">investments </w:t>
      </w:r>
      <w:r w:rsidRPr="00773EEA">
        <w:t>focus</w:t>
      </w:r>
      <w:r w:rsidR="003A6895" w:rsidRPr="00773EEA">
        <w:t>ed</w:t>
      </w:r>
      <w:r w:rsidRPr="00773EEA">
        <w:t xml:space="preserve"> on sustainable cities and infrastructure in ASEAN, such as Partnerships for Infrastructure (P4I). This is particularly relevant for </w:t>
      </w:r>
      <w:proofErr w:type="gramStart"/>
      <w:r w:rsidR="00D92B24" w:rsidRPr="00773EEA">
        <w:t>Gold</w:t>
      </w:r>
      <w:proofErr w:type="gramEnd"/>
      <w:r w:rsidRPr="00773EEA">
        <w:t xml:space="preserve"> level investments, as P4I is focused on enabling greater infrastructure financing</w:t>
      </w:r>
      <w:r w:rsidR="003A6895" w:rsidRPr="00773EEA">
        <w:t xml:space="preserve">, transport, </w:t>
      </w:r>
      <w:r w:rsidR="00465AB0" w:rsidRPr="00773EEA">
        <w:t xml:space="preserve">and </w:t>
      </w:r>
      <w:r w:rsidR="003A6895" w:rsidRPr="00773EEA">
        <w:t xml:space="preserve">energy, </w:t>
      </w:r>
      <w:r w:rsidR="00465AB0" w:rsidRPr="00773EEA">
        <w:t xml:space="preserve">and spans a range of AASCTF-relevant crosscutting themes, including </w:t>
      </w:r>
      <w:r w:rsidR="003A6895" w:rsidRPr="00773EEA">
        <w:t>disaster reduction</w:t>
      </w:r>
      <w:r w:rsidR="00465AB0" w:rsidRPr="00773EEA">
        <w:t>/</w:t>
      </w:r>
      <w:r w:rsidR="003A6895" w:rsidRPr="00773EEA">
        <w:t xml:space="preserve">climate resilience, </w:t>
      </w:r>
      <w:r w:rsidR="00465AB0" w:rsidRPr="00773EEA">
        <w:t>and</w:t>
      </w:r>
      <w:r w:rsidR="003A6895" w:rsidRPr="00773EEA">
        <w:t xml:space="preserve"> GESI, </w:t>
      </w:r>
      <w:r w:rsidR="00465AB0" w:rsidRPr="00773EEA">
        <w:t>with</w:t>
      </w:r>
      <w:r w:rsidR="003A6895" w:rsidRPr="00773EEA">
        <w:t xml:space="preserve"> a particular emphasis on indigenous participation.</w:t>
      </w:r>
      <w:r w:rsidRPr="00773EEA">
        <w:t xml:space="preserve"> </w:t>
      </w:r>
    </w:p>
    <w:p w14:paraId="0F885470" w14:textId="56D2DC87" w:rsidR="00233BCF" w:rsidRPr="00773EEA" w:rsidRDefault="00233BCF" w:rsidP="00B7602B">
      <w:pPr>
        <w:spacing w:before="180"/>
        <w:jc w:val="both"/>
        <w:rPr>
          <w:rStyle w:val="BookTitle"/>
          <w:color w:val="auto"/>
        </w:rPr>
      </w:pPr>
      <w:r w:rsidRPr="00773EEA">
        <w:rPr>
          <w:rStyle w:val="BookTitle"/>
          <w:color w:val="auto"/>
        </w:rPr>
        <w:t>Recommendations to improve Efficiency</w:t>
      </w:r>
    </w:p>
    <w:p w14:paraId="6D35DF31" w14:textId="6AA82435" w:rsidR="00090375" w:rsidRPr="00773EEA" w:rsidRDefault="00C9533B" w:rsidP="00177735">
      <w:pPr>
        <w:pStyle w:val="ListParagraph"/>
        <w:numPr>
          <w:ilvl w:val="0"/>
          <w:numId w:val="8"/>
        </w:numPr>
        <w:spacing w:line="276" w:lineRule="auto"/>
        <w:ind w:left="709" w:hanging="357"/>
        <w:contextualSpacing w:val="0"/>
        <w:jc w:val="both"/>
      </w:pPr>
      <w:r w:rsidRPr="00773EEA">
        <w:t xml:space="preserve">Ramboll should ensure that the rationale for reporting and M&amp;E processes are clearly understood and appreciated by all team members, including at the TO level. </w:t>
      </w:r>
      <w:r w:rsidR="00090375" w:rsidRPr="00773EEA">
        <w:t xml:space="preserve">In addition, M&amp;E processes could be improved to </w:t>
      </w:r>
      <w:r w:rsidR="00D443A7" w:rsidRPr="00773EEA">
        <w:t xml:space="preserve">more accurately assess the outcomes of AASCTF’s </w:t>
      </w:r>
      <w:r w:rsidR="005D0DC5" w:rsidRPr="00773EEA">
        <w:t>adaptive programming</w:t>
      </w:r>
      <w:r w:rsidR="00D443A7" w:rsidRPr="00773EEA">
        <w:t xml:space="preserve"> (</w:t>
      </w:r>
      <w:r w:rsidR="00090375" w:rsidRPr="00773EEA">
        <w:t>sandbox</w:t>
      </w:r>
      <w:r w:rsidR="00D443A7" w:rsidRPr="00773EEA">
        <w:t>)</w:t>
      </w:r>
      <w:r w:rsidR="00090375" w:rsidRPr="00773EEA">
        <w:t xml:space="preserve"> approach</w:t>
      </w:r>
      <w:r w:rsidR="00D443A7" w:rsidRPr="00773EEA">
        <w:t xml:space="preserve">. </w:t>
      </w:r>
      <w:r w:rsidR="00090375" w:rsidRPr="00773EEA">
        <w:t xml:space="preserve">The AASCTF should discuss possible ideas with </w:t>
      </w:r>
      <w:r w:rsidR="00D443A7" w:rsidRPr="00773EEA">
        <w:t>T</w:t>
      </w:r>
      <w:r w:rsidR="00090375" w:rsidRPr="00773EEA">
        <w:t>he Asia Foundation (TO-09 partner)</w:t>
      </w:r>
      <w:r w:rsidR="00D443A7" w:rsidRPr="00773EEA">
        <w:t>, who are experienced in MEL for adaptive programming,</w:t>
      </w:r>
      <w:r w:rsidR="00090375" w:rsidRPr="00773EEA">
        <w:t xml:space="preserve"> to develop innovative and practical </w:t>
      </w:r>
      <w:r w:rsidR="00D443A7" w:rsidRPr="00773EEA">
        <w:t>MEL processes</w:t>
      </w:r>
      <w:r w:rsidR="00090375" w:rsidRPr="00773EEA">
        <w:t xml:space="preserve">. </w:t>
      </w:r>
    </w:p>
    <w:p w14:paraId="5FF1B4B8" w14:textId="77777777" w:rsidR="00C9533B" w:rsidRPr="00773EEA" w:rsidRDefault="00C9533B" w:rsidP="00177735">
      <w:pPr>
        <w:pStyle w:val="ListParagraph"/>
        <w:numPr>
          <w:ilvl w:val="0"/>
          <w:numId w:val="8"/>
        </w:numPr>
        <w:spacing w:line="276" w:lineRule="auto"/>
        <w:ind w:left="709" w:hanging="357"/>
        <w:contextualSpacing w:val="0"/>
        <w:jc w:val="both"/>
      </w:pPr>
      <w:r w:rsidRPr="00773EEA">
        <w:t xml:space="preserve">ADB and Ramboll could consider implementing a more systematic internal learning database or knowledge hub for program learning points that can, for example, help team members navigate common challenges or access useful resources. This could also be expanded externally to a wide range of stakeholders who are involved across the components of the program. </w:t>
      </w:r>
    </w:p>
    <w:p w14:paraId="6854D6DF" w14:textId="1E54E3EC" w:rsidR="00374B3D" w:rsidRPr="00773EEA" w:rsidRDefault="00374B3D" w:rsidP="00177735">
      <w:pPr>
        <w:pStyle w:val="ListParagraph"/>
        <w:numPr>
          <w:ilvl w:val="0"/>
          <w:numId w:val="8"/>
        </w:numPr>
        <w:spacing w:line="276" w:lineRule="auto"/>
        <w:ind w:left="709" w:hanging="357"/>
        <w:contextualSpacing w:val="0"/>
        <w:jc w:val="both"/>
      </w:pPr>
      <w:r w:rsidRPr="00773EEA">
        <w:t xml:space="preserve">DFAT and the implementation partners should drive more proactive interaction with DFAT posts, particularly the ASEAN mission in Indonesia, where there is potential to tie in with related smart city work and learning from each other’s experience. Quarterly or 6-montly regional updates with ADB are recommended, to share progress updates and knowledge exchange. </w:t>
      </w:r>
    </w:p>
    <w:p w14:paraId="64BB3DAA" w14:textId="77777777"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DFAT should ask program implementing partners to ensure that DFAT branding is made clear to external audiences and stakeholders on all relevant communications and materials. </w:t>
      </w:r>
    </w:p>
    <w:p w14:paraId="7E4477CE" w14:textId="77777777" w:rsidR="00482895" w:rsidRPr="00773EEA" w:rsidRDefault="00482895" w:rsidP="00177735">
      <w:pPr>
        <w:pStyle w:val="ListParagraph"/>
        <w:numPr>
          <w:ilvl w:val="0"/>
          <w:numId w:val="8"/>
        </w:numPr>
        <w:spacing w:line="276" w:lineRule="auto"/>
        <w:ind w:left="709" w:hanging="357"/>
        <w:contextualSpacing w:val="0"/>
        <w:jc w:val="both"/>
      </w:pPr>
      <w:r w:rsidRPr="00773EEA">
        <w:t>Ramboll and ADB should carefully consider how best to interact with city staff to avoid over-burdening them, while maintaining close collaboration. This includes reducing the impact of a city specific and a regional TO coinciding in a particular city, such as in George Town and Baguio.</w:t>
      </w:r>
    </w:p>
    <w:p w14:paraId="7D925062" w14:textId="6E5B1F7B"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Ramboll should clarify the role of their Country </w:t>
      </w:r>
      <w:r w:rsidR="00AF0B64" w:rsidRPr="00773EEA">
        <w:t xml:space="preserve">Focal Points </w:t>
      </w:r>
      <w:r w:rsidRPr="00773EEA">
        <w:t xml:space="preserve">and maximise their visibility to stakeholders associated with </w:t>
      </w:r>
      <w:proofErr w:type="gramStart"/>
      <w:r w:rsidR="00D92B24" w:rsidRPr="00773EEA">
        <w:t>Bronze</w:t>
      </w:r>
      <w:r w:rsidRPr="00773EEA">
        <w:t xml:space="preserve"> and </w:t>
      </w:r>
      <w:r w:rsidR="003E4034" w:rsidRPr="00773EEA">
        <w:t>Silver</w:t>
      </w:r>
      <w:proofErr w:type="gramEnd"/>
      <w:r w:rsidRPr="00773EEA">
        <w:t xml:space="preserve"> level activities in each country. </w:t>
      </w:r>
    </w:p>
    <w:p w14:paraId="064BB44E" w14:textId="77777777" w:rsidR="00C9533B" w:rsidRPr="00773EEA" w:rsidRDefault="00C9533B" w:rsidP="00177735">
      <w:pPr>
        <w:pStyle w:val="ListParagraph"/>
        <w:numPr>
          <w:ilvl w:val="0"/>
          <w:numId w:val="8"/>
        </w:numPr>
        <w:spacing w:line="276" w:lineRule="auto"/>
        <w:ind w:left="709" w:hanging="357"/>
        <w:contextualSpacing w:val="0"/>
        <w:jc w:val="both"/>
      </w:pPr>
      <w:r w:rsidRPr="00773EEA">
        <w:t>The program implementation partners should ensure that communications are clear with city government and other relevant stakeholders, following any decisions to end or continue an intervention. Managing expectations and communication of program decisions is important to avoid disappointment among city staff and university stakeholders, as in the case of Kaysone (TO-03).</w:t>
      </w:r>
    </w:p>
    <w:p w14:paraId="1A09C50C" w14:textId="52FE7809" w:rsidR="00482895" w:rsidRPr="00773EEA" w:rsidRDefault="00482895" w:rsidP="00177735">
      <w:pPr>
        <w:pStyle w:val="ListParagraph"/>
        <w:numPr>
          <w:ilvl w:val="0"/>
          <w:numId w:val="8"/>
        </w:numPr>
        <w:spacing w:line="276" w:lineRule="auto"/>
        <w:ind w:left="709" w:hanging="357"/>
        <w:contextualSpacing w:val="0"/>
        <w:jc w:val="both"/>
      </w:pPr>
      <w:r w:rsidRPr="00773EEA">
        <w:t xml:space="preserve">Ramboll should continue to accommodate the city government and stakeholders’ general preference for face-to-face engagement for </w:t>
      </w:r>
      <w:r w:rsidR="003E4034" w:rsidRPr="00773EEA">
        <w:t>Silver</w:t>
      </w:r>
      <w:r w:rsidRPr="00773EEA">
        <w:t xml:space="preserve"> TO workshops where possible, following the easing of travel restrictions, although digital solutions such as </w:t>
      </w:r>
      <w:proofErr w:type="gramStart"/>
      <w:r w:rsidRPr="00773EEA">
        <w:t>Zoom</w:t>
      </w:r>
      <w:proofErr w:type="gramEnd"/>
      <w:r w:rsidRPr="00773EEA">
        <w:t xml:space="preserve"> and MS teams continue to offer opportunities for more frequent engagement and wider groups of participants. </w:t>
      </w:r>
    </w:p>
    <w:p w14:paraId="18A7DA7F" w14:textId="32F2CB84" w:rsidR="00233BCF" w:rsidRPr="00773EEA" w:rsidRDefault="00233BCF" w:rsidP="00B7602B">
      <w:pPr>
        <w:spacing w:before="180"/>
        <w:jc w:val="both"/>
        <w:rPr>
          <w:rStyle w:val="BookTitle"/>
          <w:color w:val="auto"/>
        </w:rPr>
      </w:pPr>
      <w:r w:rsidRPr="00773EEA">
        <w:rPr>
          <w:rStyle w:val="BookTitle"/>
          <w:color w:val="auto"/>
        </w:rPr>
        <w:t>Recommendations to improve GESI</w:t>
      </w:r>
      <w:r w:rsidR="00011656" w:rsidRPr="00773EEA">
        <w:rPr>
          <w:rStyle w:val="BookTitle"/>
          <w:color w:val="auto"/>
        </w:rPr>
        <w:t xml:space="preserve"> impact</w:t>
      </w:r>
      <w:r w:rsidR="00263B26" w:rsidRPr="00773EEA">
        <w:rPr>
          <w:rStyle w:val="BookTitle"/>
          <w:color w:val="auto"/>
        </w:rPr>
        <w:t xml:space="preserve"> </w:t>
      </w:r>
    </w:p>
    <w:p w14:paraId="446815C6" w14:textId="77777777" w:rsidR="00374B3D" w:rsidRPr="00773EEA" w:rsidRDefault="00374B3D" w:rsidP="00177735">
      <w:pPr>
        <w:pStyle w:val="ListParagraph"/>
        <w:numPr>
          <w:ilvl w:val="0"/>
          <w:numId w:val="8"/>
        </w:numPr>
        <w:spacing w:line="276" w:lineRule="auto"/>
        <w:ind w:left="709" w:hanging="357"/>
        <w:contextualSpacing w:val="0"/>
        <w:jc w:val="both"/>
      </w:pPr>
      <w:r w:rsidRPr="00773EEA">
        <w:t>DFAT should clarify its GESI reporting requirements for ADB and Ramboll, to ensure the M&amp;E system is collecting the required data, analysing and using this data to inform implementation, and reporting data appropriately to DFAT. Progress reports should include cumulative totals where relevant (total figures from program commencement up to the reporting date), in addition to data for the reporting period, as cumulative totals show progress over time. DFAT could share gender, disability and other guidance materials with ADB and Ramboll.</w:t>
      </w:r>
    </w:p>
    <w:p w14:paraId="59F0BCAB" w14:textId="6A99B114" w:rsidR="003E3296" w:rsidRPr="00773EEA" w:rsidRDefault="003E3296" w:rsidP="00177735">
      <w:pPr>
        <w:pStyle w:val="ListParagraph"/>
        <w:numPr>
          <w:ilvl w:val="0"/>
          <w:numId w:val="8"/>
        </w:numPr>
        <w:spacing w:line="276" w:lineRule="auto"/>
        <w:ind w:left="709" w:hanging="357"/>
        <w:contextualSpacing w:val="0"/>
        <w:jc w:val="both"/>
      </w:pPr>
      <w:r w:rsidRPr="00773EEA">
        <w:lastRenderedPageBreak/>
        <w:t xml:space="preserve">DFAT should ensure </w:t>
      </w:r>
      <w:r w:rsidR="002D5D5A" w:rsidRPr="00773EEA">
        <w:t xml:space="preserve">its AASCTF </w:t>
      </w:r>
      <w:r w:rsidRPr="00773EEA">
        <w:t>program managers receive adequate training, are aware of DFAT guidance on gender equality, gender diversity, disability and broader social inclusion and are able to seek expert advice when needed.</w:t>
      </w:r>
    </w:p>
    <w:p w14:paraId="58ECB340" w14:textId="77777777" w:rsidR="00011656" w:rsidRPr="00773EEA" w:rsidRDefault="00011656" w:rsidP="00177735">
      <w:pPr>
        <w:pStyle w:val="ListParagraph"/>
        <w:numPr>
          <w:ilvl w:val="0"/>
          <w:numId w:val="8"/>
        </w:numPr>
        <w:spacing w:line="276" w:lineRule="auto"/>
        <w:ind w:left="709" w:hanging="357"/>
        <w:contextualSpacing w:val="0"/>
        <w:jc w:val="both"/>
      </w:pPr>
      <w:r w:rsidRPr="00773EEA">
        <w:t xml:space="preserve">Joint in-house training for Ramboll and ADB AASCTF teams on Gender Equality and Social Inclusion, including the concept and intention of ‘mainstreaming’ and how it can be achieved in practice, and clarification of outputs, outcomes and evidence, would strengthen the program overall. This could be facilitated by ADB’s GESI experts. It would be highly beneficial to incorporate content and/or presenters from The Asia Foundation/ TO-09 Inclusive Cities capacity building intervention for city officials, and Practical Action’s consultative approach in TO-05 Gender Transformative FEWS intervention. This should be done as soon as practicable. </w:t>
      </w:r>
    </w:p>
    <w:p w14:paraId="0BA58B46" w14:textId="090F4582" w:rsidR="00011656" w:rsidRPr="00773EEA" w:rsidRDefault="00011656" w:rsidP="00177735">
      <w:pPr>
        <w:pStyle w:val="ListParagraph"/>
        <w:numPr>
          <w:ilvl w:val="0"/>
          <w:numId w:val="8"/>
        </w:numPr>
        <w:spacing w:line="276" w:lineRule="auto"/>
        <w:ind w:left="709" w:hanging="357"/>
        <w:contextualSpacing w:val="0"/>
        <w:jc w:val="both"/>
      </w:pPr>
      <w:r w:rsidRPr="00773EEA">
        <w:t>Following training, a joint ADB/Ramboll review of implementation of the GESI Strategy is recommended. A workshop format, facilitated by ADB or external GESI and M&amp;E experts, would provide teams with an applied learning opportunity). The review should assess whether GESI target groups will tangibly benefit from current, planned and completed interventions, identify what those benefits might be, how best to measure results and identify evidence of progress to outcomes. If benefits are not apparent, what changes</w:t>
      </w:r>
      <w:r w:rsidR="00CF69A8" w:rsidRPr="00773EEA">
        <w:t xml:space="preserve"> or </w:t>
      </w:r>
      <w:r w:rsidRPr="00773EEA">
        <w:t>additional measures could be put into place, including increased engagement with GESI target groups</w:t>
      </w:r>
      <w:r w:rsidR="00CF69A8" w:rsidRPr="00773EEA">
        <w:t xml:space="preserve"> or </w:t>
      </w:r>
      <w:r w:rsidRPr="00773EEA">
        <w:t xml:space="preserve">NGOs; additional targeted GESI interventions; and increased engagement with local officials on GESI to encourage and influence GESI outcomes. Assess whether the program will meet its GESI targets and what actions might be needed to ensure it does. It would be essential to complete this review prior to any extension of the program being considered.  </w:t>
      </w:r>
    </w:p>
    <w:p w14:paraId="68DCBAEB" w14:textId="77777777" w:rsidR="00011656" w:rsidRPr="00773EEA" w:rsidRDefault="00011656" w:rsidP="00177735">
      <w:pPr>
        <w:pStyle w:val="ListParagraph"/>
        <w:numPr>
          <w:ilvl w:val="0"/>
          <w:numId w:val="8"/>
        </w:numPr>
        <w:spacing w:line="276" w:lineRule="auto"/>
        <w:ind w:left="709" w:hanging="357"/>
        <w:contextualSpacing w:val="0"/>
        <w:jc w:val="both"/>
      </w:pPr>
      <w:r w:rsidRPr="00773EEA">
        <w:t>Where needed, ADB specialists should support AASCTF teams with additional oversight and/or support in implementing the GESI strategy, improving M&amp;E data collection, use and reporting; and understanding what can be considered as evidence.</w:t>
      </w:r>
    </w:p>
    <w:p w14:paraId="206377D1" w14:textId="22F83F34" w:rsidR="00243587" w:rsidRPr="00773EEA" w:rsidRDefault="00243587" w:rsidP="00A101BC">
      <w:pPr>
        <w:spacing w:after="0" w:line="276" w:lineRule="auto"/>
        <w:contextualSpacing/>
      </w:pPr>
    </w:p>
    <w:p w14:paraId="289D8329" w14:textId="6CAED7F8" w:rsidR="00243587" w:rsidRPr="00773EEA" w:rsidRDefault="00DC0DEF" w:rsidP="00177735">
      <w:pPr>
        <w:pStyle w:val="Heading1"/>
        <w:numPr>
          <w:ilvl w:val="0"/>
          <w:numId w:val="7"/>
        </w:numPr>
        <w:rPr>
          <w:color w:val="auto"/>
        </w:rPr>
      </w:pPr>
      <w:bookmarkStart w:id="82" w:name="_Toc123633726"/>
      <w:r w:rsidRPr="00773EEA">
        <w:rPr>
          <w:color w:val="auto"/>
        </w:rPr>
        <w:lastRenderedPageBreak/>
        <w:t>Annexes</w:t>
      </w:r>
      <w:bookmarkEnd w:id="82"/>
    </w:p>
    <w:p w14:paraId="21E96557" w14:textId="4A8E2619" w:rsidR="00AD6DD2" w:rsidRPr="00773EEA" w:rsidRDefault="00AD6DD2" w:rsidP="00AD6DD2"/>
    <w:p w14:paraId="2778BF25" w14:textId="35F3B37C" w:rsidR="00334EFA" w:rsidRPr="00773EEA" w:rsidRDefault="00DC0DEF" w:rsidP="00334EFA">
      <w:pPr>
        <w:pStyle w:val="Heading1Numberedsmallspaceafter"/>
        <w:numPr>
          <w:ilvl w:val="0"/>
          <w:numId w:val="0"/>
        </w:numPr>
        <w:spacing w:after="360"/>
        <w:rPr>
          <w:rFonts w:ascii="Georgia" w:eastAsia="Times New Roman" w:hAnsi="Georgia" w:cs="Arial"/>
          <w:b w:val="0"/>
          <w:iCs/>
          <w:caps w:val="0"/>
          <w:color w:val="auto"/>
          <w:sz w:val="32"/>
          <w:szCs w:val="32"/>
          <w:lang w:val="en-GB"/>
        </w:rPr>
      </w:pPr>
      <w:bookmarkStart w:id="83" w:name="_Toc123633727"/>
      <w:r w:rsidRPr="00773EEA">
        <w:rPr>
          <w:rFonts w:ascii="Georgia" w:eastAsia="Times New Roman" w:hAnsi="Georgia" w:cs="Arial"/>
          <w:b w:val="0"/>
          <w:iCs/>
          <w:caps w:val="0"/>
          <w:color w:val="auto"/>
          <w:sz w:val="32"/>
          <w:szCs w:val="32"/>
          <w:lang w:val="en-GB"/>
        </w:rPr>
        <w:t>Annex 1</w:t>
      </w:r>
      <w:r w:rsidR="00334EFA" w:rsidRPr="00773EEA">
        <w:rPr>
          <w:rFonts w:ascii="Georgia" w:eastAsia="Times New Roman" w:hAnsi="Georgia" w:cs="Arial"/>
          <w:b w:val="0"/>
          <w:iCs/>
          <w:caps w:val="0"/>
          <w:color w:val="auto"/>
          <w:sz w:val="32"/>
          <w:szCs w:val="32"/>
          <w:lang w:val="en-GB"/>
        </w:rPr>
        <w:t xml:space="preserve">: </w:t>
      </w:r>
      <w:bookmarkStart w:id="84" w:name="_Toc109678921"/>
      <w:r w:rsidR="00334EFA" w:rsidRPr="00773EEA">
        <w:rPr>
          <w:rFonts w:ascii="Georgia" w:eastAsia="Times New Roman" w:hAnsi="Georgia" w:cs="Arial"/>
          <w:b w:val="0"/>
          <w:iCs/>
          <w:caps w:val="0"/>
          <w:color w:val="auto"/>
          <w:sz w:val="32"/>
          <w:szCs w:val="32"/>
          <w:lang w:val="en-GB"/>
        </w:rPr>
        <w:t>Documents Reviewed for the MTR</w:t>
      </w:r>
      <w:bookmarkEnd w:id="83"/>
      <w:bookmarkEnd w:id="84"/>
    </w:p>
    <w:p w14:paraId="77FF31E4" w14:textId="77777777" w:rsidR="00E829A1" w:rsidRPr="00773EEA" w:rsidRDefault="00E829A1" w:rsidP="00E829A1">
      <w:pPr>
        <w:spacing w:before="60"/>
        <w:jc w:val="both"/>
        <w:rPr>
          <w:rFonts w:cstheme="minorHAnsi"/>
        </w:rPr>
      </w:pPr>
      <w:r w:rsidRPr="00773EEA">
        <w:rPr>
          <w:rFonts w:cstheme="minorHAnsi"/>
        </w:rPr>
        <w:t xml:space="preserve">The following AASCTF program documents have been reviewed to inform the MTR. </w:t>
      </w:r>
    </w:p>
    <w:tbl>
      <w:tblPr>
        <w:tblStyle w:val="GridTable4-Accent4"/>
        <w:tblW w:w="494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5044"/>
        <w:gridCol w:w="764"/>
        <w:gridCol w:w="2050"/>
        <w:gridCol w:w="1891"/>
      </w:tblGrid>
      <w:tr w:rsidR="00773EEA" w:rsidRPr="00773EEA" w14:paraId="536222C5" w14:textId="77777777" w:rsidTr="00466C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429FBB4" w14:textId="77777777" w:rsidR="00E829A1" w:rsidRPr="00773EEA" w:rsidRDefault="00E829A1" w:rsidP="00B7602B">
            <w:pPr>
              <w:spacing w:before="40" w:after="40"/>
              <w:rPr>
                <w:rFonts w:cstheme="minorHAnsi"/>
                <w:sz w:val="20"/>
                <w:szCs w:val="20"/>
                <w:lang w:val="en-GB"/>
              </w:rPr>
            </w:pPr>
            <w:r w:rsidRPr="00773EEA">
              <w:rPr>
                <w:rFonts w:cstheme="minorHAnsi"/>
                <w:sz w:val="20"/>
                <w:szCs w:val="20"/>
                <w:lang w:val="en-GB"/>
              </w:rPr>
              <w:t>Ref.</w:t>
            </w:r>
          </w:p>
        </w:tc>
        <w:tc>
          <w:tcPr>
            <w:tcW w:w="2635" w:type="pct"/>
            <w:shd w:val="clear" w:color="auto" w:fill="EBC132" w:themeFill="accent1"/>
          </w:tcPr>
          <w:p w14:paraId="29A9F63E" w14:textId="77777777" w:rsidR="00E829A1" w:rsidRPr="00773EEA" w:rsidRDefault="00E829A1" w:rsidP="00B7602B">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Title</w:t>
            </w:r>
          </w:p>
        </w:tc>
        <w:tc>
          <w:tcPr>
            <w:tcW w:w="480" w:type="pct"/>
            <w:shd w:val="clear" w:color="auto" w:fill="EBC132" w:themeFill="accent1"/>
          </w:tcPr>
          <w:p w14:paraId="785877CB" w14:textId="77777777" w:rsidR="00E829A1" w:rsidRPr="00773EEA" w:rsidRDefault="00E829A1" w:rsidP="00B7602B">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Date</w:t>
            </w:r>
          </w:p>
        </w:tc>
        <w:tc>
          <w:tcPr>
            <w:tcW w:w="548" w:type="pct"/>
            <w:shd w:val="clear" w:color="auto" w:fill="EBC132" w:themeFill="accent1"/>
          </w:tcPr>
          <w:p w14:paraId="74F8ADB0" w14:textId="77777777" w:rsidR="00E829A1" w:rsidRPr="00773EEA" w:rsidRDefault="00E829A1" w:rsidP="00B7602B">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Owner</w:t>
            </w:r>
          </w:p>
        </w:tc>
        <w:tc>
          <w:tcPr>
            <w:tcW w:w="1025" w:type="pct"/>
            <w:shd w:val="clear" w:color="auto" w:fill="EBC132" w:themeFill="accent1"/>
          </w:tcPr>
          <w:p w14:paraId="032C3E64" w14:textId="77777777" w:rsidR="00E829A1" w:rsidRPr="00773EEA" w:rsidRDefault="00E829A1" w:rsidP="00B7602B">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Category</w:t>
            </w:r>
          </w:p>
        </w:tc>
      </w:tr>
      <w:tr w:rsidR="00773EEA" w:rsidRPr="00773EEA" w14:paraId="1311A890"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76DCD25B"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w:t>
            </w:r>
          </w:p>
        </w:tc>
        <w:tc>
          <w:tcPr>
            <w:tcW w:w="2635" w:type="pct"/>
            <w:shd w:val="clear" w:color="auto" w:fill="FBF2D6" w:themeFill="accent1" w:themeFillTint="33"/>
          </w:tcPr>
          <w:p w14:paraId="107EE86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DFAT IDS Attachment A – Investment Design Summary</w:t>
            </w:r>
          </w:p>
        </w:tc>
        <w:tc>
          <w:tcPr>
            <w:tcW w:w="480" w:type="pct"/>
            <w:shd w:val="clear" w:color="auto" w:fill="FBF2D6" w:themeFill="accent1" w:themeFillTint="33"/>
          </w:tcPr>
          <w:p w14:paraId="6FA61D9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2019</w:t>
            </w:r>
          </w:p>
        </w:tc>
        <w:tc>
          <w:tcPr>
            <w:tcW w:w="548" w:type="pct"/>
            <w:shd w:val="clear" w:color="auto" w:fill="FBF2D6" w:themeFill="accent1" w:themeFillTint="33"/>
          </w:tcPr>
          <w:p w14:paraId="52C92A5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DFAT</w:t>
            </w:r>
          </w:p>
        </w:tc>
        <w:tc>
          <w:tcPr>
            <w:tcW w:w="1025" w:type="pct"/>
            <w:shd w:val="clear" w:color="auto" w:fill="FBF2D6" w:themeFill="accent1" w:themeFillTint="33"/>
          </w:tcPr>
          <w:p w14:paraId="0A69ACAA"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Design Document</w:t>
            </w:r>
          </w:p>
        </w:tc>
      </w:tr>
      <w:tr w:rsidR="00773EEA" w:rsidRPr="00773EEA" w14:paraId="4A7E8DCA"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277C55A2"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w:t>
            </w:r>
          </w:p>
        </w:tc>
        <w:tc>
          <w:tcPr>
            <w:tcW w:w="2635" w:type="pct"/>
          </w:tcPr>
          <w:p w14:paraId="67EDFFF7"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AASCTF Design Approval - Annex 1: TF Establishment Paper </w:t>
            </w:r>
          </w:p>
        </w:tc>
        <w:tc>
          <w:tcPr>
            <w:tcW w:w="480" w:type="pct"/>
          </w:tcPr>
          <w:p w14:paraId="308197F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2019</w:t>
            </w:r>
          </w:p>
        </w:tc>
        <w:tc>
          <w:tcPr>
            <w:tcW w:w="548" w:type="pct"/>
          </w:tcPr>
          <w:p w14:paraId="76AF0A5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DFAT</w:t>
            </w:r>
          </w:p>
        </w:tc>
        <w:tc>
          <w:tcPr>
            <w:tcW w:w="1025" w:type="pct"/>
          </w:tcPr>
          <w:p w14:paraId="342D5765"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Design Document</w:t>
            </w:r>
          </w:p>
        </w:tc>
      </w:tr>
      <w:tr w:rsidR="00773EEA" w:rsidRPr="00773EEA" w14:paraId="57FF7AB1"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74125EE3"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w:t>
            </w:r>
          </w:p>
        </w:tc>
        <w:tc>
          <w:tcPr>
            <w:tcW w:w="2635" w:type="pct"/>
            <w:shd w:val="clear" w:color="auto" w:fill="FBF2D6" w:themeFill="accent1" w:themeFillTint="33"/>
          </w:tcPr>
          <w:p w14:paraId="7FCF28DE"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DFAT IDS Annex 2 Trust Fund Implementing Guidelines</w:t>
            </w:r>
          </w:p>
        </w:tc>
        <w:tc>
          <w:tcPr>
            <w:tcW w:w="480" w:type="pct"/>
            <w:shd w:val="clear" w:color="auto" w:fill="FBF2D6" w:themeFill="accent1" w:themeFillTint="33"/>
          </w:tcPr>
          <w:p w14:paraId="495FB6F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2019</w:t>
            </w:r>
          </w:p>
        </w:tc>
        <w:tc>
          <w:tcPr>
            <w:tcW w:w="548" w:type="pct"/>
            <w:shd w:val="clear" w:color="auto" w:fill="FBF2D6" w:themeFill="accent1" w:themeFillTint="33"/>
          </w:tcPr>
          <w:p w14:paraId="77FB3EB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DFAT</w:t>
            </w:r>
          </w:p>
        </w:tc>
        <w:tc>
          <w:tcPr>
            <w:tcW w:w="1025" w:type="pct"/>
            <w:shd w:val="clear" w:color="auto" w:fill="FBF2D6" w:themeFill="accent1" w:themeFillTint="33"/>
          </w:tcPr>
          <w:p w14:paraId="7CA16DD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Design Document</w:t>
            </w:r>
          </w:p>
        </w:tc>
      </w:tr>
      <w:tr w:rsidR="00773EEA" w:rsidRPr="00773EEA" w14:paraId="5534D9B8"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7F12AAF1"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4</w:t>
            </w:r>
          </w:p>
        </w:tc>
        <w:tc>
          <w:tcPr>
            <w:tcW w:w="2635" w:type="pct"/>
          </w:tcPr>
          <w:p w14:paraId="0A34ED2B"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DFAT IDS Annex 3 Indicative Program Logic</w:t>
            </w:r>
          </w:p>
        </w:tc>
        <w:tc>
          <w:tcPr>
            <w:tcW w:w="480" w:type="pct"/>
          </w:tcPr>
          <w:p w14:paraId="2B7B49CA"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2019</w:t>
            </w:r>
          </w:p>
        </w:tc>
        <w:tc>
          <w:tcPr>
            <w:tcW w:w="548" w:type="pct"/>
          </w:tcPr>
          <w:p w14:paraId="33CA8295"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DFAT</w:t>
            </w:r>
          </w:p>
        </w:tc>
        <w:tc>
          <w:tcPr>
            <w:tcW w:w="1025" w:type="pct"/>
          </w:tcPr>
          <w:p w14:paraId="7B004A7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Design Document</w:t>
            </w:r>
          </w:p>
        </w:tc>
      </w:tr>
      <w:tr w:rsidR="00773EEA" w:rsidRPr="00773EEA" w14:paraId="3EEE190C"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7914DAB"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5</w:t>
            </w:r>
          </w:p>
        </w:tc>
        <w:tc>
          <w:tcPr>
            <w:tcW w:w="2635" w:type="pct"/>
            <w:shd w:val="clear" w:color="auto" w:fill="FBF2D6" w:themeFill="accent1" w:themeFillTint="33"/>
          </w:tcPr>
          <w:p w14:paraId="4C5D938E"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DFAT IDS Annex 4 Design &amp; Monitoring Framework</w:t>
            </w:r>
          </w:p>
        </w:tc>
        <w:tc>
          <w:tcPr>
            <w:tcW w:w="480" w:type="pct"/>
            <w:shd w:val="clear" w:color="auto" w:fill="FBF2D6" w:themeFill="accent1" w:themeFillTint="33"/>
          </w:tcPr>
          <w:p w14:paraId="3CF280C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2019</w:t>
            </w:r>
          </w:p>
        </w:tc>
        <w:tc>
          <w:tcPr>
            <w:tcW w:w="548" w:type="pct"/>
            <w:shd w:val="clear" w:color="auto" w:fill="FBF2D6" w:themeFill="accent1" w:themeFillTint="33"/>
          </w:tcPr>
          <w:p w14:paraId="3E435C7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DFAT</w:t>
            </w:r>
          </w:p>
        </w:tc>
        <w:tc>
          <w:tcPr>
            <w:tcW w:w="1025" w:type="pct"/>
            <w:shd w:val="clear" w:color="auto" w:fill="FBF2D6" w:themeFill="accent1" w:themeFillTint="33"/>
          </w:tcPr>
          <w:p w14:paraId="393EF29C"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Design Document</w:t>
            </w:r>
          </w:p>
        </w:tc>
      </w:tr>
      <w:tr w:rsidR="00773EEA" w:rsidRPr="00773EEA" w14:paraId="09AD9B73"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4F43BB0C"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6</w:t>
            </w:r>
          </w:p>
        </w:tc>
        <w:tc>
          <w:tcPr>
            <w:tcW w:w="2635" w:type="pct"/>
          </w:tcPr>
          <w:p w14:paraId="746BA574"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 xml:space="preserve">Annual Investment Monitoring Report (AIMR) 2021 (Confidential) </w:t>
            </w:r>
          </w:p>
        </w:tc>
        <w:tc>
          <w:tcPr>
            <w:tcW w:w="480" w:type="pct"/>
          </w:tcPr>
          <w:p w14:paraId="60B75B2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2021</w:t>
            </w:r>
          </w:p>
        </w:tc>
        <w:tc>
          <w:tcPr>
            <w:tcW w:w="548" w:type="pct"/>
          </w:tcPr>
          <w:p w14:paraId="75301B4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DFAT</w:t>
            </w:r>
          </w:p>
        </w:tc>
        <w:tc>
          <w:tcPr>
            <w:tcW w:w="1025" w:type="pct"/>
          </w:tcPr>
          <w:p w14:paraId="5192D977"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Progress Reporting</w:t>
            </w:r>
          </w:p>
        </w:tc>
      </w:tr>
      <w:tr w:rsidR="00773EEA" w:rsidRPr="00773EEA" w14:paraId="0FB7BE32"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4314FDC"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7</w:t>
            </w:r>
          </w:p>
        </w:tc>
        <w:tc>
          <w:tcPr>
            <w:tcW w:w="2635" w:type="pct"/>
            <w:shd w:val="clear" w:color="auto" w:fill="FBF2D6" w:themeFill="accent1" w:themeFillTint="33"/>
          </w:tcPr>
          <w:p w14:paraId="52D196E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AASCTF Annual Report 2019</w:t>
            </w:r>
          </w:p>
        </w:tc>
        <w:tc>
          <w:tcPr>
            <w:tcW w:w="480" w:type="pct"/>
            <w:shd w:val="clear" w:color="auto" w:fill="FBF2D6" w:themeFill="accent1" w:themeFillTint="33"/>
          </w:tcPr>
          <w:p w14:paraId="4D969F37"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2019</w:t>
            </w:r>
          </w:p>
        </w:tc>
        <w:tc>
          <w:tcPr>
            <w:tcW w:w="548" w:type="pct"/>
            <w:shd w:val="clear" w:color="auto" w:fill="FBF2D6" w:themeFill="accent1" w:themeFillTint="33"/>
          </w:tcPr>
          <w:p w14:paraId="2666DA8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shd w:val="clear" w:color="auto" w:fill="FBF2D6" w:themeFill="accent1" w:themeFillTint="33"/>
          </w:tcPr>
          <w:p w14:paraId="52D9FC7A"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7CE9FB4D"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70850E5"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8</w:t>
            </w:r>
          </w:p>
        </w:tc>
        <w:tc>
          <w:tcPr>
            <w:tcW w:w="2635" w:type="pct"/>
          </w:tcPr>
          <w:p w14:paraId="351414AB"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AASCTF Annual Report 2020</w:t>
            </w:r>
          </w:p>
        </w:tc>
        <w:tc>
          <w:tcPr>
            <w:tcW w:w="480" w:type="pct"/>
          </w:tcPr>
          <w:p w14:paraId="5E69B5CB"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2020</w:t>
            </w:r>
          </w:p>
        </w:tc>
        <w:tc>
          <w:tcPr>
            <w:tcW w:w="548" w:type="pct"/>
          </w:tcPr>
          <w:p w14:paraId="1870062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tcPr>
          <w:p w14:paraId="1CA83AF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4147C4B7"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375AAB50"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9</w:t>
            </w:r>
          </w:p>
        </w:tc>
        <w:tc>
          <w:tcPr>
            <w:tcW w:w="2635" w:type="pct"/>
            <w:shd w:val="clear" w:color="auto" w:fill="FBF2D6" w:themeFill="accent1" w:themeFillTint="33"/>
          </w:tcPr>
          <w:p w14:paraId="2C6AFD1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AASCTF Semi-Annual Report 2020</w:t>
            </w:r>
          </w:p>
        </w:tc>
        <w:tc>
          <w:tcPr>
            <w:tcW w:w="480" w:type="pct"/>
            <w:shd w:val="clear" w:color="auto" w:fill="FBF2D6" w:themeFill="accent1" w:themeFillTint="33"/>
          </w:tcPr>
          <w:p w14:paraId="1F7C642D"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2020</w:t>
            </w:r>
          </w:p>
        </w:tc>
        <w:tc>
          <w:tcPr>
            <w:tcW w:w="548" w:type="pct"/>
            <w:shd w:val="clear" w:color="auto" w:fill="FBF2D6" w:themeFill="accent1" w:themeFillTint="33"/>
          </w:tcPr>
          <w:p w14:paraId="021BDFC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shd w:val="clear" w:color="auto" w:fill="FBF2D6" w:themeFill="accent1" w:themeFillTint="33"/>
          </w:tcPr>
          <w:p w14:paraId="0263949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64CC1C4A"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79526DE0"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10</w:t>
            </w:r>
          </w:p>
        </w:tc>
        <w:tc>
          <w:tcPr>
            <w:tcW w:w="2635" w:type="pct"/>
          </w:tcPr>
          <w:p w14:paraId="6A4E14E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AASCTF Annual Report 2021</w:t>
            </w:r>
          </w:p>
        </w:tc>
        <w:tc>
          <w:tcPr>
            <w:tcW w:w="480" w:type="pct"/>
          </w:tcPr>
          <w:p w14:paraId="508586F6"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2021</w:t>
            </w:r>
          </w:p>
        </w:tc>
        <w:tc>
          <w:tcPr>
            <w:tcW w:w="548" w:type="pct"/>
          </w:tcPr>
          <w:p w14:paraId="2D97746B"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tcPr>
          <w:p w14:paraId="2659F9A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43BD5BB7"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056636CD"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11</w:t>
            </w:r>
          </w:p>
        </w:tc>
        <w:tc>
          <w:tcPr>
            <w:tcW w:w="2635" w:type="pct"/>
            <w:shd w:val="clear" w:color="auto" w:fill="FBF2D6" w:themeFill="accent1" w:themeFillTint="33"/>
          </w:tcPr>
          <w:p w14:paraId="3D5109E0"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AASCTF Semi-Annual Report 2021</w:t>
            </w:r>
          </w:p>
        </w:tc>
        <w:tc>
          <w:tcPr>
            <w:tcW w:w="480" w:type="pct"/>
            <w:shd w:val="clear" w:color="auto" w:fill="FBF2D6" w:themeFill="accent1" w:themeFillTint="33"/>
          </w:tcPr>
          <w:p w14:paraId="68F4A11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2021</w:t>
            </w:r>
          </w:p>
        </w:tc>
        <w:tc>
          <w:tcPr>
            <w:tcW w:w="548" w:type="pct"/>
            <w:shd w:val="clear" w:color="auto" w:fill="FBF2D6" w:themeFill="accent1" w:themeFillTint="33"/>
          </w:tcPr>
          <w:p w14:paraId="0BD459C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shd w:val="clear" w:color="auto" w:fill="FBF2D6" w:themeFill="accent1" w:themeFillTint="33"/>
          </w:tcPr>
          <w:p w14:paraId="6C84F52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7633354F"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2745C36"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12</w:t>
            </w:r>
          </w:p>
        </w:tc>
        <w:tc>
          <w:tcPr>
            <w:tcW w:w="2635" w:type="pct"/>
          </w:tcPr>
          <w:p w14:paraId="55027090"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Urban Financing Partnership Facility (UFPF) Annual Report 2019</w:t>
            </w:r>
          </w:p>
        </w:tc>
        <w:tc>
          <w:tcPr>
            <w:tcW w:w="480" w:type="pct"/>
          </w:tcPr>
          <w:p w14:paraId="59A5223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2019</w:t>
            </w:r>
          </w:p>
        </w:tc>
        <w:tc>
          <w:tcPr>
            <w:tcW w:w="548" w:type="pct"/>
          </w:tcPr>
          <w:p w14:paraId="2F1DC8D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ADB</w:t>
            </w:r>
          </w:p>
        </w:tc>
        <w:tc>
          <w:tcPr>
            <w:tcW w:w="1025" w:type="pct"/>
          </w:tcPr>
          <w:p w14:paraId="24AF5A9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2C902EC3"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25910B77"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13</w:t>
            </w:r>
          </w:p>
        </w:tc>
        <w:tc>
          <w:tcPr>
            <w:tcW w:w="2635" w:type="pct"/>
            <w:shd w:val="clear" w:color="auto" w:fill="FBF2D6" w:themeFill="accent1" w:themeFillTint="33"/>
          </w:tcPr>
          <w:p w14:paraId="4871A022"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Urban Financing Partnership Facility (UFPF) Annual Report 2021</w:t>
            </w:r>
          </w:p>
        </w:tc>
        <w:tc>
          <w:tcPr>
            <w:tcW w:w="480" w:type="pct"/>
            <w:shd w:val="clear" w:color="auto" w:fill="FBF2D6" w:themeFill="accent1" w:themeFillTint="33"/>
          </w:tcPr>
          <w:p w14:paraId="4A19124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2021</w:t>
            </w:r>
          </w:p>
        </w:tc>
        <w:tc>
          <w:tcPr>
            <w:tcW w:w="548" w:type="pct"/>
            <w:shd w:val="clear" w:color="auto" w:fill="FBF2D6" w:themeFill="accent1" w:themeFillTint="33"/>
          </w:tcPr>
          <w:p w14:paraId="3EDE935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ADB</w:t>
            </w:r>
          </w:p>
        </w:tc>
        <w:tc>
          <w:tcPr>
            <w:tcW w:w="1025" w:type="pct"/>
            <w:shd w:val="clear" w:color="auto" w:fill="FBF2D6" w:themeFill="accent1" w:themeFillTint="33"/>
          </w:tcPr>
          <w:p w14:paraId="7BC76C3C"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6F8CC7DF"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325EB726"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14</w:t>
            </w:r>
          </w:p>
        </w:tc>
        <w:tc>
          <w:tcPr>
            <w:tcW w:w="2635" w:type="pct"/>
          </w:tcPr>
          <w:p w14:paraId="76A4EB24"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Urban Financing Partnership Facility (UFPF) Mid-Year Report, Jan to June 2021</w:t>
            </w:r>
          </w:p>
        </w:tc>
        <w:tc>
          <w:tcPr>
            <w:tcW w:w="480" w:type="pct"/>
          </w:tcPr>
          <w:p w14:paraId="2FDDC914"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2021</w:t>
            </w:r>
          </w:p>
        </w:tc>
        <w:tc>
          <w:tcPr>
            <w:tcW w:w="548" w:type="pct"/>
          </w:tcPr>
          <w:p w14:paraId="6A77C7A0"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ADB</w:t>
            </w:r>
          </w:p>
        </w:tc>
        <w:tc>
          <w:tcPr>
            <w:tcW w:w="1025" w:type="pct"/>
          </w:tcPr>
          <w:p w14:paraId="10322A4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765CCFED"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06DCAD4D"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15</w:t>
            </w:r>
          </w:p>
        </w:tc>
        <w:tc>
          <w:tcPr>
            <w:tcW w:w="2635" w:type="pct"/>
            <w:shd w:val="clear" w:color="auto" w:fill="FBF2D6" w:themeFill="accent1" w:themeFillTint="33"/>
          </w:tcPr>
          <w:p w14:paraId="5AF11D0A"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Information Note on Financial Status ASEAN Australia Smart Cities Trust Fund</w:t>
            </w:r>
          </w:p>
        </w:tc>
        <w:tc>
          <w:tcPr>
            <w:tcW w:w="480" w:type="pct"/>
            <w:shd w:val="clear" w:color="auto" w:fill="FBF2D6" w:themeFill="accent1" w:themeFillTint="33"/>
          </w:tcPr>
          <w:p w14:paraId="6EF4001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2022</w:t>
            </w:r>
          </w:p>
        </w:tc>
        <w:tc>
          <w:tcPr>
            <w:tcW w:w="548" w:type="pct"/>
            <w:shd w:val="clear" w:color="auto" w:fill="FBF2D6" w:themeFill="accent1" w:themeFillTint="33"/>
          </w:tcPr>
          <w:p w14:paraId="21B37A8C"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ADB</w:t>
            </w:r>
          </w:p>
        </w:tc>
        <w:tc>
          <w:tcPr>
            <w:tcW w:w="1025" w:type="pct"/>
            <w:shd w:val="clear" w:color="auto" w:fill="FBF2D6" w:themeFill="accent1" w:themeFillTint="33"/>
          </w:tcPr>
          <w:p w14:paraId="7D7115C3"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Progress Reporting</w:t>
            </w:r>
          </w:p>
        </w:tc>
      </w:tr>
      <w:tr w:rsidR="00773EEA" w:rsidRPr="00773EEA" w14:paraId="5673C5D6"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1A19B20"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16</w:t>
            </w:r>
          </w:p>
        </w:tc>
        <w:tc>
          <w:tcPr>
            <w:tcW w:w="2635" w:type="pct"/>
          </w:tcPr>
          <w:p w14:paraId="0FC90759"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AASCTF: Mid-term Program Level Self-Evaluation Report (Mid-term PLSER)</w:t>
            </w:r>
          </w:p>
        </w:tc>
        <w:tc>
          <w:tcPr>
            <w:tcW w:w="480" w:type="pct"/>
          </w:tcPr>
          <w:p w14:paraId="2E2BAA50"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2022</w:t>
            </w:r>
          </w:p>
        </w:tc>
        <w:tc>
          <w:tcPr>
            <w:tcW w:w="548" w:type="pct"/>
          </w:tcPr>
          <w:p w14:paraId="5C3195C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tcPr>
          <w:p w14:paraId="754AED05"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Internal MEL</w:t>
            </w:r>
          </w:p>
        </w:tc>
      </w:tr>
      <w:tr w:rsidR="00773EEA" w:rsidRPr="00773EEA" w14:paraId="1AFCCEFE"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327987AC"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17</w:t>
            </w:r>
          </w:p>
        </w:tc>
        <w:tc>
          <w:tcPr>
            <w:tcW w:w="2635" w:type="pct"/>
            <w:shd w:val="clear" w:color="auto" w:fill="FBF2D6" w:themeFill="accent1" w:themeFillTint="33"/>
          </w:tcPr>
          <w:p w14:paraId="7B569EA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Information Note on Financial Status of AASCTF, March 2022</w:t>
            </w:r>
          </w:p>
        </w:tc>
        <w:tc>
          <w:tcPr>
            <w:tcW w:w="480" w:type="pct"/>
            <w:shd w:val="clear" w:color="auto" w:fill="FBF2D6" w:themeFill="accent1" w:themeFillTint="33"/>
          </w:tcPr>
          <w:p w14:paraId="451196AE"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2022</w:t>
            </w:r>
          </w:p>
        </w:tc>
        <w:tc>
          <w:tcPr>
            <w:tcW w:w="548" w:type="pct"/>
            <w:shd w:val="clear" w:color="auto" w:fill="FBF2D6" w:themeFill="accent1" w:themeFillTint="33"/>
          </w:tcPr>
          <w:p w14:paraId="4ECE709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 xml:space="preserve">Ramboll  </w:t>
            </w:r>
          </w:p>
        </w:tc>
        <w:tc>
          <w:tcPr>
            <w:tcW w:w="1025" w:type="pct"/>
            <w:shd w:val="clear" w:color="auto" w:fill="FBF2D6" w:themeFill="accent1" w:themeFillTint="33"/>
          </w:tcPr>
          <w:p w14:paraId="60C259D3"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Progress Reporting</w:t>
            </w:r>
          </w:p>
        </w:tc>
      </w:tr>
      <w:tr w:rsidR="00773EEA" w:rsidRPr="00773EEA" w14:paraId="00DACCD9"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F9DA9DB"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18</w:t>
            </w:r>
          </w:p>
        </w:tc>
        <w:tc>
          <w:tcPr>
            <w:tcW w:w="2635" w:type="pct"/>
          </w:tcPr>
          <w:p w14:paraId="0E8A309F"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AASCTF Discussion Note: Communication and Stakeholder Engagement</w:t>
            </w:r>
          </w:p>
        </w:tc>
        <w:tc>
          <w:tcPr>
            <w:tcW w:w="480" w:type="pct"/>
          </w:tcPr>
          <w:p w14:paraId="6677F330"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2020</w:t>
            </w:r>
          </w:p>
        </w:tc>
        <w:tc>
          <w:tcPr>
            <w:tcW w:w="548" w:type="pct"/>
          </w:tcPr>
          <w:p w14:paraId="22B977D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tcPr>
          <w:p w14:paraId="40365EA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Internal Strategy</w:t>
            </w:r>
          </w:p>
        </w:tc>
      </w:tr>
      <w:tr w:rsidR="00773EEA" w:rsidRPr="00773EEA" w14:paraId="7C1C12CF"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4F14492"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19</w:t>
            </w:r>
          </w:p>
        </w:tc>
        <w:tc>
          <w:tcPr>
            <w:tcW w:w="2635" w:type="pct"/>
            <w:shd w:val="clear" w:color="auto" w:fill="FBF2D6" w:themeFill="accent1" w:themeFillTint="33"/>
          </w:tcPr>
          <w:p w14:paraId="16E0878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AASCTF Discussion Note: Gender Equality and Social Inclusion Strategy</w:t>
            </w:r>
          </w:p>
        </w:tc>
        <w:tc>
          <w:tcPr>
            <w:tcW w:w="480" w:type="pct"/>
            <w:shd w:val="clear" w:color="auto" w:fill="FBF2D6" w:themeFill="accent1" w:themeFillTint="33"/>
          </w:tcPr>
          <w:p w14:paraId="3EBC405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2020</w:t>
            </w:r>
          </w:p>
        </w:tc>
        <w:tc>
          <w:tcPr>
            <w:tcW w:w="548" w:type="pct"/>
            <w:shd w:val="clear" w:color="auto" w:fill="FBF2D6" w:themeFill="accent1" w:themeFillTint="33"/>
          </w:tcPr>
          <w:p w14:paraId="56FC9AC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shd w:val="clear" w:color="auto" w:fill="FBF2D6" w:themeFill="accent1" w:themeFillTint="33"/>
          </w:tcPr>
          <w:p w14:paraId="33CA89FA"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Internal Strategy</w:t>
            </w:r>
          </w:p>
        </w:tc>
      </w:tr>
      <w:tr w:rsidR="00773EEA" w:rsidRPr="00773EEA" w14:paraId="43E5CFC0"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C0A8AFB"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20</w:t>
            </w:r>
          </w:p>
        </w:tc>
        <w:tc>
          <w:tcPr>
            <w:tcW w:w="2635" w:type="pct"/>
          </w:tcPr>
          <w:p w14:paraId="1B829BB9"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AASCTF Discussion Note: Increased Private Sector Participation</w:t>
            </w:r>
          </w:p>
        </w:tc>
        <w:tc>
          <w:tcPr>
            <w:tcW w:w="480" w:type="pct"/>
          </w:tcPr>
          <w:p w14:paraId="7C9CC83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2020</w:t>
            </w:r>
          </w:p>
        </w:tc>
        <w:tc>
          <w:tcPr>
            <w:tcW w:w="548" w:type="pct"/>
          </w:tcPr>
          <w:p w14:paraId="25B904A7"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tcPr>
          <w:p w14:paraId="45F4301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Internal Strategy</w:t>
            </w:r>
          </w:p>
        </w:tc>
      </w:tr>
      <w:tr w:rsidR="00773EEA" w:rsidRPr="00773EEA" w14:paraId="104CF172"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25FDA15"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21</w:t>
            </w:r>
          </w:p>
        </w:tc>
        <w:tc>
          <w:tcPr>
            <w:tcW w:w="2635" w:type="pct"/>
            <w:shd w:val="clear" w:color="auto" w:fill="FBF2D6" w:themeFill="accent1" w:themeFillTint="33"/>
          </w:tcPr>
          <w:p w14:paraId="123E2F9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AASCTF Discussion Note: Climate Change</w:t>
            </w:r>
          </w:p>
        </w:tc>
        <w:tc>
          <w:tcPr>
            <w:tcW w:w="480" w:type="pct"/>
            <w:shd w:val="clear" w:color="auto" w:fill="FBF2D6" w:themeFill="accent1" w:themeFillTint="33"/>
          </w:tcPr>
          <w:p w14:paraId="76B4BD7F"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2020</w:t>
            </w:r>
          </w:p>
        </w:tc>
        <w:tc>
          <w:tcPr>
            <w:tcW w:w="548" w:type="pct"/>
            <w:shd w:val="clear" w:color="auto" w:fill="FBF2D6" w:themeFill="accent1" w:themeFillTint="33"/>
          </w:tcPr>
          <w:p w14:paraId="0ED6A4D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 xml:space="preserve">Ramboll  </w:t>
            </w:r>
          </w:p>
        </w:tc>
        <w:tc>
          <w:tcPr>
            <w:tcW w:w="1025" w:type="pct"/>
            <w:shd w:val="clear" w:color="auto" w:fill="FBF2D6" w:themeFill="accent1" w:themeFillTint="33"/>
          </w:tcPr>
          <w:p w14:paraId="5B7E1DE0"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Internal Strategy</w:t>
            </w:r>
          </w:p>
        </w:tc>
      </w:tr>
      <w:tr w:rsidR="00773EEA" w:rsidRPr="00773EEA" w14:paraId="3456CBE7"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72D7586F"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22</w:t>
            </w:r>
          </w:p>
        </w:tc>
        <w:tc>
          <w:tcPr>
            <w:tcW w:w="2635" w:type="pct"/>
          </w:tcPr>
          <w:p w14:paraId="4A68991A"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Post-Pandemic Recovery and How It Alters AASCTF’s Focus and Scalability</w:t>
            </w:r>
          </w:p>
        </w:tc>
        <w:tc>
          <w:tcPr>
            <w:tcW w:w="480" w:type="pct"/>
          </w:tcPr>
          <w:p w14:paraId="29C6612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2020</w:t>
            </w:r>
          </w:p>
        </w:tc>
        <w:tc>
          <w:tcPr>
            <w:tcW w:w="548" w:type="pct"/>
          </w:tcPr>
          <w:p w14:paraId="3A8AAFF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 xml:space="preserve">Ramboll  </w:t>
            </w:r>
          </w:p>
        </w:tc>
        <w:tc>
          <w:tcPr>
            <w:tcW w:w="1025" w:type="pct"/>
          </w:tcPr>
          <w:p w14:paraId="758CC46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rPr>
              <w:t>Internal Strategy</w:t>
            </w:r>
          </w:p>
        </w:tc>
      </w:tr>
      <w:tr w:rsidR="00773EEA" w:rsidRPr="00773EEA" w14:paraId="23C9B459"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00D930C4"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23</w:t>
            </w:r>
          </w:p>
        </w:tc>
        <w:tc>
          <w:tcPr>
            <w:tcW w:w="2635" w:type="pct"/>
            <w:shd w:val="clear" w:color="auto" w:fill="FBF2D6" w:themeFill="accent1" w:themeFillTint="33"/>
          </w:tcPr>
          <w:p w14:paraId="27308C7F"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AASCTF Strategy: Gender Equality and Social Inclusion</w:t>
            </w:r>
          </w:p>
        </w:tc>
        <w:tc>
          <w:tcPr>
            <w:tcW w:w="480" w:type="pct"/>
            <w:shd w:val="clear" w:color="auto" w:fill="FBF2D6" w:themeFill="accent1" w:themeFillTint="33"/>
          </w:tcPr>
          <w:p w14:paraId="0C8AADF2"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2021</w:t>
            </w:r>
          </w:p>
        </w:tc>
        <w:tc>
          <w:tcPr>
            <w:tcW w:w="548" w:type="pct"/>
            <w:shd w:val="clear" w:color="auto" w:fill="FBF2D6" w:themeFill="accent1" w:themeFillTint="33"/>
          </w:tcPr>
          <w:p w14:paraId="3F3FD8AB"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rPr>
              <w:t xml:space="preserve">Ramboll  </w:t>
            </w:r>
          </w:p>
        </w:tc>
        <w:tc>
          <w:tcPr>
            <w:tcW w:w="1025" w:type="pct"/>
            <w:shd w:val="clear" w:color="auto" w:fill="FBF2D6" w:themeFill="accent1" w:themeFillTint="33"/>
          </w:tcPr>
          <w:p w14:paraId="0F67FFB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rPr>
              <w:t>Internal Strategy</w:t>
            </w:r>
          </w:p>
        </w:tc>
      </w:tr>
      <w:tr w:rsidR="00773EEA" w:rsidRPr="00773EEA" w14:paraId="5D68C40D"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0C187BE6"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24</w:t>
            </w:r>
          </w:p>
        </w:tc>
        <w:tc>
          <w:tcPr>
            <w:tcW w:w="2635" w:type="pct"/>
          </w:tcPr>
          <w:p w14:paraId="2255D78F"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ADB M&amp;E Strategy, dated Jan 2021</w:t>
            </w:r>
          </w:p>
        </w:tc>
        <w:tc>
          <w:tcPr>
            <w:tcW w:w="480" w:type="pct"/>
          </w:tcPr>
          <w:p w14:paraId="523B5AD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2021</w:t>
            </w:r>
          </w:p>
        </w:tc>
        <w:tc>
          <w:tcPr>
            <w:tcW w:w="548" w:type="pct"/>
          </w:tcPr>
          <w:p w14:paraId="4A18FEC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ADB</w:t>
            </w:r>
          </w:p>
        </w:tc>
        <w:tc>
          <w:tcPr>
            <w:tcW w:w="1025" w:type="pct"/>
          </w:tcPr>
          <w:p w14:paraId="3BF2671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rPr>
              <w:t>Internal Strategy</w:t>
            </w:r>
          </w:p>
        </w:tc>
      </w:tr>
      <w:tr w:rsidR="00773EEA" w:rsidRPr="00773EEA" w14:paraId="0EF0D6EB"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7360E80"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25</w:t>
            </w:r>
          </w:p>
        </w:tc>
        <w:tc>
          <w:tcPr>
            <w:tcW w:w="2635" w:type="pct"/>
            <w:shd w:val="clear" w:color="auto" w:fill="FBF2D6" w:themeFill="accent1" w:themeFillTint="33"/>
          </w:tcPr>
          <w:p w14:paraId="0FD70DEF"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MPR 2020</w:t>
            </w:r>
          </w:p>
        </w:tc>
        <w:tc>
          <w:tcPr>
            <w:tcW w:w="480" w:type="pct"/>
            <w:shd w:val="clear" w:color="auto" w:fill="FBF2D6" w:themeFill="accent1" w:themeFillTint="33"/>
          </w:tcPr>
          <w:p w14:paraId="483E3D9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2020</w:t>
            </w:r>
          </w:p>
        </w:tc>
        <w:tc>
          <w:tcPr>
            <w:tcW w:w="548" w:type="pct"/>
            <w:shd w:val="clear" w:color="auto" w:fill="FBF2D6" w:themeFill="accent1" w:themeFillTint="33"/>
          </w:tcPr>
          <w:p w14:paraId="16CE042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78812EE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39662D2D"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4871B309"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lastRenderedPageBreak/>
              <w:t>26</w:t>
            </w:r>
          </w:p>
        </w:tc>
        <w:tc>
          <w:tcPr>
            <w:tcW w:w="2635" w:type="pct"/>
          </w:tcPr>
          <w:p w14:paraId="4CEE4CEA"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MPR Feb. 2022</w:t>
            </w:r>
          </w:p>
        </w:tc>
        <w:tc>
          <w:tcPr>
            <w:tcW w:w="480" w:type="pct"/>
          </w:tcPr>
          <w:p w14:paraId="6D09956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2022</w:t>
            </w:r>
          </w:p>
        </w:tc>
        <w:tc>
          <w:tcPr>
            <w:tcW w:w="548" w:type="pct"/>
          </w:tcPr>
          <w:p w14:paraId="23B4AB6B"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6520E10A"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6DC062C0"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FDFEA72"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27</w:t>
            </w:r>
          </w:p>
        </w:tc>
        <w:tc>
          <w:tcPr>
            <w:tcW w:w="2635" w:type="pct"/>
            <w:shd w:val="clear" w:color="auto" w:fill="FBF2D6" w:themeFill="accent1" w:themeFillTint="33"/>
          </w:tcPr>
          <w:p w14:paraId="6C31DBBF"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Selection of baseline material (Core program and TO specific)</w:t>
            </w:r>
          </w:p>
        </w:tc>
        <w:tc>
          <w:tcPr>
            <w:tcW w:w="480" w:type="pct"/>
            <w:shd w:val="clear" w:color="auto" w:fill="FBF2D6" w:themeFill="accent1" w:themeFillTint="33"/>
          </w:tcPr>
          <w:p w14:paraId="4FC82167"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4BB63F5D"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29A9AF8C"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5D10E250"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0899583D"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28</w:t>
            </w:r>
          </w:p>
        </w:tc>
        <w:tc>
          <w:tcPr>
            <w:tcW w:w="2635" w:type="pct"/>
          </w:tcPr>
          <w:p w14:paraId="7DDAD2A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Semi-Structured Individual Interview records (Laos - Pakse, Luang Prabang, Philippines- El </w:t>
            </w:r>
            <w:proofErr w:type="spellStart"/>
            <w:r w:rsidRPr="00773EEA">
              <w:rPr>
                <w:rFonts w:cstheme="minorHAnsi"/>
                <w:sz w:val="20"/>
                <w:szCs w:val="20"/>
                <w:lang w:val="en-GB"/>
              </w:rPr>
              <w:t>Nido</w:t>
            </w:r>
            <w:proofErr w:type="spellEnd"/>
            <w:r w:rsidRPr="00773EEA">
              <w:rPr>
                <w:rFonts w:cstheme="minorHAnsi"/>
                <w:sz w:val="20"/>
                <w:szCs w:val="20"/>
                <w:lang w:val="en-GB"/>
              </w:rPr>
              <w:t>, Indonesia- Banjarmasin, Makassar, Malaysia - Penang, Cambodia - Phnom Penh)</w:t>
            </w:r>
          </w:p>
        </w:tc>
        <w:tc>
          <w:tcPr>
            <w:tcW w:w="480" w:type="pct"/>
          </w:tcPr>
          <w:p w14:paraId="4ECF6CB7"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tcPr>
          <w:p w14:paraId="068A76A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08F5E9A4"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62D6E3EB"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BC6F791"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29</w:t>
            </w:r>
          </w:p>
        </w:tc>
        <w:tc>
          <w:tcPr>
            <w:tcW w:w="2635" w:type="pct"/>
            <w:shd w:val="clear" w:color="auto" w:fill="FBF2D6" w:themeFill="accent1" w:themeFillTint="33"/>
          </w:tcPr>
          <w:p w14:paraId="4B147414"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Inclusive Cities Dialogues-Pre-Module Survey </w:t>
            </w:r>
            <w:proofErr w:type="gramStart"/>
            <w:r w:rsidRPr="00773EEA">
              <w:rPr>
                <w:rFonts w:cstheme="minorHAnsi"/>
                <w:sz w:val="20"/>
                <w:szCs w:val="20"/>
                <w:lang w:val="en-GB"/>
              </w:rPr>
              <w:t>Guide;</w:t>
            </w:r>
            <w:proofErr w:type="gramEnd"/>
          </w:p>
          <w:p w14:paraId="6AB60D9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Survey; Potential Participant List - Philippines only</w:t>
            </w:r>
          </w:p>
        </w:tc>
        <w:tc>
          <w:tcPr>
            <w:tcW w:w="480" w:type="pct"/>
            <w:shd w:val="clear" w:color="auto" w:fill="FBF2D6" w:themeFill="accent1" w:themeFillTint="33"/>
          </w:tcPr>
          <w:p w14:paraId="65342A07"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1D3D360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504E31BC"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25B13944"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8F29A6A"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30</w:t>
            </w:r>
          </w:p>
        </w:tc>
        <w:tc>
          <w:tcPr>
            <w:tcW w:w="2635" w:type="pct"/>
          </w:tcPr>
          <w:p w14:paraId="3E1AD1D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ICD Issue Mapping</w:t>
            </w:r>
          </w:p>
        </w:tc>
        <w:tc>
          <w:tcPr>
            <w:tcW w:w="480" w:type="pct"/>
          </w:tcPr>
          <w:p w14:paraId="25F1E0B5"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tcPr>
          <w:p w14:paraId="4B4635E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5F8FAB73"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61FE1540"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AEE9B0E"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31</w:t>
            </w:r>
          </w:p>
        </w:tc>
        <w:tc>
          <w:tcPr>
            <w:tcW w:w="2635" w:type="pct"/>
            <w:shd w:val="clear" w:color="auto" w:fill="FBF2D6" w:themeFill="accent1" w:themeFillTint="33"/>
          </w:tcPr>
          <w:p w14:paraId="4EBF282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ICD Stakeholder Mapping</w:t>
            </w:r>
          </w:p>
        </w:tc>
        <w:tc>
          <w:tcPr>
            <w:tcW w:w="480" w:type="pct"/>
            <w:shd w:val="clear" w:color="auto" w:fill="FBF2D6" w:themeFill="accent1" w:themeFillTint="33"/>
          </w:tcPr>
          <w:p w14:paraId="16741F43"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7FDFFE90"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4F35E77A"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08F46C07"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6B822199"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32</w:t>
            </w:r>
          </w:p>
        </w:tc>
        <w:tc>
          <w:tcPr>
            <w:tcW w:w="2635" w:type="pct"/>
          </w:tcPr>
          <w:p w14:paraId="7A4FD341"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Selection of Activity Level Performance Assessments (ALPAs)</w:t>
            </w:r>
          </w:p>
        </w:tc>
        <w:tc>
          <w:tcPr>
            <w:tcW w:w="480" w:type="pct"/>
          </w:tcPr>
          <w:p w14:paraId="63685B5F"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tcPr>
          <w:p w14:paraId="358647F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7B83C39E"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69432B87"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23E1041D"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33</w:t>
            </w:r>
          </w:p>
        </w:tc>
        <w:tc>
          <w:tcPr>
            <w:tcW w:w="2635" w:type="pct"/>
            <w:shd w:val="clear" w:color="auto" w:fill="FBF2D6" w:themeFill="accent1" w:themeFillTint="33"/>
          </w:tcPr>
          <w:p w14:paraId="0A678F8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Selection of Intervention Quarterly Progress Reports (QPRs)</w:t>
            </w:r>
          </w:p>
        </w:tc>
        <w:tc>
          <w:tcPr>
            <w:tcW w:w="480" w:type="pct"/>
            <w:shd w:val="clear" w:color="auto" w:fill="FBF2D6" w:themeFill="accent1" w:themeFillTint="33"/>
          </w:tcPr>
          <w:p w14:paraId="41F9C9FE"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26C6E599"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3762EDA2"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022EDD77"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0E9C56A"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34</w:t>
            </w:r>
          </w:p>
        </w:tc>
        <w:tc>
          <w:tcPr>
            <w:tcW w:w="2635" w:type="pct"/>
          </w:tcPr>
          <w:p w14:paraId="531B6DBC" w14:textId="35499811"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Selection of TO Output documents, with a greater focus on Baguio and Makassar. </w:t>
            </w:r>
          </w:p>
        </w:tc>
        <w:tc>
          <w:tcPr>
            <w:tcW w:w="480" w:type="pct"/>
          </w:tcPr>
          <w:p w14:paraId="5E4D9E76"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tcPr>
          <w:p w14:paraId="62C4F48C"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38E69D57"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7E0CCEBC"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AF2BCF3"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35</w:t>
            </w:r>
          </w:p>
        </w:tc>
        <w:tc>
          <w:tcPr>
            <w:tcW w:w="2635" w:type="pct"/>
            <w:shd w:val="clear" w:color="auto" w:fill="FBF2D6" w:themeFill="accent1" w:themeFillTint="33"/>
          </w:tcPr>
          <w:p w14:paraId="2D47A24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Selection of comms material (2pg </w:t>
            </w:r>
            <w:r w:rsidRPr="00773EEA">
              <w:rPr>
                <w:rFonts w:cstheme="minorHAnsi"/>
                <w:sz w:val="20"/>
                <w:szCs w:val="20"/>
              </w:rPr>
              <w:t xml:space="preserve">Intro brochure, </w:t>
            </w:r>
            <w:r w:rsidRPr="00773EEA">
              <w:rPr>
                <w:rFonts w:cstheme="minorHAnsi"/>
                <w:sz w:val="20"/>
                <w:szCs w:val="20"/>
                <w:lang w:val="en-GB"/>
              </w:rPr>
              <w:t>Digital Solutions Briefs, AASCTF YouTube channel, Flyers etc.)</w:t>
            </w:r>
          </w:p>
        </w:tc>
        <w:tc>
          <w:tcPr>
            <w:tcW w:w="480" w:type="pct"/>
            <w:shd w:val="clear" w:color="auto" w:fill="FBF2D6" w:themeFill="accent1" w:themeFillTint="33"/>
          </w:tcPr>
          <w:p w14:paraId="30285847"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16CF6C45"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shd w:val="clear" w:color="auto" w:fill="FBF2D6" w:themeFill="accent1" w:themeFillTint="33"/>
          </w:tcPr>
          <w:p w14:paraId="2E7949B1"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765B11F2"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4C63EE6B"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36</w:t>
            </w:r>
          </w:p>
        </w:tc>
        <w:tc>
          <w:tcPr>
            <w:tcW w:w="2635" w:type="pct"/>
          </w:tcPr>
          <w:p w14:paraId="30BE5CE8"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Selection of webinar participant lists </w:t>
            </w:r>
          </w:p>
        </w:tc>
        <w:tc>
          <w:tcPr>
            <w:tcW w:w="480" w:type="pct"/>
          </w:tcPr>
          <w:p w14:paraId="11FF088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tcPr>
          <w:p w14:paraId="7FF7BBA5"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Ramboll</w:t>
            </w:r>
          </w:p>
        </w:tc>
        <w:tc>
          <w:tcPr>
            <w:tcW w:w="1025" w:type="pct"/>
          </w:tcPr>
          <w:p w14:paraId="5DE6B28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6F779690" w14:textId="77777777" w:rsidTr="00E6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1ECC6043"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37</w:t>
            </w:r>
          </w:p>
        </w:tc>
        <w:tc>
          <w:tcPr>
            <w:tcW w:w="2635" w:type="pct"/>
            <w:shd w:val="clear" w:color="auto" w:fill="FBF2D6" w:themeFill="accent1" w:themeFillTint="33"/>
          </w:tcPr>
          <w:p w14:paraId="21959AD2"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 xml:space="preserve">Selection of </w:t>
            </w:r>
            <w:proofErr w:type="spellStart"/>
            <w:r w:rsidRPr="00773EEA">
              <w:rPr>
                <w:rFonts w:cstheme="minorHAnsi"/>
                <w:sz w:val="20"/>
                <w:szCs w:val="20"/>
                <w:lang w:val="en-GB"/>
              </w:rPr>
              <w:t>ToRs</w:t>
            </w:r>
            <w:proofErr w:type="spellEnd"/>
            <w:r w:rsidRPr="00773EEA">
              <w:rPr>
                <w:rFonts w:cstheme="minorHAnsi"/>
                <w:sz w:val="20"/>
                <w:szCs w:val="20"/>
                <w:lang w:val="en-GB"/>
              </w:rPr>
              <w:t xml:space="preserve"> and Outputs from Resource Person Contracts and Direct Charge Projects</w:t>
            </w:r>
          </w:p>
        </w:tc>
        <w:tc>
          <w:tcPr>
            <w:tcW w:w="480" w:type="pct"/>
            <w:shd w:val="clear" w:color="auto" w:fill="FBF2D6" w:themeFill="accent1" w:themeFillTint="33"/>
          </w:tcPr>
          <w:p w14:paraId="036131C6"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Multi</w:t>
            </w:r>
          </w:p>
        </w:tc>
        <w:tc>
          <w:tcPr>
            <w:tcW w:w="548" w:type="pct"/>
            <w:shd w:val="clear" w:color="auto" w:fill="FBF2D6" w:themeFill="accent1" w:themeFillTint="33"/>
          </w:tcPr>
          <w:p w14:paraId="42BF3758"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ADB</w:t>
            </w:r>
          </w:p>
        </w:tc>
        <w:tc>
          <w:tcPr>
            <w:tcW w:w="1025" w:type="pct"/>
            <w:shd w:val="clear" w:color="auto" w:fill="FBF2D6" w:themeFill="accent1" w:themeFillTint="33"/>
          </w:tcPr>
          <w:p w14:paraId="3CBB1092" w14:textId="77777777" w:rsidR="00E829A1" w:rsidRPr="00773EEA" w:rsidRDefault="00E829A1"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30250EEC"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9D8173C" w14:textId="77777777" w:rsidR="00E829A1" w:rsidRPr="00773EEA" w:rsidRDefault="00E829A1"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38</w:t>
            </w:r>
          </w:p>
        </w:tc>
        <w:tc>
          <w:tcPr>
            <w:tcW w:w="2635" w:type="pct"/>
          </w:tcPr>
          <w:p w14:paraId="52003BA0"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GESI Country Summaries</w:t>
            </w:r>
          </w:p>
        </w:tc>
        <w:tc>
          <w:tcPr>
            <w:tcW w:w="480" w:type="pct"/>
          </w:tcPr>
          <w:p w14:paraId="6DFC595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p>
        </w:tc>
        <w:tc>
          <w:tcPr>
            <w:tcW w:w="548" w:type="pct"/>
          </w:tcPr>
          <w:p w14:paraId="04FD48BD"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p>
        </w:tc>
        <w:tc>
          <w:tcPr>
            <w:tcW w:w="1025" w:type="pct"/>
          </w:tcPr>
          <w:p w14:paraId="03DC2932" w14:textId="77777777" w:rsidR="00E829A1" w:rsidRPr="00773EEA" w:rsidRDefault="00E829A1"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Program Documents</w:t>
            </w:r>
          </w:p>
        </w:tc>
      </w:tr>
      <w:tr w:rsidR="00773EEA" w:rsidRPr="00773EEA" w14:paraId="0EFD8FE7" w14:textId="77777777" w:rsidTr="00DD5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556FE4D7" w14:textId="63D07EF2" w:rsidR="00AF4D85" w:rsidRPr="00773EEA" w:rsidRDefault="00AF4D85"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39</w:t>
            </w:r>
          </w:p>
        </w:tc>
        <w:tc>
          <w:tcPr>
            <w:tcW w:w="2635" w:type="pct"/>
            <w:shd w:val="clear" w:color="auto" w:fill="FBF2D6" w:themeFill="accent1" w:themeFillTint="33"/>
          </w:tcPr>
          <w:p w14:paraId="40AAE5DF" w14:textId="16B735E1"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ADB Strategy 2030 Operational Plan for Priority 2: Accelerating Progress in Gender Equality, 2019-2024</w:t>
            </w:r>
          </w:p>
        </w:tc>
        <w:tc>
          <w:tcPr>
            <w:tcW w:w="480" w:type="pct"/>
            <w:shd w:val="clear" w:color="auto" w:fill="FBF2D6" w:themeFill="accent1" w:themeFillTint="33"/>
          </w:tcPr>
          <w:p w14:paraId="774166B6" w14:textId="1FBBF775"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2019</w:t>
            </w:r>
          </w:p>
        </w:tc>
        <w:tc>
          <w:tcPr>
            <w:tcW w:w="548" w:type="pct"/>
            <w:shd w:val="clear" w:color="auto" w:fill="FBF2D6" w:themeFill="accent1" w:themeFillTint="33"/>
          </w:tcPr>
          <w:p w14:paraId="230E57FE" w14:textId="09110153"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ADB</w:t>
            </w:r>
          </w:p>
        </w:tc>
        <w:tc>
          <w:tcPr>
            <w:tcW w:w="1025" w:type="pct"/>
            <w:shd w:val="clear" w:color="auto" w:fill="FBF2D6" w:themeFill="accent1" w:themeFillTint="33"/>
          </w:tcPr>
          <w:p w14:paraId="7852791F" w14:textId="6C6C7B02"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Online</w:t>
            </w:r>
          </w:p>
        </w:tc>
      </w:tr>
      <w:tr w:rsidR="00773EEA" w:rsidRPr="00773EEA" w14:paraId="0A497DFB"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30864B4A" w14:textId="18B7DBDD" w:rsidR="00AF4D85" w:rsidRPr="00773EEA" w:rsidRDefault="00AF4D85"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40</w:t>
            </w:r>
          </w:p>
        </w:tc>
        <w:tc>
          <w:tcPr>
            <w:tcW w:w="2635" w:type="pct"/>
          </w:tcPr>
          <w:p w14:paraId="2B031C78" w14:textId="607A628F"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DFAT Gender Equality and Women’s Empowerment Strategy</w:t>
            </w:r>
          </w:p>
        </w:tc>
        <w:tc>
          <w:tcPr>
            <w:tcW w:w="480" w:type="pct"/>
          </w:tcPr>
          <w:p w14:paraId="3167DF1E" w14:textId="5223E768"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2016</w:t>
            </w:r>
          </w:p>
        </w:tc>
        <w:tc>
          <w:tcPr>
            <w:tcW w:w="548" w:type="pct"/>
          </w:tcPr>
          <w:p w14:paraId="78E74C39" w14:textId="46716A5B"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DFAT</w:t>
            </w:r>
          </w:p>
        </w:tc>
        <w:tc>
          <w:tcPr>
            <w:tcW w:w="1025" w:type="pct"/>
          </w:tcPr>
          <w:p w14:paraId="5C642E1A" w14:textId="0809FC47"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Online</w:t>
            </w:r>
          </w:p>
        </w:tc>
      </w:tr>
      <w:tr w:rsidR="00773EEA" w:rsidRPr="00773EEA" w14:paraId="3C9EF54C" w14:textId="77777777" w:rsidTr="00DD5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4072B431" w14:textId="021FF3C2" w:rsidR="00AF4D85" w:rsidRPr="00773EEA" w:rsidRDefault="00AF4D85"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41</w:t>
            </w:r>
          </w:p>
        </w:tc>
        <w:tc>
          <w:tcPr>
            <w:tcW w:w="2635" w:type="pct"/>
            <w:shd w:val="clear" w:color="auto" w:fill="FBF2D6" w:themeFill="accent1" w:themeFillTint="33"/>
          </w:tcPr>
          <w:p w14:paraId="0B778383" w14:textId="1ED7034A"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Baguio City Gender and Inclusion Study</w:t>
            </w:r>
          </w:p>
        </w:tc>
        <w:tc>
          <w:tcPr>
            <w:tcW w:w="480" w:type="pct"/>
            <w:shd w:val="clear" w:color="auto" w:fill="FBF2D6" w:themeFill="accent1" w:themeFillTint="33"/>
          </w:tcPr>
          <w:p w14:paraId="02FCE58D" w14:textId="39A5EF00"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2021</w:t>
            </w:r>
          </w:p>
        </w:tc>
        <w:tc>
          <w:tcPr>
            <w:tcW w:w="548" w:type="pct"/>
            <w:shd w:val="clear" w:color="auto" w:fill="FBF2D6" w:themeFill="accent1" w:themeFillTint="33"/>
          </w:tcPr>
          <w:p w14:paraId="2DCE9790" w14:textId="77777777"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AASCTF/DFAT/ADB</w:t>
            </w:r>
          </w:p>
          <w:p w14:paraId="3AFF0519" w14:textId="69992A81"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Ramboll/Practical Action Consulting/Ascott (authors)</w:t>
            </w:r>
          </w:p>
        </w:tc>
        <w:tc>
          <w:tcPr>
            <w:tcW w:w="1025" w:type="pct"/>
            <w:shd w:val="clear" w:color="auto" w:fill="FBF2D6" w:themeFill="accent1" w:themeFillTint="33"/>
          </w:tcPr>
          <w:p w14:paraId="647376BC" w14:textId="340083BC"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Online</w:t>
            </w:r>
          </w:p>
        </w:tc>
      </w:tr>
      <w:tr w:rsidR="00773EEA" w:rsidRPr="00773EEA" w14:paraId="3472A309" w14:textId="77777777" w:rsidTr="00E6721E">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393526C6" w14:textId="12CA9A37" w:rsidR="00AF4D85" w:rsidRPr="00773EEA" w:rsidRDefault="00AF4D85"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42</w:t>
            </w:r>
          </w:p>
        </w:tc>
        <w:tc>
          <w:tcPr>
            <w:tcW w:w="2635" w:type="pct"/>
          </w:tcPr>
          <w:p w14:paraId="471D3C51" w14:textId="018AFE6F"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Policy and Practice Recommendations: Towards a Gender Transformative FEWS in Baguio City</w:t>
            </w:r>
          </w:p>
        </w:tc>
        <w:tc>
          <w:tcPr>
            <w:tcW w:w="480" w:type="pct"/>
          </w:tcPr>
          <w:p w14:paraId="479FC6B8" w14:textId="0D0ADAC7"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2021</w:t>
            </w:r>
          </w:p>
        </w:tc>
        <w:tc>
          <w:tcPr>
            <w:tcW w:w="548" w:type="pct"/>
          </w:tcPr>
          <w:p w14:paraId="7856E958" w14:textId="77777777"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773EEA">
              <w:rPr>
                <w:rFonts w:cstheme="minorHAnsi"/>
                <w:sz w:val="20"/>
                <w:szCs w:val="20"/>
                <w:lang w:val="en-GB"/>
              </w:rPr>
              <w:t>AASCTF/DFAT/ADB</w:t>
            </w:r>
          </w:p>
          <w:p w14:paraId="57974BC5" w14:textId="3942BD45"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Ramboll/Practical Action Consulting (authors)</w:t>
            </w:r>
          </w:p>
        </w:tc>
        <w:tc>
          <w:tcPr>
            <w:tcW w:w="1025" w:type="pct"/>
          </w:tcPr>
          <w:p w14:paraId="6242B6FB" w14:textId="5063D3E9" w:rsidR="00AF4D85" w:rsidRPr="00773EEA" w:rsidRDefault="00AF4D85" w:rsidP="00B7602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EEA">
              <w:rPr>
                <w:rFonts w:cstheme="minorHAnsi"/>
                <w:sz w:val="20"/>
                <w:szCs w:val="20"/>
                <w:lang w:val="en-GB"/>
              </w:rPr>
              <w:t>Online</w:t>
            </w:r>
          </w:p>
        </w:tc>
      </w:tr>
      <w:tr w:rsidR="00773EEA" w:rsidRPr="00773EEA" w14:paraId="6EA53C9A" w14:textId="77777777" w:rsidTr="00DD5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 w:type="pct"/>
            <w:shd w:val="clear" w:color="auto" w:fill="EBC132" w:themeFill="accent1"/>
          </w:tcPr>
          <w:p w14:paraId="2CE560AB" w14:textId="20C5754D" w:rsidR="00AF4D85" w:rsidRPr="00773EEA" w:rsidRDefault="00AF4D85" w:rsidP="00B7602B">
            <w:pPr>
              <w:spacing w:before="40" w:after="40"/>
              <w:jc w:val="center"/>
              <w:rPr>
                <w:rFonts w:cstheme="minorHAnsi"/>
                <w:b w:val="0"/>
                <w:bCs w:val="0"/>
                <w:sz w:val="20"/>
                <w:szCs w:val="20"/>
                <w:lang w:val="en-GB"/>
              </w:rPr>
            </w:pPr>
            <w:r w:rsidRPr="00773EEA">
              <w:rPr>
                <w:rFonts w:cstheme="minorHAnsi"/>
                <w:b w:val="0"/>
                <w:bCs w:val="0"/>
                <w:sz w:val="20"/>
                <w:szCs w:val="20"/>
                <w:lang w:val="en-GB"/>
              </w:rPr>
              <w:t>43</w:t>
            </w:r>
          </w:p>
        </w:tc>
        <w:tc>
          <w:tcPr>
            <w:tcW w:w="2635" w:type="pct"/>
            <w:shd w:val="clear" w:color="auto" w:fill="FBF2D6" w:themeFill="accent1" w:themeFillTint="33"/>
          </w:tcPr>
          <w:p w14:paraId="76BA5623" w14:textId="63A25FCF"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 xml:space="preserve">From Policy Recommendations to Practical </w:t>
            </w:r>
            <w:r w:rsidR="00DD5806" w:rsidRPr="00773EEA">
              <w:rPr>
                <w:rFonts w:cstheme="minorHAnsi"/>
                <w:sz w:val="20"/>
                <w:szCs w:val="20"/>
                <w:lang w:val="en-GB"/>
              </w:rPr>
              <w:t>Actions: Towards</w:t>
            </w:r>
            <w:r w:rsidRPr="00773EEA">
              <w:rPr>
                <w:rFonts w:cstheme="minorHAnsi"/>
                <w:sz w:val="20"/>
                <w:szCs w:val="20"/>
                <w:lang w:val="en-GB"/>
              </w:rPr>
              <w:t xml:space="preserve"> Gender Transformative Practices for Baguio City’s FEWS</w:t>
            </w:r>
          </w:p>
        </w:tc>
        <w:tc>
          <w:tcPr>
            <w:tcW w:w="480" w:type="pct"/>
            <w:shd w:val="clear" w:color="auto" w:fill="FBF2D6" w:themeFill="accent1" w:themeFillTint="33"/>
          </w:tcPr>
          <w:p w14:paraId="65876AA2" w14:textId="2FCDA72E"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2021</w:t>
            </w:r>
          </w:p>
        </w:tc>
        <w:tc>
          <w:tcPr>
            <w:tcW w:w="548" w:type="pct"/>
            <w:shd w:val="clear" w:color="auto" w:fill="FBF2D6" w:themeFill="accent1" w:themeFillTint="33"/>
          </w:tcPr>
          <w:p w14:paraId="018E2846" w14:textId="77777777"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773EEA">
              <w:rPr>
                <w:rFonts w:cstheme="minorHAnsi"/>
                <w:sz w:val="20"/>
                <w:szCs w:val="20"/>
                <w:lang w:val="en-GB"/>
              </w:rPr>
              <w:t>AASCTF/DFAT/ADB</w:t>
            </w:r>
          </w:p>
          <w:p w14:paraId="1712B4AD" w14:textId="45ABC38C"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Ramboll/Practical Action Consulting (authors)</w:t>
            </w:r>
          </w:p>
        </w:tc>
        <w:tc>
          <w:tcPr>
            <w:tcW w:w="1025" w:type="pct"/>
            <w:shd w:val="clear" w:color="auto" w:fill="FBF2D6" w:themeFill="accent1" w:themeFillTint="33"/>
          </w:tcPr>
          <w:p w14:paraId="43AA12EF" w14:textId="12CBF197" w:rsidR="00AF4D85" w:rsidRPr="00773EEA" w:rsidRDefault="00AF4D85" w:rsidP="00B7602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EEA">
              <w:rPr>
                <w:rFonts w:cstheme="minorHAnsi"/>
                <w:sz w:val="20"/>
                <w:szCs w:val="20"/>
                <w:lang w:val="en-GB"/>
              </w:rPr>
              <w:t>Online</w:t>
            </w:r>
          </w:p>
        </w:tc>
      </w:tr>
    </w:tbl>
    <w:p w14:paraId="21A911C8" w14:textId="77777777" w:rsidR="00E829A1" w:rsidRPr="00773EEA" w:rsidRDefault="00E829A1" w:rsidP="00E829A1"/>
    <w:p w14:paraId="6F3B9189" w14:textId="72B6DF99" w:rsidR="00010C25" w:rsidRPr="00773EEA" w:rsidRDefault="00010C25" w:rsidP="00010C25">
      <w:pPr>
        <w:pStyle w:val="Heading1Numberedsmallspaceafter"/>
        <w:keepNext w:val="0"/>
        <w:keepLines w:val="0"/>
        <w:pageBreakBefore/>
        <w:numPr>
          <w:ilvl w:val="0"/>
          <w:numId w:val="0"/>
        </w:numPr>
        <w:spacing w:after="360"/>
        <w:rPr>
          <w:rFonts w:ascii="Georgia" w:eastAsia="Times New Roman" w:hAnsi="Georgia" w:cs="Arial"/>
          <w:b w:val="0"/>
          <w:iCs/>
          <w:caps w:val="0"/>
          <w:color w:val="auto"/>
          <w:sz w:val="32"/>
          <w:szCs w:val="32"/>
          <w:lang w:val="en-GB"/>
        </w:rPr>
      </w:pPr>
      <w:bookmarkStart w:id="85" w:name="_Toc123633728"/>
      <w:r w:rsidRPr="00773EEA">
        <w:rPr>
          <w:rFonts w:ascii="Georgia" w:eastAsia="Times New Roman" w:hAnsi="Georgia" w:cs="Arial"/>
          <w:b w:val="0"/>
          <w:iCs/>
          <w:caps w:val="0"/>
          <w:color w:val="auto"/>
          <w:sz w:val="32"/>
          <w:szCs w:val="32"/>
          <w:lang w:val="en-GB"/>
        </w:rPr>
        <w:lastRenderedPageBreak/>
        <w:t>Annex 2: List of Key Informants</w:t>
      </w:r>
      <w:bookmarkEnd w:id="85"/>
    </w:p>
    <w:p w14:paraId="4AE5525D" w14:textId="77777777" w:rsidR="00E6721E" w:rsidRPr="00773EEA" w:rsidRDefault="00E6721E" w:rsidP="00E6721E">
      <w:pPr>
        <w:pStyle w:val="Caption"/>
        <w:keepNext/>
        <w:ind w:firstLine="0"/>
        <w:rPr>
          <w:b w:val="0"/>
          <w:bCs w:val="0"/>
          <w:color w:val="auto"/>
        </w:rPr>
      </w:pPr>
      <w:r w:rsidRPr="00773EEA">
        <w:rPr>
          <w:b w:val="0"/>
          <w:color w:val="auto"/>
        </w:rPr>
        <w:t>The following key informants were interviewed to inform the MTR.</w:t>
      </w:r>
    </w:p>
    <w:tbl>
      <w:tblPr>
        <w:tblStyle w:val="GridTable4-Accent1"/>
        <w:tblW w:w="0" w:type="auto"/>
        <w:tblLook w:val="04A0" w:firstRow="1" w:lastRow="0" w:firstColumn="1" w:lastColumn="0" w:noHBand="0" w:noVBand="1"/>
      </w:tblPr>
      <w:tblGrid>
        <w:gridCol w:w="1838"/>
        <w:gridCol w:w="3260"/>
        <w:gridCol w:w="2835"/>
        <w:gridCol w:w="1207"/>
      </w:tblGrid>
      <w:tr w:rsidR="00773EEA" w:rsidRPr="00773EEA" w14:paraId="7CD3F6C2" w14:textId="77777777" w:rsidTr="00E25A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A9587EF" w14:textId="77777777" w:rsidR="00E6721E" w:rsidRPr="00773EEA" w:rsidRDefault="00E6721E" w:rsidP="00B7602B">
            <w:pPr>
              <w:spacing w:before="20" w:after="20"/>
              <w:rPr>
                <w:rFonts w:asciiTheme="minorHAnsi" w:hAnsiTheme="minorHAnsi" w:cstheme="minorHAnsi"/>
                <w:sz w:val="18"/>
              </w:rPr>
            </w:pPr>
            <w:r w:rsidRPr="00773EEA">
              <w:rPr>
                <w:rFonts w:asciiTheme="minorHAnsi" w:hAnsiTheme="minorHAnsi" w:cstheme="minorHAnsi"/>
                <w:sz w:val="18"/>
              </w:rPr>
              <w:t>Name</w:t>
            </w:r>
          </w:p>
        </w:tc>
        <w:tc>
          <w:tcPr>
            <w:tcW w:w="3260" w:type="dxa"/>
          </w:tcPr>
          <w:p w14:paraId="358CC6F9" w14:textId="77777777" w:rsidR="00E6721E" w:rsidRPr="00773EEA" w:rsidRDefault="00E6721E" w:rsidP="00B7602B">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Role</w:t>
            </w:r>
          </w:p>
        </w:tc>
        <w:tc>
          <w:tcPr>
            <w:tcW w:w="2835" w:type="dxa"/>
          </w:tcPr>
          <w:p w14:paraId="74BA0E8D" w14:textId="77777777" w:rsidR="00E6721E" w:rsidRPr="00773EEA" w:rsidRDefault="00E6721E" w:rsidP="00B7602B">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Organisation / City</w:t>
            </w:r>
          </w:p>
        </w:tc>
        <w:tc>
          <w:tcPr>
            <w:tcW w:w="0" w:type="dxa"/>
          </w:tcPr>
          <w:p w14:paraId="20CD3E19" w14:textId="77777777" w:rsidR="00E6721E" w:rsidRPr="00773EEA" w:rsidRDefault="00E6721E" w:rsidP="00B7602B">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Date Interviewed</w:t>
            </w:r>
          </w:p>
        </w:tc>
      </w:tr>
      <w:tr w:rsidR="00773EEA" w:rsidRPr="00773EEA" w14:paraId="1556700C"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AAE5AB9"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Peter Adams </w:t>
            </w:r>
          </w:p>
        </w:tc>
        <w:tc>
          <w:tcPr>
            <w:tcW w:w="3260" w:type="dxa"/>
          </w:tcPr>
          <w:p w14:paraId="3DDB5AED"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Assistant Director </w:t>
            </w:r>
          </w:p>
        </w:tc>
        <w:tc>
          <w:tcPr>
            <w:tcW w:w="2835" w:type="dxa"/>
          </w:tcPr>
          <w:p w14:paraId="233C0945"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ASEAN and Regional Architecture Branch, DFAT</w:t>
            </w:r>
          </w:p>
        </w:tc>
        <w:tc>
          <w:tcPr>
            <w:tcW w:w="0" w:type="dxa"/>
            <w:vAlign w:val="center"/>
          </w:tcPr>
          <w:p w14:paraId="513C675E"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02/05/2022</w:t>
            </w:r>
          </w:p>
        </w:tc>
      </w:tr>
      <w:tr w:rsidR="00773EEA" w:rsidRPr="00773EEA" w14:paraId="16556DF1"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3015293E"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Bronwyn Robbins</w:t>
            </w:r>
          </w:p>
        </w:tc>
        <w:tc>
          <w:tcPr>
            <w:tcW w:w="3260" w:type="dxa"/>
          </w:tcPr>
          <w:p w14:paraId="36DC01CC"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Head of Mission  </w:t>
            </w:r>
          </w:p>
        </w:tc>
        <w:tc>
          <w:tcPr>
            <w:tcW w:w="2835" w:type="dxa"/>
          </w:tcPr>
          <w:p w14:paraId="313DB385"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DFAT Indonesia - Makassar</w:t>
            </w:r>
          </w:p>
        </w:tc>
        <w:tc>
          <w:tcPr>
            <w:tcW w:w="0" w:type="dxa"/>
            <w:vAlign w:val="center"/>
          </w:tcPr>
          <w:p w14:paraId="271CC8F0"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08/06/2022</w:t>
            </w:r>
          </w:p>
        </w:tc>
      </w:tr>
      <w:tr w:rsidR="00773EEA" w:rsidRPr="00773EEA" w14:paraId="7E017654"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67665A"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Soulivanh</w:t>
            </w:r>
            <w:proofErr w:type="spellEnd"/>
            <w:r w:rsidRPr="00773EEA">
              <w:rPr>
                <w:rFonts w:asciiTheme="minorHAnsi" w:hAnsiTheme="minorHAnsi" w:cstheme="minorHAnsi"/>
                <w:sz w:val="18"/>
              </w:rPr>
              <w:t xml:space="preserve"> </w:t>
            </w:r>
            <w:proofErr w:type="spellStart"/>
            <w:r w:rsidRPr="00773EEA">
              <w:rPr>
                <w:rFonts w:asciiTheme="minorHAnsi" w:hAnsiTheme="minorHAnsi" w:cstheme="minorHAnsi"/>
                <w:sz w:val="18"/>
              </w:rPr>
              <w:t>Souksavath</w:t>
            </w:r>
            <w:proofErr w:type="spellEnd"/>
            <w:r w:rsidRPr="00773EEA">
              <w:rPr>
                <w:rFonts w:asciiTheme="minorHAnsi" w:hAnsiTheme="minorHAnsi" w:cstheme="minorHAnsi"/>
                <w:sz w:val="18"/>
              </w:rPr>
              <w:t xml:space="preserve"> &amp; Hannah Wurf</w:t>
            </w:r>
          </w:p>
        </w:tc>
        <w:tc>
          <w:tcPr>
            <w:tcW w:w="3260" w:type="dxa"/>
          </w:tcPr>
          <w:p w14:paraId="27CE868E"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TBC  </w:t>
            </w:r>
          </w:p>
        </w:tc>
        <w:tc>
          <w:tcPr>
            <w:tcW w:w="2835" w:type="dxa"/>
          </w:tcPr>
          <w:p w14:paraId="390CB2BA"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DFAT - Lao PDR - Luang Prabang</w:t>
            </w:r>
          </w:p>
        </w:tc>
        <w:tc>
          <w:tcPr>
            <w:tcW w:w="0" w:type="dxa"/>
            <w:vAlign w:val="center"/>
          </w:tcPr>
          <w:p w14:paraId="37316BCD"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09/06/2022</w:t>
            </w:r>
          </w:p>
        </w:tc>
      </w:tr>
      <w:tr w:rsidR="00773EEA" w:rsidRPr="00773EEA" w14:paraId="5E586F13"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19257312"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Adrian Gilbert</w:t>
            </w:r>
          </w:p>
        </w:tc>
        <w:tc>
          <w:tcPr>
            <w:tcW w:w="3260" w:type="dxa"/>
          </w:tcPr>
          <w:p w14:paraId="4CBC4B6F"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Head of ASEAN Mission</w:t>
            </w:r>
          </w:p>
        </w:tc>
        <w:tc>
          <w:tcPr>
            <w:tcW w:w="2835" w:type="dxa"/>
          </w:tcPr>
          <w:p w14:paraId="6EA6CF9E"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DFAT</w:t>
            </w:r>
          </w:p>
        </w:tc>
        <w:tc>
          <w:tcPr>
            <w:tcW w:w="0" w:type="dxa"/>
            <w:vAlign w:val="center"/>
          </w:tcPr>
          <w:p w14:paraId="1077C8A0"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10/06/2022</w:t>
            </w:r>
          </w:p>
        </w:tc>
      </w:tr>
      <w:tr w:rsidR="00773EEA" w:rsidRPr="00773EEA" w14:paraId="26ED6BF7"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1AA1AA7"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Srinivas Sampath</w:t>
            </w:r>
          </w:p>
        </w:tc>
        <w:tc>
          <w:tcPr>
            <w:tcW w:w="3260" w:type="dxa"/>
          </w:tcPr>
          <w:p w14:paraId="75CD179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Director</w:t>
            </w:r>
          </w:p>
        </w:tc>
        <w:tc>
          <w:tcPr>
            <w:tcW w:w="2835" w:type="dxa"/>
            <w:vAlign w:val="center"/>
          </w:tcPr>
          <w:p w14:paraId="580FBC8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Southeast Asia Urban Development and Water Division, ADB</w:t>
            </w:r>
          </w:p>
        </w:tc>
        <w:tc>
          <w:tcPr>
            <w:tcW w:w="0" w:type="dxa"/>
            <w:vAlign w:val="center"/>
          </w:tcPr>
          <w:p w14:paraId="6EC13C6B"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Session 1: 03/05/2022</w:t>
            </w:r>
          </w:p>
          <w:p w14:paraId="0637D4DA"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Session 2: 04/05/2022</w:t>
            </w:r>
          </w:p>
        </w:tc>
      </w:tr>
      <w:tr w:rsidR="00773EEA" w:rsidRPr="00773EEA" w14:paraId="784D7086" w14:textId="77777777" w:rsidTr="00BB2652">
        <w:tc>
          <w:tcPr>
            <w:cnfStyle w:val="001000000000" w:firstRow="0" w:lastRow="0" w:firstColumn="1" w:lastColumn="0" w:oddVBand="0" w:evenVBand="0" w:oddHBand="0" w:evenHBand="0" w:firstRowFirstColumn="0" w:firstRowLastColumn="0" w:lastRowFirstColumn="0" w:lastRowLastColumn="0"/>
            <w:tcW w:w="1838" w:type="dxa"/>
          </w:tcPr>
          <w:p w14:paraId="7D53A21E"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Joris van Etten &amp;</w:t>
            </w:r>
          </w:p>
        </w:tc>
        <w:tc>
          <w:tcPr>
            <w:tcW w:w="3260" w:type="dxa"/>
          </w:tcPr>
          <w:p w14:paraId="0C7F4C5E"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Senior Urban Development Specialist</w:t>
            </w:r>
          </w:p>
        </w:tc>
        <w:tc>
          <w:tcPr>
            <w:tcW w:w="2835" w:type="dxa"/>
            <w:shd w:val="clear" w:color="auto" w:fill="FBF2D6" w:themeFill="accent1" w:themeFillTint="33"/>
          </w:tcPr>
          <w:p w14:paraId="0AA1622E" w14:textId="1EC7C4D7" w:rsidR="00E6721E" w:rsidRPr="00773EEA" w:rsidRDefault="00BB2652"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Southeast Asia Urban Development and Water Division, ADB</w:t>
            </w:r>
          </w:p>
        </w:tc>
        <w:tc>
          <w:tcPr>
            <w:tcW w:w="0" w:type="dxa"/>
            <w:shd w:val="clear" w:color="auto" w:fill="FBF2D6" w:themeFill="accent1" w:themeFillTint="33"/>
          </w:tcPr>
          <w:p w14:paraId="2BAD8E64" w14:textId="77777777" w:rsidR="00BB2652" w:rsidRPr="00773EEA" w:rsidRDefault="00BB2652" w:rsidP="00BB265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Session 1: 03/05/2022</w:t>
            </w:r>
          </w:p>
          <w:p w14:paraId="6C4042BE" w14:textId="3C3C52D8" w:rsidR="00E6721E" w:rsidRPr="00773EEA" w:rsidRDefault="00BB2652" w:rsidP="00BB265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Session 2: 04/05/2022</w:t>
            </w:r>
          </w:p>
        </w:tc>
      </w:tr>
      <w:tr w:rsidR="00773EEA" w:rsidRPr="00773EEA" w14:paraId="04A5F8A5"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DE2CE79" w14:textId="77777777" w:rsidR="00E6721E" w:rsidRPr="00773EEA" w:rsidRDefault="00E6721E" w:rsidP="00B7602B">
            <w:pPr>
              <w:spacing w:before="20" w:after="20"/>
              <w:rPr>
                <w:rFonts w:asciiTheme="minorHAnsi" w:hAnsiTheme="minorHAnsi" w:cstheme="minorHAnsi"/>
                <w:sz w:val="18"/>
              </w:rPr>
            </w:pPr>
            <w:r w:rsidRPr="00773EEA">
              <w:rPr>
                <w:rFonts w:asciiTheme="minorHAnsi" w:hAnsiTheme="minorHAnsi" w:cstheme="minorHAnsi"/>
                <w:sz w:val="18"/>
              </w:rPr>
              <w:t xml:space="preserve">Aimee </w:t>
            </w:r>
            <w:proofErr w:type="spellStart"/>
            <w:r w:rsidRPr="00773EEA">
              <w:rPr>
                <w:rFonts w:asciiTheme="minorHAnsi" w:hAnsiTheme="minorHAnsi" w:cstheme="minorHAnsi"/>
                <w:sz w:val="18"/>
              </w:rPr>
              <w:t>Orbe</w:t>
            </w:r>
            <w:proofErr w:type="spellEnd"/>
          </w:p>
        </w:tc>
        <w:tc>
          <w:tcPr>
            <w:tcW w:w="3260" w:type="dxa"/>
          </w:tcPr>
          <w:p w14:paraId="1117D34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Program Manager</w:t>
            </w:r>
          </w:p>
        </w:tc>
        <w:tc>
          <w:tcPr>
            <w:tcW w:w="2835" w:type="dxa"/>
          </w:tcPr>
          <w:p w14:paraId="5A11CE32" w14:textId="70D74185"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Southeast Asia Urban Development and Water Division, ADB</w:t>
            </w:r>
          </w:p>
        </w:tc>
        <w:tc>
          <w:tcPr>
            <w:tcW w:w="0" w:type="dxa"/>
          </w:tcPr>
          <w:p w14:paraId="782027DB"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p>
        </w:tc>
      </w:tr>
      <w:tr w:rsidR="00773EEA" w:rsidRPr="00773EEA" w14:paraId="2EC49D76"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6E407D9F"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Soren Hansen</w:t>
            </w:r>
          </w:p>
        </w:tc>
        <w:tc>
          <w:tcPr>
            <w:tcW w:w="3260" w:type="dxa"/>
          </w:tcPr>
          <w:p w14:paraId="3B2038FE"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Team Leader</w:t>
            </w:r>
          </w:p>
        </w:tc>
        <w:tc>
          <w:tcPr>
            <w:tcW w:w="2835" w:type="dxa"/>
            <w:vAlign w:val="center"/>
          </w:tcPr>
          <w:p w14:paraId="5E374868"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vAlign w:val="center"/>
          </w:tcPr>
          <w:p w14:paraId="09E19959"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06/05/2022</w:t>
            </w:r>
          </w:p>
        </w:tc>
      </w:tr>
      <w:tr w:rsidR="00773EEA" w:rsidRPr="00773EEA" w14:paraId="768A0A10" w14:textId="77777777" w:rsidTr="00BB2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7D97F33"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Hillarie </w:t>
            </w:r>
            <w:proofErr w:type="spellStart"/>
            <w:r w:rsidRPr="00773EEA">
              <w:rPr>
                <w:rFonts w:asciiTheme="minorHAnsi" w:hAnsiTheme="minorHAnsi" w:cstheme="minorHAnsi"/>
                <w:sz w:val="18"/>
              </w:rPr>
              <w:t>Cania</w:t>
            </w:r>
            <w:proofErr w:type="spellEnd"/>
          </w:p>
        </w:tc>
        <w:tc>
          <w:tcPr>
            <w:tcW w:w="3260" w:type="dxa"/>
          </w:tcPr>
          <w:p w14:paraId="7DF19E5E"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Deputy Team Leader</w:t>
            </w:r>
          </w:p>
        </w:tc>
        <w:tc>
          <w:tcPr>
            <w:tcW w:w="2835" w:type="dxa"/>
          </w:tcPr>
          <w:p w14:paraId="395569FE" w14:textId="58242C06"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tcPr>
          <w:p w14:paraId="1CD01A34" w14:textId="67D329A6"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06/05/2022</w:t>
            </w:r>
          </w:p>
        </w:tc>
      </w:tr>
      <w:tr w:rsidR="00773EEA" w:rsidRPr="00773EEA" w14:paraId="29C87924"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28B10B77"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Andrew </w:t>
            </w:r>
            <w:proofErr w:type="spellStart"/>
            <w:r w:rsidRPr="00773EEA">
              <w:rPr>
                <w:rFonts w:asciiTheme="minorHAnsi" w:hAnsiTheme="minorHAnsi" w:cstheme="minorHAnsi"/>
                <w:sz w:val="18"/>
              </w:rPr>
              <w:t>Brahney</w:t>
            </w:r>
            <w:proofErr w:type="spellEnd"/>
          </w:p>
        </w:tc>
        <w:tc>
          <w:tcPr>
            <w:tcW w:w="3260" w:type="dxa"/>
          </w:tcPr>
          <w:p w14:paraId="2B118D41"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Senior Smart ICT Specialist</w:t>
            </w:r>
          </w:p>
        </w:tc>
        <w:tc>
          <w:tcPr>
            <w:tcW w:w="2835" w:type="dxa"/>
          </w:tcPr>
          <w:p w14:paraId="5B64B2DB" w14:textId="7EB9BF03" w:rsidR="00E6721E" w:rsidRPr="00773EEA" w:rsidRDefault="00BB2652"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tcPr>
          <w:p w14:paraId="412E56E5" w14:textId="2AF1AFA1" w:rsidR="00E6721E" w:rsidRPr="00773EEA" w:rsidRDefault="00BB2652"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06/05/2022</w:t>
            </w:r>
          </w:p>
        </w:tc>
      </w:tr>
      <w:tr w:rsidR="00773EEA" w:rsidRPr="00773EEA" w14:paraId="72594271" w14:textId="77777777" w:rsidTr="00BB2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DC2DC7"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Xavier le Den</w:t>
            </w:r>
          </w:p>
        </w:tc>
        <w:tc>
          <w:tcPr>
            <w:tcW w:w="3260" w:type="dxa"/>
          </w:tcPr>
          <w:p w14:paraId="3BD4DAA6"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Senior M&amp;E Specialist</w:t>
            </w:r>
          </w:p>
        </w:tc>
        <w:tc>
          <w:tcPr>
            <w:tcW w:w="2835" w:type="dxa"/>
          </w:tcPr>
          <w:p w14:paraId="6FD4E459" w14:textId="36E1D851"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tcPr>
          <w:p w14:paraId="55492690" w14:textId="14EB83AA"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06/05/2022</w:t>
            </w:r>
          </w:p>
        </w:tc>
      </w:tr>
      <w:tr w:rsidR="00773EEA" w:rsidRPr="00773EEA" w14:paraId="53CDDDA8"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6556EAF9"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Barbara Lama </w:t>
            </w:r>
          </w:p>
        </w:tc>
        <w:tc>
          <w:tcPr>
            <w:tcW w:w="3260" w:type="dxa"/>
          </w:tcPr>
          <w:p w14:paraId="52815176"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Gender Specialist</w:t>
            </w:r>
          </w:p>
        </w:tc>
        <w:tc>
          <w:tcPr>
            <w:tcW w:w="2835" w:type="dxa"/>
          </w:tcPr>
          <w:p w14:paraId="461EF123" w14:textId="11346994" w:rsidR="00E6721E" w:rsidRPr="00773EEA" w:rsidRDefault="00BB2652"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tcPr>
          <w:p w14:paraId="2C159A51" w14:textId="2A26D1DF" w:rsidR="00E6721E" w:rsidRPr="00773EEA" w:rsidRDefault="00BB2652"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06/05/2022</w:t>
            </w:r>
          </w:p>
        </w:tc>
      </w:tr>
      <w:tr w:rsidR="00773EEA" w:rsidRPr="00773EEA" w14:paraId="1D10FBF2" w14:textId="77777777" w:rsidTr="00BB2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BD53C5"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Jens Christian </w:t>
            </w:r>
            <w:proofErr w:type="spellStart"/>
            <w:r w:rsidRPr="00773EEA">
              <w:rPr>
                <w:rFonts w:asciiTheme="minorHAnsi" w:hAnsiTheme="minorHAnsi" w:cstheme="minorHAnsi"/>
                <w:sz w:val="18"/>
              </w:rPr>
              <w:t>Riise</w:t>
            </w:r>
            <w:proofErr w:type="spellEnd"/>
          </w:p>
        </w:tc>
        <w:tc>
          <w:tcPr>
            <w:tcW w:w="3260" w:type="dxa"/>
          </w:tcPr>
          <w:p w14:paraId="494368F5"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Communication and Outreach Specialist</w:t>
            </w:r>
          </w:p>
        </w:tc>
        <w:tc>
          <w:tcPr>
            <w:tcW w:w="2835" w:type="dxa"/>
          </w:tcPr>
          <w:p w14:paraId="3A1E6847" w14:textId="22C3178D"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Core Team/Ramboll</w:t>
            </w:r>
          </w:p>
        </w:tc>
        <w:tc>
          <w:tcPr>
            <w:tcW w:w="0" w:type="dxa"/>
          </w:tcPr>
          <w:p w14:paraId="3B934D80" w14:textId="2E4E2BEF" w:rsidR="00E6721E" w:rsidRPr="00773EEA" w:rsidRDefault="00BB2652"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06/05/2022</w:t>
            </w:r>
          </w:p>
        </w:tc>
      </w:tr>
      <w:tr w:rsidR="00773EEA" w:rsidRPr="00773EEA" w14:paraId="6675455B"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2F9E4197"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Pau Prat Busquets</w:t>
            </w:r>
          </w:p>
        </w:tc>
        <w:tc>
          <w:tcPr>
            <w:tcW w:w="3260" w:type="dxa"/>
          </w:tcPr>
          <w:p w14:paraId="65470D0D"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AASCTF TO-07 Team Leader </w:t>
            </w:r>
          </w:p>
        </w:tc>
        <w:tc>
          <w:tcPr>
            <w:tcW w:w="2835" w:type="dxa"/>
          </w:tcPr>
          <w:p w14:paraId="71CCABB3"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Battambang City, Cambodia</w:t>
            </w:r>
          </w:p>
        </w:tc>
        <w:tc>
          <w:tcPr>
            <w:tcW w:w="0" w:type="dxa"/>
          </w:tcPr>
          <w:p w14:paraId="53E3D528"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12/05/2022</w:t>
            </w:r>
          </w:p>
        </w:tc>
      </w:tr>
      <w:tr w:rsidR="00773EEA" w:rsidRPr="00773EEA" w14:paraId="2B7FA6FC"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BF2AE7E"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Noy </w:t>
            </w:r>
            <w:proofErr w:type="spellStart"/>
            <w:r w:rsidRPr="00773EEA">
              <w:rPr>
                <w:rFonts w:asciiTheme="minorHAnsi" w:hAnsiTheme="minorHAnsi" w:cstheme="minorHAnsi"/>
                <w:sz w:val="18"/>
              </w:rPr>
              <w:t>Chek</w:t>
            </w:r>
            <w:proofErr w:type="spellEnd"/>
          </w:p>
        </w:tc>
        <w:tc>
          <w:tcPr>
            <w:tcW w:w="3260" w:type="dxa"/>
          </w:tcPr>
          <w:p w14:paraId="681CE9F8"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Representative of Battambang municipality</w:t>
            </w:r>
          </w:p>
        </w:tc>
        <w:tc>
          <w:tcPr>
            <w:tcW w:w="2835" w:type="dxa"/>
          </w:tcPr>
          <w:p w14:paraId="3848B2E6"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Battambang City, Cambodia</w:t>
            </w:r>
          </w:p>
        </w:tc>
        <w:tc>
          <w:tcPr>
            <w:tcW w:w="0" w:type="dxa"/>
          </w:tcPr>
          <w:p w14:paraId="5803F94B"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21/06/2022</w:t>
            </w:r>
          </w:p>
        </w:tc>
      </w:tr>
      <w:tr w:rsidR="00773EEA" w:rsidRPr="00773EEA" w14:paraId="21ACA0F0"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5B35EB3C"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Craig Niles</w:t>
            </w:r>
          </w:p>
        </w:tc>
        <w:tc>
          <w:tcPr>
            <w:tcW w:w="3260" w:type="dxa"/>
          </w:tcPr>
          <w:p w14:paraId="3E8E46E5"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AASCTF TO-01 Team Leader </w:t>
            </w:r>
          </w:p>
        </w:tc>
        <w:tc>
          <w:tcPr>
            <w:tcW w:w="2835" w:type="dxa"/>
          </w:tcPr>
          <w:p w14:paraId="7342A0D2"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Makassar, Indonesia </w:t>
            </w:r>
          </w:p>
        </w:tc>
        <w:tc>
          <w:tcPr>
            <w:tcW w:w="0" w:type="dxa"/>
          </w:tcPr>
          <w:p w14:paraId="5E208C20"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17/05/2022</w:t>
            </w:r>
          </w:p>
        </w:tc>
      </w:tr>
      <w:tr w:rsidR="00773EEA" w:rsidRPr="00773EEA" w14:paraId="251442B7"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A6CD95"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Pak Denny </w:t>
            </w:r>
            <w:proofErr w:type="spellStart"/>
            <w:r w:rsidRPr="00773EEA">
              <w:rPr>
                <w:rFonts w:asciiTheme="minorHAnsi" w:hAnsiTheme="minorHAnsi" w:cstheme="minorHAnsi"/>
                <w:sz w:val="18"/>
              </w:rPr>
              <w:t>Hidayat</w:t>
            </w:r>
            <w:proofErr w:type="spellEnd"/>
            <w:r w:rsidRPr="00773EEA">
              <w:rPr>
                <w:rFonts w:asciiTheme="minorHAnsi" w:hAnsiTheme="minorHAnsi" w:cstheme="minorHAnsi"/>
                <w:sz w:val="18"/>
              </w:rPr>
              <w:t xml:space="preserve"> </w:t>
            </w:r>
          </w:p>
        </w:tc>
        <w:tc>
          <w:tcPr>
            <w:tcW w:w="3260" w:type="dxa"/>
          </w:tcPr>
          <w:p w14:paraId="7829C862"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Senior Official in </w:t>
            </w:r>
            <w:proofErr w:type="spellStart"/>
            <w:r w:rsidRPr="00773EEA">
              <w:rPr>
                <w:rFonts w:asciiTheme="minorHAnsi" w:hAnsiTheme="minorHAnsi" w:cstheme="minorHAnsi"/>
                <w:sz w:val="18"/>
              </w:rPr>
              <w:t>Diskominfo</w:t>
            </w:r>
            <w:proofErr w:type="spellEnd"/>
            <w:r w:rsidRPr="00773EEA">
              <w:rPr>
                <w:rFonts w:asciiTheme="minorHAnsi" w:hAnsiTheme="minorHAnsi" w:cstheme="minorHAnsi"/>
                <w:sz w:val="18"/>
              </w:rPr>
              <w:t>, Makassar</w:t>
            </w:r>
          </w:p>
        </w:tc>
        <w:tc>
          <w:tcPr>
            <w:tcW w:w="2835" w:type="dxa"/>
          </w:tcPr>
          <w:p w14:paraId="75F95029"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Makassar, Indonesia</w:t>
            </w:r>
          </w:p>
        </w:tc>
        <w:tc>
          <w:tcPr>
            <w:tcW w:w="0" w:type="dxa"/>
          </w:tcPr>
          <w:p w14:paraId="788518C5"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22/06/2022</w:t>
            </w:r>
          </w:p>
        </w:tc>
      </w:tr>
      <w:tr w:rsidR="00773EEA" w:rsidRPr="00773EEA" w14:paraId="4059E794"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155037C8"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Isma</w:t>
            </w:r>
            <w:proofErr w:type="spellEnd"/>
            <w:r w:rsidRPr="00773EEA">
              <w:rPr>
                <w:rFonts w:asciiTheme="minorHAnsi" w:hAnsiTheme="minorHAnsi" w:cstheme="minorHAnsi"/>
                <w:sz w:val="18"/>
              </w:rPr>
              <w:t xml:space="preserve"> </w:t>
            </w:r>
            <w:proofErr w:type="spellStart"/>
            <w:r w:rsidRPr="00773EEA">
              <w:rPr>
                <w:rFonts w:asciiTheme="minorHAnsi" w:hAnsiTheme="minorHAnsi" w:cstheme="minorHAnsi"/>
                <w:sz w:val="18"/>
              </w:rPr>
              <w:t>Waty</w:t>
            </w:r>
            <w:proofErr w:type="spellEnd"/>
            <w:r w:rsidRPr="00773EEA">
              <w:rPr>
                <w:rFonts w:asciiTheme="minorHAnsi" w:hAnsiTheme="minorHAnsi" w:cstheme="minorHAnsi"/>
                <w:sz w:val="18"/>
              </w:rPr>
              <w:t xml:space="preserve"> </w:t>
            </w:r>
          </w:p>
        </w:tc>
        <w:tc>
          <w:tcPr>
            <w:tcW w:w="3260" w:type="dxa"/>
          </w:tcPr>
          <w:p w14:paraId="4178AA34"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Head of Social Agency, Head of Women’s Empowerment etc.</w:t>
            </w:r>
          </w:p>
        </w:tc>
        <w:tc>
          <w:tcPr>
            <w:tcW w:w="2835" w:type="dxa"/>
          </w:tcPr>
          <w:p w14:paraId="4D266FB8"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Makassar, Indonesia</w:t>
            </w:r>
          </w:p>
        </w:tc>
        <w:tc>
          <w:tcPr>
            <w:tcW w:w="0" w:type="dxa"/>
          </w:tcPr>
          <w:p w14:paraId="5698D616"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27/06/2022</w:t>
            </w:r>
          </w:p>
        </w:tc>
      </w:tr>
      <w:tr w:rsidR="00773EEA" w:rsidRPr="00773EEA" w14:paraId="07A35E86"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15ED95"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Dr.</w:t>
            </w:r>
            <w:proofErr w:type="spellEnd"/>
            <w:r w:rsidRPr="00773EEA">
              <w:rPr>
                <w:rFonts w:asciiTheme="minorHAnsi" w:hAnsiTheme="minorHAnsi" w:cstheme="minorHAnsi"/>
                <w:sz w:val="18"/>
              </w:rPr>
              <w:t xml:space="preserve"> Eng. Ilham Alimuddin ST, MGIS</w:t>
            </w:r>
          </w:p>
        </w:tc>
        <w:tc>
          <w:tcPr>
            <w:tcW w:w="3260" w:type="dxa"/>
          </w:tcPr>
          <w:p w14:paraId="68485EA5"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Lecturer in GIS and remote sensing</w:t>
            </w:r>
          </w:p>
        </w:tc>
        <w:tc>
          <w:tcPr>
            <w:tcW w:w="2835" w:type="dxa"/>
          </w:tcPr>
          <w:p w14:paraId="3B63C0E6"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roofErr w:type="spellStart"/>
            <w:r w:rsidRPr="00773EEA">
              <w:rPr>
                <w:rFonts w:asciiTheme="minorHAnsi" w:hAnsiTheme="minorHAnsi" w:cstheme="minorHAnsi"/>
                <w:sz w:val="18"/>
              </w:rPr>
              <w:t>Hasanduim</w:t>
            </w:r>
            <w:proofErr w:type="spellEnd"/>
            <w:r w:rsidRPr="00773EEA">
              <w:rPr>
                <w:rFonts w:asciiTheme="minorHAnsi" w:hAnsiTheme="minorHAnsi" w:cstheme="minorHAnsi"/>
                <w:sz w:val="18"/>
              </w:rPr>
              <w:t xml:space="preserve"> University in Makassar, Indonesia</w:t>
            </w:r>
          </w:p>
        </w:tc>
        <w:tc>
          <w:tcPr>
            <w:tcW w:w="0" w:type="dxa"/>
          </w:tcPr>
          <w:p w14:paraId="7CEC130A"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23/06/2022</w:t>
            </w:r>
          </w:p>
        </w:tc>
      </w:tr>
      <w:tr w:rsidR="00773EEA" w:rsidRPr="00773EEA" w14:paraId="46444E82"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216DDFC5"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Tasmim</w:t>
            </w:r>
            <w:proofErr w:type="spellEnd"/>
            <w:r w:rsidRPr="00773EEA">
              <w:rPr>
                <w:rFonts w:asciiTheme="minorHAnsi" w:hAnsiTheme="minorHAnsi" w:cstheme="minorHAnsi"/>
                <w:sz w:val="18"/>
              </w:rPr>
              <w:t xml:space="preserve"> Anwar</w:t>
            </w:r>
          </w:p>
        </w:tc>
        <w:tc>
          <w:tcPr>
            <w:tcW w:w="3260" w:type="dxa"/>
          </w:tcPr>
          <w:p w14:paraId="0F2E5F09"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AASCTF TO-03 Team Leader </w:t>
            </w:r>
          </w:p>
        </w:tc>
        <w:tc>
          <w:tcPr>
            <w:tcW w:w="2835" w:type="dxa"/>
          </w:tcPr>
          <w:p w14:paraId="0100A747"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Kaysone City, Lao PDR</w:t>
            </w:r>
          </w:p>
        </w:tc>
        <w:tc>
          <w:tcPr>
            <w:tcW w:w="0" w:type="dxa"/>
          </w:tcPr>
          <w:p w14:paraId="111DFB74"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 xml:space="preserve">19/05/2022 </w:t>
            </w:r>
          </w:p>
        </w:tc>
      </w:tr>
      <w:tr w:rsidR="00773EEA" w:rsidRPr="00773EEA" w14:paraId="5ADCFDF7"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84AD80"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Prof. </w:t>
            </w:r>
            <w:proofErr w:type="spellStart"/>
            <w:r w:rsidRPr="00773EEA">
              <w:rPr>
                <w:rFonts w:asciiTheme="minorHAnsi" w:hAnsiTheme="minorHAnsi" w:cstheme="minorHAnsi"/>
                <w:sz w:val="18"/>
              </w:rPr>
              <w:t>Sitha</w:t>
            </w:r>
            <w:proofErr w:type="spellEnd"/>
            <w:r w:rsidRPr="00773EEA">
              <w:rPr>
                <w:rFonts w:asciiTheme="minorHAnsi" w:hAnsiTheme="minorHAnsi" w:cstheme="minorHAnsi"/>
                <w:sz w:val="18"/>
              </w:rPr>
              <w:t xml:space="preserve"> </w:t>
            </w:r>
            <w:proofErr w:type="spellStart"/>
            <w:r w:rsidRPr="00773EEA">
              <w:rPr>
                <w:rFonts w:asciiTheme="minorHAnsi" w:hAnsiTheme="minorHAnsi" w:cstheme="minorHAnsi"/>
                <w:sz w:val="18"/>
              </w:rPr>
              <w:t>Khemmarath</w:t>
            </w:r>
            <w:proofErr w:type="spellEnd"/>
            <w:r w:rsidRPr="00773EEA">
              <w:rPr>
                <w:rFonts w:asciiTheme="minorHAnsi" w:hAnsiTheme="minorHAnsi" w:cstheme="minorHAnsi"/>
                <w:sz w:val="18"/>
              </w:rPr>
              <w:t xml:space="preserve"> </w:t>
            </w:r>
          </w:p>
        </w:tc>
        <w:tc>
          <w:tcPr>
            <w:tcW w:w="3260" w:type="dxa"/>
          </w:tcPr>
          <w:p w14:paraId="0E00E89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Assoc. Prof Dr - Vice-president of </w:t>
            </w:r>
            <w:proofErr w:type="spellStart"/>
            <w:r w:rsidRPr="00773EEA">
              <w:rPr>
                <w:rFonts w:asciiTheme="minorHAnsi" w:hAnsiTheme="minorHAnsi" w:cstheme="minorHAnsi"/>
                <w:sz w:val="18"/>
              </w:rPr>
              <w:t>Savannakhet</w:t>
            </w:r>
            <w:proofErr w:type="spellEnd"/>
            <w:r w:rsidRPr="00773EEA">
              <w:rPr>
                <w:rFonts w:asciiTheme="minorHAnsi" w:hAnsiTheme="minorHAnsi" w:cstheme="minorHAnsi"/>
                <w:sz w:val="18"/>
              </w:rPr>
              <w:t xml:space="preserve"> University </w:t>
            </w:r>
          </w:p>
        </w:tc>
        <w:tc>
          <w:tcPr>
            <w:tcW w:w="2835" w:type="dxa"/>
          </w:tcPr>
          <w:p w14:paraId="53E86BBB"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Kaysone City, Lao PDR</w:t>
            </w:r>
          </w:p>
        </w:tc>
        <w:tc>
          <w:tcPr>
            <w:tcW w:w="0" w:type="dxa"/>
          </w:tcPr>
          <w:p w14:paraId="1679D494"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10/06/2022</w:t>
            </w:r>
          </w:p>
        </w:tc>
      </w:tr>
      <w:tr w:rsidR="00773EEA" w:rsidRPr="00773EEA" w14:paraId="0472606C"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6B07E284"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Richard </w:t>
            </w:r>
            <w:proofErr w:type="spellStart"/>
            <w:r w:rsidRPr="00773EEA">
              <w:rPr>
                <w:rFonts w:asciiTheme="minorHAnsi" w:hAnsiTheme="minorHAnsi" w:cstheme="minorHAnsi"/>
                <w:sz w:val="18"/>
              </w:rPr>
              <w:t>Sprosen</w:t>
            </w:r>
            <w:proofErr w:type="spellEnd"/>
          </w:p>
        </w:tc>
        <w:tc>
          <w:tcPr>
            <w:tcW w:w="3260" w:type="dxa"/>
          </w:tcPr>
          <w:p w14:paraId="2889D079"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AASCTF TO-06 Team Leader</w:t>
            </w:r>
          </w:p>
        </w:tc>
        <w:tc>
          <w:tcPr>
            <w:tcW w:w="2835" w:type="dxa"/>
          </w:tcPr>
          <w:p w14:paraId="4A0F88CC"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Penang City, Malaysia </w:t>
            </w:r>
          </w:p>
        </w:tc>
        <w:tc>
          <w:tcPr>
            <w:tcW w:w="0" w:type="dxa"/>
          </w:tcPr>
          <w:p w14:paraId="50FFE7F4"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20/05/2022</w:t>
            </w:r>
          </w:p>
        </w:tc>
      </w:tr>
      <w:tr w:rsidR="00773EEA" w:rsidRPr="00773EEA" w14:paraId="10E79438"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2E9CE7A"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Zabari</w:t>
            </w:r>
            <w:proofErr w:type="spellEnd"/>
            <w:r w:rsidRPr="00773EEA">
              <w:rPr>
                <w:rFonts w:asciiTheme="minorHAnsi" w:hAnsiTheme="minorHAnsi" w:cstheme="minorHAnsi"/>
                <w:sz w:val="18"/>
              </w:rPr>
              <w:t xml:space="preserve"> Zainal </w:t>
            </w:r>
          </w:p>
        </w:tc>
        <w:tc>
          <w:tcPr>
            <w:tcW w:w="3260" w:type="dxa"/>
          </w:tcPr>
          <w:p w14:paraId="4EA2DD7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Digital Penang</w:t>
            </w:r>
          </w:p>
        </w:tc>
        <w:tc>
          <w:tcPr>
            <w:tcW w:w="2835" w:type="dxa"/>
          </w:tcPr>
          <w:p w14:paraId="5917BC9B"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Penang City, Malaysia</w:t>
            </w:r>
          </w:p>
        </w:tc>
        <w:tc>
          <w:tcPr>
            <w:tcW w:w="0" w:type="dxa"/>
          </w:tcPr>
          <w:p w14:paraId="7EAB68F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02/06/2022</w:t>
            </w:r>
          </w:p>
        </w:tc>
      </w:tr>
      <w:tr w:rsidR="00773EEA" w:rsidRPr="00773EEA" w14:paraId="3FFCDE2F"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1F2DE7CF"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Alvaro Fonseca</w:t>
            </w:r>
          </w:p>
        </w:tc>
        <w:tc>
          <w:tcPr>
            <w:tcW w:w="3260" w:type="dxa"/>
          </w:tcPr>
          <w:p w14:paraId="3F22C445"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AASCTF TO-02 Team Leader </w:t>
            </w:r>
          </w:p>
        </w:tc>
        <w:tc>
          <w:tcPr>
            <w:tcW w:w="2835" w:type="dxa"/>
          </w:tcPr>
          <w:p w14:paraId="33D05D44"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Baguio City, Philippines</w:t>
            </w:r>
          </w:p>
        </w:tc>
        <w:tc>
          <w:tcPr>
            <w:tcW w:w="0" w:type="dxa"/>
          </w:tcPr>
          <w:p w14:paraId="5B96B725"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 xml:space="preserve">17/05/2022 </w:t>
            </w:r>
          </w:p>
        </w:tc>
      </w:tr>
      <w:tr w:rsidR="00773EEA" w:rsidRPr="00773EEA" w14:paraId="1CED2648"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E47F73"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Antonette</w:t>
            </w:r>
            <w:proofErr w:type="spellEnd"/>
            <w:r w:rsidRPr="00773EEA">
              <w:rPr>
                <w:rFonts w:asciiTheme="minorHAnsi" w:hAnsiTheme="minorHAnsi" w:cstheme="minorHAnsi"/>
                <w:sz w:val="18"/>
              </w:rPr>
              <w:t xml:space="preserve"> (</w:t>
            </w:r>
            <w:proofErr w:type="spellStart"/>
            <w:r w:rsidRPr="00773EEA">
              <w:rPr>
                <w:rFonts w:asciiTheme="minorHAnsi" w:hAnsiTheme="minorHAnsi" w:cstheme="minorHAnsi"/>
                <w:sz w:val="18"/>
              </w:rPr>
              <w:t>Tonet</w:t>
            </w:r>
            <w:proofErr w:type="spellEnd"/>
            <w:r w:rsidRPr="00773EEA">
              <w:rPr>
                <w:rFonts w:asciiTheme="minorHAnsi" w:hAnsiTheme="minorHAnsi" w:cstheme="minorHAnsi"/>
                <w:sz w:val="18"/>
              </w:rPr>
              <w:t xml:space="preserve">) A. </w:t>
            </w:r>
            <w:proofErr w:type="spellStart"/>
            <w:r w:rsidRPr="00773EEA">
              <w:rPr>
                <w:rFonts w:asciiTheme="minorHAnsi" w:hAnsiTheme="minorHAnsi" w:cstheme="minorHAnsi"/>
                <w:sz w:val="18"/>
              </w:rPr>
              <w:t>Anaban</w:t>
            </w:r>
            <w:proofErr w:type="spellEnd"/>
          </w:p>
        </w:tc>
        <w:tc>
          <w:tcPr>
            <w:tcW w:w="3260" w:type="dxa"/>
          </w:tcPr>
          <w:p w14:paraId="72FA3877"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City Disaster Risk Reduction and Management Office (CDRRMO)</w:t>
            </w:r>
          </w:p>
        </w:tc>
        <w:tc>
          <w:tcPr>
            <w:tcW w:w="2835" w:type="dxa"/>
          </w:tcPr>
          <w:p w14:paraId="04551755"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Baguio City, Philippines</w:t>
            </w:r>
          </w:p>
        </w:tc>
        <w:tc>
          <w:tcPr>
            <w:tcW w:w="0" w:type="dxa"/>
          </w:tcPr>
          <w:p w14:paraId="4F6CD326"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01/06/2022</w:t>
            </w:r>
          </w:p>
        </w:tc>
      </w:tr>
      <w:tr w:rsidR="00773EEA" w:rsidRPr="00773EEA" w14:paraId="7D61E431"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50E26AF4"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Allison Sneddon and </w:t>
            </w:r>
            <w:proofErr w:type="spellStart"/>
            <w:r w:rsidRPr="00773EEA">
              <w:rPr>
                <w:rFonts w:asciiTheme="minorHAnsi" w:hAnsiTheme="minorHAnsi" w:cstheme="minorHAnsi"/>
                <w:sz w:val="18"/>
              </w:rPr>
              <w:t>Mirianna</w:t>
            </w:r>
            <w:proofErr w:type="spellEnd"/>
            <w:r w:rsidRPr="00773EEA">
              <w:rPr>
                <w:rFonts w:asciiTheme="minorHAnsi" w:hAnsiTheme="minorHAnsi" w:cstheme="minorHAnsi"/>
                <w:sz w:val="18"/>
              </w:rPr>
              <w:t xml:space="preserve"> Budimir</w:t>
            </w:r>
          </w:p>
        </w:tc>
        <w:tc>
          <w:tcPr>
            <w:tcW w:w="3260" w:type="dxa"/>
          </w:tcPr>
          <w:p w14:paraId="192DE178"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Practical Action (Implementing Partner on TO-05)</w:t>
            </w:r>
          </w:p>
        </w:tc>
        <w:tc>
          <w:tcPr>
            <w:tcW w:w="2835" w:type="dxa"/>
          </w:tcPr>
          <w:p w14:paraId="102F6F5F"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Baguio City, Philippines</w:t>
            </w:r>
          </w:p>
        </w:tc>
        <w:tc>
          <w:tcPr>
            <w:tcW w:w="0" w:type="dxa"/>
          </w:tcPr>
          <w:p w14:paraId="06D03A86"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14/06/2022</w:t>
            </w:r>
          </w:p>
        </w:tc>
      </w:tr>
      <w:tr w:rsidR="00773EEA" w:rsidRPr="00773EEA" w14:paraId="21DF5180"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7C30E0"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Jesus </w:t>
            </w:r>
            <w:proofErr w:type="spellStart"/>
            <w:r w:rsidRPr="00773EEA">
              <w:rPr>
                <w:rFonts w:asciiTheme="minorHAnsi" w:hAnsiTheme="minorHAnsi" w:cstheme="minorHAnsi"/>
                <w:sz w:val="18"/>
              </w:rPr>
              <w:t>Sison</w:t>
            </w:r>
            <w:proofErr w:type="spellEnd"/>
          </w:p>
        </w:tc>
        <w:tc>
          <w:tcPr>
            <w:tcW w:w="3260" w:type="dxa"/>
          </w:tcPr>
          <w:p w14:paraId="4A6BCBA1"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Council for Restoration of Filipino Values (CRFV) -</w:t>
            </w:r>
            <w:r w:rsidRPr="00773EEA">
              <w:rPr>
                <w:rFonts w:asciiTheme="minorHAnsi" w:hAnsiTheme="minorHAnsi" w:cstheme="minorHAnsi"/>
                <w:b/>
                <w:bCs/>
                <w:sz w:val="18"/>
              </w:rPr>
              <w:t xml:space="preserve"> </w:t>
            </w:r>
            <w:r w:rsidRPr="00773EEA">
              <w:rPr>
                <w:rFonts w:asciiTheme="minorHAnsi" w:hAnsiTheme="minorHAnsi" w:cstheme="minorHAnsi"/>
                <w:sz w:val="18"/>
              </w:rPr>
              <w:t xml:space="preserve">Civil society representatives </w:t>
            </w:r>
          </w:p>
        </w:tc>
        <w:tc>
          <w:tcPr>
            <w:tcW w:w="2835" w:type="dxa"/>
          </w:tcPr>
          <w:p w14:paraId="246FB98E"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Baguio City, Philippines</w:t>
            </w:r>
          </w:p>
        </w:tc>
        <w:tc>
          <w:tcPr>
            <w:tcW w:w="0" w:type="dxa"/>
          </w:tcPr>
          <w:p w14:paraId="6D2E3CCC"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01/07/2022</w:t>
            </w:r>
          </w:p>
        </w:tc>
      </w:tr>
      <w:tr w:rsidR="00773EEA" w:rsidRPr="00773EEA" w14:paraId="507A5411"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0F466ADA"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Janice Aquino - </w:t>
            </w:r>
          </w:p>
        </w:tc>
        <w:tc>
          <w:tcPr>
            <w:tcW w:w="3260" w:type="dxa"/>
          </w:tcPr>
          <w:p w14:paraId="1B7DEE63"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Academia representative - Saint Louis University</w:t>
            </w:r>
            <w:r w:rsidRPr="00773EEA">
              <w:rPr>
                <w:rFonts w:asciiTheme="minorHAnsi" w:hAnsiTheme="minorHAnsi" w:cstheme="minorHAnsi"/>
                <w:b/>
                <w:bCs/>
                <w:sz w:val="18"/>
              </w:rPr>
              <w:t xml:space="preserve"> - </w:t>
            </w:r>
            <w:r w:rsidRPr="00773EEA">
              <w:rPr>
                <w:rFonts w:asciiTheme="minorHAnsi" w:hAnsiTheme="minorHAnsi" w:cstheme="minorHAnsi"/>
                <w:sz w:val="18"/>
              </w:rPr>
              <w:t>Members of the Peer Group, part of the capacity building</w:t>
            </w:r>
          </w:p>
        </w:tc>
        <w:tc>
          <w:tcPr>
            <w:tcW w:w="2835" w:type="dxa"/>
          </w:tcPr>
          <w:p w14:paraId="492F007D"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Baguio City, Philippines</w:t>
            </w:r>
          </w:p>
        </w:tc>
        <w:tc>
          <w:tcPr>
            <w:tcW w:w="0" w:type="dxa"/>
          </w:tcPr>
          <w:p w14:paraId="2B32A1EA"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16/06/2022</w:t>
            </w:r>
          </w:p>
        </w:tc>
      </w:tr>
      <w:tr w:rsidR="00773EEA" w:rsidRPr="00773EEA" w14:paraId="3640DF7E"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F7E3A4"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Pak Ismet</w:t>
            </w:r>
          </w:p>
        </w:tc>
        <w:tc>
          <w:tcPr>
            <w:tcW w:w="3260" w:type="dxa"/>
          </w:tcPr>
          <w:p w14:paraId="63E5181E" w14:textId="7F935A7C"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Representative of </w:t>
            </w:r>
            <w:r w:rsidR="00D92B24" w:rsidRPr="00773EEA">
              <w:rPr>
                <w:rFonts w:asciiTheme="minorHAnsi" w:hAnsiTheme="minorHAnsi" w:cstheme="minorHAnsi"/>
                <w:sz w:val="18"/>
              </w:rPr>
              <w:t>Bronze</w:t>
            </w:r>
            <w:r w:rsidRPr="00773EEA">
              <w:rPr>
                <w:rFonts w:asciiTheme="minorHAnsi" w:hAnsiTheme="minorHAnsi" w:cstheme="minorHAnsi"/>
                <w:sz w:val="18"/>
              </w:rPr>
              <w:t xml:space="preserve"> city</w:t>
            </w:r>
          </w:p>
        </w:tc>
        <w:tc>
          <w:tcPr>
            <w:tcW w:w="2835" w:type="dxa"/>
          </w:tcPr>
          <w:p w14:paraId="66DB1562"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Semarang, Indonesia</w:t>
            </w:r>
          </w:p>
        </w:tc>
        <w:tc>
          <w:tcPr>
            <w:tcW w:w="0" w:type="dxa"/>
          </w:tcPr>
          <w:p w14:paraId="7DD02C4F"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highlight w:val="yellow"/>
              </w:rPr>
            </w:pPr>
            <w:r w:rsidRPr="00773EEA">
              <w:rPr>
                <w:rFonts w:asciiTheme="minorHAnsi" w:hAnsiTheme="minorHAnsi" w:cstheme="minorHAnsi"/>
                <w:i/>
                <w:iCs/>
                <w:sz w:val="18"/>
              </w:rPr>
              <w:t>14/07/2022</w:t>
            </w:r>
          </w:p>
        </w:tc>
      </w:tr>
      <w:tr w:rsidR="00773EEA" w:rsidRPr="00773EEA" w14:paraId="188C6C4C"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71CAA3EF"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Engr. Daria Ebora</w:t>
            </w:r>
          </w:p>
        </w:tc>
        <w:tc>
          <w:tcPr>
            <w:tcW w:w="3260" w:type="dxa"/>
          </w:tcPr>
          <w:p w14:paraId="06000CC0" w14:textId="530351E3"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Head of Planning Unit, Representative of </w:t>
            </w:r>
            <w:r w:rsidR="00D92B24" w:rsidRPr="00773EEA">
              <w:rPr>
                <w:rFonts w:asciiTheme="minorHAnsi" w:hAnsiTheme="minorHAnsi" w:cstheme="minorHAnsi"/>
                <w:sz w:val="18"/>
              </w:rPr>
              <w:t>Bronze</w:t>
            </w:r>
            <w:r w:rsidRPr="00773EEA">
              <w:rPr>
                <w:rFonts w:asciiTheme="minorHAnsi" w:hAnsiTheme="minorHAnsi" w:cstheme="minorHAnsi"/>
                <w:sz w:val="18"/>
              </w:rPr>
              <w:t xml:space="preserve"> city </w:t>
            </w:r>
          </w:p>
        </w:tc>
        <w:tc>
          <w:tcPr>
            <w:tcW w:w="2835" w:type="dxa"/>
          </w:tcPr>
          <w:p w14:paraId="4AF5DE37"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El </w:t>
            </w:r>
            <w:proofErr w:type="spellStart"/>
            <w:r w:rsidRPr="00773EEA">
              <w:rPr>
                <w:rFonts w:asciiTheme="minorHAnsi" w:hAnsiTheme="minorHAnsi" w:cstheme="minorHAnsi"/>
                <w:sz w:val="18"/>
              </w:rPr>
              <w:t>Nido</w:t>
            </w:r>
            <w:proofErr w:type="spellEnd"/>
            <w:r w:rsidRPr="00773EEA">
              <w:rPr>
                <w:rFonts w:asciiTheme="minorHAnsi" w:hAnsiTheme="minorHAnsi" w:cstheme="minorHAnsi"/>
                <w:sz w:val="18"/>
              </w:rPr>
              <w:t>, Philippines</w:t>
            </w:r>
          </w:p>
        </w:tc>
        <w:tc>
          <w:tcPr>
            <w:tcW w:w="0" w:type="dxa"/>
          </w:tcPr>
          <w:p w14:paraId="555AD439"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24/06/2022</w:t>
            </w:r>
          </w:p>
        </w:tc>
      </w:tr>
      <w:tr w:rsidR="00773EEA" w:rsidRPr="00773EEA" w14:paraId="73409FEF"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E234E10"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Ms </w:t>
            </w:r>
            <w:proofErr w:type="spellStart"/>
            <w:r w:rsidRPr="00773EEA">
              <w:rPr>
                <w:rFonts w:asciiTheme="minorHAnsi" w:hAnsiTheme="minorHAnsi" w:cstheme="minorHAnsi"/>
                <w:sz w:val="18"/>
              </w:rPr>
              <w:t>Nhac</w:t>
            </w:r>
            <w:proofErr w:type="spellEnd"/>
            <w:r w:rsidRPr="00773EEA">
              <w:rPr>
                <w:rFonts w:asciiTheme="minorHAnsi" w:hAnsiTheme="minorHAnsi" w:cstheme="minorHAnsi"/>
                <w:sz w:val="18"/>
              </w:rPr>
              <w:t xml:space="preserve"> Nguyen</w:t>
            </w:r>
          </w:p>
        </w:tc>
        <w:tc>
          <w:tcPr>
            <w:tcW w:w="3260" w:type="dxa"/>
          </w:tcPr>
          <w:p w14:paraId="0B76AD55" w14:textId="416961A2"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Head of Urban Planning, Representative of </w:t>
            </w:r>
            <w:r w:rsidR="00D92B24" w:rsidRPr="00773EEA">
              <w:rPr>
                <w:rFonts w:asciiTheme="minorHAnsi" w:hAnsiTheme="minorHAnsi" w:cstheme="minorHAnsi"/>
                <w:sz w:val="18"/>
              </w:rPr>
              <w:t>Bronze</w:t>
            </w:r>
            <w:r w:rsidRPr="00773EEA">
              <w:rPr>
                <w:rFonts w:asciiTheme="minorHAnsi" w:hAnsiTheme="minorHAnsi" w:cstheme="minorHAnsi"/>
                <w:sz w:val="18"/>
              </w:rPr>
              <w:t xml:space="preserve"> city</w:t>
            </w:r>
          </w:p>
        </w:tc>
        <w:tc>
          <w:tcPr>
            <w:tcW w:w="2835" w:type="dxa"/>
          </w:tcPr>
          <w:p w14:paraId="62E45079"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Phan Thiet, Viet Nam</w:t>
            </w:r>
          </w:p>
        </w:tc>
        <w:tc>
          <w:tcPr>
            <w:tcW w:w="0" w:type="dxa"/>
          </w:tcPr>
          <w:p w14:paraId="6BF00D71"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30/06/2022</w:t>
            </w:r>
          </w:p>
        </w:tc>
      </w:tr>
      <w:tr w:rsidR="00773EEA" w:rsidRPr="00773EEA" w14:paraId="07EAC2C6"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114485A5" w14:textId="77777777" w:rsidR="00E6721E" w:rsidRPr="00773EEA" w:rsidRDefault="00E6721E" w:rsidP="00B7602B">
            <w:pPr>
              <w:spacing w:before="20" w:after="20"/>
              <w:rPr>
                <w:rFonts w:asciiTheme="minorHAnsi" w:hAnsiTheme="minorHAnsi" w:cstheme="minorHAnsi"/>
                <w:b w:val="0"/>
                <w:bCs w:val="0"/>
                <w:sz w:val="18"/>
              </w:rPr>
            </w:pPr>
            <w:proofErr w:type="spellStart"/>
            <w:r w:rsidRPr="00773EEA">
              <w:rPr>
                <w:rFonts w:asciiTheme="minorHAnsi" w:hAnsiTheme="minorHAnsi" w:cstheme="minorHAnsi"/>
                <w:sz w:val="18"/>
              </w:rPr>
              <w:t>Sumaya</w:t>
            </w:r>
            <w:proofErr w:type="spellEnd"/>
            <w:r w:rsidRPr="00773EEA">
              <w:rPr>
                <w:rFonts w:asciiTheme="minorHAnsi" w:hAnsiTheme="minorHAnsi" w:cstheme="minorHAnsi"/>
                <w:sz w:val="18"/>
              </w:rPr>
              <w:t xml:space="preserve"> </w:t>
            </w:r>
            <w:proofErr w:type="spellStart"/>
            <w:r w:rsidRPr="00773EEA">
              <w:rPr>
                <w:rFonts w:asciiTheme="minorHAnsi" w:hAnsiTheme="minorHAnsi" w:cstheme="minorHAnsi"/>
                <w:sz w:val="18"/>
              </w:rPr>
              <w:t>Saluja</w:t>
            </w:r>
            <w:proofErr w:type="spellEnd"/>
          </w:p>
        </w:tc>
        <w:tc>
          <w:tcPr>
            <w:tcW w:w="3260" w:type="dxa"/>
          </w:tcPr>
          <w:p w14:paraId="0CC7BB20"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Urban Governance Advisor</w:t>
            </w:r>
          </w:p>
        </w:tc>
        <w:tc>
          <w:tcPr>
            <w:tcW w:w="2835" w:type="dxa"/>
          </w:tcPr>
          <w:p w14:paraId="6562663B"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The Asia Foundation </w:t>
            </w:r>
          </w:p>
        </w:tc>
        <w:tc>
          <w:tcPr>
            <w:tcW w:w="0" w:type="dxa"/>
          </w:tcPr>
          <w:p w14:paraId="0AF8DAB3"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31/05/2022</w:t>
            </w:r>
          </w:p>
        </w:tc>
      </w:tr>
      <w:tr w:rsidR="00773EEA" w:rsidRPr="00773EEA" w14:paraId="788F4E9C" w14:textId="77777777" w:rsidTr="00B76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3ECCD1"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lastRenderedPageBreak/>
              <w:t xml:space="preserve">Katrina Metcalfe </w:t>
            </w:r>
          </w:p>
        </w:tc>
        <w:tc>
          <w:tcPr>
            <w:tcW w:w="3260" w:type="dxa"/>
          </w:tcPr>
          <w:p w14:paraId="0844522F"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Senior International Relations Officer, Office of the Mayor</w:t>
            </w:r>
          </w:p>
        </w:tc>
        <w:tc>
          <w:tcPr>
            <w:tcW w:w="2835" w:type="dxa"/>
          </w:tcPr>
          <w:p w14:paraId="401189E6"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 xml:space="preserve">Gold Coast City, Australia </w:t>
            </w:r>
          </w:p>
        </w:tc>
        <w:tc>
          <w:tcPr>
            <w:tcW w:w="0" w:type="dxa"/>
          </w:tcPr>
          <w:p w14:paraId="7BE41890" w14:textId="77777777" w:rsidR="00E6721E" w:rsidRPr="00773EEA" w:rsidRDefault="00E6721E" w:rsidP="00B7602B">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i/>
                <w:iCs/>
                <w:sz w:val="18"/>
              </w:rPr>
              <w:t>14/06/2022</w:t>
            </w:r>
          </w:p>
        </w:tc>
      </w:tr>
      <w:tr w:rsidR="00773EEA" w:rsidRPr="00773EEA" w14:paraId="310B3429" w14:textId="77777777" w:rsidTr="00B7602B">
        <w:tc>
          <w:tcPr>
            <w:cnfStyle w:val="001000000000" w:firstRow="0" w:lastRow="0" w:firstColumn="1" w:lastColumn="0" w:oddVBand="0" w:evenVBand="0" w:oddHBand="0" w:evenHBand="0" w:firstRowFirstColumn="0" w:firstRowLastColumn="0" w:lastRowFirstColumn="0" w:lastRowLastColumn="0"/>
            <w:tcW w:w="1838" w:type="dxa"/>
          </w:tcPr>
          <w:p w14:paraId="2CC7B215" w14:textId="77777777" w:rsidR="00E6721E" w:rsidRPr="00773EEA" w:rsidRDefault="00E6721E" w:rsidP="00B7602B">
            <w:pPr>
              <w:spacing w:before="20" w:after="20"/>
              <w:rPr>
                <w:rFonts w:asciiTheme="minorHAnsi" w:hAnsiTheme="minorHAnsi" w:cstheme="minorHAnsi"/>
                <w:b w:val="0"/>
                <w:bCs w:val="0"/>
                <w:sz w:val="18"/>
              </w:rPr>
            </w:pPr>
            <w:r w:rsidRPr="00773EEA">
              <w:rPr>
                <w:rFonts w:asciiTheme="minorHAnsi" w:hAnsiTheme="minorHAnsi" w:cstheme="minorHAnsi"/>
                <w:sz w:val="18"/>
              </w:rPr>
              <w:t xml:space="preserve">Gary </w:t>
            </w:r>
            <w:proofErr w:type="spellStart"/>
            <w:r w:rsidRPr="00773EEA">
              <w:rPr>
                <w:rFonts w:asciiTheme="minorHAnsi" w:hAnsiTheme="minorHAnsi" w:cstheme="minorHAnsi"/>
                <w:sz w:val="18"/>
              </w:rPr>
              <w:t>Ellem</w:t>
            </w:r>
            <w:proofErr w:type="spellEnd"/>
          </w:p>
        </w:tc>
        <w:tc>
          <w:tcPr>
            <w:tcW w:w="3260" w:type="dxa"/>
          </w:tcPr>
          <w:p w14:paraId="04078967"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Project Director, P4I DFAT Program</w:t>
            </w:r>
          </w:p>
        </w:tc>
        <w:tc>
          <w:tcPr>
            <w:tcW w:w="2835" w:type="dxa"/>
          </w:tcPr>
          <w:p w14:paraId="302EE99E"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73EEA">
              <w:rPr>
                <w:rFonts w:asciiTheme="minorHAnsi" w:hAnsiTheme="minorHAnsi" w:cstheme="minorHAnsi"/>
                <w:sz w:val="18"/>
              </w:rPr>
              <w:t>Adam Smith International (ASI)</w:t>
            </w:r>
          </w:p>
        </w:tc>
        <w:tc>
          <w:tcPr>
            <w:tcW w:w="0" w:type="dxa"/>
          </w:tcPr>
          <w:p w14:paraId="12C52AE4" w14:textId="77777777" w:rsidR="00E6721E" w:rsidRPr="00773EEA" w:rsidRDefault="00E6721E" w:rsidP="00B7602B">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rPr>
            </w:pPr>
            <w:r w:rsidRPr="00773EEA">
              <w:rPr>
                <w:rFonts w:asciiTheme="minorHAnsi" w:hAnsiTheme="minorHAnsi" w:cstheme="minorHAnsi"/>
                <w:i/>
                <w:iCs/>
                <w:sz w:val="18"/>
              </w:rPr>
              <w:t>11/12/2022</w:t>
            </w:r>
          </w:p>
        </w:tc>
      </w:tr>
    </w:tbl>
    <w:p w14:paraId="79FE17DF" w14:textId="77777777" w:rsidR="004D0EEE" w:rsidRPr="00773EEA" w:rsidRDefault="004D0EEE" w:rsidP="00E6721E">
      <w:pPr>
        <w:rPr>
          <w:rFonts w:ascii="Georgia" w:hAnsi="Georgia" w:cs="Arial"/>
          <w:b/>
          <w:iCs/>
          <w:caps/>
          <w:sz w:val="32"/>
          <w:szCs w:val="32"/>
        </w:rPr>
      </w:pPr>
      <w:r w:rsidRPr="00773EEA">
        <w:rPr>
          <w:rFonts w:ascii="Georgia" w:hAnsi="Georgia" w:cs="Arial"/>
          <w:b/>
          <w:iCs/>
          <w:caps/>
          <w:sz w:val="32"/>
          <w:szCs w:val="32"/>
        </w:rPr>
        <w:br w:type="page"/>
      </w:r>
    </w:p>
    <w:p w14:paraId="2764C144" w14:textId="39F65A67" w:rsidR="005E1DF9" w:rsidRPr="00773EEA" w:rsidRDefault="005E1DF9" w:rsidP="00800786">
      <w:pPr>
        <w:pStyle w:val="Heading1Numberedsmallspaceafter"/>
        <w:numPr>
          <w:ilvl w:val="0"/>
          <w:numId w:val="0"/>
        </w:numPr>
        <w:spacing w:before="0" w:after="0"/>
        <w:rPr>
          <w:rFonts w:ascii="Georgia" w:eastAsia="Times New Roman" w:hAnsi="Georgia" w:cs="Arial"/>
          <w:b w:val="0"/>
          <w:iCs/>
          <w:caps w:val="0"/>
          <w:color w:val="auto"/>
          <w:sz w:val="32"/>
          <w:szCs w:val="32"/>
          <w:lang w:val="en-GB"/>
        </w:rPr>
      </w:pPr>
      <w:bookmarkStart w:id="86" w:name="_Toc123633729"/>
      <w:r w:rsidRPr="00773EEA">
        <w:rPr>
          <w:rFonts w:ascii="Georgia" w:eastAsia="Times New Roman" w:hAnsi="Georgia" w:cs="Arial"/>
          <w:b w:val="0"/>
          <w:iCs/>
          <w:caps w:val="0"/>
          <w:color w:val="auto"/>
          <w:sz w:val="32"/>
          <w:szCs w:val="32"/>
          <w:lang w:val="en-GB"/>
        </w:rPr>
        <w:lastRenderedPageBreak/>
        <w:t xml:space="preserve">Annex 3: </w:t>
      </w:r>
      <w:r w:rsidR="00A824DE" w:rsidRPr="00773EEA">
        <w:rPr>
          <w:rFonts w:ascii="Georgia" w:eastAsia="Times New Roman" w:hAnsi="Georgia" w:cs="Arial"/>
          <w:b w:val="0"/>
          <w:iCs/>
          <w:caps w:val="0"/>
          <w:color w:val="auto"/>
          <w:sz w:val="32"/>
          <w:szCs w:val="32"/>
          <w:lang w:val="en-GB"/>
        </w:rPr>
        <w:t xml:space="preserve">Influencing Activities </w:t>
      </w:r>
      <w:r w:rsidRPr="00773EEA">
        <w:rPr>
          <w:rFonts w:ascii="Georgia" w:eastAsia="Times New Roman" w:hAnsi="Georgia" w:cs="Arial"/>
          <w:b w:val="0"/>
          <w:iCs/>
          <w:caps w:val="0"/>
          <w:color w:val="auto"/>
          <w:sz w:val="32"/>
          <w:szCs w:val="32"/>
          <w:lang w:val="en-GB"/>
        </w:rPr>
        <w:t>Survey Responses</w:t>
      </w:r>
      <w:bookmarkEnd w:id="86"/>
    </w:p>
    <w:p w14:paraId="3AF702D3" w14:textId="3727F8A5" w:rsidR="00800786" w:rsidRPr="00773EEA" w:rsidRDefault="00800786" w:rsidP="005F1785">
      <w:pPr>
        <w:spacing w:after="0" w:line="276" w:lineRule="auto"/>
        <w:contextualSpacing/>
        <w:rPr>
          <w:rFonts w:ascii="Georgia" w:hAnsi="Georgia" w:cs="Arial"/>
          <w:iCs/>
          <w:sz w:val="32"/>
          <w:szCs w:val="32"/>
        </w:rPr>
      </w:pPr>
    </w:p>
    <w:p w14:paraId="4A91015E" w14:textId="3B708CE2" w:rsidR="00800786" w:rsidRPr="00773EEA" w:rsidRDefault="00800786" w:rsidP="005F1785">
      <w:pPr>
        <w:spacing w:after="0" w:line="276" w:lineRule="auto"/>
        <w:contextualSpacing/>
        <w:rPr>
          <w:b/>
          <w:caps/>
          <w:lang w:bidi="th-TH"/>
        </w:rPr>
      </w:pPr>
      <w:r w:rsidRPr="00773EEA">
        <w:rPr>
          <w:b/>
          <w:bCs/>
          <w:lang w:bidi="th-TH"/>
        </w:rPr>
        <w:t>Q1: Which city are you based in?</w:t>
      </w:r>
    </w:p>
    <w:tbl>
      <w:tblPr>
        <w:tblStyle w:val="LightShading-Accent11"/>
        <w:tblW w:w="0" w:type="auto"/>
        <w:tblLook w:val="04A0" w:firstRow="1" w:lastRow="0" w:firstColumn="1" w:lastColumn="0" w:noHBand="0" w:noVBand="1"/>
      </w:tblPr>
      <w:tblGrid>
        <w:gridCol w:w="3847"/>
        <w:gridCol w:w="3847"/>
      </w:tblGrid>
      <w:tr w:rsidR="00850353" w:rsidRPr="00773EEA" w14:paraId="0CAD3F82"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1DE384D6" w14:textId="30BBB065" w:rsidR="00850353" w:rsidRPr="00773EEA" w:rsidRDefault="00850353" w:rsidP="00A824DE">
            <w:pPr>
              <w:spacing w:line="276" w:lineRule="auto"/>
              <w:contextualSpacing/>
            </w:pPr>
            <w:r>
              <w:t>City</w:t>
            </w:r>
          </w:p>
        </w:tc>
        <w:tc>
          <w:tcPr>
            <w:tcW w:w="3847" w:type="dxa"/>
          </w:tcPr>
          <w:p w14:paraId="3C6BBFE3" w14:textId="2A93B254" w:rsidR="00850353" w:rsidRPr="00773EEA" w:rsidRDefault="00850353" w:rsidP="00A824DE">
            <w:pPr>
              <w:spacing w:line="276" w:lineRule="auto"/>
              <w:contextualSpacing/>
              <w:cnfStyle w:val="100000000000" w:firstRow="1" w:lastRow="0" w:firstColumn="0" w:lastColumn="0" w:oddVBand="0" w:evenVBand="0" w:oddHBand="0" w:evenHBand="0" w:firstRowFirstColumn="0" w:firstRowLastColumn="0" w:lastRowFirstColumn="0" w:lastRowLastColumn="0"/>
            </w:pPr>
            <w:r>
              <w:t>Response</w:t>
            </w:r>
          </w:p>
        </w:tc>
      </w:tr>
      <w:tr w:rsidR="00773EEA" w:rsidRPr="00773EEA" w14:paraId="6744C400"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4D8B7940" w14:textId="77777777" w:rsidR="005E1DF9" w:rsidRPr="00773EEA" w:rsidRDefault="005E1DF9" w:rsidP="00A824DE">
            <w:pPr>
              <w:spacing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Battambang</w:t>
            </w:r>
          </w:p>
        </w:tc>
        <w:tc>
          <w:tcPr>
            <w:tcW w:w="3847" w:type="dxa"/>
          </w:tcPr>
          <w:p w14:paraId="7AB75BAC" w14:textId="77777777" w:rsidR="005E1DF9" w:rsidRPr="00773EEA" w:rsidRDefault="005E1DF9" w:rsidP="00A824D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r>
      <w:tr w:rsidR="00773EEA" w:rsidRPr="00773EEA" w14:paraId="65736213"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54203134"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Bavet</w:t>
            </w:r>
            <w:proofErr w:type="spellEnd"/>
          </w:p>
        </w:tc>
        <w:tc>
          <w:tcPr>
            <w:tcW w:w="3847" w:type="dxa"/>
          </w:tcPr>
          <w:p w14:paraId="720C85BC"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r>
      <w:tr w:rsidR="00773EEA" w:rsidRPr="00773EEA" w14:paraId="33266EC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1686589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Kampot</w:t>
            </w:r>
            <w:proofErr w:type="spellEnd"/>
          </w:p>
        </w:tc>
        <w:tc>
          <w:tcPr>
            <w:tcW w:w="3847" w:type="dxa"/>
          </w:tcPr>
          <w:p w14:paraId="3B011243"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6E4DD41E"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6474AB59"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Poipet</w:t>
            </w:r>
            <w:proofErr w:type="spellEnd"/>
          </w:p>
        </w:tc>
        <w:tc>
          <w:tcPr>
            <w:tcW w:w="3847" w:type="dxa"/>
          </w:tcPr>
          <w:p w14:paraId="6ADE541D"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r>
      <w:tr w:rsidR="00773EEA" w:rsidRPr="00773EEA" w14:paraId="22A80BD9"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ACF7F3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Phnom Penh</w:t>
            </w:r>
          </w:p>
        </w:tc>
        <w:tc>
          <w:tcPr>
            <w:tcW w:w="3847" w:type="dxa"/>
          </w:tcPr>
          <w:p w14:paraId="454FD4EB"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r w:rsidR="00773EEA" w:rsidRPr="00773EEA" w14:paraId="3B46AC4F"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23DB3A7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Makassar</w:t>
            </w:r>
          </w:p>
        </w:tc>
        <w:tc>
          <w:tcPr>
            <w:tcW w:w="3847" w:type="dxa"/>
          </w:tcPr>
          <w:p w14:paraId="2C5E5DF1"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13652737"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14D30A9"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Palembang</w:t>
            </w:r>
          </w:p>
        </w:tc>
        <w:tc>
          <w:tcPr>
            <w:tcW w:w="3847" w:type="dxa"/>
          </w:tcPr>
          <w:p w14:paraId="295094B2"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3C47E89E"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2A9E2573"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Pontianak</w:t>
            </w:r>
          </w:p>
        </w:tc>
        <w:tc>
          <w:tcPr>
            <w:tcW w:w="3847" w:type="dxa"/>
          </w:tcPr>
          <w:p w14:paraId="100F76A9"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w:t>
            </w:r>
          </w:p>
        </w:tc>
      </w:tr>
      <w:tr w:rsidR="00773EEA" w:rsidRPr="00773EEA" w14:paraId="6B179617"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DB3CA38"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Semarang</w:t>
            </w:r>
          </w:p>
        </w:tc>
        <w:tc>
          <w:tcPr>
            <w:tcW w:w="3847" w:type="dxa"/>
          </w:tcPr>
          <w:p w14:paraId="6561917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r w:rsidR="00773EEA" w:rsidRPr="00773EEA" w14:paraId="1EB8F99F"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02E5F236"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Kaysone</w:t>
            </w:r>
            <w:proofErr w:type="spellEnd"/>
          </w:p>
        </w:tc>
        <w:tc>
          <w:tcPr>
            <w:tcW w:w="3847" w:type="dxa"/>
          </w:tcPr>
          <w:p w14:paraId="4A89ACDA"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r>
      <w:tr w:rsidR="00773EEA" w:rsidRPr="00773EEA" w14:paraId="36F24123"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94D0BC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Luang</w:t>
            </w:r>
            <w:proofErr w:type="spellEnd"/>
            <w:r w:rsidRPr="00773EEA">
              <w:rPr>
                <w:rFonts w:ascii="Arial" w:eastAsia="Times New Roman" w:hAnsi="Arial" w:cs="Times New Roman"/>
                <w:b w:val="0"/>
                <w:bCs w:val="0"/>
                <w:sz w:val="20"/>
                <w:lang w:val="en-GB"/>
              </w:rPr>
              <w:t xml:space="preserve"> Prabang</w:t>
            </w:r>
          </w:p>
        </w:tc>
        <w:tc>
          <w:tcPr>
            <w:tcW w:w="3847" w:type="dxa"/>
          </w:tcPr>
          <w:p w14:paraId="5BC8870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10</w:t>
            </w:r>
          </w:p>
        </w:tc>
      </w:tr>
      <w:tr w:rsidR="00773EEA" w:rsidRPr="00773EEA" w14:paraId="6C045F1C"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06B9AAC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Pakse</w:t>
            </w:r>
          </w:p>
        </w:tc>
        <w:tc>
          <w:tcPr>
            <w:tcW w:w="3847" w:type="dxa"/>
          </w:tcPr>
          <w:p w14:paraId="1BD8ECE2"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w:t>
            </w:r>
          </w:p>
        </w:tc>
      </w:tr>
      <w:tr w:rsidR="00773EEA" w:rsidRPr="00773EEA" w14:paraId="339BAF04"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7EC19A2C"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Penang</w:t>
            </w:r>
          </w:p>
        </w:tc>
        <w:tc>
          <w:tcPr>
            <w:tcW w:w="3847" w:type="dxa"/>
          </w:tcPr>
          <w:p w14:paraId="6444847E"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w:t>
            </w:r>
          </w:p>
        </w:tc>
      </w:tr>
      <w:tr w:rsidR="00773EEA" w:rsidRPr="00773EEA" w14:paraId="796ED01E"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7695ECBD"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Baguio</w:t>
            </w:r>
          </w:p>
        </w:tc>
        <w:tc>
          <w:tcPr>
            <w:tcW w:w="3847" w:type="dxa"/>
          </w:tcPr>
          <w:p w14:paraId="70A80904"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2637574F"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B32FDD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proofErr w:type="spellStart"/>
            <w:r w:rsidRPr="00773EEA">
              <w:rPr>
                <w:rFonts w:ascii="Arial" w:eastAsia="Times New Roman" w:hAnsi="Arial" w:cs="Times New Roman"/>
                <w:b w:val="0"/>
                <w:bCs w:val="0"/>
                <w:sz w:val="20"/>
                <w:lang w:val="en-GB"/>
              </w:rPr>
              <w:t>Coron</w:t>
            </w:r>
            <w:proofErr w:type="spellEnd"/>
          </w:p>
        </w:tc>
        <w:tc>
          <w:tcPr>
            <w:tcW w:w="3847" w:type="dxa"/>
          </w:tcPr>
          <w:p w14:paraId="5E4207E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6</w:t>
            </w:r>
          </w:p>
        </w:tc>
      </w:tr>
      <w:tr w:rsidR="00773EEA" w:rsidRPr="00773EEA" w14:paraId="3324C2F7"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341D325D"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Davao</w:t>
            </w:r>
          </w:p>
        </w:tc>
        <w:tc>
          <w:tcPr>
            <w:tcW w:w="3847" w:type="dxa"/>
          </w:tcPr>
          <w:p w14:paraId="5F21EA42"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7B886B32"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2458412B"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 xml:space="preserve">El </w:t>
            </w:r>
            <w:proofErr w:type="spellStart"/>
            <w:r w:rsidRPr="00773EEA">
              <w:rPr>
                <w:rFonts w:ascii="Arial" w:eastAsia="Times New Roman" w:hAnsi="Arial" w:cs="Times New Roman"/>
                <w:b w:val="0"/>
                <w:bCs w:val="0"/>
                <w:sz w:val="20"/>
                <w:lang w:val="en-GB"/>
              </w:rPr>
              <w:t>Nido</w:t>
            </w:r>
            <w:proofErr w:type="spellEnd"/>
          </w:p>
        </w:tc>
        <w:tc>
          <w:tcPr>
            <w:tcW w:w="3847" w:type="dxa"/>
          </w:tcPr>
          <w:p w14:paraId="68C8D461"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r w:rsidR="00773EEA" w:rsidRPr="00773EEA" w14:paraId="6B42FA03"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3B8554D3"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Chonburi / EEC</w:t>
            </w:r>
          </w:p>
        </w:tc>
        <w:tc>
          <w:tcPr>
            <w:tcW w:w="3847" w:type="dxa"/>
          </w:tcPr>
          <w:p w14:paraId="0513FFA4"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056258F0"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37E3137"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 xml:space="preserve">Gia </w:t>
            </w:r>
            <w:proofErr w:type="spellStart"/>
            <w:r w:rsidRPr="00773EEA">
              <w:rPr>
                <w:rFonts w:ascii="Arial" w:eastAsia="Times New Roman" w:hAnsi="Arial" w:cs="Times New Roman"/>
                <w:b w:val="0"/>
                <w:bCs w:val="0"/>
                <w:sz w:val="20"/>
                <w:lang w:val="en-GB"/>
              </w:rPr>
              <w:t>Nghia</w:t>
            </w:r>
            <w:proofErr w:type="spellEnd"/>
          </w:p>
        </w:tc>
        <w:tc>
          <w:tcPr>
            <w:tcW w:w="3847" w:type="dxa"/>
          </w:tcPr>
          <w:p w14:paraId="1B32C2A8"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33B1FBE2"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28FAA19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Ho Chi Minh</w:t>
            </w:r>
          </w:p>
        </w:tc>
        <w:tc>
          <w:tcPr>
            <w:tcW w:w="3847" w:type="dxa"/>
          </w:tcPr>
          <w:p w14:paraId="3216E73E"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20CDBBB3"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4E18D61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Hue</w:t>
            </w:r>
          </w:p>
        </w:tc>
        <w:tc>
          <w:tcPr>
            <w:tcW w:w="3847" w:type="dxa"/>
          </w:tcPr>
          <w:p w14:paraId="29D9BA53"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r>
      <w:tr w:rsidR="00773EEA" w:rsidRPr="00773EEA" w14:paraId="7AEFF02A"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0FA688B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Phan Rang</w:t>
            </w:r>
          </w:p>
        </w:tc>
        <w:tc>
          <w:tcPr>
            <w:tcW w:w="3847" w:type="dxa"/>
          </w:tcPr>
          <w:p w14:paraId="02D6866F"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r>
      <w:tr w:rsidR="00773EEA" w:rsidRPr="00773EEA" w14:paraId="2127B9A6"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1DD8307"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 xml:space="preserve">Phan </w:t>
            </w:r>
            <w:proofErr w:type="spellStart"/>
            <w:r w:rsidRPr="00773EEA">
              <w:rPr>
                <w:rFonts w:ascii="Arial" w:eastAsia="Times New Roman" w:hAnsi="Arial" w:cs="Times New Roman"/>
                <w:b w:val="0"/>
                <w:bCs w:val="0"/>
                <w:sz w:val="20"/>
                <w:lang w:val="en-GB"/>
              </w:rPr>
              <w:t>Thiet</w:t>
            </w:r>
            <w:proofErr w:type="spellEnd"/>
          </w:p>
        </w:tc>
        <w:tc>
          <w:tcPr>
            <w:tcW w:w="3847" w:type="dxa"/>
          </w:tcPr>
          <w:p w14:paraId="09F8998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r>
      <w:tr w:rsidR="00773EEA" w:rsidRPr="00773EEA" w14:paraId="08216C74" w14:textId="77777777" w:rsidTr="00A824DE">
        <w:tc>
          <w:tcPr>
            <w:cnfStyle w:val="001000000000" w:firstRow="0" w:lastRow="0" w:firstColumn="1" w:lastColumn="0" w:oddVBand="0" w:evenVBand="0" w:oddHBand="0" w:evenHBand="0" w:firstRowFirstColumn="0" w:firstRowLastColumn="0" w:lastRowFirstColumn="0" w:lastRowLastColumn="0"/>
            <w:tcW w:w="3847" w:type="dxa"/>
          </w:tcPr>
          <w:p w14:paraId="0C09DFB6" w14:textId="77777777" w:rsidR="005E1DF9" w:rsidRPr="00773EEA" w:rsidRDefault="005E1DF9" w:rsidP="00A824DE">
            <w:pPr>
              <w:spacing w:after="0"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Total</w:t>
            </w:r>
          </w:p>
        </w:tc>
        <w:tc>
          <w:tcPr>
            <w:tcW w:w="3847" w:type="dxa"/>
          </w:tcPr>
          <w:p w14:paraId="71D80AC0"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lang w:val="en-GB"/>
              </w:rPr>
            </w:pPr>
            <w:r w:rsidRPr="00773EEA">
              <w:rPr>
                <w:rFonts w:ascii="Arial" w:eastAsia="Times New Roman" w:hAnsi="Arial" w:cs="Times New Roman"/>
                <w:b/>
                <w:bCs/>
                <w:sz w:val="20"/>
                <w:lang w:val="en-GB"/>
              </w:rPr>
              <w:t>50</w:t>
            </w:r>
          </w:p>
        </w:tc>
      </w:tr>
    </w:tbl>
    <w:p w14:paraId="054A45A2" w14:textId="0E2988E5" w:rsidR="005E1DF9" w:rsidRPr="00773EEA" w:rsidRDefault="005E1DF9" w:rsidP="005F1785">
      <w:pPr>
        <w:spacing w:after="0" w:line="276" w:lineRule="auto"/>
        <w:contextualSpacing/>
        <w:rPr>
          <w:rFonts w:ascii="Georgia" w:hAnsi="Georgia" w:cs="Arial"/>
          <w:iCs/>
          <w:sz w:val="32"/>
          <w:szCs w:val="32"/>
        </w:rPr>
      </w:pPr>
    </w:p>
    <w:p w14:paraId="6A758072" w14:textId="28481EC4" w:rsidR="00800786" w:rsidRPr="00773EEA" w:rsidRDefault="00800786" w:rsidP="005F1785">
      <w:pPr>
        <w:spacing w:after="0" w:line="276" w:lineRule="auto"/>
        <w:contextualSpacing/>
        <w:rPr>
          <w:rFonts w:ascii="Georgia" w:hAnsi="Georgia" w:cs="Arial"/>
          <w:iCs/>
          <w:sz w:val="32"/>
          <w:szCs w:val="32"/>
        </w:rPr>
      </w:pPr>
      <w:r w:rsidRPr="00773EEA">
        <w:rPr>
          <w:rFonts w:cs="Arial"/>
          <w:b/>
          <w:bCs/>
          <w:szCs w:val="20"/>
          <w:lang w:bidi="th-TH"/>
        </w:rPr>
        <w:t>Q2: Which of the following best describes your role?</w:t>
      </w:r>
    </w:p>
    <w:p w14:paraId="5337CCB8" w14:textId="77777777" w:rsidR="00ED3973" w:rsidRPr="00773EEA" w:rsidRDefault="00ED3973" w:rsidP="00ED3973">
      <w:pPr>
        <w:rPr>
          <w:rFonts w:cs="Arial"/>
          <w:szCs w:val="20"/>
        </w:rPr>
      </w:pPr>
      <w:proofErr w:type="spellStart"/>
      <w:r w:rsidRPr="00773EEA">
        <w:rPr>
          <w:rFonts w:cs="Arial"/>
          <w:szCs w:val="20"/>
        </w:rPr>
        <w:t>Bavet</w:t>
      </w:r>
      <w:proofErr w:type="spellEnd"/>
      <w:r w:rsidRPr="00773EEA">
        <w:rPr>
          <w:rFonts w:cs="Arial"/>
          <w:szCs w:val="20"/>
        </w:rPr>
        <w:t xml:space="preserve"> Mayor</w:t>
      </w:r>
    </w:p>
    <w:p w14:paraId="1EB595CC" w14:textId="77777777" w:rsidR="00ED3973" w:rsidRPr="00773EEA" w:rsidRDefault="00ED3973" w:rsidP="00ED3973">
      <w:pPr>
        <w:rPr>
          <w:rFonts w:cs="Arial"/>
          <w:szCs w:val="20"/>
        </w:rPr>
      </w:pPr>
      <w:r w:rsidRPr="00773EEA">
        <w:rPr>
          <w:rFonts w:cs="Arial"/>
          <w:szCs w:val="20"/>
        </w:rPr>
        <w:t>Mayor</w:t>
      </w:r>
    </w:p>
    <w:p w14:paraId="37407C9D" w14:textId="77777777" w:rsidR="00ED3973" w:rsidRPr="00773EEA" w:rsidRDefault="00ED3973" w:rsidP="00ED3973">
      <w:pPr>
        <w:rPr>
          <w:rFonts w:cs="Arial"/>
          <w:szCs w:val="20"/>
        </w:rPr>
      </w:pPr>
      <w:r w:rsidRPr="00773EEA">
        <w:rPr>
          <w:rFonts w:cs="Arial"/>
          <w:szCs w:val="20"/>
        </w:rPr>
        <w:t>Deputy Mayor</w:t>
      </w:r>
    </w:p>
    <w:p w14:paraId="3FF97424" w14:textId="77777777" w:rsidR="00ED3973" w:rsidRPr="00773EEA" w:rsidRDefault="00ED3973" w:rsidP="00ED3973">
      <w:pPr>
        <w:rPr>
          <w:rFonts w:cs="Arial"/>
          <w:szCs w:val="20"/>
        </w:rPr>
      </w:pPr>
      <w:r w:rsidRPr="00773EEA">
        <w:rPr>
          <w:rFonts w:cs="Arial"/>
          <w:szCs w:val="20"/>
        </w:rPr>
        <w:t>District Official</w:t>
      </w:r>
    </w:p>
    <w:p w14:paraId="5FE97280" w14:textId="77777777" w:rsidR="00ED3973" w:rsidRPr="00773EEA" w:rsidRDefault="00ED3973" w:rsidP="00ED3973">
      <w:pPr>
        <w:rPr>
          <w:rFonts w:cs="Arial"/>
          <w:szCs w:val="20"/>
        </w:rPr>
      </w:pPr>
      <w:r w:rsidRPr="00773EEA">
        <w:rPr>
          <w:rFonts w:cs="Arial"/>
          <w:szCs w:val="20"/>
        </w:rPr>
        <w:t>District Manager</w:t>
      </w:r>
    </w:p>
    <w:p w14:paraId="19DA8825" w14:textId="77777777" w:rsidR="00ED3973" w:rsidRPr="00773EEA" w:rsidRDefault="00ED3973" w:rsidP="00ED3973">
      <w:pPr>
        <w:rPr>
          <w:rFonts w:cs="Arial"/>
          <w:szCs w:val="20"/>
        </w:rPr>
      </w:pPr>
      <w:r w:rsidRPr="00773EEA">
        <w:rPr>
          <w:rFonts w:cs="Arial"/>
          <w:szCs w:val="20"/>
        </w:rPr>
        <w:t>Deputy Chief of Municipal Office</w:t>
      </w:r>
    </w:p>
    <w:p w14:paraId="6FA5BFA4" w14:textId="77777777" w:rsidR="00ED3973" w:rsidRPr="00773EEA" w:rsidRDefault="00ED3973" w:rsidP="00ED3973">
      <w:pPr>
        <w:rPr>
          <w:rFonts w:cs="Arial"/>
          <w:szCs w:val="20"/>
        </w:rPr>
      </w:pPr>
      <w:r w:rsidRPr="00773EEA">
        <w:rPr>
          <w:rFonts w:cs="Arial"/>
          <w:szCs w:val="20"/>
        </w:rPr>
        <w:t>Office of Municipal Mayor</w:t>
      </w:r>
    </w:p>
    <w:p w14:paraId="44B5EC5E" w14:textId="77777777" w:rsidR="00ED3973" w:rsidRPr="00773EEA" w:rsidRDefault="00ED3973" w:rsidP="00ED3973">
      <w:pPr>
        <w:rPr>
          <w:rFonts w:cs="Arial"/>
          <w:szCs w:val="20"/>
        </w:rPr>
      </w:pPr>
      <w:r w:rsidRPr="00773EEA">
        <w:rPr>
          <w:rFonts w:cs="Arial"/>
          <w:szCs w:val="20"/>
        </w:rPr>
        <w:t xml:space="preserve">Administrative Director of </w:t>
      </w:r>
      <w:proofErr w:type="spellStart"/>
      <w:r w:rsidRPr="00773EEA">
        <w:rPr>
          <w:rFonts w:cs="Arial"/>
          <w:szCs w:val="20"/>
        </w:rPr>
        <w:t>Bavet</w:t>
      </w:r>
      <w:proofErr w:type="spellEnd"/>
      <w:r w:rsidRPr="00773EEA">
        <w:rPr>
          <w:rFonts w:cs="Arial"/>
          <w:szCs w:val="20"/>
        </w:rPr>
        <w:t xml:space="preserve"> City Hall</w:t>
      </w:r>
    </w:p>
    <w:p w14:paraId="12399A4F" w14:textId="77777777" w:rsidR="00ED3973" w:rsidRPr="00773EEA" w:rsidRDefault="00ED3973" w:rsidP="00ED3973">
      <w:pPr>
        <w:rPr>
          <w:rFonts w:cs="Arial"/>
          <w:szCs w:val="20"/>
        </w:rPr>
      </w:pPr>
      <w:r w:rsidRPr="00773EEA">
        <w:rPr>
          <w:rFonts w:cs="Arial"/>
          <w:szCs w:val="20"/>
        </w:rPr>
        <w:t>Government Employee</w:t>
      </w:r>
    </w:p>
    <w:p w14:paraId="46E1791A" w14:textId="77777777" w:rsidR="00ED3973" w:rsidRPr="00773EEA" w:rsidRDefault="00ED3973" w:rsidP="00ED3973">
      <w:pPr>
        <w:rPr>
          <w:rFonts w:cs="Arial"/>
          <w:szCs w:val="20"/>
        </w:rPr>
      </w:pPr>
      <w:r w:rsidRPr="00773EEA">
        <w:rPr>
          <w:rFonts w:cs="Arial"/>
          <w:szCs w:val="20"/>
        </w:rPr>
        <w:t>Official</w:t>
      </w:r>
    </w:p>
    <w:p w14:paraId="52EFC152" w14:textId="77777777" w:rsidR="00ED3973" w:rsidRPr="00773EEA" w:rsidRDefault="00ED3973" w:rsidP="00ED3973">
      <w:pPr>
        <w:rPr>
          <w:rFonts w:cs="Arial"/>
          <w:szCs w:val="20"/>
        </w:rPr>
      </w:pPr>
      <w:r w:rsidRPr="00773EEA">
        <w:rPr>
          <w:rFonts w:cs="Arial"/>
          <w:szCs w:val="20"/>
        </w:rPr>
        <w:t xml:space="preserve">Chief Of Office of Administration </w:t>
      </w:r>
      <w:proofErr w:type="gramStart"/>
      <w:r w:rsidRPr="00773EEA">
        <w:rPr>
          <w:rFonts w:cs="Arial"/>
          <w:szCs w:val="20"/>
        </w:rPr>
        <w:t>And</w:t>
      </w:r>
      <w:proofErr w:type="gramEnd"/>
      <w:r w:rsidRPr="00773EEA">
        <w:rPr>
          <w:rFonts w:cs="Arial"/>
          <w:szCs w:val="20"/>
        </w:rPr>
        <w:t xml:space="preserve"> Finance</w:t>
      </w:r>
    </w:p>
    <w:p w14:paraId="52D84FB0" w14:textId="77777777" w:rsidR="00ED3973" w:rsidRPr="00773EEA" w:rsidRDefault="00ED3973" w:rsidP="00ED3973">
      <w:pPr>
        <w:rPr>
          <w:rFonts w:cs="Arial"/>
          <w:szCs w:val="20"/>
        </w:rPr>
      </w:pPr>
      <w:r w:rsidRPr="00773EEA">
        <w:rPr>
          <w:rFonts w:cs="Arial"/>
          <w:szCs w:val="20"/>
        </w:rPr>
        <w:t>City Government Youth Planner</w:t>
      </w:r>
    </w:p>
    <w:p w14:paraId="4F75F82A" w14:textId="77777777" w:rsidR="00ED3973" w:rsidRPr="00773EEA" w:rsidRDefault="00ED3973" w:rsidP="00ED3973">
      <w:pPr>
        <w:rPr>
          <w:rFonts w:cs="Arial"/>
          <w:szCs w:val="20"/>
          <w:lang w:eastAsia="en-AU"/>
        </w:rPr>
      </w:pPr>
      <w:r w:rsidRPr="00773EEA">
        <w:rPr>
          <w:rFonts w:cs="Arial"/>
          <w:szCs w:val="20"/>
        </w:rPr>
        <w:t>Head of Disability Services Development Division of The General Secretariat for Disability Action Council</w:t>
      </w:r>
    </w:p>
    <w:p w14:paraId="7BBE4C4E" w14:textId="77777777" w:rsidR="00ED3973" w:rsidRPr="00773EEA" w:rsidRDefault="00ED3973" w:rsidP="00ED3973">
      <w:pPr>
        <w:rPr>
          <w:rFonts w:cs="Arial"/>
          <w:szCs w:val="20"/>
        </w:rPr>
      </w:pPr>
      <w:r w:rsidRPr="00773EEA">
        <w:rPr>
          <w:rFonts w:cs="Arial"/>
          <w:szCs w:val="20"/>
        </w:rPr>
        <w:t>Social Welfare Officer of The Department of Social Affairs, Veterans and Youth Rehabilitation</w:t>
      </w:r>
    </w:p>
    <w:p w14:paraId="4E823F80" w14:textId="77777777" w:rsidR="00ED3973" w:rsidRPr="00773EEA" w:rsidRDefault="00ED3973" w:rsidP="00ED3973">
      <w:pPr>
        <w:rPr>
          <w:rFonts w:cs="Arial"/>
          <w:szCs w:val="20"/>
        </w:rPr>
      </w:pPr>
      <w:r w:rsidRPr="00773EEA">
        <w:rPr>
          <w:rFonts w:cs="Arial"/>
          <w:szCs w:val="20"/>
        </w:rPr>
        <w:t xml:space="preserve">Head of Sub-Section of Planning </w:t>
      </w:r>
      <w:proofErr w:type="gramStart"/>
      <w:r w:rsidRPr="00773EEA">
        <w:rPr>
          <w:rFonts w:cs="Arial"/>
          <w:szCs w:val="20"/>
        </w:rPr>
        <w:t>And</w:t>
      </w:r>
      <w:proofErr w:type="gramEnd"/>
      <w:r w:rsidRPr="00773EEA">
        <w:rPr>
          <w:rFonts w:cs="Arial"/>
          <w:szCs w:val="20"/>
        </w:rPr>
        <w:t xml:space="preserve"> Evaluation</w:t>
      </w:r>
    </w:p>
    <w:p w14:paraId="75CAF261" w14:textId="77777777" w:rsidR="00ED3973" w:rsidRPr="00773EEA" w:rsidRDefault="00ED3973" w:rsidP="00ED3973">
      <w:pPr>
        <w:rPr>
          <w:rFonts w:cs="Arial"/>
          <w:szCs w:val="20"/>
        </w:rPr>
      </w:pPr>
      <w:r w:rsidRPr="00773EEA">
        <w:rPr>
          <w:rFonts w:cs="Arial"/>
          <w:szCs w:val="20"/>
        </w:rPr>
        <w:t>Sub-Coordinator of Infrastructure Technology Development</w:t>
      </w:r>
    </w:p>
    <w:p w14:paraId="00334B6A" w14:textId="77777777" w:rsidR="00ED3973" w:rsidRDefault="00ED3973" w:rsidP="00ED3973">
      <w:pPr>
        <w:rPr>
          <w:rFonts w:cs="Arial"/>
          <w:szCs w:val="20"/>
        </w:rPr>
      </w:pPr>
      <w:r w:rsidRPr="00773EEA">
        <w:rPr>
          <w:rFonts w:cs="Arial"/>
          <w:szCs w:val="20"/>
        </w:rPr>
        <w:t>Civil Servants</w:t>
      </w:r>
    </w:p>
    <w:p w14:paraId="719DE11E" w14:textId="77777777" w:rsidR="00ED3973" w:rsidRDefault="00ED3973" w:rsidP="00ED3973">
      <w:pPr>
        <w:rPr>
          <w:rFonts w:cs="Arial"/>
          <w:szCs w:val="20"/>
        </w:rPr>
      </w:pPr>
      <w:r w:rsidRPr="00773EEA">
        <w:rPr>
          <w:rFonts w:cs="Arial"/>
          <w:szCs w:val="20"/>
        </w:rPr>
        <w:t>Businessman</w:t>
      </w:r>
    </w:p>
    <w:p w14:paraId="046E593D" w14:textId="77777777" w:rsidR="00ED3973" w:rsidRDefault="00ED3973" w:rsidP="00ED3973">
      <w:pPr>
        <w:rPr>
          <w:rFonts w:cs="Arial"/>
          <w:szCs w:val="20"/>
        </w:rPr>
      </w:pPr>
      <w:r w:rsidRPr="00773EEA">
        <w:rPr>
          <w:rFonts w:cs="Arial"/>
          <w:szCs w:val="20"/>
        </w:rPr>
        <w:t>Traffic Consultant</w:t>
      </w:r>
    </w:p>
    <w:p w14:paraId="18517491" w14:textId="77777777" w:rsidR="00ED3973" w:rsidRDefault="00ED3973" w:rsidP="00ED3973">
      <w:pPr>
        <w:rPr>
          <w:rFonts w:cs="Arial"/>
          <w:szCs w:val="20"/>
        </w:rPr>
      </w:pPr>
      <w:r w:rsidRPr="00773EEA">
        <w:rPr>
          <w:rFonts w:cs="Arial"/>
          <w:szCs w:val="20"/>
        </w:rPr>
        <w:lastRenderedPageBreak/>
        <w:t>Private Secretary</w:t>
      </w:r>
    </w:p>
    <w:p w14:paraId="5889EB0D" w14:textId="77777777" w:rsidR="00ED3973" w:rsidRDefault="00ED3973" w:rsidP="00ED3973">
      <w:pPr>
        <w:rPr>
          <w:rFonts w:cs="Arial"/>
          <w:szCs w:val="20"/>
        </w:rPr>
      </w:pPr>
      <w:r w:rsidRPr="00773EEA">
        <w:rPr>
          <w:rFonts w:cs="Arial"/>
          <w:szCs w:val="20"/>
        </w:rPr>
        <w:t>School Head</w:t>
      </w:r>
    </w:p>
    <w:p w14:paraId="591A80A0" w14:textId="77777777" w:rsidR="00ED3973" w:rsidRDefault="00ED3973" w:rsidP="00ED3973">
      <w:pPr>
        <w:rPr>
          <w:rFonts w:cs="Arial"/>
          <w:szCs w:val="20"/>
        </w:rPr>
      </w:pPr>
      <w:r w:rsidRPr="00773EEA">
        <w:rPr>
          <w:rFonts w:cs="Arial"/>
          <w:szCs w:val="20"/>
        </w:rPr>
        <w:t>Management Officer</w:t>
      </w:r>
    </w:p>
    <w:p w14:paraId="2BECE635" w14:textId="77777777" w:rsidR="00ED3973" w:rsidRDefault="00ED3973" w:rsidP="00ED3973">
      <w:pPr>
        <w:rPr>
          <w:rFonts w:cs="Arial"/>
          <w:szCs w:val="20"/>
        </w:rPr>
      </w:pPr>
      <w:r w:rsidRPr="00773EEA">
        <w:rPr>
          <w:rFonts w:cs="Arial"/>
          <w:szCs w:val="20"/>
        </w:rPr>
        <w:t>Management Staff</w:t>
      </w:r>
    </w:p>
    <w:p w14:paraId="0D03B668" w14:textId="77777777" w:rsidR="00ED3973" w:rsidRDefault="00ED3973" w:rsidP="00ED3973">
      <w:pPr>
        <w:rPr>
          <w:rFonts w:cs="Arial"/>
          <w:szCs w:val="20"/>
        </w:rPr>
      </w:pPr>
      <w:r w:rsidRPr="00773EEA">
        <w:rPr>
          <w:rFonts w:cs="Arial"/>
          <w:szCs w:val="20"/>
        </w:rPr>
        <w:t>Technical Staff</w:t>
      </w:r>
    </w:p>
    <w:p w14:paraId="654E7916" w14:textId="77777777" w:rsidR="00ED3973" w:rsidRDefault="00ED3973" w:rsidP="00ED3973">
      <w:pPr>
        <w:rPr>
          <w:rFonts w:cs="Arial"/>
          <w:szCs w:val="20"/>
        </w:rPr>
      </w:pPr>
      <w:r w:rsidRPr="00773EEA">
        <w:rPr>
          <w:rFonts w:cs="Arial"/>
          <w:szCs w:val="20"/>
        </w:rPr>
        <w:t>Staff</w:t>
      </w:r>
    </w:p>
    <w:p w14:paraId="0F305F09" w14:textId="77777777" w:rsidR="00ED3973" w:rsidRDefault="00ED3973" w:rsidP="00ED3973">
      <w:pPr>
        <w:rPr>
          <w:rFonts w:cs="Arial"/>
          <w:szCs w:val="20"/>
        </w:rPr>
      </w:pPr>
      <w:r w:rsidRPr="00773EEA">
        <w:rPr>
          <w:rFonts w:cs="Arial"/>
          <w:szCs w:val="20"/>
        </w:rPr>
        <w:t>Consultant</w:t>
      </w:r>
    </w:p>
    <w:p w14:paraId="6AA97752" w14:textId="77777777" w:rsidR="00ED3973" w:rsidRDefault="00ED3973" w:rsidP="00ED3973">
      <w:pPr>
        <w:rPr>
          <w:rFonts w:cs="Arial"/>
          <w:szCs w:val="20"/>
        </w:rPr>
      </w:pPr>
      <w:r w:rsidRPr="00773EEA">
        <w:rPr>
          <w:rFonts w:cs="Arial"/>
          <w:szCs w:val="20"/>
        </w:rPr>
        <w:t>Employee</w:t>
      </w:r>
    </w:p>
    <w:p w14:paraId="27357D1D" w14:textId="08B3895D" w:rsidR="005E1DF9" w:rsidRDefault="00ED3973" w:rsidP="00ED3973">
      <w:pPr>
        <w:rPr>
          <w:rFonts w:cs="Arial"/>
          <w:szCs w:val="20"/>
        </w:rPr>
      </w:pPr>
      <w:r w:rsidRPr="00773EEA">
        <w:rPr>
          <w:rFonts w:cs="Arial"/>
          <w:szCs w:val="20"/>
        </w:rPr>
        <w:t>NGO Staff</w:t>
      </w:r>
    </w:p>
    <w:p w14:paraId="1D1D866A" w14:textId="77777777" w:rsidR="00ED3973" w:rsidRPr="00773EEA" w:rsidRDefault="00ED3973" w:rsidP="00ED3973">
      <w:pPr>
        <w:spacing w:after="0" w:line="276" w:lineRule="auto"/>
        <w:contextualSpacing/>
        <w:rPr>
          <w:rFonts w:ascii="Georgia" w:hAnsi="Georgia" w:cs="Arial"/>
          <w:iCs/>
          <w:sz w:val="32"/>
          <w:szCs w:val="32"/>
        </w:rPr>
      </w:pPr>
    </w:p>
    <w:p w14:paraId="435B50FB" w14:textId="0407C8E4" w:rsidR="00800786" w:rsidRPr="00773EEA" w:rsidRDefault="00800786" w:rsidP="005F1785">
      <w:pPr>
        <w:spacing w:after="0" w:line="276" w:lineRule="auto"/>
        <w:contextualSpacing/>
        <w:rPr>
          <w:rFonts w:cs="Arial"/>
          <w:b/>
          <w:caps/>
          <w:szCs w:val="20"/>
          <w:lang w:bidi="th-TH"/>
        </w:rPr>
      </w:pPr>
      <w:r w:rsidRPr="00773EEA">
        <w:rPr>
          <w:rFonts w:cs="Arial"/>
          <w:b/>
          <w:bCs/>
          <w:szCs w:val="20"/>
          <w:lang w:bidi="th-TH"/>
        </w:rPr>
        <w:t>Q3: Do you identify as female, male, other?</w:t>
      </w:r>
    </w:p>
    <w:tbl>
      <w:tblPr>
        <w:tblStyle w:val="LightShading-Accent11"/>
        <w:tblW w:w="0" w:type="auto"/>
        <w:tblLook w:val="04A0" w:firstRow="1" w:lastRow="0" w:firstColumn="1" w:lastColumn="0" w:noHBand="0" w:noVBand="1"/>
      </w:tblPr>
      <w:tblGrid>
        <w:gridCol w:w="2867"/>
        <w:gridCol w:w="2630"/>
      </w:tblGrid>
      <w:tr w:rsidR="00850353" w:rsidRPr="00773EEA" w14:paraId="5F3F392B" w14:textId="77777777" w:rsidTr="00850353">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67" w:type="dxa"/>
          </w:tcPr>
          <w:p w14:paraId="27795DB5" w14:textId="63B5A072" w:rsidR="00850353" w:rsidRPr="00773EEA" w:rsidRDefault="00850353" w:rsidP="00A824DE">
            <w:pPr>
              <w:spacing w:line="276" w:lineRule="auto"/>
              <w:contextualSpacing/>
            </w:pPr>
            <w:r>
              <w:t>Gender</w:t>
            </w:r>
          </w:p>
        </w:tc>
        <w:tc>
          <w:tcPr>
            <w:tcW w:w="2630" w:type="dxa"/>
          </w:tcPr>
          <w:p w14:paraId="760CAC69" w14:textId="08F3EAED" w:rsidR="00850353" w:rsidRPr="00850353" w:rsidRDefault="00850353" w:rsidP="00A824DE">
            <w:pPr>
              <w:spacing w:line="276" w:lineRule="auto"/>
              <w:contextualSpacing/>
              <w:cnfStyle w:val="100000000000" w:firstRow="1" w:lastRow="0" w:firstColumn="0" w:lastColumn="0" w:oddVBand="0" w:evenVBand="0" w:oddHBand="0" w:evenHBand="0" w:firstRowFirstColumn="0" w:firstRowLastColumn="0" w:lastRowFirstColumn="0" w:lastRowLastColumn="0"/>
            </w:pPr>
            <w:r w:rsidRPr="00850353">
              <w:t>Responses</w:t>
            </w:r>
          </w:p>
        </w:tc>
      </w:tr>
      <w:tr w:rsidR="00850353" w:rsidRPr="00773EEA" w14:paraId="1094CD3C" w14:textId="77777777" w:rsidTr="00850353">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67" w:type="dxa"/>
          </w:tcPr>
          <w:p w14:paraId="768AD1AE" w14:textId="77777777" w:rsidR="00850353" w:rsidRPr="00773EEA" w:rsidRDefault="00850353" w:rsidP="00A824DE">
            <w:pPr>
              <w:spacing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Female</w:t>
            </w:r>
          </w:p>
        </w:tc>
        <w:tc>
          <w:tcPr>
            <w:tcW w:w="2630" w:type="dxa"/>
          </w:tcPr>
          <w:p w14:paraId="469AE9B6" w14:textId="29FBB332" w:rsidR="00850353" w:rsidRPr="00850353" w:rsidRDefault="00850353" w:rsidP="00A824D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850353">
              <w:rPr>
                <w:rFonts w:ascii="Arial" w:eastAsia="Times New Roman" w:hAnsi="Arial" w:cs="Times New Roman"/>
                <w:sz w:val="20"/>
                <w:lang w:val="en-GB"/>
              </w:rPr>
              <w:t>26</w:t>
            </w:r>
          </w:p>
        </w:tc>
      </w:tr>
      <w:tr w:rsidR="00850353" w:rsidRPr="00773EEA" w14:paraId="02CEC3E0" w14:textId="77777777" w:rsidTr="00850353">
        <w:trPr>
          <w:trHeight w:val="306"/>
        </w:trPr>
        <w:tc>
          <w:tcPr>
            <w:cnfStyle w:val="001000000000" w:firstRow="0" w:lastRow="0" w:firstColumn="1" w:lastColumn="0" w:oddVBand="0" w:evenVBand="0" w:oddHBand="0" w:evenHBand="0" w:firstRowFirstColumn="0" w:firstRowLastColumn="0" w:lastRowFirstColumn="0" w:lastRowLastColumn="0"/>
            <w:tcW w:w="2867" w:type="dxa"/>
          </w:tcPr>
          <w:p w14:paraId="3792203C" w14:textId="7D4F2B2C" w:rsidR="00850353" w:rsidRPr="00773EEA" w:rsidRDefault="00850353" w:rsidP="00A824DE">
            <w:pPr>
              <w:spacing w:after="0" w:line="276" w:lineRule="auto"/>
              <w:contextualSpacing/>
              <w:rPr>
                <w:rFonts w:ascii="Arial" w:eastAsia="Times New Roman" w:hAnsi="Arial" w:cs="Times New Roman"/>
                <w:b w:val="0"/>
                <w:bCs w:val="0"/>
                <w:sz w:val="20"/>
                <w:lang w:val="en-GB"/>
              </w:rPr>
            </w:pPr>
            <w:r>
              <w:rPr>
                <w:rFonts w:ascii="Arial" w:eastAsia="Times New Roman" w:hAnsi="Arial" w:cs="Times New Roman"/>
                <w:sz w:val="20"/>
                <w:lang w:val="en-GB"/>
              </w:rPr>
              <w:t>M</w:t>
            </w:r>
            <w:r w:rsidRPr="00773EEA">
              <w:rPr>
                <w:rFonts w:ascii="Arial" w:eastAsia="Times New Roman" w:hAnsi="Arial" w:cs="Times New Roman"/>
                <w:sz w:val="20"/>
                <w:lang w:val="en-GB"/>
              </w:rPr>
              <w:t>ale</w:t>
            </w:r>
          </w:p>
        </w:tc>
        <w:tc>
          <w:tcPr>
            <w:tcW w:w="2630" w:type="dxa"/>
          </w:tcPr>
          <w:p w14:paraId="7BEB626E" w14:textId="77777777" w:rsidR="00850353" w:rsidRPr="00773EEA" w:rsidRDefault="00850353"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23</w:t>
            </w:r>
          </w:p>
        </w:tc>
      </w:tr>
      <w:tr w:rsidR="00850353" w:rsidRPr="00773EEA" w14:paraId="15883B15" w14:textId="77777777" w:rsidTr="0085035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67" w:type="dxa"/>
          </w:tcPr>
          <w:p w14:paraId="3FF9BB53" w14:textId="4D0CE4DA" w:rsidR="00850353" w:rsidRPr="00773EEA" w:rsidRDefault="00850353" w:rsidP="00A824DE">
            <w:pPr>
              <w:spacing w:after="0" w:line="276" w:lineRule="auto"/>
              <w:contextualSpacing/>
            </w:pPr>
            <w:r>
              <w:t>Other</w:t>
            </w:r>
          </w:p>
        </w:tc>
        <w:tc>
          <w:tcPr>
            <w:tcW w:w="2630" w:type="dxa"/>
          </w:tcPr>
          <w:p w14:paraId="6A942AC1" w14:textId="02B45E95" w:rsidR="00850353" w:rsidRPr="00850353" w:rsidRDefault="00850353"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pPr>
            <w:r w:rsidRPr="00850353">
              <w:t>1</w:t>
            </w:r>
          </w:p>
        </w:tc>
      </w:tr>
    </w:tbl>
    <w:p w14:paraId="513D2045" w14:textId="5EEC30EF" w:rsidR="005E1DF9" w:rsidRPr="00773EEA" w:rsidRDefault="005E1DF9" w:rsidP="005F1785">
      <w:pPr>
        <w:spacing w:after="0" w:line="276" w:lineRule="auto"/>
        <w:contextualSpacing/>
        <w:rPr>
          <w:rFonts w:ascii="Georgia" w:hAnsi="Georgia" w:cs="Arial"/>
          <w:iCs/>
          <w:sz w:val="32"/>
          <w:szCs w:val="32"/>
        </w:rPr>
      </w:pPr>
    </w:p>
    <w:p w14:paraId="261E37E3" w14:textId="05429F63" w:rsidR="007C7E9B" w:rsidRPr="00773EEA" w:rsidRDefault="007C7E9B" w:rsidP="005F1785">
      <w:pPr>
        <w:spacing w:after="0" w:line="276" w:lineRule="auto"/>
        <w:contextualSpacing/>
        <w:rPr>
          <w:rFonts w:cs="Arial"/>
          <w:b/>
          <w:caps/>
          <w:szCs w:val="20"/>
          <w:lang w:bidi="th-TH"/>
        </w:rPr>
      </w:pPr>
      <w:r w:rsidRPr="00773EEA">
        <w:rPr>
          <w:rFonts w:cs="Arial"/>
          <w:b/>
          <w:bCs/>
          <w:szCs w:val="20"/>
          <w:lang w:bidi="th-TH"/>
        </w:rPr>
        <w:t>Q4: Do you identify as having a disability?</w:t>
      </w:r>
    </w:p>
    <w:tbl>
      <w:tblPr>
        <w:tblStyle w:val="LightShading-Accent11"/>
        <w:tblW w:w="0" w:type="auto"/>
        <w:tblLook w:val="04A0" w:firstRow="1" w:lastRow="0" w:firstColumn="1" w:lastColumn="0" w:noHBand="0" w:noVBand="1"/>
      </w:tblPr>
      <w:tblGrid>
        <w:gridCol w:w="2410"/>
        <w:gridCol w:w="3119"/>
      </w:tblGrid>
      <w:tr w:rsidR="00773EEA" w:rsidRPr="00773EEA" w14:paraId="5FA46F8D"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CD80B1F" w14:textId="77777777" w:rsidR="005E1DF9" w:rsidRPr="00773EEA" w:rsidRDefault="005E1DF9" w:rsidP="00A824DE">
            <w:pPr>
              <w:spacing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Yes</w:t>
            </w:r>
          </w:p>
        </w:tc>
        <w:tc>
          <w:tcPr>
            <w:tcW w:w="3119" w:type="dxa"/>
          </w:tcPr>
          <w:p w14:paraId="272F60E1"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No</w:t>
            </w:r>
          </w:p>
        </w:tc>
      </w:tr>
      <w:tr w:rsidR="00773EEA" w:rsidRPr="00773EEA" w14:paraId="610E9E04"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2586FE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3</w:t>
            </w:r>
          </w:p>
        </w:tc>
        <w:tc>
          <w:tcPr>
            <w:tcW w:w="3119" w:type="dxa"/>
          </w:tcPr>
          <w:p w14:paraId="55CAD307"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47</w:t>
            </w:r>
          </w:p>
        </w:tc>
      </w:tr>
    </w:tbl>
    <w:p w14:paraId="08D0DD91" w14:textId="07E9F294" w:rsidR="005E1DF9" w:rsidRPr="00773EEA" w:rsidRDefault="005E1DF9" w:rsidP="005F1785">
      <w:pPr>
        <w:spacing w:after="0" w:line="276" w:lineRule="auto"/>
        <w:contextualSpacing/>
        <w:rPr>
          <w:rFonts w:ascii="Georgia" w:hAnsi="Georgia" w:cs="Arial"/>
          <w:iCs/>
          <w:sz w:val="32"/>
          <w:szCs w:val="32"/>
        </w:rPr>
      </w:pPr>
    </w:p>
    <w:p w14:paraId="350BC300" w14:textId="0B67B050" w:rsidR="007C7E9B" w:rsidRPr="00773EEA" w:rsidRDefault="007C7E9B" w:rsidP="005F1785">
      <w:pPr>
        <w:spacing w:after="0" w:line="276" w:lineRule="auto"/>
        <w:contextualSpacing/>
        <w:rPr>
          <w:b/>
          <w:caps/>
          <w:lang w:bidi="th-TH"/>
        </w:rPr>
      </w:pPr>
      <w:r w:rsidRPr="00773EEA">
        <w:rPr>
          <w:b/>
          <w:bCs/>
          <w:lang w:bidi="th-TH"/>
        </w:rPr>
        <w:t>Q5: Are you aware of the Australia-ASEAN Smart City Trust Fund (AASCTF) program, funded by DFAT and their engagement with your city?</w:t>
      </w:r>
    </w:p>
    <w:tbl>
      <w:tblPr>
        <w:tblStyle w:val="LightShading-Accent11"/>
        <w:tblW w:w="0" w:type="auto"/>
        <w:tblLook w:val="04A0" w:firstRow="1" w:lastRow="0" w:firstColumn="1" w:lastColumn="0" w:noHBand="0" w:noVBand="1"/>
      </w:tblPr>
      <w:tblGrid>
        <w:gridCol w:w="2410"/>
        <w:gridCol w:w="3119"/>
      </w:tblGrid>
      <w:tr w:rsidR="00773EEA" w:rsidRPr="00773EEA" w14:paraId="4107191B"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4D2EDA0" w14:textId="77777777" w:rsidR="005E1DF9" w:rsidRPr="00773EEA" w:rsidRDefault="005E1DF9" w:rsidP="00A824DE">
            <w:pPr>
              <w:spacing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Yes</w:t>
            </w:r>
          </w:p>
        </w:tc>
        <w:tc>
          <w:tcPr>
            <w:tcW w:w="3119" w:type="dxa"/>
          </w:tcPr>
          <w:p w14:paraId="2AF2D5F6"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No</w:t>
            </w:r>
          </w:p>
        </w:tc>
      </w:tr>
      <w:tr w:rsidR="00773EEA" w:rsidRPr="00773EEA" w14:paraId="3D7CDF12"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5AF96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43</w:t>
            </w:r>
          </w:p>
        </w:tc>
        <w:tc>
          <w:tcPr>
            <w:tcW w:w="3119" w:type="dxa"/>
          </w:tcPr>
          <w:p w14:paraId="651DA62C"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7</w:t>
            </w:r>
          </w:p>
        </w:tc>
      </w:tr>
    </w:tbl>
    <w:p w14:paraId="7A867D64" w14:textId="0EB7F131" w:rsidR="005E1DF9" w:rsidRPr="00773EEA" w:rsidRDefault="005E1DF9" w:rsidP="005F1785">
      <w:pPr>
        <w:spacing w:after="0" w:line="276" w:lineRule="auto"/>
        <w:contextualSpacing/>
        <w:rPr>
          <w:rFonts w:ascii="Georgia" w:hAnsi="Georgia" w:cs="Arial"/>
          <w:iCs/>
          <w:sz w:val="32"/>
          <w:szCs w:val="32"/>
        </w:rPr>
      </w:pPr>
    </w:p>
    <w:p w14:paraId="107D4FDA" w14:textId="52E34B72" w:rsidR="005E1DF9" w:rsidRPr="00071179" w:rsidRDefault="007C7E9B" w:rsidP="005F1785">
      <w:pPr>
        <w:spacing w:after="0" w:line="276" w:lineRule="auto"/>
        <w:contextualSpacing/>
        <w:rPr>
          <w:b/>
          <w:caps/>
          <w:lang w:bidi="th-TH"/>
        </w:rPr>
      </w:pPr>
      <w:r w:rsidRPr="00773EEA">
        <w:rPr>
          <w:b/>
          <w:bCs/>
          <w:lang w:bidi="th-TH"/>
        </w:rPr>
        <w:t>Q6</w:t>
      </w:r>
      <w:r w:rsidR="00FF1229" w:rsidRPr="00773EEA">
        <w:rPr>
          <w:b/>
          <w:bCs/>
          <w:lang w:bidi="th-TH"/>
        </w:rPr>
        <w:t>:</w:t>
      </w:r>
      <w:r w:rsidRPr="00773EEA">
        <w:rPr>
          <w:b/>
          <w:bCs/>
          <w:lang w:bidi="th-TH"/>
        </w:rPr>
        <w:t xml:space="preserve"> How many AASCTF events have you participated in?</w:t>
      </w:r>
    </w:p>
    <w:tbl>
      <w:tblPr>
        <w:tblStyle w:val="LightShading-Accent11"/>
        <w:tblW w:w="0" w:type="auto"/>
        <w:tblLook w:val="04A0" w:firstRow="1" w:lastRow="0" w:firstColumn="1" w:lastColumn="0" w:noHBand="0" w:noVBand="1"/>
      </w:tblPr>
      <w:tblGrid>
        <w:gridCol w:w="2867"/>
        <w:gridCol w:w="2630"/>
      </w:tblGrid>
      <w:tr w:rsidR="00071179" w:rsidRPr="00850353" w14:paraId="528EC126" w14:textId="77777777" w:rsidTr="009D2FBC">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67" w:type="dxa"/>
          </w:tcPr>
          <w:p w14:paraId="68245DF4" w14:textId="65182B40" w:rsidR="00071179" w:rsidRPr="00773EEA" w:rsidRDefault="00071179" w:rsidP="009D2FBC">
            <w:pPr>
              <w:spacing w:line="276" w:lineRule="auto"/>
              <w:contextualSpacing/>
            </w:pPr>
            <w:r>
              <w:t>Number of events</w:t>
            </w:r>
          </w:p>
        </w:tc>
        <w:tc>
          <w:tcPr>
            <w:tcW w:w="2630" w:type="dxa"/>
          </w:tcPr>
          <w:p w14:paraId="56353713" w14:textId="7847A8BE" w:rsidR="00071179" w:rsidRPr="00850353" w:rsidRDefault="00071179" w:rsidP="009D2FBC">
            <w:pPr>
              <w:spacing w:line="276" w:lineRule="auto"/>
              <w:contextualSpacing/>
              <w:cnfStyle w:val="100000000000" w:firstRow="1" w:lastRow="0" w:firstColumn="0" w:lastColumn="0" w:oddVBand="0" w:evenVBand="0" w:oddHBand="0" w:evenHBand="0" w:firstRowFirstColumn="0" w:firstRowLastColumn="0" w:lastRowFirstColumn="0" w:lastRowLastColumn="0"/>
            </w:pPr>
            <w:r>
              <w:t>Responses</w:t>
            </w:r>
          </w:p>
        </w:tc>
      </w:tr>
      <w:tr w:rsidR="00071179" w:rsidRPr="00850353" w14:paraId="5C8234D3" w14:textId="77777777" w:rsidTr="009D2FB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67" w:type="dxa"/>
          </w:tcPr>
          <w:p w14:paraId="4994A233" w14:textId="4F8729E7" w:rsidR="00071179" w:rsidRPr="00773EEA" w:rsidRDefault="00071179" w:rsidP="009D2FBC">
            <w:pPr>
              <w:spacing w:line="276" w:lineRule="auto"/>
              <w:contextualSpacing/>
              <w:rPr>
                <w:rFonts w:ascii="Arial" w:eastAsia="Times New Roman" w:hAnsi="Arial" w:cs="Times New Roman"/>
                <w:sz w:val="20"/>
                <w:lang w:val="en-GB"/>
              </w:rPr>
            </w:pPr>
            <w:r>
              <w:rPr>
                <w:rFonts w:ascii="Arial" w:eastAsia="Times New Roman" w:hAnsi="Arial" w:cs="Times New Roman"/>
                <w:sz w:val="20"/>
                <w:lang w:val="en-GB"/>
              </w:rPr>
              <w:t>0</w:t>
            </w:r>
          </w:p>
        </w:tc>
        <w:tc>
          <w:tcPr>
            <w:tcW w:w="2630" w:type="dxa"/>
          </w:tcPr>
          <w:p w14:paraId="661F5EBC" w14:textId="5BA0EBAD" w:rsidR="00071179" w:rsidRPr="00850353" w:rsidRDefault="00071179" w:rsidP="009D2FB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Pr>
                <w:rFonts w:ascii="Arial" w:eastAsia="Times New Roman" w:hAnsi="Arial" w:cs="Times New Roman"/>
                <w:sz w:val="20"/>
                <w:lang w:val="en-GB"/>
              </w:rPr>
              <w:t>4</w:t>
            </w:r>
          </w:p>
        </w:tc>
      </w:tr>
      <w:tr w:rsidR="00071179" w:rsidRPr="00773EEA" w14:paraId="5AA0C7CE" w14:textId="77777777" w:rsidTr="009D2FBC">
        <w:trPr>
          <w:trHeight w:val="306"/>
        </w:trPr>
        <w:tc>
          <w:tcPr>
            <w:cnfStyle w:val="001000000000" w:firstRow="0" w:lastRow="0" w:firstColumn="1" w:lastColumn="0" w:oddVBand="0" w:evenVBand="0" w:oddHBand="0" w:evenHBand="0" w:firstRowFirstColumn="0" w:firstRowLastColumn="0" w:lastRowFirstColumn="0" w:lastRowLastColumn="0"/>
            <w:tcW w:w="2867" w:type="dxa"/>
          </w:tcPr>
          <w:p w14:paraId="0A317D63" w14:textId="5177F492" w:rsidR="00071179" w:rsidRPr="00773EEA" w:rsidRDefault="00071179" w:rsidP="009D2FBC">
            <w:pPr>
              <w:spacing w:after="0" w:line="276" w:lineRule="auto"/>
              <w:contextualSpacing/>
              <w:rPr>
                <w:rFonts w:ascii="Arial" w:eastAsia="Times New Roman" w:hAnsi="Arial" w:cs="Times New Roman"/>
                <w:b w:val="0"/>
                <w:bCs w:val="0"/>
                <w:sz w:val="20"/>
                <w:lang w:val="en-GB"/>
              </w:rPr>
            </w:pPr>
            <w:r>
              <w:rPr>
                <w:rFonts w:ascii="Arial" w:eastAsia="Times New Roman" w:hAnsi="Arial" w:cs="Times New Roman"/>
                <w:sz w:val="20"/>
                <w:lang w:val="en-GB"/>
              </w:rPr>
              <w:t>1</w:t>
            </w:r>
          </w:p>
        </w:tc>
        <w:tc>
          <w:tcPr>
            <w:tcW w:w="2630" w:type="dxa"/>
          </w:tcPr>
          <w:p w14:paraId="27A406AC" w14:textId="052662C1" w:rsidR="00071179" w:rsidRPr="00773EEA" w:rsidRDefault="00071179" w:rsidP="009D2FBC">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Pr>
                <w:rFonts w:ascii="Arial" w:eastAsia="Times New Roman" w:hAnsi="Arial" w:cs="Times New Roman"/>
                <w:sz w:val="20"/>
                <w:lang w:val="en-GB"/>
              </w:rPr>
              <w:t>17</w:t>
            </w:r>
          </w:p>
        </w:tc>
      </w:tr>
      <w:tr w:rsidR="00071179" w:rsidRPr="00850353" w14:paraId="0FFBD995" w14:textId="77777777" w:rsidTr="009D2FB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67" w:type="dxa"/>
          </w:tcPr>
          <w:p w14:paraId="651E0313" w14:textId="268165B8" w:rsidR="00071179" w:rsidRPr="00773EEA" w:rsidRDefault="00071179" w:rsidP="009D2FBC">
            <w:pPr>
              <w:spacing w:after="0" w:line="276" w:lineRule="auto"/>
              <w:contextualSpacing/>
            </w:pPr>
            <w:r>
              <w:t>2</w:t>
            </w:r>
          </w:p>
        </w:tc>
        <w:tc>
          <w:tcPr>
            <w:tcW w:w="2630" w:type="dxa"/>
          </w:tcPr>
          <w:p w14:paraId="4B68D68E" w14:textId="6031DB24" w:rsidR="00071179" w:rsidRPr="00850353" w:rsidRDefault="00071179" w:rsidP="009D2FBC">
            <w:pPr>
              <w:spacing w:after="0" w:line="276" w:lineRule="auto"/>
              <w:contextualSpacing/>
              <w:cnfStyle w:val="000000100000" w:firstRow="0" w:lastRow="0" w:firstColumn="0" w:lastColumn="0" w:oddVBand="0" w:evenVBand="0" w:oddHBand="1" w:evenHBand="0" w:firstRowFirstColumn="0" w:firstRowLastColumn="0" w:lastRowFirstColumn="0" w:lastRowLastColumn="0"/>
            </w:pPr>
            <w:r>
              <w:t>12</w:t>
            </w:r>
          </w:p>
        </w:tc>
      </w:tr>
      <w:tr w:rsidR="00071179" w:rsidRPr="00850353" w14:paraId="73FFB3F3" w14:textId="77777777" w:rsidTr="009D2FBC">
        <w:trPr>
          <w:trHeight w:val="336"/>
        </w:trPr>
        <w:tc>
          <w:tcPr>
            <w:cnfStyle w:val="001000000000" w:firstRow="0" w:lastRow="0" w:firstColumn="1" w:lastColumn="0" w:oddVBand="0" w:evenVBand="0" w:oddHBand="0" w:evenHBand="0" w:firstRowFirstColumn="0" w:firstRowLastColumn="0" w:lastRowFirstColumn="0" w:lastRowLastColumn="0"/>
            <w:tcW w:w="2867" w:type="dxa"/>
          </w:tcPr>
          <w:p w14:paraId="33C8F4CB" w14:textId="33A76D0F" w:rsidR="00071179" w:rsidRDefault="00071179" w:rsidP="009D2FBC">
            <w:pPr>
              <w:spacing w:after="0" w:line="276" w:lineRule="auto"/>
              <w:contextualSpacing/>
            </w:pPr>
            <w:r>
              <w:t>3</w:t>
            </w:r>
          </w:p>
        </w:tc>
        <w:tc>
          <w:tcPr>
            <w:tcW w:w="2630" w:type="dxa"/>
          </w:tcPr>
          <w:p w14:paraId="3F63D56E" w14:textId="390FB4FD" w:rsidR="00071179" w:rsidRDefault="00071179" w:rsidP="009D2FBC">
            <w:pPr>
              <w:spacing w:after="0" w:line="276" w:lineRule="auto"/>
              <w:contextualSpacing/>
              <w:cnfStyle w:val="000000000000" w:firstRow="0" w:lastRow="0" w:firstColumn="0" w:lastColumn="0" w:oddVBand="0" w:evenVBand="0" w:oddHBand="0" w:evenHBand="0" w:firstRowFirstColumn="0" w:firstRowLastColumn="0" w:lastRowFirstColumn="0" w:lastRowLastColumn="0"/>
            </w:pPr>
            <w:r>
              <w:t>9</w:t>
            </w:r>
          </w:p>
        </w:tc>
      </w:tr>
      <w:tr w:rsidR="00071179" w:rsidRPr="00850353" w14:paraId="5E7FC425" w14:textId="77777777" w:rsidTr="009D2FB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867" w:type="dxa"/>
          </w:tcPr>
          <w:p w14:paraId="187ECE59" w14:textId="67FAA429" w:rsidR="00071179" w:rsidRDefault="00071179" w:rsidP="009D2FBC">
            <w:pPr>
              <w:spacing w:after="0" w:line="276" w:lineRule="auto"/>
              <w:contextualSpacing/>
            </w:pPr>
            <w:r>
              <w:t>More than 3</w:t>
            </w:r>
          </w:p>
        </w:tc>
        <w:tc>
          <w:tcPr>
            <w:tcW w:w="2630" w:type="dxa"/>
          </w:tcPr>
          <w:p w14:paraId="53BEEC65" w14:textId="1578B5CE" w:rsidR="00071179" w:rsidRDefault="00071179" w:rsidP="009D2FBC">
            <w:pPr>
              <w:spacing w:after="0" w:line="276" w:lineRule="auto"/>
              <w:contextualSpacing/>
              <w:cnfStyle w:val="000000100000" w:firstRow="0" w:lastRow="0" w:firstColumn="0" w:lastColumn="0" w:oddVBand="0" w:evenVBand="0" w:oddHBand="1" w:evenHBand="0" w:firstRowFirstColumn="0" w:firstRowLastColumn="0" w:lastRowFirstColumn="0" w:lastRowLastColumn="0"/>
            </w:pPr>
            <w:r>
              <w:t>8</w:t>
            </w:r>
          </w:p>
        </w:tc>
      </w:tr>
    </w:tbl>
    <w:p w14:paraId="14DA27AF" w14:textId="77777777" w:rsidR="00071179" w:rsidRDefault="00071179" w:rsidP="005F1785">
      <w:pPr>
        <w:spacing w:after="0" w:line="276" w:lineRule="auto"/>
        <w:contextualSpacing/>
        <w:rPr>
          <w:rFonts w:ascii="Georgia" w:hAnsi="Georgia" w:cs="Arial"/>
          <w:b/>
          <w:iCs/>
          <w:caps/>
          <w:sz w:val="32"/>
          <w:szCs w:val="32"/>
        </w:rPr>
      </w:pPr>
    </w:p>
    <w:p w14:paraId="74648A1D" w14:textId="77777777" w:rsidR="00071179" w:rsidRPr="00773EEA" w:rsidRDefault="00071179" w:rsidP="005F1785">
      <w:pPr>
        <w:spacing w:after="0" w:line="276" w:lineRule="auto"/>
        <w:contextualSpacing/>
        <w:rPr>
          <w:rFonts w:ascii="Georgia" w:hAnsi="Georgia" w:cs="Arial"/>
          <w:b/>
          <w:iCs/>
          <w:caps/>
          <w:sz w:val="32"/>
          <w:szCs w:val="32"/>
        </w:rPr>
      </w:pPr>
    </w:p>
    <w:p w14:paraId="5E2B0E63" w14:textId="34D3E0C7" w:rsidR="007C7E9B" w:rsidRPr="00773EEA" w:rsidRDefault="007C7E9B" w:rsidP="005F1785">
      <w:pPr>
        <w:spacing w:after="0" w:line="276" w:lineRule="auto"/>
        <w:contextualSpacing/>
        <w:rPr>
          <w:b/>
          <w:caps/>
          <w:lang w:bidi="th-TH"/>
        </w:rPr>
      </w:pPr>
      <w:r w:rsidRPr="00773EEA">
        <w:rPr>
          <w:b/>
          <w:bCs/>
          <w:lang w:bidi="th-TH"/>
        </w:rPr>
        <w:t>Q7. What was the topic of the event(s)? (Can select more than 1)</w:t>
      </w:r>
    </w:p>
    <w:tbl>
      <w:tblPr>
        <w:tblStyle w:val="LightShading-Accent11"/>
        <w:tblW w:w="0" w:type="auto"/>
        <w:tblLook w:val="04A0" w:firstRow="1" w:lastRow="0" w:firstColumn="1" w:lastColumn="0" w:noHBand="0" w:noVBand="1"/>
      </w:tblPr>
      <w:tblGrid>
        <w:gridCol w:w="6804"/>
        <w:gridCol w:w="1390"/>
      </w:tblGrid>
      <w:tr w:rsidR="00071179" w:rsidRPr="00773EEA" w14:paraId="496D64E4" w14:textId="77777777" w:rsidTr="00071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Pr>
          <w:p w14:paraId="1E5776E0" w14:textId="376BA4BF" w:rsidR="00071179" w:rsidRPr="00773EEA" w:rsidRDefault="00071179" w:rsidP="00A824DE">
            <w:pPr>
              <w:spacing w:line="276" w:lineRule="auto"/>
              <w:contextualSpacing/>
            </w:pPr>
            <w:r>
              <w:t>Topic</w:t>
            </w:r>
          </w:p>
        </w:tc>
        <w:tc>
          <w:tcPr>
            <w:tcW w:w="890" w:type="dxa"/>
          </w:tcPr>
          <w:p w14:paraId="1C782D45" w14:textId="02794F07" w:rsidR="00071179" w:rsidRPr="00773EEA" w:rsidRDefault="00071179" w:rsidP="00A824DE">
            <w:pPr>
              <w:spacing w:line="276" w:lineRule="auto"/>
              <w:contextualSpacing/>
              <w:cnfStyle w:val="100000000000" w:firstRow="1" w:lastRow="0" w:firstColumn="0" w:lastColumn="0" w:oddVBand="0" w:evenVBand="0" w:oddHBand="0" w:evenHBand="0" w:firstRowFirstColumn="0" w:firstRowLastColumn="0" w:lastRowFirstColumn="0" w:lastRowLastColumn="0"/>
            </w:pPr>
            <w:r>
              <w:t>Responses</w:t>
            </w:r>
          </w:p>
        </w:tc>
      </w:tr>
      <w:tr w:rsidR="00773EEA" w:rsidRPr="00773EEA" w14:paraId="458A356A"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2FF828E9" w14:textId="77777777" w:rsidR="005E1DF9" w:rsidRPr="00773EEA" w:rsidRDefault="005E1DF9" w:rsidP="00A824DE">
            <w:pPr>
              <w:spacing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Tracking the Spread of COVID-19 through Digital Solutions</w:t>
            </w:r>
          </w:p>
        </w:tc>
        <w:tc>
          <w:tcPr>
            <w:tcW w:w="890" w:type="dxa"/>
          </w:tcPr>
          <w:p w14:paraId="5E462F1C" w14:textId="77777777" w:rsidR="005E1DF9" w:rsidRPr="00773EEA" w:rsidRDefault="005E1DF9" w:rsidP="00A824D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r>
      <w:tr w:rsidR="00773EEA" w:rsidRPr="00773EEA" w14:paraId="27B4DB4A"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62300117"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Mitigating Flooding Impact with IOT Early Warning Technologies</w:t>
            </w:r>
          </w:p>
        </w:tc>
        <w:tc>
          <w:tcPr>
            <w:tcW w:w="890" w:type="dxa"/>
          </w:tcPr>
          <w:p w14:paraId="66A6CA89"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8</w:t>
            </w:r>
          </w:p>
        </w:tc>
      </w:tr>
      <w:tr w:rsidR="00773EEA" w:rsidRPr="00773EEA" w14:paraId="714DEDB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604D607A"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Digitizing Urban Planning for Improved Efficiency Compliance</w:t>
            </w:r>
          </w:p>
        </w:tc>
        <w:tc>
          <w:tcPr>
            <w:tcW w:w="890" w:type="dxa"/>
          </w:tcPr>
          <w:p w14:paraId="137B03D0"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11</w:t>
            </w:r>
          </w:p>
        </w:tc>
      </w:tr>
      <w:tr w:rsidR="00773EEA" w:rsidRPr="00773EEA" w14:paraId="4914F329"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55A59DA9"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Intelligent Water Management Systems Using IOT and AI</w:t>
            </w:r>
          </w:p>
        </w:tc>
        <w:tc>
          <w:tcPr>
            <w:tcW w:w="890" w:type="dxa"/>
          </w:tcPr>
          <w:p w14:paraId="4D9E32F0"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r w:rsidR="00773EEA" w:rsidRPr="00773EEA" w14:paraId="082BB573"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3C13ACB"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Digitized solutions connecting labour market and students</w:t>
            </w:r>
          </w:p>
        </w:tc>
        <w:tc>
          <w:tcPr>
            <w:tcW w:w="890" w:type="dxa"/>
          </w:tcPr>
          <w:p w14:paraId="66F961D9"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8</w:t>
            </w:r>
          </w:p>
        </w:tc>
      </w:tr>
      <w:tr w:rsidR="00773EEA" w:rsidRPr="00773EEA" w14:paraId="5DF56BB6"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0FDCBAAC"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Next Practice Smart Mobility Lab</w:t>
            </w:r>
          </w:p>
        </w:tc>
        <w:tc>
          <w:tcPr>
            <w:tcW w:w="890" w:type="dxa"/>
          </w:tcPr>
          <w:p w14:paraId="21F20D50"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r>
      <w:tr w:rsidR="00773EEA" w:rsidRPr="00773EEA" w14:paraId="3ACF312D"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2B32010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Promoting Smart Tourism Recovery via Virtual Reality</w:t>
            </w:r>
          </w:p>
        </w:tc>
        <w:tc>
          <w:tcPr>
            <w:tcW w:w="890" w:type="dxa"/>
          </w:tcPr>
          <w:p w14:paraId="385F4B0E"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7</w:t>
            </w:r>
          </w:p>
        </w:tc>
      </w:tr>
      <w:tr w:rsidR="00773EEA" w:rsidRPr="00773EEA" w14:paraId="7C963B33"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399E641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Digital Tools for Enhanced Community Engagement in Urban Planning</w:t>
            </w:r>
          </w:p>
        </w:tc>
        <w:tc>
          <w:tcPr>
            <w:tcW w:w="890" w:type="dxa"/>
          </w:tcPr>
          <w:p w14:paraId="0C71960D"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9</w:t>
            </w:r>
          </w:p>
        </w:tc>
      </w:tr>
      <w:tr w:rsidR="00773EEA" w:rsidRPr="00773EEA" w14:paraId="3FF3D6B7"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2A6A027F"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Webinar - Digital Payment Solutions for Smart and Inclusive Cities</w:t>
            </w:r>
          </w:p>
        </w:tc>
        <w:tc>
          <w:tcPr>
            <w:tcW w:w="890" w:type="dxa"/>
          </w:tcPr>
          <w:p w14:paraId="3FEE9C6D"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9</w:t>
            </w:r>
          </w:p>
        </w:tc>
      </w:tr>
      <w:tr w:rsidR="00773EEA" w:rsidRPr="00773EEA" w14:paraId="66E84803"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08811183"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lastRenderedPageBreak/>
              <w:t>City-specific introduction workshop</w:t>
            </w:r>
          </w:p>
        </w:tc>
        <w:tc>
          <w:tcPr>
            <w:tcW w:w="890" w:type="dxa"/>
          </w:tcPr>
          <w:p w14:paraId="5A8978B3"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9</w:t>
            </w:r>
          </w:p>
        </w:tc>
      </w:tr>
      <w:tr w:rsidR="00773EEA" w:rsidRPr="00773EEA" w14:paraId="04032C8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781F84E3"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Inclusive Cities Dialogues Module 1</w:t>
            </w:r>
          </w:p>
        </w:tc>
        <w:tc>
          <w:tcPr>
            <w:tcW w:w="890" w:type="dxa"/>
          </w:tcPr>
          <w:p w14:paraId="6C39E496"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13</w:t>
            </w:r>
          </w:p>
        </w:tc>
      </w:tr>
      <w:tr w:rsidR="00773EEA" w:rsidRPr="00773EEA" w14:paraId="42C66282" w14:textId="77777777" w:rsidTr="00A824DE">
        <w:tc>
          <w:tcPr>
            <w:cnfStyle w:val="001000000000" w:firstRow="0" w:lastRow="0" w:firstColumn="1" w:lastColumn="0" w:oddVBand="0" w:evenVBand="0" w:oddHBand="0" w:evenHBand="0" w:firstRowFirstColumn="0" w:firstRowLastColumn="0" w:lastRowFirstColumn="0" w:lastRowLastColumn="0"/>
            <w:tcW w:w="6804" w:type="dxa"/>
          </w:tcPr>
          <w:p w14:paraId="08D00F63"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Inclusive Cities Dialogues Module 2</w:t>
            </w:r>
          </w:p>
        </w:tc>
        <w:tc>
          <w:tcPr>
            <w:tcW w:w="890" w:type="dxa"/>
          </w:tcPr>
          <w:p w14:paraId="30EB025C"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r>
      <w:tr w:rsidR="00773EEA" w:rsidRPr="00773EEA" w14:paraId="0600541B"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FBDDBF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Smart City Networking Days 2022</w:t>
            </w:r>
          </w:p>
        </w:tc>
        <w:tc>
          <w:tcPr>
            <w:tcW w:w="890" w:type="dxa"/>
          </w:tcPr>
          <w:p w14:paraId="41AC31D3"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r>
    </w:tbl>
    <w:p w14:paraId="55A74B3A" w14:textId="10884258" w:rsidR="005E1DF9" w:rsidRDefault="005E1DF9" w:rsidP="005F1785">
      <w:pPr>
        <w:spacing w:after="0" w:line="276" w:lineRule="auto"/>
        <w:contextualSpacing/>
        <w:rPr>
          <w:rFonts w:ascii="Georgia" w:hAnsi="Georgia" w:cs="Arial"/>
          <w:iCs/>
          <w:sz w:val="32"/>
          <w:szCs w:val="32"/>
        </w:rPr>
      </w:pPr>
    </w:p>
    <w:p w14:paraId="5665DEF1" w14:textId="1D26AD80" w:rsidR="00850353" w:rsidRDefault="00850353" w:rsidP="005F1785">
      <w:pPr>
        <w:spacing w:after="0" w:line="276" w:lineRule="auto"/>
        <w:contextualSpacing/>
        <w:rPr>
          <w:rFonts w:ascii="Georgia" w:hAnsi="Georgia" w:cs="Arial"/>
          <w:iCs/>
          <w:sz w:val="32"/>
          <w:szCs w:val="32"/>
        </w:rPr>
      </w:pPr>
    </w:p>
    <w:p w14:paraId="6FDADB31" w14:textId="77777777" w:rsidR="00850353" w:rsidRPr="00773EEA" w:rsidRDefault="00850353" w:rsidP="005F1785">
      <w:pPr>
        <w:spacing w:after="0" w:line="276" w:lineRule="auto"/>
        <w:contextualSpacing/>
        <w:rPr>
          <w:rFonts w:ascii="Georgia" w:hAnsi="Georgia" w:cs="Arial"/>
          <w:iCs/>
          <w:sz w:val="32"/>
          <w:szCs w:val="32"/>
        </w:rPr>
      </w:pPr>
    </w:p>
    <w:p w14:paraId="60CA0069" w14:textId="5827C5FD" w:rsidR="007C7E9B" w:rsidRPr="00773EEA" w:rsidRDefault="007C7E9B" w:rsidP="005F1785">
      <w:pPr>
        <w:spacing w:after="0" w:line="276" w:lineRule="auto"/>
        <w:contextualSpacing/>
        <w:rPr>
          <w:b/>
          <w:caps/>
          <w:lang w:bidi="th-TH"/>
        </w:rPr>
      </w:pPr>
      <w:r w:rsidRPr="00773EEA">
        <w:rPr>
          <w:b/>
          <w:bCs/>
          <w:lang w:bidi="th-TH"/>
        </w:rPr>
        <w:t>Q8: Were the events</w:t>
      </w:r>
      <w:r w:rsidR="00071179">
        <w:rPr>
          <w:b/>
          <w:bCs/>
          <w:lang w:bidi="th-TH"/>
        </w:rPr>
        <w:t xml:space="preserve"> … </w:t>
      </w:r>
    </w:p>
    <w:tbl>
      <w:tblPr>
        <w:tblStyle w:val="LightShading-Accent11"/>
        <w:tblW w:w="0" w:type="auto"/>
        <w:tblLook w:val="04A0" w:firstRow="1" w:lastRow="0" w:firstColumn="1" w:lastColumn="0" w:noHBand="0" w:noVBand="1"/>
      </w:tblPr>
      <w:tblGrid>
        <w:gridCol w:w="1701"/>
        <w:gridCol w:w="1701"/>
        <w:gridCol w:w="1560"/>
        <w:gridCol w:w="2268"/>
      </w:tblGrid>
      <w:tr w:rsidR="00773EEA" w:rsidRPr="00773EEA" w14:paraId="56B31D01" w14:textId="77777777" w:rsidTr="00FD30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6DC6C984" w14:textId="511F4BDA" w:rsidR="005E1DF9" w:rsidRPr="00773EEA" w:rsidRDefault="00071179" w:rsidP="00A824DE">
            <w:pPr>
              <w:spacing w:line="276" w:lineRule="auto"/>
              <w:contextualSpacing/>
              <w:rPr>
                <w:rFonts w:ascii="Arial" w:eastAsia="Times New Roman" w:hAnsi="Arial" w:cs="Times New Roman"/>
                <w:sz w:val="20"/>
                <w:lang w:val="en-GB"/>
              </w:rPr>
            </w:pPr>
            <w:r>
              <w:rPr>
                <w:rFonts w:ascii="Arial" w:eastAsia="Times New Roman" w:hAnsi="Arial" w:cs="Times New Roman"/>
                <w:sz w:val="20"/>
                <w:lang w:val="en-GB"/>
              </w:rPr>
              <w:t>Question</w:t>
            </w:r>
          </w:p>
        </w:tc>
        <w:tc>
          <w:tcPr>
            <w:tcW w:w="1701" w:type="dxa"/>
          </w:tcPr>
          <w:p w14:paraId="7E2DC968"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Yes</w:t>
            </w:r>
          </w:p>
        </w:tc>
        <w:tc>
          <w:tcPr>
            <w:tcW w:w="1560" w:type="dxa"/>
          </w:tcPr>
          <w:p w14:paraId="3D948FBF"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No</w:t>
            </w:r>
          </w:p>
        </w:tc>
        <w:tc>
          <w:tcPr>
            <w:tcW w:w="2268" w:type="dxa"/>
          </w:tcPr>
          <w:p w14:paraId="075B5AB2"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Some of them</w:t>
            </w:r>
          </w:p>
        </w:tc>
      </w:tr>
      <w:tr w:rsidR="00773EEA" w:rsidRPr="00773EEA" w14:paraId="1CDA15C5"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06C8E0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Presented in your native language</w:t>
            </w:r>
          </w:p>
        </w:tc>
        <w:tc>
          <w:tcPr>
            <w:tcW w:w="1701" w:type="dxa"/>
          </w:tcPr>
          <w:p w14:paraId="4F905949"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28</w:t>
            </w:r>
          </w:p>
        </w:tc>
        <w:tc>
          <w:tcPr>
            <w:tcW w:w="1560" w:type="dxa"/>
          </w:tcPr>
          <w:p w14:paraId="6FBE23B4"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8</w:t>
            </w:r>
          </w:p>
        </w:tc>
        <w:tc>
          <w:tcPr>
            <w:tcW w:w="2268" w:type="dxa"/>
          </w:tcPr>
          <w:p w14:paraId="6C6C9697"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r>
      <w:tr w:rsidR="00773EEA" w:rsidRPr="00773EEA" w14:paraId="7EF0FCCA" w14:textId="77777777" w:rsidTr="00A824DE">
        <w:tc>
          <w:tcPr>
            <w:cnfStyle w:val="001000000000" w:firstRow="0" w:lastRow="0" w:firstColumn="1" w:lastColumn="0" w:oddVBand="0" w:evenVBand="0" w:oddHBand="0" w:evenHBand="0" w:firstRowFirstColumn="0" w:firstRowLastColumn="0" w:lastRowFirstColumn="0" w:lastRowLastColumn="0"/>
            <w:tcW w:w="1701" w:type="dxa"/>
          </w:tcPr>
          <w:p w14:paraId="7581E43B"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Presented in another language that you could easily understand</w:t>
            </w:r>
          </w:p>
        </w:tc>
        <w:tc>
          <w:tcPr>
            <w:tcW w:w="1701" w:type="dxa"/>
          </w:tcPr>
          <w:p w14:paraId="131D981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31</w:t>
            </w:r>
          </w:p>
        </w:tc>
        <w:tc>
          <w:tcPr>
            <w:tcW w:w="1560" w:type="dxa"/>
          </w:tcPr>
          <w:p w14:paraId="71601FCA"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c>
          <w:tcPr>
            <w:tcW w:w="2268" w:type="dxa"/>
          </w:tcPr>
          <w:p w14:paraId="0FB07123"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15</w:t>
            </w:r>
          </w:p>
        </w:tc>
      </w:tr>
      <w:tr w:rsidR="00773EEA" w:rsidRPr="00773EEA" w14:paraId="2A47BE8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E1ED09C"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Very technical, using words or terms you didn’t understand</w:t>
            </w:r>
          </w:p>
        </w:tc>
        <w:tc>
          <w:tcPr>
            <w:tcW w:w="1701" w:type="dxa"/>
          </w:tcPr>
          <w:p w14:paraId="7F35DAFE"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15</w:t>
            </w:r>
          </w:p>
        </w:tc>
        <w:tc>
          <w:tcPr>
            <w:tcW w:w="1560" w:type="dxa"/>
          </w:tcPr>
          <w:p w14:paraId="501F38E2"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18</w:t>
            </w:r>
          </w:p>
        </w:tc>
        <w:tc>
          <w:tcPr>
            <w:tcW w:w="2268" w:type="dxa"/>
          </w:tcPr>
          <w:p w14:paraId="58D6249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17</w:t>
            </w:r>
          </w:p>
        </w:tc>
      </w:tr>
      <w:tr w:rsidR="00773EEA" w:rsidRPr="00773EEA" w14:paraId="4C42918F" w14:textId="77777777" w:rsidTr="00A824DE">
        <w:tc>
          <w:tcPr>
            <w:cnfStyle w:val="001000000000" w:firstRow="0" w:lastRow="0" w:firstColumn="1" w:lastColumn="0" w:oddVBand="0" w:evenVBand="0" w:oddHBand="0" w:evenHBand="0" w:firstRowFirstColumn="0" w:firstRowLastColumn="0" w:lastRowFirstColumn="0" w:lastRowLastColumn="0"/>
            <w:tcW w:w="1701" w:type="dxa"/>
          </w:tcPr>
          <w:p w14:paraId="1D6527EC"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Too basic and general, and not enough detail</w:t>
            </w:r>
          </w:p>
        </w:tc>
        <w:tc>
          <w:tcPr>
            <w:tcW w:w="1701" w:type="dxa"/>
          </w:tcPr>
          <w:p w14:paraId="4CB94B4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9</w:t>
            </w:r>
          </w:p>
        </w:tc>
        <w:tc>
          <w:tcPr>
            <w:tcW w:w="1560" w:type="dxa"/>
          </w:tcPr>
          <w:p w14:paraId="7B897B4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27</w:t>
            </w:r>
          </w:p>
        </w:tc>
        <w:tc>
          <w:tcPr>
            <w:tcW w:w="2268" w:type="dxa"/>
          </w:tcPr>
          <w:p w14:paraId="644BD54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r>
    </w:tbl>
    <w:p w14:paraId="30D709B2" w14:textId="2EF0E8E0" w:rsidR="005E1DF9" w:rsidRPr="00773EEA" w:rsidRDefault="005E1DF9" w:rsidP="005F1785">
      <w:pPr>
        <w:spacing w:after="0" w:line="276" w:lineRule="auto"/>
        <w:contextualSpacing/>
        <w:rPr>
          <w:rFonts w:ascii="Georgia" w:hAnsi="Georgia" w:cs="Arial"/>
          <w:iCs/>
          <w:sz w:val="32"/>
          <w:szCs w:val="32"/>
        </w:rPr>
      </w:pPr>
    </w:p>
    <w:p w14:paraId="6B22A341" w14:textId="1EC84D32" w:rsidR="007C7E9B" w:rsidRPr="00773EEA" w:rsidRDefault="007C7E9B" w:rsidP="005F1785">
      <w:pPr>
        <w:spacing w:after="0" w:line="276" w:lineRule="auto"/>
        <w:contextualSpacing/>
        <w:rPr>
          <w:b/>
          <w:caps/>
          <w:lang w:bidi="th-TH"/>
        </w:rPr>
      </w:pPr>
      <w:r w:rsidRPr="00773EEA">
        <w:rPr>
          <w:b/>
          <w:bCs/>
          <w:lang w:bidi="th-TH"/>
        </w:rPr>
        <w:t>Q9</w:t>
      </w:r>
      <w:r w:rsidR="00FF1229" w:rsidRPr="00773EEA">
        <w:rPr>
          <w:b/>
          <w:bCs/>
          <w:lang w:bidi="th-TH"/>
        </w:rPr>
        <w:t>:</w:t>
      </w:r>
      <w:r w:rsidRPr="00773EEA">
        <w:rPr>
          <w:b/>
          <w:bCs/>
          <w:lang w:bidi="th-TH"/>
        </w:rPr>
        <w:t xml:space="preserve"> How would you rate the event(s) in terms of - </w:t>
      </w:r>
    </w:p>
    <w:tbl>
      <w:tblPr>
        <w:tblStyle w:val="LightShading-Accent11"/>
        <w:tblW w:w="9214" w:type="dxa"/>
        <w:tblLook w:val="04A0" w:firstRow="1" w:lastRow="0" w:firstColumn="1" w:lastColumn="0" w:noHBand="0" w:noVBand="1"/>
      </w:tblPr>
      <w:tblGrid>
        <w:gridCol w:w="3479"/>
        <w:gridCol w:w="1346"/>
        <w:gridCol w:w="896"/>
        <w:gridCol w:w="903"/>
        <w:gridCol w:w="1017"/>
        <w:gridCol w:w="1573"/>
      </w:tblGrid>
      <w:tr w:rsidR="00773EEA" w:rsidRPr="00773EEA" w14:paraId="56981C3E"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0C473C1F" w14:textId="38304CD9" w:rsidR="005E1DF9" w:rsidRPr="00773EEA" w:rsidRDefault="00071179" w:rsidP="00A824DE">
            <w:pPr>
              <w:spacing w:line="276" w:lineRule="auto"/>
              <w:contextualSpacing/>
              <w:rPr>
                <w:rFonts w:ascii="Arial" w:eastAsia="Times New Roman" w:hAnsi="Arial" w:cs="Times New Roman"/>
                <w:sz w:val="20"/>
                <w:lang w:val="en-GB"/>
              </w:rPr>
            </w:pPr>
            <w:r>
              <w:rPr>
                <w:rFonts w:ascii="Arial" w:eastAsia="Times New Roman" w:hAnsi="Arial" w:cs="Times New Roman"/>
                <w:sz w:val="20"/>
                <w:lang w:val="en-GB"/>
              </w:rPr>
              <w:t>Question</w:t>
            </w:r>
          </w:p>
        </w:tc>
        <w:tc>
          <w:tcPr>
            <w:tcW w:w="1346" w:type="dxa"/>
          </w:tcPr>
          <w:p w14:paraId="23DA2590"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1 – Poor</w:t>
            </w:r>
          </w:p>
        </w:tc>
        <w:tc>
          <w:tcPr>
            <w:tcW w:w="896" w:type="dxa"/>
          </w:tcPr>
          <w:p w14:paraId="02DFD6EA"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2</w:t>
            </w:r>
          </w:p>
        </w:tc>
        <w:tc>
          <w:tcPr>
            <w:tcW w:w="903" w:type="dxa"/>
          </w:tcPr>
          <w:p w14:paraId="60447B10"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3</w:t>
            </w:r>
          </w:p>
        </w:tc>
        <w:tc>
          <w:tcPr>
            <w:tcW w:w="1017" w:type="dxa"/>
          </w:tcPr>
          <w:p w14:paraId="3E320D86"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4</w:t>
            </w:r>
          </w:p>
        </w:tc>
        <w:tc>
          <w:tcPr>
            <w:tcW w:w="1573" w:type="dxa"/>
          </w:tcPr>
          <w:p w14:paraId="213DB010"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5 – Excellent</w:t>
            </w:r>
          </w:p>
        </w:tc>
      </w:tr>
      <w:tr w:rsidR="00773EEA" w:rsidRPr="00773EEA" w14:paraId="1010FC3A"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24806CD6"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Knowledge and expertise of the training staff.</w:t>
            </w:r>
          </w:p>
        </w:tc>
        <w:tc>
          <w:tcPr>
            <w:tcW w:w="1346" w:type="dxa"/>
          </w:tcPr>
          <w:p w14:paraId="6DDC2050"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30D07D59"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c>
          <w:tcPr>
            <w:tcW w:w="903" w:type="dxa"/>
          </w:tcPr>
          <w:p w14:paraId="4965828B"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20</w:t>
            </w:r>
          </w:p>
        </w:tc>
        <w:tc>
          <w:tcPr>
            <w:tcW w:w="1017" w:type="dxa"/>
          </w:tcPr>
          <w:p w14:paraId="564DE5B6"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18</w:t>
            </w:r>
          </w:p>
        </w:tc>
        <w:tc>
          <w:tcPr>
            <w:tcW w:w="1573" w:type="dxa"/>
          </w:tcPr>
          <w:p w14:paraId="05726172"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6</w:t>
            </w:r>
          </w:p>
        </w:tc>
      </w:tr>
      <w:tr w:rsidR="00773EEA" w:rsidRPr="00773EEA" w14:paraId="0F40E208" w14:textId="77777777" w:rsidTr="00A824DE">
        <w:tc>
          <w:tcPr>
            <w:cnfStyle w:val="001000000000" w:firstRow="0" w:lastRow="0" w:firstColumn="1" w:lastColumn="0" w:oddVBand="0" w:evenVBand="0" w:oddHBand="0" w:evenHBand="0" w:firstRowFirstColumn="0" w:firstRowLastColumn="0" w:lastRowFirstColumn="0" w:lastRowLastColumn="0"/>
            <w:tcW w:w="3479" w:type="dxa"/>
          </w:tcPr>
          <w:p w14:paraId="76A8FE2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Relevance and usefulness to your city of the content related to smart city approaches</w:t>
            </w:r>
          </w:p>
        </w:tc>
        <w:tc>
          <w:tcPr>
            <w:tcW w:w="1346" w:type="dxa"/>
          </w:tcPr>
          <w:p w14:paraId="4C2C24FE"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54940EE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c>
          <w:tcPr>
            <w:tcW w:w="903" w:type="dxa"/>
          </w:tcPr>
          <w:p w14:paraId="4F0C533D"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17</w:t>
            </w:r>
          </w:p>
        </w:tc>
        <w:tc>
          <w:tcPr>
            <w:tcW w:w="1017" w:type="dxa"/>
          </w:tcPr>
          <w:p w14:paraId="26E22227"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20</w:t>
            </w:r>
          </w:p>
        </w:tc>
        <w:tc>
          <w:tcPr>
            <w:tcW w:w="1573" w:type="dxa"/>
          </w:tcPr>
          <w:p w14:paraId="4C450796"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8</w:t>
            </w:r>
          </w:p>
        </w:tc>
      </w:tr>
      <w:tr w:rsidR="00773EEA" w:rsidRPr="00773EEA" w14:paraId="74E20B9B"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472C0CE5"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Usefulness of content related to gender equality and social inclusion aspects in smart city approaches</w:t>
            </w:r>
          </w:p>
        </w:tc>
        <w:tc>
          <w:tcPr>
            <w:tcW w:w="1346" w:type="dxa"/>
          </w:tcPr>
          <w:p w14:paraId="7FF78BAC"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56B6478F"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c>
          <w:tcPr>
            <w:tcW w:w="903" w:type="dxa"/>
          </w:tcPr>
          <w:p w14:paraId="29E41F61"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18</w:t>
            </w:r>
          </w:p>
        </w:tc>
        <w:tc>
          <w:tcPr>
            <w:tcW w:w="1017" w:type="dxa"/>
          </w:tcPr>
          <w:p w14:paraId="2F948B54"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21</w:t>
            </w:r>
          </w:p>
        </w:tc>
        <w:tc>
          <w:tcPr>
            <w:tcW w:w="1573" w:type="dxa"/>
          </w:tcPr>
          <w:p w14:paraId="70B1ED1B"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6</w:t>
            </w:r>
          </w:p>
        </w:tc>
      </w:tr>
      <w:tr w:rsidR="00773EEA" w:rsidRPr="00773EEA" w14:paraId="190D69A1" w14:textId="77777777" w:rsidTr="00A824DE">
        <w:tc>
          <w:tcPr>
            <w:cnfStyle w:val="001000000000" w:firstRow="0" w:lastRow="0" w:firstColumn="1" w:lastColumn="0" w:oddVBand="0" w:evenVBand="0" w:oddHBand="0" w:evenHBand="0" w:firstRowFirstColumn="0" w:firstRowLastColumn="0" w:lastRowFirstColumn="0" w:lastRowLastColumn="0"/>
            <w:tcW w:w="3479" w:type="dxa"/>
          </w:tcPr>
          <w:p w14:paraId="1EE4419B"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Use of training delivery tools</w:t>
            </w:r>
          </w:p>
        </w:tc>
        <w:tc>
          <w:tcPr>
            <w:tcW w:w="1346" w:type="dxa"/>
          </w:tcPr>
          <w:p w14:paraId="35B59A5F"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12EFF7C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8</w:t>
            </w:r>
          </w:p>
        </w:tc>
        <w:tc>
          <w:tcPr>
            <w:tcW w:w="903" w:type="dxa"/>
          </w:tcPr>
          <w:p w14:paraId="1B01F2F3"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12</w:t>
            </w:r>
          </w:p>
        </w:tc>
        <w:tc>
          <w:tcPr>
            <w:tcW w:w="1017" w:type="dxa"/>
          </w:tcPr>
          <w:p w14:paraId="34D223B4"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24</w:t>
            </w:r>
          </w:p>
        </w:tc>
        <w:tc>
          <w:tcPr>
            <w:tcW w:w="1573" w:type="dxa"/>
          </w:tcPr>
          <w:p w14:paraId="7CB0788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bl>
    <w:p w14:paraId="329A0627" w14:textId="666F819E" w:rsidR="005E1DF9" w:rsidRPr="00773EEA" w:rsidRDefault="005E1DF9" w:rsidP="005F1785">
      <w:pPr>
        <w:spacing w:after="0" w:line="276" w:lineRule="auto"/>
        <w:contextualSpacing/>
        <w:rPr>
          <w:rFonts w:ascii="Georgia" w:hAnsi="Georgia" w:cs="Arial"/>
          <w:iCs/>
          <w:sz w:val="32"/>
          <w:szCs w:val="32"/>
        </w:rPr>
      </w:pPr>
    </w:p>
    <w:p w14:paraId="5ECC78C4" w14:textId="724B8B50" w:rsidR="007C7E9B" w:rsidRPr="00773EEA" w:rsidRDefault="007C7E9B" w:rsidP="005F1785">
      <w:pPr>
        <w:spacing w:after="0" w:line="276" w:lineRule="auto"/>
        <w:contextualSpacing/>
        <w:rPr>
          <w:b/>
          <w:caps/>
          <w:lang w:bidi="th-TH"/>
        </w:rPr>
      </w:pPr>
      <w:r w:rsidRPr="00773EEA">
        <w:rPr>
          <w:b/>
          <w:bCs/>
          <w:lang w:bidi="th-TH"/>
        </w:rPr>
        <w:t>Q10</w:t>
      </w:r>
      <w:r w:rsidR="00FF1229" w:rsidRPr="00773EEA">
        <w:rPr>
          <w:b/>
          <w:bCs/>
          <w:lang w:bidi="th-TH"/>
        </w:rPr>
        <w:t>:</w:t>
      </w:r>
      <w:r w:rsidRPr="00773EEA">
        <w:rPr>
          <w:b/>
          <w:bCs/>
          <w:lang w:bidi="th-TH"/>
        </w:rPr>
        <w:t xml:space="preserve"> For those that participated in the Smart City Networking Day 2022, how valuable did you find the event in terms of?</w:t>
      </w:r>
    </w:p>
    <w:tbl>
      <w:tblPr>
        <w:tblStyle w:val="LightShading-Accent11"/>
        <w:tblW w:w="0" w:type="auto"/>
        <w:tblLook w:val="04A0" w:firstRow="1" w:lastRow="0" w:firstColumn="1" w:lastColumn="0" w:noHBand="0" w:noVBand="1"/>
      </w:tblPr>
      <w:tblGrid>
        <w:gridCol w:w="3479"/>
        <w:gridCol w:w="1346"/>
        <w:gridCol w:w="896"/>
        <w:gridCol w:w="903"/>
        <w:gridCol w:w="1017"/>
        <w:gridCol w:w="1385"/>
      </w:tblGrid>
      <w:tr w:rsidR="00773EEA" w:rsidRPr="00773EEA" w14:paraId="4F5FA1D9" w14:textId="77777777" w:rsidTr="00071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79" w:type="dxa"/>
          </w:tcPr>
          <w:p w14:paraId="29BC341D" w14:textId="5B556F0E" w:rsidR="005E1DF9" w:rsidRPr="00773EEA" w:rsidRDefault="00071179" w:rsidP="00A824DE">
            <w:pPr>
              <w:spacing w:line="276" w:lineRule="auto"/>
              <w:contextualSpacing/>
              <w:rPr>
                <w:rFonts w:ascii="Arial" w:eastAsia="Times New Roman" w:hAnsi="Arial" w:cs="Times New Roman"/>
                <w:sz w:val="20"/>
                <w:lang w:val="en-GB"/>
              </w:rPr>
            </w:pPr>
            <w:r>
              <w:rPr>
                <w:rFonts w:ascii="Arial" w:eastAsia="Times New Roman" w:hAnsi="Arial" w:cs="Times New Roman"/>
                <w:sz w:val="20"/>
                <w:lang w:val="en-GB"/>
              </w:rPr>
              <w:t>Question</w:t>
            </w:r>
          </w:p>
        </w:tc>
        <w:tc>
          <w:tcPr>
            <w:tcW w:w="1346" w:type="dxa"/>
          </w:tcPr>
          <w:p w14:paraId="3428024B"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1 – Not Valuable</w:t>
            </w:r>
          </w:p>
        </w:tc>
        <w:tc>
          <w:tcPr>
            <w:tcW w:w="896" w:type="dxa"/>
          </w:tcPr>
          <w:p w14:paraId="7DECD534"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2</w:t>
            </w:r>
          </w:p>
        </w:tc>
        <w:tc>
          <w:tcPr>
            <w:tcW w:w="903" w:type="dxa"/>
          </w:tcPr>
          <w:p w14:paraId="01BC238E"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3</w:t>
            </w:r>
          </w:p>
        </w:tc>
        <w:tc>
          <w:tcPr>
            <w:tcW w:w="1017" w:type="dxa"/>
          </w:tcPr>
          <w:p w14:paraId="29ACB536"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4</w:t>
            </w:r>
          </w:p>
        </w:tc>
        <w:tc>
          <w:tcPr>
            <w:tcW w:w="1385" w:type="dxa"/>
          </w:tcPr>
          <w:p w14:paraId="61B09C0E"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5 – Very Valuable</w:t>
            </w:r>
          </w:p>
        </w:tc>
      </w:tr>
      <w:tr w:rsidR="00773EEA" w:rsidRPr="00773EEA" w14:paraId="39B991B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22D0D6BA"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 xml:space="preserve">Exchanging and sharing ideas </w:t>
            </w:r>
          </w:p>
        </w:tc>
        <w:tc>
          <w:tcPr>
            <w:tcW w:w="1346" w:type="dxa"/>
          </w:tcPr>
          <w:p w14:paraId="40CA6FB1"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c>
          <w:tcPr>
            <w:tcW w:w="896" w:type="dxa"/>
          </w:tcPr>
          <w:p w14:paraId="312BB623"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w:t>
            </w:r>
          </w:p>
        </w:tc>
        <w:tc>
          <w:tcPr>
            <w:tcW w:w="903" w:type="dxa"/>
          </w:tcPr>
          <w:p w14:paraId="74F73893"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13</w:t>
            </w:r>
          </w:p>
        </w:tc>
        <w:tc>
          <w:tcPr>
            <w:tcW w:w="1017" w:type="dxa"/>
          </w:tcPr>
          <w:p w14:paraId="4B4253C4"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19</w:t>
            </w:r>
          </w:p>
        </w:tc>
        <w:tc>
          <w:tcPr>
            <w:tcW w:w="1385" w:type="dxa"/>
          </w:tcPr>
          <w:p w14:paraId="4A94637D"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6</w:t>
            </w:r>
          </w:p>
        </w:tc>
      </w:tr>
      <w:tr w:rsidR="00773EEA" w:rsidRPr="00773EEA" w14:paraId="117E5802" w14:textId="77777777" w:rsidTr="00A824DE">
        <w:tc>
          <w:tcPr>
            <w:cnfStyle w:val="001000000000" w:firstRow="0" w:lastRow="0" w:firstColumn="1" w:lastColumn="0" w:oddVBand="0" w:evenVBand="0" w:oddHBand="0" w:evenHBand="0" w:firstRowFirstColumn="0" w:firstRowLastColumn="0" w:lastRowFirstColumn="0" w:lastRowLastColumn="0"/>
            <w:tcW w:w="3479" w:type="dxa"/>
          </w:tcPr>
          <w:p w14:paraId="1F181B7C"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Networking and meeting different stakeholders</w:t>
            </w:r>
          </w:p>
        </w:tc>
        <w:tc>
          <w:tcPr>
            <w:tcW w:w="1346" w:type="dxa"/>
          </w:tcPr>
          <w:p w14:paraId="7AE31D24"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c>
          <w:tcPr>
            <w:tcW w:w="896" w:type="dxa"/>
          </w:tcPr>
          <w:p w14:paraId="75E1D7A6"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w:t>
            </w:r>
          </w:p>
        </w:tc>
        <w:tc>
          <w:tcPr>
            <w:tcW w:w="903" w:type="dxa"/>
          </w:tcPr>
          <w:p w14:paraId="741AF8F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c>
          <w:tcPr>
            <w:tcW w:w="1017" w:type="dxa"/>
          </w:tcPr>
          <w:p w14:paraId="49CDC05F"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17</w:t>
            </w:r>
          </w:p>
        </w:tc>
        <w:tc>
          <w:tcPr>
            <w:tcW w:w="1385" w:type="dxa"/>
          </w:tcPr>
          <w:p w14:paraId="7559CF9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6</w:t>
            </w:r>
          </w:p>
        </w:tc>
      </w:tr>
      <w:tr w:rsidR="00773EEA" w:rsidRPr="00773EEA" w14:paraId="6307B95F"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37031161"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Lessons learned from AASCTF’s ongoing smart city pilot projects in Indonesia, the Philippines, and Malaysia</w:t>
            </w:r>
          </w:p>
        </w:tc>
        <w:tc>
          <w:tcPr>
            <w:tcW w:w="1346" w:type="dxa"/>
          </w:tcPr>
          <w:p w14:paraId="0BBE891D"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w:t>
            </w:r>
          </w:p>
        </w:tc>
        <w:tc>
          <w:tcPr>
            <w:tcW w:w="896" w:type="dxa"/>
          </w:tcPr>
          <w:p w14:paraId="279ECCF7"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c>
          <w:tcPr>
            <w:tcW w:w="903" w:type="dxa"/>
          </w:tcPr>
          <w:p w14:paraId="1229F8C0"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19</w:t>
            </w:r>
          </w:p>
        </w:tc>
        <w:tc>
          <w:tcPr>
            <w:tcW w:w="1017" w:type="dxa"/>
          </w:tcPr>
          <w:p w14:paraId="6F388922"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11</w:t>
            </w:r>
          </w:p>
        </w:tc>
        <w:tc>
          <w:tcPr>
            <w:tcW w:w="1385" w:type="dxa"/>
          </w:tcPr>
          <w:p w14:paraId="66F1BDB5"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r>
      <w:tr w:rsidR="00773EEA" w:rsidRPr="00773EEA" w14:paraId="1B5AC480" w14:textId="77777777" w:rsidTr="00A824DE">
        <w:tc>
          <w:tcPr>
            <w:cnfStyle w:val="001000000000" w:firstRow="0" w:lastRow="0" w:firstColumn="1" w:lastColumn="0" w:oddVBand="0" w:evenVBand="0" w:oddHBand="0" w:evenHBand="0" w:firstRowFirstColumn="0" w:firstRowLastColumn="0" w:lastRowFirstColumn="0" w:lastRowLastColumn="0"/>
            <w:tcW w:w="3479" w:type="dxa"/>
          </w:tcPr>
          <w:p w14:paraId="3A5F4B94"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Content provided in the opening session, sessions 1 to 4 and closing session</w:t>
            </w:r>
          </w:p>
        </w:tc>
        <w:tc>
          <w:tcPr>
            <w:tcW w:w="1346" w:type="dxa"/>
          </w:tcPr>
          <w:p w14:paraId="74E32CFA"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w:t>
            </w:r>
          </w:p>
        </w:tc>
        <w:tc>
          <w:tcPr>
            <w:tcW w:w="896" w:type="dxa"/>
          </w:tcPr>
          <w:p w14:paraId="4A416636"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11</w:t>
            </w:r>
          </w:p>
        </w:tc>
        <w:tc>
          <w:tcPr>
            <w:tcW w:w="903" w:type="dxa"/>
          </w:tcPr>
          <w:p w14:paraId="49FAF4F7"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c>
          <w:tcPr>
            <w:tcW w:w="1017" w:type="dxa"/>
          </w:tcPr>
          <w:p w14:paraId="3B948F48"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11</w:t>
            </w:r>
          </w:p>
        </w:tc>
        <w:tc>
          <w:tcPr>
            <w:tcW w:w="1385" w:type="dxa"/>
          </w:tcPr>
          <w:p w14:paraId="4D49980B"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w:t>
            </w:r>
          </w:p>
        </w:tc>
      </w:tr>
      <w:tr w:rsidR="00773EEA" w:rsidRPr="00773EEA" w14:paraId="47082E0F"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0431289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Simultaneous remote interpretation</w:t>
            </w:r>
          </w:p>
        </w:tc>
        <w:tc>
          <w:tcPr>
            <w:tcW w:w="1346" w:type="dxa"/>
          </w:tcPr>
          <w:p w14:paraId="6CEDC96B"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7954F50B"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7</w:t>
            </w:r>
          </w:p>
        </w:tc>
        <w:tc>
          <w:tcPr>
            <w:tcW w:w="903" w:type="dxa"/>
          </w:tcPr>
          <w:p w14:paraId="4B49ABD8"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13</w:t>
            </w:r>
          </w:p>
        </w:tc>
        <w:tc>
          <w:tcPr>
            <w:tcW w:w="1017" w:type="dxa"/>
          </w:tcPr>
          <w:p w14:paraId="64525941"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14</w:t>
            </w:r>
          </w:p>
        </w:tc>
        <w:tc>
          <w:tcPr>
            <w:tcW w:w="1385" w:type="dxa"/>
          </w:tcPr>
          <w:p w14:paraId="46370002"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7</w:t>
            </w:r>
          </w:p>
        </w:tc>
      </w:tr>
    </w:tbl>
    <w:p w14:paraId="1FDBCD6B" w14:textId="4C78A2D1" w:rsidR="005E1DF9" w:rsidRPr="00773EEA" w:rsidRDefault="005E1DF9" w:rsidP="005F1785">
      <w:pPr>
        <w:spacing w:after="0" w:line="276" w:lineRule="auto"/>
        <w:contextualSpacing/>
        <w:rPr>
          <w:rFonts w:ascii="Georgia" w:hAnsi="Georgia" w:cs="Arial"/>
          <w:iCs/>
          <w:sz w:val="32"/>
          <w:szCs w:val="32"/>
        </w:rPr>
      </w:pPr>
    </w:p>
    <w:p w14:paraId="4B0B0EFB" w14:textId="5F6BDCAD" w:rsidR="007C7E9B" w:rsidRPr="00773EEA" w:rsidRDefault="007C7E9B" w:rsidP="005F1785">
      <w:pPr>
        <w:spacing w:after="0" w:line="276" w:lineRule="auto"/>
        <w:contextualSpacing/>
        <w:rPr>
          <w:b/>
          <w:caps/>
          <w:lang w:bidi="th-TH"/>
        </w:rPr>
      </w:pPr>
      <w:r w:rsidRPr="00773EEA">
        <w:rPr>
          <w:b/>
          <w:bCs/>
          <w:lang w:bidi="th-TH"/>
        </w:rPr>
        <w:lastRenderedPageBreak/>
        <w:t>10a</w:t>
      </w:r>
      <w:r w:rsidR="00FF1229" w:rsidRPr="00773EEA">
        <w:rPr>
          <w:b/>
          <w:bCs/>
          <w:lang w:bidi="th-TH"/>
        </w:rPr>
        <w:t>:</w:t>
      </w:r>
      <w:r w:rsidRPr="00773EEA">
        <w:rPr>
          <w:b/>
          <w:bCs/>
          <w:lang w:bidi="th-TH"/>
        </w:rPr>
        <w:t xml:space="preserve"> Do you have additional comments about the content of the Smart City Networking Day 2022 event?</w:t>
      </w:r>
    </w:p>
    <w:tbl>
      <w:tblPr>
        <w:tblStyle w:val="LightShading-Accent11"/>
        <w:tblW w:w="0" w:type="auto"/>
        <w:tblLook w:val="04A0" w:firstRow="1" w:lastRow="0" w:firstColumn="1" w:lastColumn="0" w:noHBand="0" w:noVBand="1"/>
      </w:tblPr>
      <w:tblGrid>
        <w:gridCol w:w="7694"/>
      </w:tblGrid>
      <w:tr w:rsidR="00773EEA" w:rsidRPr="00773EEA" w14:paraId="6BBA47F6"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2EF442FA"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Arial"/>
                <w:b w:val="0"/>
                <w:bCs w:val="0"/>
                <w:sz w:val="20"/>
                <w:lang w:val="en-GB"/>
              </w:rPr>
              <w:t>Building a smart city network is critical to speeding up the communication and transfer of information.</w:t>
            </w:r>
          </w:p>
        </w:tc>
      </w:tr>
      <w:tr w:rsidR="00773EEA" w:rsidRPr="00773EEA" w14:paraId="73680CA6"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64678BB8" w14:textId="77777777" w:rsidR="005E1DF9" w:rsidRPr="00773EEA" w:rsidRDefault="005E1DF9" w:rsidP="00A824DE">
            <w:pPr>
              <w:rPr>
                <w:rFonts w:ascii="Arial" w:eastAsia="Times New Roman" w:hAnsi="Arial" w:cs="Arial"/>
                <w:sz w:val="20"/>
                <w:lang w:val="en-GB"/>
              </w:rPr>
            </w:pPr>
            <w:proofErr w:type="gramStart"/>
            <w:r w:rsidRPr="00773EEA">
              <w:rPr>
                <w:rFonts w:ascii="Arial" w:eastAsia="Times New Roman" w:hAnsi="Arial" w:cs="Arial"/>
                <w:b w:val="0"/>
                <w:bCs w:val="0"/>
                <w:sz w:val="20"/>
                <w:lang w:val="en-GB"/>
              </w:rPr>
              <w:t>In order for</w:t>
            </w:r>
            <w:proofErr w:type="gramEnd"/>
            <w:r w:rsidRPr="00773EEA">
              <w:rPr>
                <w:rFonts w:ascii="Arial" w:eastAsia="Times New Roman" w:hAnsi="Arial" w:cs="Arial"/>
                <w:b w:val="0"/>
                <w:bCs w:val="0"/>
                <w:sz w:val="20"/>
                <w:lang w:val="en-GB"/>
              </w:rPr>
              <w:t xml:space="preserve"> a city to be well-informed, it must first be done in certain areas, such as environmental management.</w:t>
            </w:r>
          </w:p>
        </w:tc>
      </w:tr>
      <w:tr w:rsidR="00773EEA" w:rsidRPr="00773EEA" w14:paraId="7703CC51"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79BA3157"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Arial"/>
                <w:b w:val="0"/>
                <w:bCs w:val="0"/>
                <w:sz w:val="20"/>
                <w:lang w:val="en-GB"/>
              </w:rPr>
              <w:t>Networking must go hand in hand with meetings, such as face-to-face training, which in the past has not been very good</w:t>
            </w:r>
          </w:p>
        </w:tc>
      </w:tr>
      <w:tr w:rsidR="00773EEA" w:rsidRPr="00773EEA" w14:paraId="1E60FFA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67C2270D" w14:textId="77777777" w:rsidR="005E1DF9" w:rsidRPr="00773EEA" w:rsidRDefault="005E1DF9" w:rsidP="00A824DE">
            <w:pPr>
              <w:rPr>
                <w:rFonts w:ascii="Arial" w:eastAsia="Times New Roman" w:hAnsi="Arial" w:cs="Arial"/>
                <w:b w:val="0"/>
                <w:bCs w:val="0"/>
                <w:sz w:val="20"/>
                <w:lang w:val="en-GB" w:eastAsia="en-AU"/>
              </w:rPr>
            </w:pPr>
            <w:r w:rsidRPr="00773EEA">
              <w:rPr>
                <w:rFonts w:ascii="Arial" w:eastAsia="Times New Roman" w:hAnsi="Arial" w:cs="Arial"/>
                <w:b w:val="0"/>
                <w:bCs w:val="0"/>
                <w:sz w:val="20"/>
                <w:lang w:val="en-GB"/>
              </w:rPr>
              <w:t>Work should start in an organized manner with a process in accordance with the principles. The system for organizing it already exists</w:t>
            </w:r>
          </w:p>
        </w:tc>
      </w:tr>
      <w:tr w:rsidR="00773EEA" w:rsidRPr="00773EEA" w14:paraId="50E0E921"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0A3C9305"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As for me, I request that a meeting be held in person and at a specific location to make it easy for the meeting and discussion. Thank you</w:t>
            </w:r>
          </w:p>
        </w:tc>
      </w:tr>
      <w:tr w:rsidR="00773EEA" w:rsidRPr="00773EEA" w14:paraId="76F4371C"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5F5C674F"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A presentation of a format should be shared so that it can be tracked later</w:t>
            </w:r>
          </w:p>
        </w:tc>
      </w:tr>
      <w:tr w:rsidR="00773EEA" w:rsidRPr="00773EEA" w14:paraId="37014624"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11F31F37"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Do not fully understand the project and the technical language</w:t>
            </w:r>
          </w:p>
        </w:tc>
      </w:tr>
      <w:tr w:rsidR="00773EEA" w:rsidRPr="00773EEA" w14:paraId="7EB5BBEE"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46EC9FA8"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More time for study is requested</w:t>
            </w:r>
          </w:p>
        </w:tc>
      </w:tr>
      <w:tr w:rsidR="00773EEA" w:rsidRPr="00773EEA" w14:paraId="61D1C04C"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1CF799BE"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The past was well done</w:t>
            </w:r>
          </w:p>
        </w:tc>
      </w:tr>
      <w:tr w:rsidR="00773EEA" w:rsidRPr="00773EEA" w14:paraId="797A5C1F"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46CB1F3E"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Arial"/>
                <w:b w:val="0"/>
                <w:bCs w:val="0"/>
                <w:sz w:val="20"/>
                <w:lang w:val="en-GB"/>
              </w:rPr>
              <w:t>Good job</w:t>
            </w:r>
          </w:p>
        </w:tc>
      </w:tr>
      <w:tr w:rsidR="00773EEA" w:rsidRPr="00773EEA" w14:paraId="6760524B"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662CFFDB"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Arial"/>
                <w:b w:val="0"/>
                <w:bCs w:val="0"/>
                <w:sz w:val="20"/>
                <w:lang w:val="en-GB"/>
              </w:rPr>
              <w:t>Good</w:t>
            </w:r>
          </w:p>
        </w:tc>
      </w:tr>
      <w:tr w:rsidR="00773EEA" w:rsidRPr="00773EEA" w14:paraId="7CBAEB45"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7541EA00"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Arial"/>
                <w:b w:val="0"/>
                <w:bCs w:val="0"/>
                <w:sz w:val="20"/>
                <w:lang w:val="en-GB"/>
              </w:rPr>
              <w:t>I was not able to participate.</w:t>
            </w:r>
          </w:p>
        </w:tc>
      </w:tr>
    </w:tbl>
    <w:p w14:paraId="29E0BE36" w14:textId="1805627F" w:rsidR="005E1DF9" w:rsidRPr="00773EEA" w:rsidRDefault="005E1DF9" w:rsidP="005F1785">
      <w:pPr>
        <w:spacing w:after="0" w:line="276" w:lineRule="auto"/>
        <w:contextualSpacing/>
        <w:rPr>
          <w:rFonts w:ascii="Georgia" w:hAnsi="Georgia" w:cs="Arial"/>
          <w:iCs/>
          <w:sz w:val="32"/>
          <w:szCs w:val="32"/>
        </w:rPr>
      </w:pPr>
    </w:p>
    <w:p w14:paraId="21A05E15" w14:textId="6AA8BC83" w:rsidR="007C7E9B" w:rsidRPr="00773EEA" w:rsidRDefault="007C7E9B" w:rsidP="005F1785">
      <w:pPr>
        <w:spacing w:after="0" w:line="276" w:lineRule="auto"/>
        <w:contextualSpacing/>
        <w:rPr>
          <w:b/>
          <w:caps/>
          <w:lang w:bidi="th-TH"/>
        </w:rPr>
      </w:pPr>
      <w:r w:rsidRPr="00773EEA">
        <w:rPr>
          <w:b/>
          <w:bCs/>
          <w:lang w:bidi="th-TH"/>
        </w:rPr>
        <w:t>Q11</w:t>
      </w:r>
      <w:r w:rsidR="00FF1229" w:rsidRPr="00773EEA">
        <w:rPr>
          <w:b/>
          <w:bCs/>
          <w:lang w:bidi="th-TH"/>
        </w:rPr>
        <w:t>:</w:t>
      </w:r>
      <w:r w:rsidRPr="00773EEA">
        <w:rPr>
          <w:b/>
          <w:bCs/>
          <w:lang w:bidi="th-TH"/>
        </w:rPr>
        <w:t xml:space="preserve"> Have you done anything differently in your role, </w:t>
      </w:r>
      <w:proofErr w:type="gramStart"/>
      <w:r w:rsidRPr="00773EEA">
        <w:rPr>
          <w:b/>
          <w:bCs/>
          <w:lang w:bidi="th-TH"/>
        </w:rPr>
        <w:t>as a result of</w:t>
      </w:r>
      <w:proofErr w:type="gramEnd"/>
      <w:r w:rsidRPr="00773EEA">
        <w:rPr>
          <w:b/>
          <w:bCs/>
          <w:lang w:bidi="th-TH"/>
        </w:rPr>
        <w:t xml:space="preserve"> what you’ve learned from the events / training sessions?</w:t>
      </w:r>
    </w:p>
    <w:tbl>
      <w:tblPr>
        <w:tblStyle w:val="LightShading-Accent11"/>
        <w:tblW w:w="0" w:type="auto"/>
        <w:tblLook w:val="04A0" w:firstRow="1" w:lastRow="0" w:firstColumn="1" w:lastColumn="0" w:noHBand="0" w:noVBand="1"/>
      </w:tblPr>
      <w:tblGrid>
        <w:gridCol w:w="2410"/>
        <w:gridCol w:w="3119"/>
      </w:tblGrid>
      <w:tr w:rsidR="00773EEA" w:rsidRPr="00773EEA" w14:paraId="111DEA7D"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8B55254" w14:textId="77777777" w:rsidR="005E1DF9" w:rsidRPr="00773EEA" w:rsidRDefault="005E1DF9" w:rsidP="00A824DE">
            <w:pPr>
              <w:spacing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Yes</w:t>
            </w:r>
          </w:p>
        </w:tc>
        <w:tc>
          <w:tcPr>
            <w:tcW w:w="3119" w:type="dxa"/>
          </w:tcPr>
          <w:p w14:paraId="5F245D58"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No</w:t>
            </w:r>
          </w:p>
        </w:tc>
      </w:tr>
      <w:tr w:rsidR="00773EEA" w:rsidRPr="00773EEA" w14:paraId="7F4411B7"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B97801"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19</w:t>
            </w:r>
          </w:p>
        </w:tc>
        <w:tc>
          <w:tcPr>
            <w:tcW w:w="3119" w:type="dxa"/>
          </w:tcPr>
          <w:p w14:paraId="3D3D99DA"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31</w:t>
            </w:r>
          </w:p>
        </w:tc>
      </w:tr>
    </w:tbl>
    <w:p w14:paraId="71688B4B" w14:textId="13BD18CD" w:rsidR="005E1DF9" w:rsidRPr="00773EEA" w:rsidRDefault="005E1DF9" w:rsidP="005F1785">
      <w:pPr>
        <w:spacing w:after="0" w:line="276" w:lineRule="auto"/>
        <w:contextualSpacing/>
        <w:rPr>
          <w:rFonts w:ascii="Georgia" w:hAnsi="Georgia" w:cs="Arial"/>
          <w:iCs/>
          <w:sz w:val="32"/>
          <w:szCs w:val="32"/>
        </w:rPr>
      </w:pPr>
    </w:p>
    <w:p w14:paraId="586D3E79" w14:textId="61B5079E" w:rsidR="008C4F9E" w:rsidRPr="00773EEA" w:rsidRDefault="008C4F9E" w:rsidP="005F1785">
      <w:pPr>
        <w:spacing w:after="0" w:line="276" w:lineRule="auto"/>
        <w:contextualSpacing/>
        <w:rPr>
          <w:b/>
          <w:caps/>
          <w:lang w:bidi="th-TH"/>
        </w:rPr>
      </w:pPr>
      <w:r w:rsidRPr="00773EEA">
        <w:rPr>
          <w:b/>
          <w:bCs/>
          <w:lang w:bidi="th-TH"/>
        </w:rPr>
        <w:t>Q11a</w:t>
      </w:r>
      <w:r w:rsidR="00FF1229" w:rsidRPr="00773EEA">
        <w:rPr>
          <w:b/>
          <w:bCs/>
          <w:lang w:bidi="th-TH"/>
        </w:rPr>
        <w:t>:</w:t>
      </w:r>
      <w:r w:rsidRPr="00773EEA">
        <w:rPr>
          <w:b/>
          <w:bCs/>
          <w:lang w:bidi="th-TH"/>
        </w:rPr>
        <w:t xml:space="preserve"> If yes, please provide a brief description -</w:t>
      </w:r>
    </w:p>
    <w:tbl>
      <w:tblPr>
        <w:tblStyle w:val="LightShading-Accent11"/>
        <w:tblW w:w="0" w:type="auto"/>
        <w:tblLook w:val="04A0" w:firstRow="1" w:lastRow="0" w:firstColumn="1" w:lastColumn="0" w:noHBand="0" w:noVBand="1"/>
      </w:tblPr>
      <w:tblGrid>
        <w:gridCol w:w="7694"/>
      </w:tblGrid>
      <w:tr w:rsidR="00773EEA" w:rsidRPr="00773EEA" w14:paraId="3AE062F7"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199316DA"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Times New Roman"/>
                <w:b w:val="0"/>
                <w:bCs w:val="0"/>
                <w:sz w:val="20"/>
                <w:lang w:val="en-GB"/>
              </w:rPr>
              <w:t>Provide a better perspective and understanding of how to solve and develop smart cities using digital systems.</w:t>
            </w:r>
          </w:p>
        </w:tc>
      </w:tr>
      <w:tr w:rsidR="00773EEA" w:rsidRPr="00773EEA" w14:paraId="63D70ABC"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4D41794B"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Times New Roman"/>
                <w:b w:val="0"/>
                <w:bCs w:val="0"/>
                <w:sz w:val="20"/>
                <w:lang w:val="en-GB"/>
              </w:rPr>
              <w:t>Propose to management in the organization to modernise. Create employee ideas for self-transformation.</w:t>
            </w:r>
          </w:p>
        </w:tc>
      </w:tr>
      <w:tr w:rsidR="00773EEA" w:rsidRPr="00773EEA" w14:paraId="2F0FD61E"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4BC3BBFE"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Arial"/>
                <w:b w:val="0"/>
                <w:bCs w:val="0"/>
                <w:sz w:val="20"/>
                <w:lang w:val="en-GB"/>
              </w:rPr>
              <w:t xml:space="preserve">Shared information from the study in the participating sessions, understanding the importance of information technology for urban development experience from the Philippines, </w:t>
            </w:r>
            <w:proofErr w:type="gramStart"/>
            <w:r w:rsidRPr="00773EEA">
              <w:rPr>
                <w:rFonts w:ascii="Arial" w:eastAsia="Times New Roman" w:hAnsi="Arial" w:cs="Arial"/>
                <w:b w:val="0"/>
                <w:bCs w:val="0"/>
                <w:sz w:val="20"/>
                <w:lang w:val="en-GB"/>
              </w:rPr>
              <w:t>Indonesia</w:t>
            </w:r>
            <w:proofErr w:type="gramEnd"/>
            <w:r w:rsidRPr="00773EEA">
              <w:rPr>
                <w:rFonts w:ascii="Arial" w:eastAsia="Times New Roman" w:hAnsi="Arial" w:cs="Arial"/>
                <w:b w:val="0"/>
                <w:bCs w:val="0"/>
                <w:sz w:val="20"/>
                <w:lang w:val="en-GB"/>
              </w:rPr>
              <w:t xml:space="preserve"> and Malaysia.</w:t>
            </w:r>
          </w:p>
        </w:tc>
      </w:tr>
      <w:tr w:rsidR="00773EEA" w:rsidRPr="00773EEA" w14:paraId="4F32E204"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0D960462"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Arial"/>
                <w:b w:val="0"/>
                <w:bCs w:val="0"/>
                <w:sz w:val="20"/>
                <w:lang w:val="en-GB"/>
              </w:rPr>
              <w:t>First, I'll be more attentive towards my surroundings. Most facilities I use and usual activities I engage in are taken for granted. However, I also am more aware how much more these facilities and technology can be improved. Our municipality is still catching up with years of technological advancement and improvements. The Local Government could not do this alone, thus needing external factors, experts, and financial help.</w:t>
            </w:r>
          </w:p>
        </w:tc>
      </w:tr>
      <w:tr w:rsidR="00773EEA" w:rsidRPr="00773EEA" w14:paraId="4D9D939D"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6E15990E"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Arial"/>
                <w:b w:val="0"/>
                <w:bCs w:val="0"/>
                <w:sz w:val="20"/>
                <w:lang w:val="en-GB"/>
              </w:rPr>
              <w:t xml:space="preserve">I will recommend more of a </w:t>
            </w:r>
            <w:proofErr w:type="gramStart"/>
            <w:r w:rsidRPr="00773EEA">
              <w:rPr>
                <w:rFonts w:ascii="Arial" w:eastAsia="Times New Roman" w:hAnsi="Arial" w:cs="Arial"/>
                <w:b w:val="0"/>
                <w:bCs w:val="0"/>
                <w:sz w:val="20"/>
                <w:lang w:val="en-GB"/>
              </w:rPr>
              <w:t>smart cities</w:t>
            </w:r>
            <w:proofErr w:type="gramEnd"/>
            <w:r w:rsidRPr="00773EEA">
              <w:rPr>
                <w:rFonts w:ascii="Arial" w:eastAsia="Times New Roman" w:hAnsi="Arial" w:cs="Arial"/>
                <w:b w:val="0"/>
                <w:bCs w:val="0"/>
                <w:sz w:val="20"/>
                <w:lang w:val="en-GB"/>
              </w:rPr>
              <w:t xml:space="preserve"> designs and systems to the officials.</w:t>
            </w:r>
          </w:p>
        </w:tc>
      </w:tr>
      <w:tr w:rsidR="00773EEA" w:rsidRPr="00773EEA" w14:paraId="519CA5C5"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3134CCAC" w14:textId="77777777" w:rsidR="005E1DF9" w:rsidRPr="00773EEA" w:rsidRDefault="005E1DF9" w:rsidP="00A824DE">
            <w:pPr>
              <w:rPr>
                <w:rFonts w:ascii="Arial" w:eastAsia="Times New Roman" w:hAnsi="Arial" w:cs="Arial"/>
                <w:sz w:val="20"/>
                <w:lang w:val="en-GB"/>
              </w:rPr>
            </w:pPr>
            <w:r w:rsidRPr="00773EEA">
              <w:rPr>
                <w:rFonts w:ascii="Arial" w:eastAsia="Times New Roman" w:hAnsi="Arial" w:cs="Times New Roman"/>
                <w:b w:val="0"/>
                <w:bCs w:val="0"/>
                <w:sz w:val="20"/>
                <w:lang w:val="en-GB"/>
              </w:rPr>
              <w:t>Research on the development of a smart city</w:t>
            </w:r>
          </w:p>
        </w:tc>
      </w:tr>
      <w:tr w:rsidR="00773EEA" w:rsidRPr="00773EEA" w14:paraId="19102FF4"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019054C1" w14:textId="77777777" w:rsidR="005E1DF9" w:rsidRPr="00773EEA" w:rsidRDefault="005E1DF9" w:rsidP="00A824DE">
            <w:pPr>
              <w:rPr>
                <w:rFonts w:ascii="Arial" w:eastAsia="Times New Roman" w:hAnsi="Arial" w:cs="Arial"/>
                <w:b w:val="0"/>
                <w:bCs w:val="0"/>
                <w:sz w:val="20"/>
                <w:lang w:val="en-GB" w:eastAsia="en-AU"/>
              </w:rPr>
            </w:pPr>
            <w:r w:rsidRPr="00773EEA">
              <w:rPr>
                <w:rFonts w:ascii="Arial" w:eastAsia="Times New Roman" w:hAnsi="Arial" w:cs="Arial"/>
                <w:b w:val="0"/>
                <w:bCs w:val="0"/>
                <w:sz w:val="20"/>
                <w:lang w:val="en-GB"/>
              </w:rPr>
              <w:t>We are considering the challenges for people with disabilities regarding transportation</w:t>
            </w:r>
          </w:p>
        </w:tc>
      </w:tr>
      <w:tr w:rsidR="00773EEA" w:rsidRPr="00773EEA" w14:paraId="01D244E6"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1D0C7431"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Times New Roman"/>
                <w:b w:val="0"/>
                <w:bCs w:val="0"/>
                <w:sz w:val="20"/>
                <w:lang w:val="en-GB"/>
              </w:rPr>
              <w:t xml:space="preserve">Coordinated with relevant parties to plan, inspect various </w:t>
            </w:r>
            <w:proofErr w:type="gramStart"/>
            <w:r w:rsidRPr="00773EEA">
              <w:rPr>
                <w:rFonts w:ascii="Arial" w:eastAsia="Times New Roman" w:hAnsi="Arial" w:cs="Times New Roman"/>
                <w:b w:val="0"/>
                <w:bCs w:val="0"/>
                <w:sz w:val="20"/>
                <w:lang w:val="en-GB"/>
              </w:rPr>
              <w:t>sites</w:t>
            </w:r>
            <w:proofErr w:type="gramEnd"/>
            <w:r w:rsidRPr="00773EEA">
              <w:rPr>
                <w:rFonts w:ascii="Arial" w:eastAsia="Times New Roman" w:hAnsi="Arial" w:cs="Times New Roman"/>
                <w:b w:val="0"/>
                <w:bCs w:val="0"/>
                <w:sz w:val="20"/>
                <w:lang w:val="en-GB"/>
              </w:rPr>
              <w:t xml:space="preserve"> and then submit the project for consideration.</w:t>
            </w:r>
          </w:p>
        </w:tc>
      </w:tr>
      <w:tr w:rsidR="00773EEA" w:rsidRPr="00773EEA" w14:paraId="60166C14"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7AA9D327"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Liaise with relevant parties</w:t>
            </w:r>
          </w:p>
        </w:tc>
      </w:tr>
      <w:tr w:rsidR="00773EEA" w:rsidRPr="00773EEA" w14:paraId="5E0BF6B8"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573D1999"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Complete and easy to understand</w:t>
            </w:r>
          </w:p>
        </w:tc>
      </w:tr>
      <w:tr w:rsidR="00773EEA" w:rsidRPr="00773EEA" w14:paraId="31FF894B"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0C04DF84"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Agree</w:t>
            </w:r>
          </w:p>
        </w:tc>
      </w:tr>
      <w:tr w:rsidR="00773EEA" w:rsidRPr="00773EEA" w14:paraId="27BA0164"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3342E0E2" w14:textId="77777777" w:rsidR="005E1DF9" w:rsidRPr="00773EEA" w:rsidRDefault="005E1DF9" w:rsidP="00A824DE">
            <w:pPr>
              <w:rPr>
                <w:rFonts w:ascii="Arial" w:eastAsia="Times New Roman" w:hAnsi="Arial" w:cs="Arial"/>
                <w:b w:val="0"/>
                <w:bCs w:val="0"/>
                <w:lang w:val="en-GB"/>
              </w:rPr>
            </w:pPr>
            <w:r w:rsidRPr="00773EEA">
              <w:rPr>
                <w:rFonts w:ascii="Arial" w:eastAsia="Times New Roman" w:hAnsi="Arial" w:cs="Arial"/>
                <w:b w:val="0"/>
                <w:bCs w:val="0"/>
                <w:sz w:val="20"/>
                <w:lang w:val="en-GB"/>
              </w:rPr>
              <w:t>Did not do what we started in the first phase</w:t>
            </w:r>
          </w:p>
        </w:tc>
      </w:tr>
      <w:tr w:rsidR="00773EEA" w:rsidRPr="00773EEA" w14:paraId="53A2C502" w14:textId="77777777" w:rsidTr="00A824DE">
        <w:tc>
          <w:tcPr>
            <w:cnfStyle w:val="001000000000" w:firstRow="0" w:lastRow="0" w:firstColumn="1" w:lastColumn="0" w:oddVBand="0" w:evenVBand="0" w:oddHBand="0" w:evenHBand="0" w:firstRowFirstColumn="0" w:firstRowLastColumn="0" w:lastRowFirstColumn="0" w:lastRowLastColumn="0"/>
            <w:tcW w:w="7694" w:type="dxa"/>
          </w:tcPr>
          <w:p w14:paraId="25D41127"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Arial"/>
                <w:b w:val="0"/>
                <w:bCs w:val="0"/>
                <w:sz w:val="20"/>
                <w:lang w:val="en-GB"/>
              </w:rPr>
              <w:t>No</w:t>
            </w:r>
          </w:p>
        </w:tc>
      </w:tr>
    </w:tbl>
    <w:p w14:paraId="266CAE47" w14:textId="13E0EEB8" w:rsidR="005E1DF9" w:rsidRPr="00773EEA" w:rsidRDefault="005E1DF9" w:rsidP="005F1785">
      <w:pPr>
        <w:spacing w:after="0" w:line="276" w:lineRule="auto"/>
        <w:contextualSpacing/>
        <w:rPr>
          <w:rStyle w:val="apple-converted-space"/>
          <w:rFonts w:asciiTheme="majorHAnsi" w:hAnsiTheme="majorHAnsi"/>
        </w:rPr>
      </w:pPr>
    </w:p>
    <w:p w14:paraId="3732CFA7" w14:textId="7B47CD98" w:rsidR="008C4F9E" w:rsidRPr="00773EEA" w:rsidRDefault="008C4F9E" w:rsidP="005F1785">
      <w:pPr>
        <w:spacing w:after="0" w:line="276" w:lineRule="auto"/>
        <w:contextualSpacing/>
        <w:rPr>
          <w:rStyle w:val="apple-converted-space"/>
          <w:b/>
        </w:rPr>
      </w:pPr>
      <w:r w:rsidRPr="00773EEA">
        <w:rPr>
          <w:rStyle w:val="apple-converted-space"/>
          <w:b/>
          <w:bCs/>
        </w:rPr>
        <w:t>Q12</w:t>
      </w:r>
      <w:r w:rsidR="00FF1229" w:rsidRPr="00773EEA">
        <w:rPr>
          <w:rStyle w:val="apple-converted-space"/>
          <w:b/>
          <w:bCs/>
        </w:rPr>
        <w:t>:</w:t>
      </w:r>
      <w:r w:rsidRPr="00773EEA">
        <w:rPr>
          <w:rStyle w:val="apple-converted-space"/>
          <w:b/>
          <w:bCs/>
        </w:rPr>
        <w:t xml:space="preserve"> Did you share or discuss any of the ideas or information from the events/training with your colleagues or bosses?</w:t>
      </w:r>
    </w:p>
    <w:tbl>
      <w:tblPr>
        <w:tblStyle w:val="LightShading-Accent11"/>
        <w:tblW w:w="0" w:type="auto"/>
        <w:tblLook w:val="04A0" w:firstRow="1" w:lastRow="0" w:firstColumn="1" w:lastColumn="0" w:noHBand="0" w:noVBand="1"/>
      </w:tblPr>
      <w:tblGrid>
        <w:gridCol w:w="2410"/>
        <w:gridCol w:w="3119"/>
      </w:tblGrid>
      <w:tr w:rsidR="00773EEA" w:rsidRPr="00773EEA" w14:paraId="4AD5F9D8" w14:textId="77777777" w:rsidTr="00A824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42404B" w14:textId="77777777" w:rsidR="005E1DF9" w:rsidRPr="00773EEA" w:rsidRDefault="005E1DF9" w:rsidP="00A824DE">
            <w:pPr>
              <w:spacing w:line="276" w:lineRule="auto"/>
              <w:contextualSpacing/>
              <w:rPr>
                <w:rFonts w:ascii="Arial" w:eastAsia="Times New Roman" w:hAnsi="Arial" w:cs="Times New Roman"/>
                <w:sz w:val="20"/>
                <w:lang w:val="en-GB"/>
              </w:rPr>
            </w:pPr>
            <w:r w:rsidRPr="00773EEA">
              <w:rPr>
                <w:rFonts w:ascii="Arial" w:eastAsia="Times New Roman" w:hAnsi="Arial" w:cs="Times New Roman"/>
                <w:sz w:val="20"/>
                <w:lang w:val="en-GB"/>
              </w:rPr>
              <w:t>Yes</w:t>
            </w:r>
          </w:p>
        </w:tc>
        <w:tc>
          <w:tcPr>
            <w:tcW w:w="3119" w:type="dxa"/>
          </w:tcPr>
          <w:p w14:paraId="59A93152"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No</w:t>
            </w:r>
          </w:p>
        </w:tc>
      </w:tr>
      <w:tr w:rsidR="00773EEA" w:rsidRPr="00773EEA" w14:paraId="66B63FAF"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DDEB242" w14:textId="77777777" w:rsidR="005E1DF9" w:rsidRPr="00773EEA" w:rsidRDefault="005E1DF9" w:rsidP="00A824DE">
            <w:pPr>
              <w:spacing w:after="0" w:line="276" w:lineRule="auto"/>
              <w:contextualSpacing/>
              <w:rPr>
                <w:rFonts w:ascii="Arial" w:eastAsia="Times New Roman" w:hAnsi="Arial" w:cs="Times New Roman"/>
                <w:b w:val="0"/>
                <w:bCs w:val="0"/>
                <w:sz w:val="20"/>
                <w:lang w:val="en-GB"/>
              </w:rPr>
            </w:pPr>
            <w:r w:rsidRPr="00773EEA">
              <w:rPr>
                <w:rFonts w:ascii="Arial" w:eastAsia="Times New Roman" w:hAnsi="Arial" w:cs="Times New Roman"/>
                <w:b w:val="0"/>
                <w:bCs w:val="0"/>
                <w:sz w:val="20"/>
                <w:lang w:val="en-GB"/>
              </w:rPr>
              <w:t>40</w:t>
            </w:r>
          </w:p>
        </w:tc>
        <w:tc>
          <w:tcPr>
            <w:tcW w:w="3119" w:type="dxa"/>
          </w:tcPr>
          <w:p w14:paraId="336938D6"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10</w:t>
            </w:r>
          </w:p>
        </w:tc>
      </w:tr>
    </w:tbl>
    <w:p w14:paraId="78B60386" w14:textId="6B466308" w:rsidR="005E1DF9" w:rsidRPr="00773EEA" w:rsidRDefault="005E1DF9" w:rsidP="005F1785">
      <w:pPr>
        <w:spacing w:after="0" w:line="276" w:lineRule="auto"/>
        <w:contextualSpacing/>
        <w:rPr>
          <w:rStyle w:val="apple-converted-space"/>
          <w:rFonts w:asciiTheme="majorHAnsi" w:hAnsiTheme="majorHAnsi"/>
        </w:rPr>
      </w:pPr>
    </w:p>
    <w:p w14:paraId="06522D09" w14:textId="06794B55" w:rsidR="008C4F9E" w:rsidRPr="00773EEA" w:rsidRDefault="008C4F9E" w:rsidP="005F1785">
      <w:pPr>
        <w:spacing w:after="0" w:line="276" w:lineRule="auto"/>
        <w:contextualSpacing/>
        <w:rPr>
          <w:rStyle w:val="apple-converted-space"/>
          <w:b/>
        </w:rPr>
      </w:pPr>
      <w:r w:rsidRPr="00773EEA">
        <w:rPr>
          <w:rStyle w:val="apple-converted-space"/>
          <w:b/>
          <w:bCs/>
        </w:rPr>
        <w:t>Q13</w:t>
      </w:r>
      <w:r w:rsidR="00FF1229" w:rsidRPr="00773EEA">
        <w:rPr>
          <w:rStyle w:val="apple-converted-space"/>
          <w:b/>
          <w:bCs/>
        </w:rPr>
        <w:t>:</w:t>
      </w:r>
      <w:r w:rsidRPr="00773EEA">
        <w:rPr>
          <w:rStyle w:val="apple-converted-space"/>
          <w:b/>
          <w:bCs/>
        </w:rPr>
        <w:t xml:space="preserve"> How valuable do you find the</w:t>
      </w:r>
    </w:p>
    <w:tbl>
      <w:tblPr>
        <w:tblStyle w:val="LightShading-Accent11"/>
        <w:tblW w:w="0" w:type="auto"/>
        <w:tblLook w:val="04A0" w:firstRow="1" w:lastRow="0" w:firstColumn="1" w:lastColumn="0" w:noHBand="0" w:noVBand="1"/>
      </w:tblPr>
      <w:tblGrid>
        <w:gridCol w:w="3479"/>
        <w:gridCol w:w="1346"/>
        <w:gridCol w:w="896"/>
        <w:gridCol w:w="903"/>
        <w:gridCol w:w="1017"/>
        <w:gridCol w:w="1385"/>
      </w:tblGrid>
      <w:tr w:rsidR="00773EEA" w:rsidRPr="00773EEA" w14:paraId="72BCAA93" w14:textId="77777777" w:rsidTr="00FD30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79" w:type="dxa"/>
          </w:tcPr>
          <w:p w14:paraId="2CC98F1A" w14:textId="3F585C95" w:rsidR="005E1DF9" w:rsidRPr="00773EEA" w:rsidRDefault="00071179" w:rsidP="00A824DE">
            <w:pPr>
              <w:spacing w:line="276" w:lineRule="auto"/>
              <w:contextualSpacing/>
              <w:rPr>
                <w:rFonts w:ascii="Arial" w:eastAsia="Times New Roman" w:hAnsi="Arial" w:cs="Times New Roman"/>
                <w:sz w:val="20"/>
                <w:lang w:val="en-GB"/>
              </w:rPr>
            </w:pPr>
            <w:r>
              <w:rPr>
                <w:rFonts w:ascii="Arial" w:eastAsia="Times New Roman" w:hAnsi="Arial" w:cs="Times New Roman"/>
                <w:sz w:val="20"/>
                <w:lang w:val="en-GB"/>
              </w:rPr>
              <w:t>Question</w:t>
            </w:r>
          </w:p>
        </w:tc>
        <w:tc>
          <w:tcPr>
            <w:tcW w:w="1346" w:type="dxa"/>
          </w:tcPr>
          <w:p w14:paraId="4B83A492"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1 – Not Valuable</w:t>
            </w:r>
          </w:p>
        </w:tc>
        <w:tc>
          <w:tcPr>
            <w:tcW w:w="896" w:type="dxa"/>
          </w:tcPr>
          <w:p w14:paraId="144D63DC"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2</w:t>
            </w:r>
          </w:p>
        </w:tc>
        <w:tc>
          <w:tcPr>
            <w:tcW w:w="903" w:type="dxa"/>
          </w:tcPr>
          <w:p w14:paraId="77FCBB32"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3</w:t>
            </w:r>
          </w:p>
        </w:tc>
        <w:tc>
          <w:tcPr>
            <w:tcW w:w="1017" w:type="dxa"/>
          </w:tcPr>
          <w:p w14:paraId="35A669EC"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4</w:t>
            </w:r>
          </w:p>
        </w:tc>
        <w:tc>
          <w:tcPr>
            <w:tcW w:w="1385" w:type="dxa"/>
          </w:tcPr>
          <w:p w14:paraId="4C3A46D8" w14:textId="77777777" w:rsidR="005E1DF9" w:rsidRPr="00773EEA" w:rsidRDefault="005E1DF9" w:rsidP="00A824D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lang w:val="en-GB"/>
              </w:rPr>
            </w:pPr>
            <w:r w:rsidRPr="00773EEA">
              <w:rPr>
                <w:rFonts w:ascii="Arial" w:eastAsia="Times New Roman" w:hAnsi="Arial" w:cs="Times New Roman"/>
                <w:sz w:val="20"/>
                <w:lang w:val="en-GB"/>
              </w:rPr>
              <w:t>5 – Very Valuable</w:t>
            </w:r>
          </w:p>
        </w:tc>
      </w:tr>
      <w:tr w:rsidR="00773EEA" w:rsidRPr="00773EEA" w14:paraId="3669402C" w14:textId="77777777" w:rsidTr="00A82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9" w:type="dxa"/>
          </w:tcPr>
          <w:p w14:paraId="4AE8CF00" w14:textId="77777777" w:rsidR="005E1DF9" w:rsidRPr="00773EEA" w:rsidRDefault="005E1DF9" w:rsidP="00A824DE">
            <w:pPr>
              <w:spacing w:after="0" w:line="276" w:lineRule="auto"/>
              <w:contextualSpacing/>
              <w:rPr>
                <w:rFonts w:ascii="Arial" w:eastAsia="Times New Roman" w:hAnsi="Arial" w:cs="Arial"/>
                <w:b w:val="0"/>
                <w:bCs w:val="0"/>
                <w:sz w:val="20"/>
                <w:lang w:val="en-GB"/>
              </w:rPr>
            </w:pPr>
            <w:r w:rsidRPr="00773EEA">
              <w:rPr>
                <w:rFonts w:ascii="Arial" w:eastAsia="Times New Roman" w:hAnsi="Arial" w:cs="Arial"/>
                <w:b w:val="0"/>
                <w:bCs w:val="0"/>
                <w:sz w:val="20"/>
                <w:lang w:val="en-GB"/>
              </w:rPr>
              <w:t>AASCTF social media channels (Facebook, YouTube etc.) in terms of staying connected to project activities and updates and finding relevant and interesting content on relevant topics</w:t>
            </w:r>
          </w:p>
        </w:tc>
        <w:tc>
          <w:tcPr>
            <w:tcW w:w="1346" w:type="dxa"/>
          </w:tcPr>
          <w:p w14:paraId="605A07BE"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0</w:t>
            </w:r>
          </w:p>
        </w:tc>
        <w:tc>
          <w:tcPr>
            <w:tcW w:w="896" w:type="dxa"/>
          </w:tcPr>
          <w:p w14:paraId="78E7EE91"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4</w:t>
            </w:r>
          </w:p>
        </w:tc>
        <w:tc>
          <w:tcPr>
            <w:tcW w:w="903" w:type="dxa"/>
          </w:tcPr>
          <w:p w14:paraId="74B83C1D"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18</w:t>
            </w:r>
          </w:p>
        </w:tc>
        <w:tc>
          <w:tcPr>
            <w:tcW w:w="1017" w:type="dxa"/>
          </w:tcPr>
          <w:p w14:paraId="5AE72616"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21</w:t>
            </w:r>
          </w:p>
        </w:tc>
        <w:tc>
          <w:tcPr>
            <w:tcW w:w="1385" w:type="dxa"/>
          </w:tcPr>
          <w:p w14:paraId="70ACF614" w14:textId="77777777" w:rsidR="005E1DF9" w:rsidRPr="00773EEA" w:rsidRDefault="005E1DF9" w:rsidP="00A824DE">
            <w:p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7</w:t>
            </w:r>
          </w:p>
        </w:tc>
      </w:tr>
      <w:tr w:rsidR="00773EEA" w:rsidRPr="00773EEA" w14:paraId="340F8200" w14:textId="77777777" w:rsidTr="00A824DE">
        <w:tc>
          <w:tcPr>
            <w:cnfStyle w:val="001000000000" w:firstRow="0" w:lastRow="0" w:firstColumn="1" w:lastColumn="0" w:oddVBand="0" w:evenVBand="0" w:oddHBand="0" w:evenHBand="0" w:firstRowFirstColumn="0" w:firstRowLastColumn="0" w:lastRowFirstColumn="0" w:lastRowLastColumn="0"/>
            <w:tcW w:w="3479" w:type="dxa"/>
          </w:tcPr>
          <w:p w14:paraId="7ECFA8D4" w14:textId="77777777" w:rsidR="005E1DF9" w:rsidRPr="00773EEA" w:rsidRDefault="005E1DF9" w:rsidP="00A824DE">
            <w:pPr>
              <w:spacing w:after="0" w:line="276" w:lineRule="auto"/>
              <w:contextualSpacing/>
              <w:rPr>
                <w:rFonts w:ascii="Arial" w:eastAsia="Times New Roman" w:hAnsi="Arial" w:cs="Arial"/>
                <w:b w:val="0"/>
                <w:bCs w:val="0"/>
                <w:sz w:val="20"/>
                <w:lang w:val="en-GB"/>
              </w:rPr>
            </w:pPr>
            <w:r w:rsidRPr="00773EEA">
              <w:rPr>
                <w:rFonts w:ascii="Arial" w:eastAsia="Times New Roman" w:hAnsi="Arial" w:cs="Arial"/>
                <w:b w:val="0"/>
                <w:bCs w:val="0"/>
                <w:sz w:val="20"/>
                <w:lang w:val="en-GB"/>
              </w:rPr>
              <w:t>The content shared via the project email distribution list, including newsletters and project updates</w:t>
            </w:r>
          </w:p>
        </w:tc>
        <w:tc>
          <w:tcPr>
            <w:tcW w:w="1346" w:type="dxa"/>
          </w:tcPr>
          <w:p w14:paraId="7F8CCCD7"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3</w:t>
            </w:r>
          </w:p>
        </w:tc>
        <w:tc>
          <w:tcPr>
            <w:tcW w:w="896" w:type="dxa"/>
          </w:tcPr>
          <w:p w14:paraId="579B4FD0"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c>
          <w:tcPr>
            <w:tcW w:w="903" w:type="dxa"/>
          </w:tcPr>
          <w:p w14:paraId="7C51B434"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16</w:t>
            </w:r>
          </w:p>
        </w:tc>
        <w:tc>
          <w:tcPr>
            <w:tcW w:w="1017" w:type="dxa"/>
          </w:tcPr>
          <w:p w14:paraId="657B205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21</w:t>
            </w:r>
          </w:p>
        </w:tc>
        <w:tc>
          <w:tcPr>
            <w:tcW w:w="1385" w:type="dxa"/>
          </w:tcPr>
          <w:p w14:paraId="3F943705" w14:textId="77777777" w:rsidR="005E1DF9" w:rsidRPr="00773EEA" w:rsidRDefault="005E1DF9" w:rsidP="00A824DE">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773EEA">
              <w:rPr>
                <w:rFonts w:ascii="Arial" w:eastAsia="Times New Roman" w:hAnsi="Arial" w:cs="Times New Roman"/>
                <w:sz w:val="20"/>
                <w:lang w:val="en-GB"/>
              </w:rPr>
              <w:t>5</w:t>
            </w:r>
          </w:p>
        </w:tc>
      </w:tr>
    </w:tbl>
    <w:p w14:paraId="51FB02E8" w14:textId="54A7767C" w:rsidR="005E1DF9" w:rsidRPr="00773EEA" w:rsidRDefault="005E1DF9" w:rsidP="005F1785">
      <w:pPr>
        <w:rPr>
          <w:rFonts w:asciiTheme="majorHAnsi" w:hAnsiTheme="majorHAnsi"/>
          <w:b/>
          <w:caps/>
          <w:sz w:val="32"/>
          <w:szCs w:val="32"/>
          <w:lang w:bidi="th-TH"/>
        </w:rPr>
      </w:pPr>
    </w:p>
    <w:p w14:paraId="37794C83" w14:textId="4F373761" w:rsidR="008C4F9E" w:rsidRPr="00773EEA" w:rsidRDefault="008C4F9E" w:rsidP="005F1785">
      <w:pPr>
        <w:rPr>
          <w:b/>
          <w:caps/>
          <w:lang w:bidi="th-TH"/>
        </w:rPr>
      </w:pPr>
      <w:r w:rsidRPr="00773EEA">
        <w:rPr>
          <w:b/>
          <w:bCs/>
          <w:lang w:bidi="th-TH"/>
        </w:rPr>
        <w:t>Q14</w:t>
      </w:r>
      <w:r w:rsidR="00FF1229" w:rsidRPr="00773EEA">
        <w:rPr>
          <w:b/>
          <w:bCs/>
          <w:lang w:bidi="th-TH"/>
        </w:rPr>
        <w:t>:</w:t>
      </w:r>
      <w:r w:rsidRPr="00773EEA">
        <w:rPr>
          <w:b/>
          <w:bCs/>
          <w:lang w:bidi="th-TH"/>
        </w:rPr>
        <w:t xml:space="preserve"> Which topics, training style or methods of engagement would you like to see more of as part of the AASCTF engagement with your city?</w:t>
      </w:r>
    </w:p>
    <w:p w14:paraId="5F63B2A6"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pPr>
      <w:r>
        <w:t>Smart city and mobility</w:t>
      </w:r>
    </w:p>
    <w:p w14:paraId="07BED55F" w14:textId="608B69B8"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Smart mobility and infrastructure</w:t>
      </w:r>
    </w:p>
    <w:p w14:paraId="3F0C43A7"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The nature of remote learning and training have many limitations, I think many stakeholders, both public and private, should be trained in a practical way to better understand the development of smart city</w:t>
      </w:r>
    </w:p>
    <w:p w14:paraId="548C229A"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I prefer more engagement and sharing of knowledge from more develop smart cities</w:t>
      </w:r>
    </w:p>
    <w:p w14:paraId="1F184BFC"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Would like to participate in training on the development and solution of environmental problems in the smart city</w:t>
      </w:r>
    </w:p>
    <w:p w14:paraId="0227B474"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The development of smart cities, the need for training and, in the past, distance training has not been very effective</w:t>
      </w:r>
    </w:p>
    <w:p w14:paraId="48427891"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 xml:space="preserve">I would like to have a study tour to share lessons learned in the model cities of the smart city, as well as explain the steps from the initiative to build a smart city to the present </w:t>
      </w:r>
    </w:p>
    <w:p w14:paraId="391835E2"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Development of modern technology for smart cities</w:t>
      </w:r>
    </w:p>
    <w:p w14:paraId="70D7FC76"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rPr>
          <w:rFonts w:cs="Arial"/>
        </w:rPr>
        <w:t>Technical smart city theme</w:t>
      </w:r>
    </w:p>
    <w:p w14:paraId="28FD212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Technology for education</w:t>
      </w:r>
    </w:p>
    <w:p w14:paraId="11ED6009"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 xml:space="preserve">The people of </w:t>
      </w:r>
      <w:proofErr w:type="spellStart"/>
      <w:r w:rsidRPr="00773EEA">
        <w:rPr>
          <w:rFonts w:cs="Arial"/>
        </w:rPr>
        <w:t>Bavet</w:t>
      </w:r>
      <w:proofErr w:type="spellEnd"/>
      <w:r w:rsidRPr="00773EEA">
        <w:rPr>
          <w:rFonts w:cs="Arial"/>
        </w:rPr>
        <w:t xml:space="preserve"> City do not have enough knowledge about modern technology, therefore they need to be educated and trained on a lot.</w:t>
      </w:r>
    </w:p>
    <w:p w14:paraId="5A89F9B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Smart tourism, digitalization of urban planning</w:t>
      </w:r>
    </w:p>
    <w:p w14:paraId="7A3D76AF"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Topics related to the use of digital technology to organize inclusive/urban environment.</w:t>
      </w:r>
    </w:p>
    <w:p w14:paraId="22FF00ED"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Introduce more concepts to exchange more urban development knowledge</w:t>
      </w:r>
    </w:p>
    <w:p w14:paraId="2BD34690"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Establishing a public-private partnership mechanism for inclusive/sustainable urban development</w:t>
      </w:r>
    </w:p>
    <w:p w14:paraId="6346BA3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Urban management</w:t>
      </w:r>
    </w:p>
    <w:p w14:paraId="2B62706D"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proofErr w:type="spellStart"/>
      <w:r w:rsidRPr="00773EEA">
        <w:t>Atsiriya</w:t>
      </w:r>
      <w:proofErr w:type="spellEnd"/>
      <w:r w:rsidRPr="00773EEA">
        <w:t xml:space="preserve"> district development guidelines</w:t>
      </w:r>
    </w:p>
    <w:p w14:paraId="7A7FD20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Livelihood and society in Smart City</w:t>
      </w:r>
    </w:p>
    <w:p w14:paraId="14A91483"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Understanding means of transportation for people with disabilities</w:t>
      </w:r>
    </w:p>
    <w:p w14:paraId="3584A17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rPr>
          <w:rFonts w:cs="Arial"/>
        </w:rPr>
        <w:t>City mobility</w:t>
      </w:r>
    </w:p>
    <w:p w14:paraId="3C32E45D"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b/>
          <w:bCs/>
        </w:rPr>
      </w:pPr>
      <w:r w:rsidRPr="00773EEA">
        <w:t>Public transportation</w:t>
      </w:r>
    </w:p>
    <w:p w14:paraId="076F9BFB"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rPr>
      </w:pPr>
      <w:r w:rsidRPr="00773EEA">
        <w:t>Services to marginalized sector</w:t>
      </w:r>
    </w:p>
    <w:p w14:paraId="5FBF97A4"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rPr>
      </w:pPr>
      <w:r w:rsidRPr="00773EEA">
        <w:lastRenderedPageBreak/>
        <w:t xml:space="preserve">Cascading methods to indigenous peoples and civil society organizations in a much more localized and relatable </w:t>
      </w:r>
      <w:proofErr w:type="gramStart"/>
      <w:r w:rsidRPr="00773EEA">
        <w:t>method;</w:t>
      </w:r>
      <w:proofErr w:type="gramEnd"/>
    </w:p>
    <w:p w14:paraId="542955E7"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rPr>
      </w:pPr>
      <w:r w:rsidRPr="00773EEA">
        <w:rPr>
          <w:rFonts w:cs="Arial"/>
        </w:rPr>
        <w:t>Mitigation of climate change risks for smart city development</w:t>
      </w:r>
    </w:p>
    <w:p w14:paraId="50D16B43"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rPr>
      </w:pPr>
      <w:r w:rsidRPr="00773EEA">
        <w:t>Climate change</w:t>
      </w:r>
    </w:p>
    <w:p w14:paraId="0D0CDC35" w14:textId="77777777" w:rsidR="00071179" w:rsidRPr="00773EEA" w:rsidRDefault="00071179" w:rsidP="00071179">
      <w:pPr>
        <w:cnfStyle w:val="001000100000" w:firstRow="0" w:lastRow="0" w:firstColumn="1" w:lastColumn="0" w:oddVBand="0" w:evenVBand="0" w:oddHBand="1" w:evenHBand="0" w:firstRowFirstColumn="0" w:firstRowLastColumn="0" w:lastRowFirstColumn="0" w:lastRowLastColumn="0"/>
        <w:rPr>
          <w:rFonts w:cs="Arial"/>
        </w:rPr>
      </w:pPr>
      <w:r w:rsidRPr="00773EEA">
        <w:rPr>
          <w:rFonts w:cs="Arial"/>
        </w:rPr>
        <w:t>Reduce the impact of floods with technology with early warning technology</w:t>
      </w:r>
    </w:p>
    <w:p w14:paraId="1282962C"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Introduction to tools or utilising tools</w:t>
      </w:r>
    </w:p>
    <w:p w14:paraId="0569A7AE"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Integrated financial management information systems</w:t>
      </w:r>
    </w:p>
    <w:p w14:paraId="57B976CA"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According to the project plan</w:t>
      </w:r>
    </w:p>
    <w:p w14:paraId="12AE7843"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Face-to-face training with practice to apply theory</w:t>
      </w:r>
    </w:p>
    <w:p w14:paraId="4190B651"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If possible, face-to-face training should be provided to discuss and plan in detail</w:t>
      </w:r>
    </w:p>
    <w:p w14:paraId="6838C416"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The style of face-to-face training and the practice of direct training theory in application in the service according to</w:t>
      </w:r>
      <w:r>
        <w:rPr>
          <w:rFonts w:cs="Arial"/>
        </w:rPr>
        <w:t xml:space="preserve"> </w:t>
      </w:r>
      <w:r w:rsidRPr="00773EEA">
        <w:rPr>
          <w:rFonts w:cs="Arial"/>
        </w:rPr>
        <w:t>their respective duties and functions</w:t>
      </w:r>
    </w:p>
    <w:p w14:paraId="440FF699"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I have got in-person training plan(s) for easy understanding and discussion of any plans for work effectiveness</w:t>
      </w:r>
    </w:p>
    <w:p w14:paraId="42A48FF6"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Training online and in person</w:t>
      </w:r>
    </w:p>
    <w:p w14:paraId="69B03EEA"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Face to Face meetings</w:t>
      </w:r>
    </w:p>
    <w:p w14:paraId="1AEA3A69"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Participate in face-to-face discussions</w:t>
      </w:r>
    </w:p>
    <w:p w14:paraId="70FF6B29"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More participatory webinars that encourage the active involvement of participants in the training</w:t>
      </w:r>
    </w:p>
    <w:p w14:paraId="05F44FA5"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Participation</w:t>
      </w:r>
    </w:p>
    <w:p w14:paraId="4FDC1989" w14:textId="77777777" w:rsid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rPr>
          <w:rFonts w:cs="Arial"/>
        </w:rPr>
        <w:t>It's enough and good topic</w:t>
      </w:r>
    </w:p>
    <w:p w14:paraId="36D576A1" w14:textId="7FCF5425" w:rsidR="005D5EED" w:rsidRPr="00071179" w:rsidRDefault="00071179" w:rsidP="00071179">
      <w:pPr>
        <w:cnfStyle w:val="001000100000" w:firstRow="0" w:lastRow="0" w:firstColumn="1" w:lastColumn="0" w:oddVBand="0" w:evenVBand="0" w:oddHBand="1" w:evenHBand="0" w:firstRowFirstColumn="0" w:firstRowLastColumn="0" w:lastRowFirstColumn="0" w:lastRowLastColumn="0"/>
        <w:rPr>
          <w:rFonts w:cs="Arial"/>
          <w:b/>
          <w:bCs/>
        </w:rPr>
      </w:pPr>
      <w:r w:rsidRPr="00773EEA">
        <w:t>Normal understanding</w:t>
      </w:r>
      <w:r w:rsidRPr="00773EEA">
        <w:rPr>
          <w:rFonts w:ascii="Georgia" w:hAnsi="Georgia" w:cs="Arial"/>
          <w:iCs/>
          <w:sz w:val="32"/>
          <w:szCs w:val="32"/>
        </w:rPr>
        <w:t xml:space="preserve"> </w:t>
      </w:r>
      <w:r w:rsidR="005D5EED" w:rsidRPr="00773EEA">
        <w:rPr>
          <w:rFonts w:ascii="Georgia" w:hAnsi="Georgia" w:cs="Arial"/>
          <w:iCs/>
          <w:sz w:val="32"/>
          <w:szCs w:val="32"/>
        </w:rPr>
        <w:br w:type="page"/>
      </w:r>
    </w:p>
    <w:p w14:paraId="566E5528" w14:textId="0695AB33" w:rsidR="004D0EEE" w:rsidRPr="00773EEA" w:rsidRDefault="004D0EEE" w:rsidP="005D5EED">
      <w:pPr>
        <w:pStyle w:val="Heading1Numberedsmallspaceafter"/>
        <w:numPr>
          <w:ilvl w:val="0"/>
          <w:numId w:val="0"/>
        </w:numPr>
        <w:spacing w:after="360"/>
        <w:ind w:left="709" w:hanging="567"/>
        <w:rPr>
          <w:rFonts w:ascii="Georgia" w:eastAsia="Times New Roman" w:hAnsi="Georgia" w:cs="Arial"/>
          <w:b w:val="0"/>
          <w:iCs/>
          <w:caps w:val="0"/>
          <w:color w:val="auto"/>
          <w:sz w:val="32"/>
          <w:szCs w:val="32"/>
          <w:lang w:val="en-GB"/>
        </w:rPr>
      </w:pPr>
      <w:bookmarkStart w:id="87" w:name="_Toc123633730"/>
      <w:r w:rsidRPr="00773EEA">
        <w:rPr>
          <w:rFonts w:ascii="Georgia" w:eastAsia="Times New Roman" w:hAnsi="Georgia" w:cs="Arial"/>
          <w:b w:val="0"/>
          <w:iCs/>
          <w:caps w:val="0"/>
          <w:color w:val="auto"/>
          <w:sz w:val="32"/>
          <w:szCs w:val="32"/>
          <w:lang w:val="en-GB"/>
        </w:rPr>
        <w:lastRenderedPageBreak/>
        <w:t>Annex 4: Additional Figures</w:t>
      </w:r>
      <w:bookmarkEnd w:id="87"/>
    </w:p>
    <w:p w14:paraId="43B8BE21" w14:textId="6B5DDEDF" w:rsidR="004D0EEE" w:rsidRPr="00773EEA" w:rsidRDefault="007C4524" w:rsidP="00E6721E">
      <w:r w:rsidRPr="00773EEA">
        <w:t>The following figures and tables are referenced in Section</w:t>
      </w:r>
      <w:r w:rsidR="005D5EED" w:rsidRPr="00773EEA">
        <w:t>s</w:t>
      </w:r>
      <w:r w:rsidRPr="00773EEA">
        <w:t xml:space="preserve"> 3</w:t>
      </w:r>
      <w:r w:rsidR="005D5EED" w:rsidRPr="00773EEA">
        <w:t xml:space="preserve"> and 4</w:t>
      </w:r>
      <w:r w:rsidRPr="00773EEA">
        <w:t xml:space="preserve"> of the MTR Report</w:t>
      </w:r>
    </w:p>
    <w:p w14:paraId="77323112" w14:textId="0707FD41" w:rsidR="004D0EEE" w:rsidRPr="00773EEA" w:rsidRDefault="004D0EEE" w:rsidP="004D0EEE">
      <w:pPr>
        <w:pStyle w:val="Caption"/>
        <w:rPr>
          <w:color w:val="auto"/>
        </w:rPr>
      </w:pPr>
      <w:r w:rsidRPr="00773EEA">
        <w:rPr>
          <w:color w:val="auto"/>
        </w:rPr>
        <w:t>Figure A4.1: Participant's Feedback on the Delivery of Influencing Activities</w:t>
      </w:r>
      <w:r w:rsidR="001747DD" w:rsidRPr="00773EEA">
        <w:rPr>
          <w:noProof/>
          <w:color w:val="auto"/>
        </w:rPr>
        <w:drawing>
          <wp:inline distT="0" distB="0" distL="0" distR="0" wp14:anchorId="588B5452" wp14:editId="2809EEC9">
            <wp:extent cx="6413500" cy="2414270"/>
            <wp:effectExtent l="0" t="0" r="6350" b="5080"/>
            <wp:docPr id="2" name="Picture 2" descr="Figure A4.1 illustrating participant's feedback on the delivery of influenc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A4.1 illustrating participant's feedback on the delivery of influencing activit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3500" cy="2414270"/>
                    </a:xfrm>
                    <a:prstGeom prst="rect">
                      <a:avLst/>
                    </a:prstGeom>
                    <a:noFill/>
                  </pic:spPr>
                </pic:pic>
              </a:graphicData>
            </a:graphic>
          </wp:inline>
        </w:drawing>
      </w:r>
    </w:p>
    <w:p w14:paraId="7790D12F" w14:textId="39D4F1E5" w:rsidR="004D0EEE" w:rsidRPr="00773EEA" w:rsidRDefault="004D0EEE" w:rsidP="004D0EEE">
      <w:pPr>
        <w:ind w:left="170"/>
        <w:rPr>
          <w:rFonts w:cstheme="minorHAnsi"/>
          <w:i/>
          <w:iCs/>
          <w:sz w:val="21"/>
          <w:szCs w:val="21"/>
        </w:rPr>
      </w:pPr>
      <w:r w:rsidRPr="00773EEA">
        <w:rPr>
          <w:rFonts w:cstheme="minorHAnsi"/>
          <w:i/>
          <w:iCs/>
          <w:sz w:val="21"/>
          <w:szCs w:val="21"/>
        </w:rPr>
        <w:t xml:space="preserve">Source: MTR survey of </w:t>
      </w:r>
      <w:proofErr w:type="gramStart"/>
      <w:r w:rsidR="00D92B24" w:rsidRPr="00773EEA">
        <w:rPr>
          <w:rFonts w:cstheme="minorHAnsi"/>
          <w:i/>
          <w:iCs/>
          <w:sz w:val="21"/>
          <w:szCs w:val="21"/>
        </w:rPr>
        <w:t>Bronze</w:t>
      </w:r>
      <w:proofErr w:type="gramEnd"/>
      <w:r w:rsidRPr="00773EEA">
        <w:rPr>
          <w:rFonts w:cstheme="minorHAnsi"/>
          <w:i/>
          <w:iCs/>
          <w:sz w:val="21"/>
          <w:szCs w:val="21"/>
        </w:rPr>
        <w:t xml:space="preserve"> activity participants</w:t>
      </w:r>
    </w:p>
    <w:p w14:paraId="7B39C413" w14:textId="2F705369" w:rsidR="004D0EEE" w:rsidRPr="00773EEA" w:rsidRDefault="004D0EEE" w:rsidP="00E6721E"/>
    <w:p w14:paraId="732E0CC4" w14:textId="3D7E8584" w:rsidR="004D0EEE" w:rsidRPr="00773EEA" w:rsidRDefault="004D0EEE" w:rsidP="004D0EEE">
      <w:pPr>
        <w:pStyle w:val="Caption"/>
        <w:rPr>
          <w:color w:val="auto"/>
        </w:rPr>
      </w:pPr>
      <w:r w:rsidRPr="00773EEA">
        <w:rPr>
          <w:color w:val="auto"/>
        </w:rPr>
        <w:t>Figure A4.2: Feedback on the Smart Cities Networking Days Held in June 2022</w:t>
      </w:r>
      <w:r w:rsidR="001747DD" w:rsidRPr="00773EEA">
        <w:rPr>
          <w:noProof/>
          <w:color w:val="auto"/>
        </w:rPr>
        <w:drawing>
          <wp:inline distT="0" distB="0" distL="0" distR="0" wp14:anchorId="6D9DE27B" wp14:editId="1C525316">
            <wp:extent cx="6486525" cy="3230880"/>
            <wp:effectExtent l="0" t="0" r="9525" b="7620"/>
            <wp:docPr id="3" name="Picture 3" descr="Figure A4.2 illustrating the feedback on the Smart Cities Networking Days Held in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A4.2 illustrating the feedback on the Smart Cities Networking Days Held in June 2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3230880"/>
                    </a:xfrm>
                    <a:prstGeom prst="rect">
                      <a:avLst/>
                    </a:prstGeom>
                    <a:noFill/>
                  </pic:spPr>
                </pic:pic>
              </a:graphicData>
            </a:graphic>
          </wp:inline>
        </w:drawing>
      </w:r>
    </w:p>
    <w:p w14:paraId="48ACA05B" w14:textId="5FCF9076" w:rsidR="004D0EEE" w:rsidRPr="00773EEA" w:rsidRDefault="004D0EEE" w:rsidP="004D0EEE">
      <w:pPr>
        <w:ind w:left="170"/>
        <w:rPr>
          <w:rFonts w:cstheme="minorHAnsi"/>
          <w:i/>
          <w:iCs/>
          <w:sz w:val="21"/>
          <w:szCs w:val="21"/>
        </w:rPr>
      </w:pPr>
      <w:r w:rsidRPr="00773EEA">
        <w:rPr>
          <w:rFonts w:cstheme="minorHAnsi"/>
          <w:i/>
          <w:iCs/>
          <w:sz w:val="21"/>
          <w:szCs w:val="21"/>
        </w:rPr>
        <w:t xml:space="preserve">Source: MTR survey of </w:t>
      </w:r>
      <w:proofErr w:type="gramStart"/>
      <w:r w:rsidR="00D92B24" w:rsidRPr="00773EEA">
        <w:rPr>
          <w:rFonts w:cstheme="minorHAnsi"/>
          <w:i/>
          <w:iCs/>
          <w:sz w:val="21"/>
          <w:szCs w:val="21"/>
        </w:rPr>
        <w:t>Bronze</w:t>
      </w:r>
      <w:proofErr w:type="gramEnd"/>
      <w:r w:rsidRPr="00773EEA">
        <w:rPr>
          <w:rFonts w:cstheme="minorHAnsi"/>
          <w:i/>
          <w:iCs/>
          <w:sz w:val="21"/>
          <w:szCs w:val="21"/>
        </w:rPr>
        <w:t xml:space="preserve"> activity participants</w:t>
      </w:r>
    </w:p>
    <w:p w14:paraId="033CABFB" w14:textId="4FBF3055" w:rsidR="004D0EEE" w:rsidRPr="00773EEA" w:rsidRDefault="004D0EEE" w:rsidP="00E6721E"/>
    <w:p w14:paraId="2B6133CF" w14:textId="77777777" w:rsidR="008F6369" w:rsidRPr="00773EEA" w:rsidRDefault="008F6369" w:rsidP="008F6369">
      <w:pPr>
        <w:pStyle w:val="Caption"/>
        <w:rPr>
          <w:color w:val="auto"/>
        </w:rPr>
      </w:pPr>
      <w:r w:rsidRPr="00773EEA">
        <w:rPr>
          <w:color w:val="auto"/>
        </w:rPr>
        <w:br w:type="page"/>
      </w:r>
    </w:p>
    <w:p w14:paraId="74ADFE2C" w14:textId="6D31A1B4" w:rsidR="008F6369" w:rsidRPr="00773EEA" w:rsidRDefault="008F6369" w:rsidP="00B7602B">
      <w:pPr>
        <w:pStyle w:val="Caption"/>
        <w:rPr>
          <w:color w:val="auto"/>
        </w:rPr>
      </w:pPr>
      <w:r w:rsidRPr="00773EEA">
        <w:rPr>
          <w:color w:val="auto"/>
        </w:rPr>
        <w:lastRenderedPageBreak/>
        <w:t>Figure A4.3: AASCTF YouTube Audience Analytics</w:t>
      </w:r>
    </w:p>
    <w:p w14:paraId="6D5A83CE" w14:textId="2BECE082" w:rsidR="008F6369" w:rsidRPr="00773EEA" w:rsidRDefault="008F6369" w:rsidP="00E6721E">
      <w:r w:rsidRPr="00773EEA">
        <w:rPr>
          <w:noProof/>
        </w:rPr>
        <w:drawing>
          <wp:inline distT="0" distB="0" distL="0" distR="0" wp14:anchorId="396D9D50" wp14:editId="43103C30">
            <wp:extent cx="4405227" cy="2913617"/>
            <wp:effectExtent l="0" t="0" r="1905" b="0"/>
            <wp:docPr id="20" name="Picture 20" descr="Line chart of AASCTF YouTube Audienc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ine chart of AASCTF YouTube Audience Analytics"/>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4407514" cy="2915130"/>
                    </a:xfrm>
                    <a:prstGeom prst="rect">
                      <a:avLst/>
                    </a:prstGeom>
                    <a:ln>
                      <a:noFill/>
                    </a:ln>
                    <a:extLst>
                      <a:ext uri="{53640926-AAD7-44D8-BBD7-CCE9431645EC}">
                        <a14:shadowObscured xmlns:a14="http://schemas.microsoft.com/office/drawing/2010/main"/>
                      </a:ext>
                    </a:extLst>
                  </pic:spPr>
                </pic:pic>
              </a:graphicData>
            </a:graphic>
          </wp:inline>
        </w:drawing>
      </w:r>
    </w:p>
    <w:p w14:paraId="212E7264" w14:textId="4A867301" w:rsidR="008F6369" w:rsidRPr="00773EEA" w:rsidRDefault="008F6369" w:rsidP="00B7602B">
      <w:pPr>
        <w:ind w:left="170"/>
        <w:rPr>
          <w:rFonts w:cstheme="minorHAnsi"/>
          <w:i/>
          <w:iCs/>
          <w:sz w:val="21"/>
          <w:szCs w:val="21"/>
        </w:rPr>
      </w:pPr>
      <w:r w:rsidRPr="00773EEA">
        <w:rPr>
          <w:rFonts w:cstheme="minorHAnsi"/>
          <w:i/>
          <w:iCs/>
          <w:sz w:val="21"/>
          <w:szCs w:val="21"/>
        </w:rPr>
        <w:t>Source: Ramboll Core Team Analysis of AASCTF YouTube Channel (5</w:t>
      </w:r>
      <w:r w:rsidRPr="00773EEA">
        <w:rPr>
          <w:rFonts w:cstheme="minorHAnsi"/>
          <w:i/>
          <w:iCs/>
          <w:sz w:val="21"/>
          <w:szCs w:val="21"/>
          <w:vertAlign w:val="superscript"/>
        </w:rPr>
        <w:t>th</w:t>
      </w:r>
      <w:r w:rsidRPr="00773EEA">
        <w:rPr>
          <w:rFonts w:cstheme="minorHAnsi"/>
          <w:i/>
          <w:iCs/>
          <w:sz w:val="21"/>
          <w:szCs w:val="21"/>
        </w:rPr>
        <w:t xml:space="preserve"> August 2022)</w:t>
      </w:r>
    </w:p>
    <w:p w14:paraId="6EF09210" w14:textId="77777777" w:rsidR="008F6369" w:rsidRPr="00773EEA" w:rsidRDefault="008F6369" w:rsidP="00E6721E"/>
    <w:p w14:paraId="6B0B1943" w14:textId="78E369D0" w:rsidR="001038A0" w:rsidRPr="00773EEA" w:rsidRDefault="001038A0" w:rsidP="001038A0">
      <w:pPr>
        <w:pStyle w:val="Caption"/>
        <w:rPr>
          <w:color w:val="auto"/>
        </w:rPr>
      </w:pPr>
      <w:r w:rsidRPr="00773EEA">
        <w:rPr>
          <w:color w:val="auto"/>
        </w:rPr>
        <w:t>Figure A4.</w:t>
      </w:r>
      <w:r w:rsidR="008F6369" w:rsidRPr="00773EEA">
        <w:rPr>
          <w:color w:val="auto"/>
        </w:rPr>
        <w:t>4</w:t>
      </w:r>
      <w:r w:rsidRPr="00773EEA">
        <w:rPr>
          <w:color w:val="auto"/>
        </w:rPr>
        <w:t>: Seven-Step Approach Applied to AASCTF Task Order Development Process</w:t>
      </w:r>
    </w:p>
    <w:p w14:paraId="23D51940" w14:textId="77777777" w:rsidR="001038A0" w:rsidRPr="00773EEA" w:rsidRDefault="001038A0" w:rsidP="001038A0">
      <w:r w:rsidRPr="00773EEA">
        <w:rPr>
          <w:noProof/>
          <w:lang w:val="en-AU" w:eastAsia="en-AU"/>
        </w:rPr>
        <w:drawing>
          <wp:inline distT="0" distB="0" distL="0" distR="0" wp14:anchorId="61111110" wp14:editId="32C891F6">
            <wp:extent cx="4345871" cy="1807699"/>
            <wp:effectExtent l="0" t="0" r="0" b="2540"/>
            <wp:docPr id="10" name="Picture 10" descr="Diagram of Seven-Step Approach Applied to AASCTF Task Order Development Process.&#10;&#10;The 7 steps include:&#10;1. City profile, pre-concept fact finding&#10;2. Idea generation, Initial concept development&#10;3. Initial stakeholder consultation&#10;4. Concept development&#10;5. Concept note, stakeholder endorsement&#10;6. Task Order development&#10;7. Task Order endorsement/approv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of Seven-Step Approach Applied to AASCTF Task Order Development Process.&#10;&#10;The 7 steps include:&#10;1. City profile, pre-concept fact finding&#10;2. Idea generation, Initial concept development&#10;3. Initial stakeholder consultation&#10;4. Concept development&#10;5. Concept note, stakeholder endorsement&#10;6. Task Order development&#10;7. Task Order endorsement/approval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2363" cy="1822878"/>
                    </a:xfrm>
                    <a:prstGeom prst="rect">
                      <a:avLst/>
                    </a:prstGeom>
                  </pic:spPr>
                </pic:pic>
              </a:graphicData>
            </a:graphic>
          </wp:inline>
        </w:drawing>
      </w:r>
    </w:p>
    <w:p w14:paraId="4136741B" w14:textId="77777777" w:rsidR="001038A0" w:rsidRPr="00773EEA" w:rsidRDefault="001038A0" w:rsidP="001038A0">
      <w:pPr>
        <w:ind w:left="170"/>
        <w:rPr>
          <w:rFonts w:cstheme="minorHAnsi"/>
          <w:i/>
          <w:iCs/>
          <w:sz w:val="21"/>
          <w:szCs w:val="21"/>
        </w:rPr>
      </w:pPr>
      <w:r w:rsidRPr="00773EEA">
        <w:rPr>
          <w:rFonts w:cstheme="minorHAnsi"/>
          <w:i/>
          <w:iCs/>
          <w:sz w:val="21"/>
          <w:szCs w:val="21"/>
        </w:rPr>
        <w:t>Source: AASCTF 2021 Annual Progress Report</w:t>
      </w:r>
    </w:p>
    <w:p w14:paraId="7878112E" w14:textId="2577D338" w:rsidR="004D0EEE" w:rsidRDefault="004D0EEE" w:rsidP="00E6721E"/>
    <w:p w14:paraId="67BBB375" w14:textId="5796E06A" w:rsidR="00850353" w:rsidRPr="00850353" w:rsidRDefault="00850353" w:rsidP="00850353">
      <w:pPr>
        <w:shd w:val="clear" w:color="auto" w:fill="F3D984" w:themeFill="accent1" w:themeFillTint="99"/>
        <w:rPr>
          <w:rFonts w:cstheme="minorHAnsi"/>
          <w:b/>
          <w:bCs/>
          <w:szCs w:val="20"/>
        </w:rPr>
      </w:pPr>
      <w:r w:rsidRPr="00850353">
        <w:rPr>
          <w:b/>
          <w:bCs/>
        </w:rPr>
        <w:t>B</w:t>
      </w:r>
      <w:r w:rsidRPr="00773EEA">
        <w:rPr>
          <w:rFonts w:cstheme="minorHAnsi"/>
          <w:b/>
          <w:bCs/>
          <w:szCs w:val="20"/>
        </w:rPr>
        <w:t>ox A4.1. Relevant ASEAN and Regional Working Groups and Networks</w:t>
      </w:r>
    </w:p>
    <w:p w14:paraId="5E04C8E1" w14:textId="77777777" w:rsidR="00850353" w:rsidRPr="00773EEA" w:rsidRDefault="00EB46C8" w:rsidP="00850353">
      <w:pPr>
        <w:pStyle w:val="ListParagraph"/>
        <w:numPr>
          <w:ilvl w:val="0"/>
          <w:numId w:val="10"/>
        </w:numPr>
        <w:shd w:val="clear" w:color="auto" w:fill="F3D984" w:themeFill="accent1" w:themeFillTint="99"/>
        <w:snapToGrid w:val="0"/>
        <w:spacing w:before="120" w:line="276" w:lineRule="auto"/>
        <w:ind w:left="318" w:hanging="261"/>
        <w:jc w:val="both"/>
        <w:rPr>
          <w:rFonts w:cstheme="minorHAnsi"/>
          <w:bCs/>
          <w:szCs w:val="20"/>
        </w:rPr>
      </w:pPr>
      <w:hyperlink r:id="rId26" w:history="1">
        <w:r w:rsidR="00850353" w:rsidRPr="00773EEA">
          <w:rPr>
            <w:b/>
            <w:bCs/>
            <w:szCs w:val="20"/>
          </w:rPr>
          <w:t>ASEAN Working Group on Environmentally Sustainable Cities (AWGESC)</w:t>
        </w:r>
      </w:hyperlink>
      <w:r w:rsidR="00850353" w:rsidRPr="00773EEA">
        <w:rPr>
          <w:rFonts w:cstheme="minorHAnsi"/>
          <w:b/>
          <w:bCs/>
          <w:szCs w:val="20"/>
        </w:rPr>
        <w:t xml:space="preserve"> -</w:t>
      </w:r>
      <w:r w:rsidR="00850353" w:rsidRPr="00773EEA">
        <w:rPr>
          <w:rFonts w:cstheme="minorHAnsi"/>
          <w:bCs/>
          <w:szCs w:val="20"/>
        </w:rPr>
        <w:t xml:space="preserve"> a consultative forum for enhancing collaboration among ASEAN partners and addressing challenges on environmental sustainability.</w:t>
      </w:r>
    </w:p>
    <w:p w14:paraId="789B5346" w14:textId="77777777" w:rsidR="00850353" w:rsidRPr="00773EEA" w:rsidRDefault="00EB46C8" w:rsidP="00850353">
      <w:pPr>
        <w:pStyle w:val="ListParagraph"/>
        <w:numPr>
          <w:ilvl w:val="0"/>
          <w:numId w:val="10"/>
        </w:numPr>
        <w:shd w:val="clear" w:color="auto" w:fill="F3D984" w:themeFill="accent1" w:themeFillTint="99"/>
        <w:snapToGrid w:val="0"/>
        <w:spacing w:before="120" w:line="276" w:lineRule="auto"/>
        <w:ind w:left="318" w:hanging="261"/>
        <w:jc w:val="both"/>
        <w:rPr>
          <w:rFonts w:cstheme="minorHAnsi"/>
          <w:bCs/>
          <w:szCs w:val="20"/>
        </w:rPr>
      </w:pPr>
      <w:hyperlink r:id="rId27" w:history="1">
        <w:r w:rsidR="00850353" w:rsidRPr="00773EEA">
          <w:rPr>
            <w:b/>
            <w:bCs/>
            <w:szCs w:val="20"/>
          </w:rPr>
          <w:t>ASEAN Working Group on Climate Change (AWGCC)</w:t>
        </w:r>
      </w:hyperlink>
      <w:r w:rsidR="00850353" w:rsidRPr="00773EEA">
        <w:rPr>
          <w:b/>
          <w:bCs/>
          <w:szCs w:val="20"/>
        </w:rPr>
        <w:t xml:space="preserve"> -</w:t>
      </w:r>
      <w:r w:rsidR="00850353" w:rsidRPr="00773EEA">
        <w:rPr>
          <w:rFonts w:cstheme="minorHAnsi"/>
          <w:bCs/>
          <w:szCs w:val="20"/>
        </w:rPr>
        <w:t xml:space="preserve"> provides the framework for regional exchange on climate change mitigation and adaptation. </w:t>
      </w:r>
      <w:proofErr w:type="gramStart"/>
      <w:r w:rsidR="00850353" w:rsidRPr="00773EEA">
        <w:rPr>
          <w:rFonts w:cstheme="minorHAnsi"/>
          <w:bCs/>
          <w:szCs w:val="20"/>
        </w:rPr>
        <w:t>In order to</w:t>
      </w:r>
      <w:proofErr w:type="gramEnd"/>
      <w:r w:rsidR="00850353" w:rsidRPr="00773EEA">
        <w:rPr>
          <w:rFonts w:cstheme="minorHAnsi"/>
          <w:bCs/>
          <w:szCs w:val="20"/>
        </w:rPr>
        <w:t xml:space="preserve"> realise the relevant strategic measures in the ASCC Blueprint 2025, AWGCC is guided by an Action Plan that comprises priority actions until 2025. ASEAN Joint Statements on Climate Change are also available in the link. </w:t>
      </w:r>
    </w:p>
    <w:p w14:paraId="79D6A813" w14:textId="77777777" w:rsidR="00850353" w:rsidRPr="00773EEA" w:rsidRDefault="00EB46C8" w:rsidP="00850353">
      <w:pPr>
        <w:pStyle w:val="ListParagraph"/>
        <w:numPr>
          <w:ilvl w:val="0"/>
          <w:numId w:val="10"/>
        </w:numPr>
        <w:shd w:val="clear" w:color="auto" w:fill="F3D984" w:themeFill="accent1" w:themeFillTint="99"/>
        <w:snapToGrid w:val="0"/>
        <w:spacing w:before="120" w:line="276" w:lineRule="auto"/>
        <w:ind w:left="318" w:hanging="261"/>
        <w:jc w:val="both"/>
        <w:rPr>
          <w:rFonts w:cstheme="minorBidi"/>
        </w:rPr>
      </w:pPr>
      <w:hyperlink r:id="rId28" w:history="1">
        <w:r w:rsidR="00850353" w:rsidRPr="00773EEA">
          <w:rPr>
            <w:b/>
            <w:bCs/>
          </w:rPr>
          <w:t>ASEAN Committee on Disaster Management (ACDM)</w:t>
        </w:r>
      </w:hyperlink>
      <w:r w:rsidR="00850353" w:rsidRPr="00773EEA">
        <w:rPr>
          <w:rFonts w:cstheme="minorBidi"/>
        </w:rPr>
        <w:t xml:space="preserve"> </w:t>
      </w:r>
      <w:r w:rsidR="00850353" w:rsidRPr="00773EEA">
        <w:rPr>
          <w:b/>
          <w:bCs/>
        </w:rPr>
        <w:t>-</w:t>
      </w:r>
      <w:r w:rsidR="00850353" w:rsidRPr="00773EEA">
        <w:rPr>
          <w:rFonts w:cstheme="minorBidi"/>
        </w:rPr>
        <w:t xml:space="preserve"> has a working group on disaster prevention and mitigation. They publish reports and facilitate knowledge exchange which aims to increase the resilience of ASEAN cities to disasters.</w:t>
      </w:r>
      <w:r w:rsidR="00850353" w:rsidRPr="00773EEA">
        <w:rPr>
          <w:rStyle w:val="FootnoteReference"/>
          <w:rFonts w:cstheme="minorBidi"/>
          <w:color w:val="auto"/>
          <w:sz w:val="20"/>
          <w:szCs w:val="20"/>
        </w:rPr>
        <w:footnoteReference w:id="25"/>
      </w:r>
    </w:p>
    <w:p w14:paraId="3AFAE6A6" w14:textId="77777777" w:rsidR="00850353" w:rsidRPr="00773EEA" w:rsidRDefault="00EB46C8" w:rsidP="00850353">
      <w:pPr>
        <w:pStyle w:val="ListParagraph"/>
        <w:numPr>
          <w:ilvl w:val="0"/>
          <w:numId w:val="10"/>
        </w:numPr>
        <w:shd w:val="clear" w:color="auto" w:fill="F3D984" w:themeFill="accent1" w:themeFillTint="99"/>
        <w:snapToGrid w:val="0"/>
        <w:spacing w:before="120" w:line="276" w:lineRule="auto"/>
        <w:ind w:left="318" w:hanging="261"/>
        <w:jc w:val="both"/>
        <w:rPr>
          <w:rFonts w:cstheme="minorHAnsi"/>
          <w:bCs/>
          <w:szCs w:val="20"/>
        </w:rPr>
      </w:pPr>
      <w:hyperlink r:id="rId29" w:history="1">
        <w:r w:rsidR="00850353" w:rsidRPr="00773EEA">
          <w:rPr>
            <w:b/>
            <w:bCs/>
            <w:szCs w:val="20"/>
          </w:rPr>
          <w:t>ASEAN Working Group on Nature Conservation and Biodiversity (AWGNCB)</w:t>
        </w:r>
      </w:hyperlink>
      <w:r w:rsidR="00850353" w:rsidRPr="00773EEA">
        <w:rPr>
          <w:b/>
          <w:bCs/>
          <w:szCs w:val="20"/>
        </w:rPr>
        <w:t xml:space="preserve"> -</w:t>
      </w:r>
      <w:r w:rsidR="00850353" w:rsidRPr="00773EEA">
        <w:rPr>
          <w:rFonts w:cstheme="minorHAnsi"/>
          <w:szCs w:val="20"/>
        </w:rPr>
        <w:t xml:space="preserve"> focuses on climate change and environmentally sustainable cities as two of its focus areas. </w:t>
      </w:r>
    </w:p>
    <w:p w14:paraId="466F50FC" w14:textId="77777777" w:rsidR="00850353" w:rsidRPr="00773EEA" w:rsidRDefault="00EB46C8" w:rsidP="00850353">
      <w:pPr>
        <w:pStyle w:val="ListParagraph"/>
        <w:numPr>
          <w:ilvl w:val="0"/>
          <w:numId w:val="10"/>
        </w:numPr>
        <w:shd w:val="clear" w:color="auto" w:fill="F3D984" w:themeFill="accent1" w:themeFillTint="99"/>
        <w:snapToGrid w:val="0"/>
        <w:spacing w:before="120" w:line="276" w:lineRule="auto"/>
        <w:ind w:left="318" w:hanging="261"/>
        <w:jc w:val="both"/>
        <w:rPr>
          <w:rFonts w:cstheme="minorHAnsi"/>
          <w:bCs/>
          <w:szCs w:val="20"/>
        </w:rPr>
      </w:pPr>
      <w:hyperlink r:id="rId30" w:history="1">
        <w:r w:rsidR="00850353" w:rsidRPr="00773EEA">
          <w:rPr>
            <w:b/>
            <w:bCs/>
            <w:szCs w:val="20"/>
          </w:rPr>
          <w:t>ASEAN Smart Cities Network (ASCN)</w:t>
        </w:r>
      </w:hyperlink>
      <w:r w:rsidR="00850353" w:rsidRPr="00773EEA">
        <w:rPr>
          <w:b/>
          <w:bCs/>
          <w:szCs w:val="20"/>
        </w:rPr>
        <w:t xml:space="preserve"> - </w:t>
      </w:r>
      <w:r w:rsidR="00850353" w:rsidRPr="00773EEA">
        <w:rPr>
          <w:rFonts w:cstheme="minorHAnsi"/>
          <w:bCs/>
          <w:szCs w:val="20"/>
        </w:rPr>
        <w:t>is a collaborative platform which aims to unify smart city development efforts across ASEAN by facilitating cooperation on smart city development, creating bankable projects in conjunction with the private sector, and securing funding and support from ASEAN's external partners.</w:t>
      </w:r>
    </w:p>
    <w:p w14:paraId="3782B5DB" w14:textId="77777777" w:rsidR="00850353" w:rsidRPr="00773EEA" w:rsidRDefault="00850353" w:rsidP="00850353">
      <w:pPr>
        <w:pStyle w:val="ListParagraph"/>
        <w:numPr>
          <w:ilvl w:val="0"/>
          <w:numId w:val="10"/>
        </w:numPr>
        <w:shd w:val="clear" w:color="auto" w:fill="F3D984" w:themeFill="accent1" w:themeFillTint="99"/>
        <w:suppressAutoHyphens/>
        <w:spacing w:before="120" w:after="60" w:line="260" w:lineRule="atLeast"/>
        <w:ind w:left="318" w:hanging="261"/>
        <w:jc w:val="both"/>
        <w:rPr>
          <w:szCs w:val="20"/>
        </w:rPr>
      </w:pPr>
      <w:r w:rsidRPr="00773EEA">
        <w:rPr>
          <w:b/>
          <w:bCs/>
          <w:szCs w:val="20"/>
        </w:rPr>
        <w:t xml:space="preserve">The </w:t>
      </w:r>
      <w:hyperlink r:id="rId31" w:history="1">
        <w:r w:rsidRPr="00773EEA">
          <w:rPr>
            <w:b/>
            <w:bCs/>
            <w:szCs w:val="20"/>
          </w:rPr>
          <w:t>Indonesia, Malaysia, Thailand Growth Triangle (IMT-GT)</w:t>
        </w:r>
      </w:hyperlink>
      <w:r w:rsidRPr="00773EEA">
        <w:rPr>
          <w:rStyle w:val="Hyperlink"/>
          <w:rFonts w:cstheme="minorHAnsi"/>
          <w:bCs/>
          <w:color w:val="auto"/>
          <w:sz w:val="20"/>
          <w:szCs w:val="20"/>
        </w:rPr>
        <w:t xml:space="preserve"> </w:t>
      </w:r>
      <w:r w:rsidRPr="00773EEA">
        <w:rPr>
          <w:b/>
          <w:bCs/>
          <w:szCs w:val="20"/>
        </w:rPr>
        <w:t>-</w:t>
      </w:r>
      <w:r w:rsidRPr="00773EEA">
        <w:rPr>
          <w:rFonts w:cstheme="minorHAnsi"/>
          <w:bCs/>
          <w:szCs w:val="20"/>
        </w:rPr>
        <w:t xml:space="preserve"> is a unique example of tri-lateral cooperation on sustainable economic development, with a dedicated sustainable urban development strategy.</w:t>
      </w:r>
    </w:p>
    <w:p w14:paraId="2C875206" w14:textId="77777777" w:rsidR="00850353" w:rsidRPr="00773EEA" w:rsidRDefault="00EB46C8" w:rsidP="00850353">
      <w:pPr>
        <w:pStyle w:val="ListParagraph"/>
        <w:numPr>
          <w:ilvl w:val="0"/>
          <w:numId w:val="10"/>
        </w:numPr>
        <w:shd w:val="clear" w:color="auto" w:fill="F3D984" w:themeFill="accent1" w:themeFillTint="99"/>
        <w:suppressAutoHyphens/>
        <w:spacing w:before="120" w:after="60" w:line="260" w:lineRule="atLeast"/>
        <w:ind w:left="318" w:hanging="261"/>
        <w:jc w:val="both"/>
        <w:rPr>
          <w:szCs w:val="20"/>
        </w:rPr>
      </w:pPr>
      <w:hyperlink r:id="rId32" w:history="1">
        <w:r w:rsidR="00850353" w:rsidRPr="00773EEA">
          <w:rPr>
            <w:b/>
            <w:bCs/>
            <w:szCs w:val="20"/>
          </w:rPr>
          <w:t>Penang Platform for Sustainable Urbanization (PPSU)</w:t>
        </w:r>
      </w:hyperlink>
      <w:r w:rsidR="00850353" w:rsidRPr="00773EEA">
        <w:rPr>
          <w:b/>
          <w:bCs/>
          <w:szCs w:val="20"/>
        </w:rPr>
        <w:t xml:space="preserve"> -</w:t>
      </w:r>
      <w:r w:rsidR="00850353" w:rsidRPr="00773EEA">
        <w:rPr>
          <w:rFonts w:cstheme="minorHAnsi"/>
          <w:bCs/>
          <w:szCs w:val="20"/>
        </w:rPr>
        <w:t xml:space="preserve"> launched by UNESCAP in 2019 at APUF7, it provides a multi-stakeholder platform to support cities in exchanging knowledge and assessing progress against SDGs.</w:t>
      </w:r>
    </w:p>
    <w:p w14:paraId="0C7ACC85" w14:textId="522C1FA5" w:rsidR="00850353" w:rsidRPr="00773EEA" w:rsidRDefault="00850353" w:rsidP="00850353">
      <w:pPr>
        <w:shd w:val="clear" w:color="auto" w:fill="F3D984" w:themeFill="accent1" w:themeFillTint="99"/>
      </w:pPr>
      <w:r>
        <w:rPr>
          <w:rFonts w:cstheme="minorHAnsi"/>
          <w:i/>
          <w:iCs/>
          <w:sz w:val="21"/>
          <w:szCs w:val="21"/>
        </w:rPr>
        <w:br/>
      </w:r>
      <w:r w:rsidRPr="00773EEA">
        <w:rPr>
          <w:rFonts w:cstheme="minorHAnsi"/>
          <w:i/>
          <w:iCs/>
          <w:sz w:val="21"/>
          <w:szCs w:val="21"/>
        </w:rPr>
        <w:t>Source: MTR Team Analysis</w:t>
      </w:r>
    </w:p>
    <w:p w14:paraId="7A3815C5" w14:textId="77777777" w:rsidR="00EF3348" w:rsidRDefault="00EF3348" w:rsidP="00EF3348">
      <w:pPr>
        <w:rPr>
          <w:b/>
          <w:bCs/>
          <w:sz w:val="18"/>
        </w:rPr>
      </w:pPr>
    </w:p>
    <w:p w14:paraId="0D8DC475" w14:textId="12B66472" w:rsidR="00EF3348" w:rsidRPr="00E90A1B" w:rsidRDefault="00EF3348" w:rsidP="00EF3348">
      <w:pPr>
        <w:rPr>
          <w:b/>
          <w:bCs/>
          <w:sz w:val="18"/>
        </w:rPr>
      </w:pPr>
      <w:r w:rsidRPr="00B7602B">
        <w:rPr>
          <w:b/>
          <w:bCs/>
          <w:sz w:val="18"/>
        </w:rPr>
        <w:t>Box A4.2</w:t>
      </w:r>
      <w:r w:rsidRPr="00300012">
        <w:rPr>
          <w:b/>
          <w:bCs/>
          <w:sz w:val="18"/>
        </w:rPr>
        <w:t>:</w:t>
      </w:r>
      <w:r w:rsidRPr="00E90A1B">
        <w:rPr>
          <w:b/>
          <w:bCs/>
          <w:sz w:val="18"/>
        </w:rPr>
        <w:t xml:space="preserve"> GESI Short- to Medium-Term Intermediate Outcomes</w:t>
      </w:r>
    </w:p>
    <w:tbl>
      <w:tblPr>
        <w:tblStyle w:val="TableGrid"/>
        <w:tblW w:w="0" w:type="auto"/>
        <w:tblLook w:val="04A0" w:firstRow="1" w:lastRow="0" w:firstColumn="1" w:lastColumn="0" w:noHBand="0" w:noVBand="1"/>
      </w:tblPr>
      <w:tblGrid>
        <w:gridCol w:w="1696"/>
        <w:gridCol w:w="2835"/>
        <w:gridCol w:w="2694"/>
        <w:gridCol w:w="2764"/>
      </w:tblGrid>
      <w:tr w:rsidR="00EF3348" w14:paraId="7F2D2B4B" w14:textId="77777777" w:rsidTr="00EF3348">
        <w:tc>
          <w:tcPr>
            <w:tcW w:w="1696" w:type="dxa"/>
          </w:tcPr>
          <w:p w14:paraId="70C26E90" w14:textId="77777777" w:rsidR="00EF3348" w:rsidRPr="002101CF" w:rsidRDefault="00EF3348" w:rsidP="00F2620E">
            <w:pPr>
              <w:rPr>
                <w:b/>
                <w:bCs/>
              </w:rPr>
            </w:pPr>
            <w:r w:rsidRPr="002101CF">
              <w:rPr>
                <w:b/>
                <w:bCs/>
              </w:rPr>
              <w:t>Intermediate Outcomes (Short- to medium-term)</w:t>
            </w:r>
          </w:p>
        </w:tc>
        <w:tc>
          <w:tcPr>
            <w:tcW w:w="2835" w:type="dxa"/>
          </w:tcPr>
          <w:p w14:paraId="6E188BA3" w14:textId="77777777" w:rsidR="00EF3348" w:rsidRDefault="00EF3348" w:rsidP="00177735">
            <w:pPr>
              <w:pStyle w:val="ListParagraph"/>
              <w:numPr>
                <w:ilvl w:val="0"/>
                <w:numId w:val="22"/>
              </w:numPr>
              <w:spacing w:after="0" w:line="240" w:lineRule="auto"/>
            </w:pPr>
            <w:r>
              <w:t>Smart city planning is informed by research/analyses specifically on GESI focus groups.</w:t>
            </w:r>
          </w:p>
          <w:p w14:paraId="3EB1D9D6" w14:textId="77777777" w:rsidR="00EF3348" w:rsidRDefault="00EF3348" w:rsidP="00177735">
            <w:pPr>
              <w:pStyle w:val="ListParagraph"/>
              <w:numPr>
                <w:ilvl w:val="0"/>
                <w:numId w:val="22"/>
              </w:numPr>
              <w:spacing w:after="0" w:line="240" w:lineRule="auto"/>
            </w:pPr>
            <w:r>
              <w:t>City government has effective methods in place to engage with CSOs and communities on urban planning.</w:t>
            </w:r>
          </w:p>
          <w:p w14:paraId="47FEB6B1" w14:textId="77777777" w:rsidR="00EF3348" w:rsidRDefault="00EF3348" w:rsidP="00177735">
            <w:pPr>
              <w:pStyle w:val="ListParagraph"/>
              <w:numPr>
                <w:ilvl w:val="0"/>
                <w:numId w:val="22"/>
              </w:numPr>
              <w:spacing w:after="0" w:line="240" w:lineRule="auto"/>
            </w:pPr>
            <w:r>
              <w:t>Emerging evidence is available that demonstrates the benefits of GESI in urban planning.</w:t>
            </w:r>
          </w:p>
        </w:tc>
        <w:tc>
          <w:tcPr>
            <w:tcW w:w="2694" w:type="dxa"/>
          </w:tcPr>
          <w:p w14:paraId="11B376E0" w14:textId="77777777" w:rsidR="00EF3348" w:rsidRDefault="00EF3348" w:rsidP="00177735">
            <w:pPr>
              <w:pStyle w:val="ListParagraph"/>
              <w:numPr>
                <w:ilvl w:val="0"/>
                <w:numId w:val="23"/>
              </w:numPr>
              <w:spacing w:after="0" w:line="240" w:lineRule="auto"/>
            </w:pPr>
            <w:r>
              <w:t>Smart city service delivery is informed by research/analyses specifically on who is omitted or unable to access services.</w:t>
            </w:r>
          </w:p>
          <w:p w14:paraId="2CE4294C" w14:textId="77777777" w:rsidR="00EF3348" w:rsidRDefault="00EF3348" w:rsidP="00177735">
            <w:pPr>
              <w:pStyle w:val="ListParagraph"/>
              <w:numPr>
                <w:ilvl w:val="0"/>
                <w:numId w:val="23"/>
              </w:numPr>
              <w:spacing w:after="0" w:line="240" w:lineRule="auto"/>
            </w:pPr>
            <w:r>
              <w:t>Emerging evidence of improved service delivery access for GESI focus groups.</w:t>
            </w:r>
          </w:p>
        </w:tc>
        <w:tc>
          <w:tcPr>
            <w:tcW w:w="2764" w:type="dxa"/>
          </w:tcPr>
          <w:p w14:paraId="48110BBF" w14:textId="77777777" w:rsidR="00EF3348" w:rsidRDefault="00EF3348" w:rsidP="00177735">
            <w:pPr>
              <w:pStyle w:val="ListParagraph"/>
              <w:numPr>
                <w:ilvl w:val="0"/>
                <w:numId w:val="24"/>
              </w:numPr>
              <w:spacing w:after="0" w:line="240" w:lineRule="auto"/>
            </w:pPr>
            <w:r>
              <w:t>Financial management products/services are informed by research/analyses/ disaggregated data on GSI focus groups.</w:t>
            </w:r>
          </w:p>
          <w:p w14:paraId="50FC6EA2" w14:textId="77777777" w:rsidR="00EF3348" w:rsidRDefault="00EF3348" w:rsidP="00177735">
            <w:pPr>
              <w:pStyle w:val="ListParagraph"/>
              <w:numPr>
                <w:ilvl w:val="0"/>
                <w:numId w:val="24"/>
              </w:numPr>
              <w:spacing w:after="0" w:line="240" w:lineRule="auto"/>
            </w:pPr>
            <w:r>
              <w:t>Emerging evidence of increased access/use of financial services.</w:t>
            </w:r>
          </w:p>
        </w:tc>
      </w:tr>
    </w:tbl>
    <w:p w14:paraId="04DABA0C" w14:textId="77777777" w:rsidR="00EF3348" w:rsidRPr="00B7602B" w:rsidRDefault="00EF3348" w:rsidP="00EF3348">
      <w:pPr>
        <w:rPr>
          <w:i/>
          <w:iCs/>
          <w:sz w:val="18"/>
        </w:rPr>
      </w:pPr>
      <w:r w:rsidRPr="00B7602B">
        <w:rPr>
          <w:i/>
          <w:iCs/>
          <w:sz w:val="18"/>
        </w:rPr>
        <w:t xml:space="preserve">Source: AASCTF GESI Strategy, Table 1, </w:t>
      </w:r>
      <w:proofErr w:type="spellStart"/>
      <w:r w:rsidRPr="00B7602B">
        <w:rPr>
          <w:i/>
          <w:iCs/>
          <w:sz w:val="18"/>
        </w:rPr>
        <w:t>p.xii</w:t>
      </w:r>
      <w:proofErr w:type="spellEnd"/>
    </w:p>
    <w:p w14:paraId="2AC0FBA9" w14:textId="77777777" w:rsidR="00EF3348" w:rsidRDefault="00EF3348" w:rsidP="00EF3348">
      <w:pPr>
        <w:rPr>
          <w:b/>
          <w:bCs/>
          <w:noProof/>
          <w:sz w:val="18"/>
        </w:rPr>
      </w:pPr>
    </w:p>
    <w:p w14:paraId="05A182A5" w14:textId="201D9A9B" w:rsidR="00EF3348" w:rsidRPr="00D0632F" w:rsidRDefault="00EF3348" w:rsidP="00EF3348">
      <w:pPr>
        <w:rPr>
          <w:b/>
          <w:bCs/>
          <w:noProof/>
          <w:sz w:val="18"/>
        </w:rPr>
      </w:pPr>
      <w:r w:rsidRPr="00B7602B">
        <w:rPr>
          <w:b/>
          <w:bCs/>
          <w:noProof/>
          <w:sz w:val="18"/>
        </w:rPr>
        <w:t>Box A4.3</w:t>
      </w:r>
      <w:r w:rsidRPr="00300012">
        <w:rPr>
          <w:b/>
          <w:bCs/>
          <w:noProof/>
          <w:sz w:val="18"/>
        </w:rPr>
        <w:t>:</w:t>
      </w:r>
      <w:r w:rsidRPr="00D0632F">
        <w:rPr>
          <w:b/>
          <w:bCs/>
          <w:noProof/>
          <w:sz w:val="18"/>
        </w:rPr>
        <w:t xml:space="preserve"> GESI Mainstreaming Approach</w:t>
      </w:r>
    </w:p>
    <w:tbl>
      <w:tblPr>
        <w:tblStyle w:val="TableGrid"/>
        <w:tblW w:w="0" w:type="auto"/>
        <w:tblLook w:val="04A0" w:firstRow="1" w:lastRow="0" w:firstColumn="1" w:lastColumn="0" w:noHBand="0" w:noVBand="1"/>
      </w:tblPr>
      <w:tblGrid>
        <w:gridCol w:w="1555"/>
        <w:gridCol w:w="8901"/>
      </w:tblGrid>
      <w:tr w:rsidR="00177735" w14:paraId="4353CDB1" w14:textId="77777777" w:rsidTr="00177735">
        <w:tc>
          <w:tcPr>
            <w:tcW w:w="1555" w:type="dxa"/>
          </w:tcPr>
          <w:p w14:paraId="429FF5D2" w14:textId="77777777" w:rsidR="00177735" w:rsidRPr="00F36131" w:rsidRDefault="00177735" w:rsidP="00F2620E">
            <w:pPr>
              <w:rPr>
                <w:b/>
                <w:bCs/>
              </w:rPr>
            </w:pPr>
            <w:r w:rsidRPr="00F36131">
              <w:rPr>
                <w:b/>
                <w:bCs/>
              </w:rPr>
              <w:t>Activities</w:t>
            </w:r>
          </w:p>
        </w:tc>
        <w:tc>
          <w:tcPr>
            <w:tcW w:w="8901" w:type="dxa"/>
          </w:tcPr>
          <w:p w14:paraId="0DA663EA" w14:textId="77777777" w:rsidR="00177735" w:rsidRPr="00F36131" w:rsidRDefault="00177735" w:rsidP="00F2620E">
            <w:pPr>
              <w:rPr>
                <w:b/>
                <w:bCs/>
              </w:rPr>
            </w:pPr>
            <w:r w:rsidRPr="00F36131">
              <w:rPr>
                <w:b/>
                <w:bCs/>
              </w:rPr>
              <w:t>GESI Mainstreaming</w:t>
            </w:r>
          </w:p>
        </w:tc>
      </w:tr>
      <w:tr w:rsidR="00177735" w14:paraId="604BBD36" w14:textId="77777777" w:rsidTr="00177735">
        <w:tc>
          <w:tcPr>
            <w:tcW w:w="1555" w:type="dxa"/>
          </w:tcPr>
          <w:p w14:paraId="0106D64C" w14:textId="77777777" w:rsidR="00177735" w:rsidRDefault="00177735" w:rsidP="00F2620E">
            <w:r>
              <w:t>Foundational</w:t>
            </w:r>
          </w:p>
        </w:tc>
        <w:tc>
          <w:tcPr>
            <w:tcW w:w="8901" w:type="dxa"/>
          </w:tcPr>
          <w:p w14:paraId="7E57D0A9" w14:textId="77777777" w:rsidR="00177735" w:rsidRDefault="00177735" w:rsidP="00177735">
            <w:pPr>
              <w:pStyle w:val="ListParagraph"/>
              <w:numPr>
                <w:ilvl w:val="0"/>
                <w:numId w:val="26"/>
              </w:numPr>
              <w:spacing w:after="0" w:line="240" w:lineRule="auto"/>
            </w:pPr>
            <w:r>
              <w:t>GESI-focused initiatives and priorities are identified in Annual/Semi-Annual Progress Reports and Work Plans. GESI issues/entry points are considered and inform the direction/purpose of city intervention planning/design.</w:t>
            </w:r>
          </w:p>
          <w:p w14:paraId="09ECE64D" w14:textId="77777777" w:rsidR="00177735" w:rsidRDefault="00177735" w:rsidP="00177735">
            <w:pPr>
              <w:pStyle w:val="ListParagraph"/>
              <w:numPr>
                <w:ilvl w:val="0"/>
                <w:numId w:val="26"/>
              </w:numPr>
              <w:spacing w:after="0" w:line="240" w:lineRule="auto"/>
            </w:pPr>
            <w:r>
              <w:t>Ensure gender-balanced representation in intervention (Task Order) teams as part of planning/design.</w:t>
            </w:r>
          </w:p>
        </w:tc>
      </w:tr>
      <w:tr w:rsidR="00177735" w14:paraId="4190D47A" w14:textId="77777777" w:rsidTr="00177735">
        <w:tc>
          <w:tcPr>
            <w:tcW w:w="1555" w:type="dxa"/>
          </w:tcPr>
          <w:p w14:paraId="54A6A505" w14:textId="77777777" w:rsidR="00177735" w:rsidRDefault="00177735" w:rsidP="00F2620E">
            <w:r>
              <w:t>Influencing</w:t>
            </w:r>
          </w:p>
        </w:tc>
        <w:tc>
          <w:tcPr>
            <w:tcW w:w="8901" w:type="dxa"/>
          </w:tcPr>
          <w:p w14:paraId="181599F2" w14:textId="77777777" w:rsidR="00177735" w:rsidRDefault="00177735" w:rsidP="00177735">
            <w:pPr>
              <w:pStyle w:val="ListParagraph"/>
              <w:numPr>
                <w:ilvl w:val="0"/>
                <w:numId w:val="25"/>
              </w:numPr>
              <w:spacing w:after="0" w:line="240" w:lineRule="auto"/>
            </w:pPr>
            <w:r>
              <w:t>Communication, awareness materials, and media on GESI that are developed are cognizant of digital illiteracy and disability.</w:t>
            </w:r>
          </w:p>
          <w:p w14:paraId="0FBF8653" w14:textId="6B1A1D0C" w:rsidR="00177735" w:rsidRDefault="00177735" w:rsidP="00177735">
            <w:pPr>
              <w:pStyle w:val="ListParagraph"/>
              <w:numPr>
                <w:ilvl w:val="0"/>
                <w:numId w:val="25"/>
              </w:numPr>
              <w:spacing w:after="0" w:line="240" w:lineRule="auto"/>
            </w:pPr>
            <w:r>
              <w:t xml:space="preserve">All knowledge sharing events will aim for a balance of </w:t>
            </w:r>
            <w:r w:rsidR="00A17545">
              <w:t>male</w:t>
            </w:r>
            <w:r>
              <w:t xml:space="preserve"> and female experts and include/invite representatives from GESI focus groups.</w:t>
            </w:r>
          </w:p>
        </w:tc>
      </w:tr>
      <w:tr w:rsidR="00177735" w14:paraId="74429B63" w14:textId="77777777" w:rsidTr="00177735">
        <w:tc>
          <w:tcPr>
            <w:tcW w:w="1555" w:type="dxa"/>
          </w:tcPr>
          <w:p w14:paraId="6C341A3E" w14:textId="77777777" w:rsidR="00177735" w:rsidRDefault="00177735" w:rsidP="00F2620E">
            <w:r>
              <w:t>Implementing</w:t>
            </w:r>
          </w:p>
        </w:tc>
        <w:tc>
          <w:tcPr>
            <w:tcW w:w="8901" w:type="dxa"/>
          </w:tcPr>
          <w:p w14:paraId="25DFB922" w14:textId="77777777" w:rsidR="00177735" w:rsidRDefault="00177735" w:rsidP="00177735">
            <w:pPr>
              <w:pStyle w:val="ListParagraph"/>
              <w:numPr>
                <w:ilvl w:val="0"/>
                <w:numId w:val="27"/>
              </w:numPr>
              <w:spacing w:after="0" w:line="240" w:lineRule="auto"/>
            </w:pPr>
            <w:r>
              <w:t>All meetings/workshops/Focus Group Discussions will aim to be held in universally accessible premises, with timing for events and meetings to be gender-sensitive, recognising that outside normal business hours may not be suitable for GESI focus groups and depending on the context, consulting to ensure the optimal time to maximise participation is chosen.</w:t>
            </w:r>
          </w:p>
          <w:p w14:paraId="12CE0387" w14:textId="77777777" w:rsidR="00177735" w:rsidRDefault="00177735" w:rsidP="00177735">
            <w:pPr>
              <w:pStyle w:val="ListParagraph"/>
              <w:numPr>
                <w:ilvl w:val="0"/>
                <w:numId w:val="27"/>
              </w:numPr>
              <w:spacing w:after="0" w:line="240" w:lineRule="auto"/>
            </w:pPr>
            <w:r>
              <w:t>Task Order teams to prepare GESI Action Plan for Task Orders where GESI is a core theme to include actions/targets to address GESI adequately through the intervention.</w:t>
            </w:r>
          </w:p>
          <w:p w14:paraId="046A1209" w14:textId="77777777" w:rsidR="00177735" w:rsidRDefault="00177735" w:rsidP="00177735">
            <w:pPr>
              <w:pStyle w:val="ListParagraph"/>
              <w:numPr>
                <w:ilvl w:val="0"/>
                <w:numId w:val="27"/>
              </w:numPr>
              <w:spacing w:after="0" w:line="240" w:lineRule="auto"/>
            </w:pPr>
            <w:r>
              <w:t>Involve women and marginalised groups in the design/delivery/evaluation of implementing activities as much as possible.</w:t>
            </w:r>
          </w:p>
        </w:tc>
      </w:tr>
    </w:tbl>
    <w:p w14:paraId="0FAC6283" w14:textId="77777777" w:rsidR="00177735" w:rsidRPr="00B7602B" w:rsidRDefault="00177735" w:rsidP="00177735">
      <w:pPr>
        <w:rPr>
          <w:i/>
          <w:iCs/>
          <w:sz w:val="18"/>
        </w:rPr>
      </w:pPr>
      <w:r w:rsidRPr="00B7602B">
        <w:rPr>
          <w:i/>
          <w:iCs/>
          <w:sz w:val="18"/>
        </w:rPr>
        <w:t>Source: AASCTF GESI Strategy, Table 2, p. xiv</w:t>
      </w:r>
    </w:p>
    <w:p w14:paraId="1DA506B1" w14:textId="77777777" w:rsidR="005D5EED" w:rsidRPr="00773EEA" w:rsidRDefault="005D5EED" w:rsidP="00B7602B">
      <w:pPr>
        <w:spacing w:after="0"/>
      </w:pPr>
    </w:p>
    <w:p w14:paraId="1909456C" w14:textId="03E5C1D0" w:rsidR="0076666A" w:rsidRPr="00773EEA" w:rsidRDefault="0076666A" w:rsidP="0076666A">
      <w:pPr>
        <w:pStyle w:val="Caption"/>
        <w:rPr>
          <w:color w:val="auto"/>
        </w:rPr>
      </w:pPr>
      <w:r w:rsidRPr="00773EEA">
        <w:rPr>
          <w:color w:val="auto"/>
        </w:rPr>
        <w:t xml:space="preserve">Table A4.1: </w:t>
      </w:r>
      <w:r w:rsidR="00A54280" w:rsidRPr="00773EEA">
        <w:rPr>
          <w:color w:val="auto"/>
        </w:rPr>
        <w:t>Allocated funds for</w:t>
      </w:r>
      <w:r w:rsidRPr="00773EEA">
        <w:rPr>
          <w:color w:val="auto"/>
        </w:rPr>
        <w:t xml:space="preserve"> endorsed </w:t>
      </w:r>
      <w:r w:rsidR="003E4034" w:rsidRPr="00773EEA">
        <w:rPr>
          <w:color w:val="auto"/>
        </w:rPr>
        <w:t>Silver</w:t>
      </w:r>
      <w:r w:rsidRPr="00773EEA">
        <w:rPr>
          <w:color w:val="auto"/>
        </w:rPr>
        <w:t xml:space="preserve"> and regional TOs </w:t>
      </w:r>
    </w:p>
    <w:tbl>
      <w:tblPr>
        <w:tblStyle w:val="TableGrid"/>
        <w:tblW w:w="8363" w:type="dxa"/>
        <w:tblLayout w:type="fixed"/>
        <w:tblLook w:val="04A0" w:firstRow="1" w:lastRow="0" w:firstColumn="1" w:lastColumn="0" w:noHBand="0" w:noVBand="1"/>
      </w:tblPr>
      <w:tblGrid>
        <w:gridCol w:w="2835"/>
        <w:gridCol w:w="1843"/>
        <w:gridCol w:w="1843"/>
        <w:gridCol w:w="1842"/>
      </w:tblGrid>
      <w:tr w:rsidR="00773EEA" w:rsidRPr="00773EEA" w14:paraId="57BB9CB3" w14:textId="77777777" w:rsidTr="00E25A0F">
        <w:trPr>
          <w:trHeight w:val="300"/>
          <w:tblHeader/>
        </w:trPr>
        <w:tc>
          <w:tcPr>
            <w:tcW w:w="2835" w:type="dxa"/>
            <w:shd w:val="clear" w:color="auto" w:fill="EBC132" w:themeFill="accent1"/>
            <w:noWrap/>
            <w:hideMark/>
          </w:tcPr>
          <w:p w14:paraId="13B8F330" w14:textId="77777777" w:rsidR="0076666A" w:rsidRPr="00773EEA" w:rsidRDefault="0076666A" w:rsidP="000F0BD8">
            <w:pPr>
              <w:spacing w:before="40" w:after="40" w:line="240" w:lineRule="auto"/>
              <w:rPr>
                <w:rFonts w:cstheme="minorHAnsi"/>
                <w:b/>
                <w:bCs/>
                <w:sz w:val="18"/>
                <w:lang w:eastAsia="en-GB"/>
              </w:rPr>
            </w:pPr>
            <w:bookmarkStart w:id="88" w:name="_Hlk122681215"/>
            <w:r w:rsidRPr="00773EEA">
              <w:rPr>
                <w:rFonts w:cstheme="minorHAnsi"/>
                <w:b/>
                <w:bCs/>
                <w:sz w:val="18"/>
                <w:bdr w:val="none" w:sz="0" w:space="0" w:color="auto" w:frame="1"/>
                <w:lang w:eastAsia="en-GB"/>
              </w:rPr>
              <w:t>TO</w:t>
            </w:r>
          </w:p>
        </w:tc>
        <w:tc>
          <w:tcPr>
            <w:tcW w:w="1843" w:type="dxa"/>
            <w:shd w:val="clear" w:color="auto" w:fill="EBC132" w:themeFill="accent1"/>
            <w:noWrap/>
            <w:hideMark/>
          </w:tcPr>
          <w:p w14:paraId="39563FB2" w14:textId="77777777" w:rsidR="0076666A" w:rsidRPr="00773EEA" w:rsidRDefault="0076666A" w:rsidP="000F0BD8">
            <w:pPr>
              <w:spacing w:before="40" w:after="40" w:line="240" w:lineRule="auto"/>
              <w:rPr>
                <w:rFonts w:cstheme="minorHAnsi"/>
                <w:b/>
                <w:bCs/>
                <w:sz w:val="18"/>
                <w:lang w:eastAsia="en-GB"/>
              </w:rPr>
            </w:pPr>
            <w:r w:rsidRPr="00773EEA">
              <w:rPr>
                <w:rFonts w:cstheme="minorHAnsi"/>
                <w:b/>
                <w:bCs/>
                <w:sz w:val="18"/>
                <w:bdr w:val="none" w:sz="0" w:space="0" w:color="auto" w:frame="1"/>
                <w:lang w:eastAsia="en-GB"/>
              </w:rPr>
              <w:t>Fees</w:t>
            </w:r>
          </w:p>
        </w:tc>
        <w:tc>
          <w:tcPr>
            <w:tcW w:w="1843" w:type="dxa"/>
            <w:shd w:val="clear" w:color="auto" w:fill="EBC132" w:themeFill="accent1"/>
            <w:noWrap/>
            <w:hideMark/>
          </w:tcPr>
          <w:p w14:paraId="3CD65F8A" w14:textId="77777777" w:rsidR="0076666A" w:rsidRPr="00773EEA" w:rsidRDefault="0076666A" w:rsidP="000F0BD8">
            <w:pPr>
              <w:spacing w:before="40" w:after="40" w:line="240" w:lineRule="auto"/>
              <w:rPr>
                <w:rFonts w:cstheme="minorHAnsi"/>
                <w:b/>
                <w:bCs/>
                <w:sz w:val="18"/>
                <w:lang w:eastAsia="en-GB"/>
              </w:rPr>
            </w:pPr>
            <w:r w:rsidRPr="00773EEA">
              <w:rPr>
                <w:rFonts w:cstheme="minorHAnsi"/>
                <w:b/>
                <w:bCs/>
                <w:sz w:val="18"/>
                <w:bdr w:val="none" w:sz="0" w:space="0" w:color="auto" w:frame="1"/>
                <w:lang w:eastAsia="en-GB"/>
              </w:rPr>
              <w:t>Expenses</w:t>
            </w:r>
          </w:p>
        </w:tc>
        <w:tc>
          <w:tcPr>
            <w:tcW w:w="1842" w:type="dxa"/>
            <w:shd w:val="clear" w:color="auto" w:fill="EBC132" w:themeFill="accent1"/>
            <w:noWrap/>
            <w:hideMark/>
          </w:tcPr>
          <w:p w14:paraId="071BFCBD" w14:textId="20490927" w:rsidR="0076666A" w:rsidRPr="00773EEA" w:rsidRDefault="0076666A" w:rsidP="000F0BD8">
            <w:pPr>
              <w:spacing w:before="40" w:after="40" w:line="240" w:lineRule="auto"/>
              <w:rPr>
                <w:rFonts w:cstheme="minorHAnsi"/>
                <w:b/>
                <w:bCs/>
                <w:sz w:val="18"/>
                <w:lang w:eastAsia="en-GB"/>
              </w:rPr>
            </w:pPr>
            <w:r w:rsidRPr="00773EEA">
              <w:rPr>
                <w:rFonts w:cstheme="minorHAnsi"/>
                <w:b/>
                <w:bCs/>
                <w:sz w:val="18"/>
                <w:bdr w:val="none" w:sz="0" w:space="0" w:color="auto" w:frame="1"/>
                <w:lang w:eastAsia="en-GB"/>
              </w:rPr>
              <w:t xml:space="preserve">Total </w:t>
            </w:r>
          </w:p>
        </w:tc>
      </w:tr>
      <w:tr w:rsidR="00773EEA" w:rsidRPr="00773EEA" w14:paraId="6C70CD36" w14:textId="77777777" w:rsidTr="005F1785">
        <w:trPr>
          <w:trHeight w:val="300"/>
        </w:trPr>
        <w:tc>
          <w:tcPr>
            <w:tcW w:w="2835" w:type="dxa"/>
            <w:shd w:val="clear" w:color="auto" w:fill="EBC132" w:themeFill="accent1"/>
            <w:noWrap/>
            <w:hideMark/>
          </w:tcPr>
          <w:p w14:paraId="53776827"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TO-01: Makassar</w:t>
            </w:r>
          </w:p>
        </w:tc>
        <w:tc>
          <w:tcPr>
            <w:tcW w:w="1843" w:type="dxa"/>
            <w:noWrap/>
            <w:hideMark/>
          </w:tcPr>
          <w:p w14:paraId="26E373F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$447,727.27 </w:t>
            </w:r>
          </w:p>
        </w:tc>
        <w:tc>
          <w:tcPr>
            <w:tcW w:w="1843" w:type="dxa"/>
            <w:noWrap/>
            <w:hideMark/>
          </w:tcPr>
          <w:p w14:paraId="7EE39ADF"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$45,010.00 </w:t>
            </w:r>
          </w:p>
        </w:tc>
        <w:tc>
          <w:tcPr>
            <w:tcW w:w="1842" w:type="dxa"/>
            <w:noWrap/>
            <w:hideMark/>
          </w:tcPr>
          <w:p w14:paraId="7CB9514C"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$492,737.27 </w:t>
            </w:r>
          </w:p>
        </w:tc>
      </w:tr>
      <w:tr w:rsidR="00773EEA" w:rsidRPr="00773EEA" w14:paraId="4F4C615F" w14:textId="77777777" w:rsidTr="005F1785">
        <w:trPr>
          <w:trHeight w:val="300"/>
        </w:trPr>
        <w:tc>
          <w:tcPr>
            <w:tcW w:w="2835" w:type="dxa"/>
            <w:shd w:val="clear" w:color="auto" w:fill="EBC132" w:themeFill="accent1"/>
            <w:noWrap/>
            <w:hideMark/>
          </w:tcPr>
          <w:p w14:paraId="3E7D9384"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TO-02: Baguio</w:t>
            </w:r>
          </w:p>
        </w:tc>
        <w:tc>
          <w:tcPr>
            <w:tcW w:w="1843" w:type="dxa"/>
            <w:noWrap/>
            <w:hideMark/>
          </w:tcPr>
          <w:p w14:paraId="7291156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$761,250.00 </w:t>
            </w:r>
          </w:p>
        </w:tc>
        <w:tc>
          <w:tcPr>
            <w:tcW w:w="1843" w:type="dxa"/>
            <w:noWrap/>
            <w:hideMark/>
          </w:tcPr>
          <w:p w14:paraId="42EE0FB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$83,900.00 </w:t>
            </w:r>
          </w:p>
        </w:tc>
        <w:tc>
          <w:tcPr>
            <w:tcW w:w="1842" w:type="dxa"/>
            <w:noWrap/>
            <w:hideMark/>
          </w:tcPr>
          <w:p w14:paraId="41DCD10B"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$845,150.00 </w:t>
            </w:r>
          </w:p>
        </w:tc>
      </w:tr>
      <w:tr w:rsidR="00773EEA" w:rsidRPr="00773EEA" w14:paraId="7162C24E" w14:textId="77777777" w:rsidTr="005F1785">
        <w:trPr>
          <w:trHeight w:val="300"/>
        </w:trPr>
        <w:tc>
          <w:tcPr>
            <w:tcW w:w="2835" w:type="dxa"/>
            <w:shd w:val="clear" w:color="auto" w:fill="EBC132" w:themeFill="accent1"/>
            <w:noWrap/>
            <w:hideMark/>
          </w:tcPr>
          <w:p w14:paraId="40405334"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 xml:space="preserve">TO-03: </w:t>
            </w:r>
            <w:proofErr w:type="spellStart"/>
            <w:r w:rsidRPr="00773EEA">
              <w:rPr>
                <w:rFonts w:cstheme="minorHAnsi"/>
                <w:b/>
                <w:bCs/>
                <w:sz w:val="18"/>
                <w:bdr w:val="none" w:sz="0" w:space="0" w:color="auto" w:frame="1"/>
                <w:lang w:eastAsia="en-GB"/>
              </w:rPr>
              <w:t>Kaysone</w:t>
            </w:r>
            <w:proofErr w:type="spellEnd"/>
          </w:p>
        </w:tc>
        <w:tc>
          <w:tcPr>
            <w:tcW w:w="1843" w:type="dxa"/>
            <w:noWrap/>
            <w:hideMark/>
          </w:tcPr>
          <w:p w14:paraId="7EC4B59F"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$82,500.00 </w:t>
            </w:r>
          </w:p>
        </w:tc>
        <w:tc>
          <w:tcPr>
            <w:tcW w:w="1843" w:type="dxa"/>
            <w:noWrap/>
            <w:hideMark/>
          </w:tcPr>
          <w:p w14:paraId="5B789CC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$15,075.00 </w:t>
            </w:r>
          </w:p>
        </w:tc>
        <w:tc>
          <w:tcPr>
            <w:tcW w:w="1842" w:type="dxa"/>
            <w:noWrap/>
            <w:hideMark/>
          </w:tcPr>
          <w:p w14:paraId="3D228C07"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$97,575.00 </w:t>
            </w:r>
          </w:p>
        </w:tc>
      </w:tr>
      <w:tr w:rsidR="00773EEA" w:rsidRPr="00773EEA" w14:paraId="065258EC" w14:textId="77777777" w:rsidTr="005F1785">
        <w:trPr>
          <w:trHeight w:val="300"/>
        </w:trPr>
        <w:tc>
          <w:tcPr>
            <w:tcW w:w="2835" w:type="dxa"/>
            <w:shd w:val="clear" w:color="auto" w:fill="EBC132" w:themeFill="accent1"/>
            <w:noWrap/>
            <w:hideMark/>
          </w:tcPr>
          <w:p w14:paraId="74C51B66"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TO-05: Baguio</w:t>
            </w:r>
          </w:p>
        </w:tc>
        <w:tc>
          <w:tcPr>
            <w:tcW w:w="1843" w:type="dxa"/>
            <w:noWrap/>
            <w:hideMark/>
          </w:tcPr>
          <w:p w14:paraId="48B91C0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$175,500.00 </w:t>
            </w:r>
          </w:p>
        </w:tc>
        <w:tc>
          <w:tcPr>
            <w:tcW w:w="1843" w:type="dxa"/>
            <w:noWrap/>
            <w:hideMark/>
          </w:tcPr>
          <w:p w14:paraId="00742743"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$5,100.00 </w:t>
            </w:r>
          </w:p>
        </w:tc>
        <w:tc>
          <w:tcPr>
            <w:tcW w:w="1842" w:type="dxa"/>
            <w:noWrap/>
            <w:hideMark/>
          </w:tcPr>
          <w:p w14:paraId="0312E11A"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$180,600.00 </w:t>
            </w:r>
          </w:p>
        </w:tc>
      </w:tr>
      <w:tr w:rsidR="00773EEA" w:rsidRPr="00773EEA" w14:paraId="189EF66E" w14:textId="77777777" w:rsidTr="005F1785">
        <w:trPr>
          <w:trHeight w:val="300"/>
        </w:trPr>
        <w:tc>
          <w:tcPr>
            <w:tcW w:w="2835" w:type="dxa"/>
            <w:shd w:val="clear" w:color="auto" w:fill="EBC132" w:themeFill="accent1"/>
            <w:noWrap/>
            <w:hideMark/>
          </w:tcPr>
          <w:p w14:paraId="202A16BC"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lastRenderedPageBreak/>
              <w:t>TO-06: Georgetown</w:t>
            </w:r>
          </w:p>
        </w:tc>
        <w:tc>
          <w:tcPr>
            <w:tcW w:w="1843" w:type="dxa"/>
            <w:noWrap/>
            <w:hideMark/>
          </w:tcPr>
          <w:p w14:paraId="09B6EFF5"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$321,500.00 </w:t>
            </w:r>
          </w:p>
        </w:tc>
        <w:tc>
          <w:tcPr>
            <w:tcW w:w="1843" w:type="dxa"/>
            <w:noWrap/>
            <w:hideMark/>
          </w:tcPr>
          <w:p w14:paraId="4A203337"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$22,062.00 </w:t>
            </w:r>
          </w:p>
        </w:tc>
        <w:tc>
          <w:tcPr>
            <w:tcW w:w="1842" w:type="dxa"/>
            <w:noWrap/>
            <w:hideMark/>
          </w:tcPr>
          <w:p w14:paraId="50599B13"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$343,562.00 </w:t>
            </w:r>
          </w:p>
        </w:tc>
      </w:tr>
      <w:tr w:rsidR="00773EEA" w:rsidRPr="00773EEA" w14:paraId="26AAA308" w14:textId="77777777" w:rsidTr="005F1785">
        <w:trPr>
          <w:trHeight w:val="300"/>
        </w:trPr>
        <w:tc>
          <w:tcPr>
            <w:tcW w:w="2835" w:type="dxa"/>
            <w:shd w:val="clear" w:color="auto" w:fill="EBC132" w:themeFill="accent1"/>
            <w:noWrap/>
            <w:hideMark/>
          </w:tcPr>
          <w:p w14:paraId="25609B3A"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TO-07: Battambang</w:t>
            </w:r>
          </w:p>
        </w:tc>
        <w:tc>
          <w:tcPr>
            <w:tcW w:w="1843" w:type="dxa"/>
            <w:noWrap/>
            <w:hideMark/>
          </w:tcPr>
          <w:p w14:paraId="062FBB9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$158,000.00 </w:t>
            </w:r>
          </w:p>
        </w:tc>
        <w:tc>
          <w:tcPr>
            <w:tcW w:w="1843" w:type="dxa"/>
            <w:noWrap/>
            <w:hideMark/>
          </w:tcPr>
          <w:p w14:paraId="703B65B1"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$33,600.00 </w:t>
            </w:r>
          </w:p>
        </w:tc>
        <w:tc>
          <w:tcPr>
            <w:tcW w:w="1842" w:type="dxa"/>
            <w:noWrap/>
            <w:hideMark/>
          </w:tcPr>
          <w:p w14:paraId="31B92419"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$191,600.00 </w:t>
            </w:r>
          </w:p>
        </w:tc>
      </w:tr>
      <w:tr w:rsidR="00773EEA" w:rsidRPr="00773EEA" w14:paraId="0E52259B" w14:textId="77777777" w:rsidTr="005F1785">
        <w:trPr>
          <w:trHeight w:val="300"/>
        </w:trPr>
        <w:tc>
          <w:tcPr>
            <w:tcW w:w="2835" w:type="dxa"/>
            <w:shd w:val="clear" w:color="auto" w:fill="EBC132" w:themeFill="accent1"/>
            <w:noWrap/>
            <w:hideMark/>
          </w:tcPr>
          <w:p w14:paraId="7B3D3C79"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TO-08: Regional</w:t>
            </w:r>
          </w:p>
        </w:tc>
        <w:tc>
          <w:tcPr>
            <w:tcW w:w="1843" w:type="dxa"/>
            <w:noWrap/>
            <w:hideMark/>
          </w:tcPr>
          <w:p w14:paraId="7745F49A"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$1,004,500.00 </w:t>
            </w:r>
          </w:p>
        </w:tc>
        <w:tc>
          <w:tcPr>
            <w:tcW w:w="1843" w:type="dxa"/>
            <w:noWrap/>
            <w:hideMark/>
          </w:tcPr>
          <w:p w14:paraId="51C5A185"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$88,020.00 </w:t>
            </w:r>
          </w:p>
        </w:tc>
        <w:tc>
          <w:tcPr>
            <w:tcW w:w="1842" w:type="dxa"/>
            <w:noWrap/>
            <w:hideMark/>
          </w:tcPr>
          <w:p w14:paraId="25D2429C"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$1,092,520.00 </w:t>
            </w:r>
          </w:p>
        </w:tc>
      </w:tr>
      <w:tr w:rsidR="00773EEA" w:rsidRPr="00773EEA" w14:paraId="2C4A901D" w14:textId="77777777" w:rsidTr="005F1785">
        <w:trPr>
          <w:trHeight w:val="300"/>
        </w:trPr>
        <w:tc>
          <w:tcPr>
            <w:tcW w:w="2835" w:type="dxa"/>
            <w:shd w:val="clear" w:color="auto" w:fill="EBC132" w:themeFill="accent1"/>
            <w:noWrap/>
            <w:hideMark/>
          </w:tcPr>
          <w:p w14:paraId="00795100" w14:textId="77777777" w:rsidR="0076666A" w:rsidRPr="00773EEA" w:rsidRDefault="0076666A" w:rsidP="000F0BD8">
            <w:pPr>
              <w:spacing w:before="40" w:after="40" w:line="240" w:lineRule="auto"/>
              <w:rPr>
                <w:rFonts w:cstheme="minorHAnsi"/>
                <w:b/>
                <w:bCs/>
                <w:sz w:val="18"/>
                <w:bdr w:val="none" w:sz="0" w:space="0" w:color="auto" w:frame="1"/>
                <w:lang w:eastAsia="en-GB"/>
              </w:rPr>
            </w:pPr>
            <w:r w:rsidRPr="00773EEA">
              <w:rPr>
                <w:rFonts w:cstheme="minorHAnsi"/>
                <w:b/>
                <w:bCs/>
                <w:sz w:val="18"/>
                <w:bdr w:val="none" w:sz="0" w:space="0" w:color="auto" w:frame="1"/>
                <w:lang w:eastAsia="en-GB"/>
              </w:rPr>
              <w:t>TO-09: Inclusive Cities Dialogues</w:t>
            </w:r>
          </w:p>
        </w:tc>
        <w:tc>
          <w:tcPr>
            <w:tcW w:w="1843" w:type="dxa"/>
            <w:noWrap/>
            <w:hideMark/>
          </w:tcPr>
          <w:p w14:paraId="49252E7D"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$272,100.00 </w:t>
            </w:r>
          </w:p>
        </w:tc>
        <w:tc>
          <w:tcPr>
            <w:tcW w:w="1843" w:type="dxa"/>
            <w:noWrap/>
            <w:hideMark/>
          </w:tcPr>
          <w:p w14:paraId="327541CF"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$28,800.00 </w:t>
            </w:r>
          </w:p>
        </w:tc>
        <w:tc>
          <w:tcPr>
            <w:tcW w:w="1842" w:type="dxa"/>
            <w:noWrap/>
            <w:hideMark/>
          </w:tcPr>
          <w:p w14:paraId="576A83AE"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$300,900.00 </w:t>
            </w:r>
          </w:p>
        </w:tc>
      </w:tr>
      <w:tr w:rsidR="00773EEA" w:rsidRPr="00773EEA" w14:paraId="2D77D4FA" w14:textId="77777777" w:rsidTr="005F1785">
        <w:trPr>
          <w:trHeight w:val="300"/>
        </w:trPr>
        <w:tc>
          <w:tcPr>
            <w:tcW w:w="2835" w:type="dxa"/>
            <w:shd w:val="clear" w:color="auto" w:fill="EBC132" w:themeFill="accent1"/>
            <w:noWrap/>
            <w:hideMark/>
          </w:tcPr>
          <w:p w14:paraId="43878393" w14:textId="77777777" w:rsidR="0076666A" w:rsidRPr="00773EEA" w:rsidRDefault="0076666A" w:rsidP="000F0BD8">
            <w:pPr>
              <w:spacing w:before="40" w:after="40" w:line="240" w:lineRule="auto"/>
              <w:rPr>
                <w:rFonts w:cstheme="minorHAnsi"/>
                <w:b/>
                <w:bCs/>
                <w:sz w:val="18"/>
                <w:bdr w:val="none" w:sz="0" w:space="0" w:color="auto" w:frame="1"/>
                <w:lang w:eastAsia="en-GB"/>
              </w:rPr>
            </w:pPr>
            <w:r w:rsidRPr="00773EEA">
              <w:rPr>
                <w:rFonts w:cstheme="minorHAnsi"/>
                <w:b/>
                <w:bCs/>
                <w:sz w:val="18"/>
                <w:bdr w:val="none" w:sz="0" w:space="0" w:color="auto" w:frame="1"/>
                <w:lang w:eastAsia="en-GB"/>
              </w:rPr>
              <w:t>TO-10: Hue</w:t>
            </w:r>
          </w:p>
        </w:tc>
        <w:tc>
          <w:tcPr>
            <w:tcW w:w="1843" w:type="dxa"/>
            <w:noWrap/>
            <w:hideMark/>
          </w:tcPr>
          <w:p w14:paraId="40CF6C7A"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$415,500.00 </w:t>
            </w:r>
          </w:p>
        </w:tc>
        <w:tc>
          <w:tcPr>
            <w:tcW w:w="1843" w:type="dxa"/>
            <w:noWrap/>
            <w:hideMark/>
          </w:tcPr>
          <w:p w14:paraId="7081687F"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$32,750.00 </w:t>
            </w:r>
          </w:p>
        </w:tc>
        <w:tc>
          <w:tcPr>
            <w:tcW w:w="1842" w:type="dxa"/>
            <w:noWrap/>
            <w:hideMark/>
          </w:tcPr>
          <w:p w14:paraId="2F92CAB9"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$448,250.00 </w:t>
            </w:r>
          </w:p>
        </w:tc>
      </w:tr>
      <w:tr w:rsidR="00773EEA" w:rsidRPr="00773EEA" w14:paraId="1C8EC53C" w14:textId="77777777" w:rsidTr="005F1785">
        <w:trPr>
          <w:trHeight w:val="300"/>
        </w:trPr>
        <w:tc>
          <w:tcPr>
            <w:tcW w:w="2835" w:type="dxa"/>
            <w:shd w:val="clear" w:color="auto" w:fill="EBC132" w:themeFill="accent1"/>
            <w:noWrap/>
            <w:hideMark/>
          </w:tcPr>
          <w:p w14:paraId="69325661" w14:textId="77777777" w:rsidR="0076666A" w:rsidRPr="00773EEA" w:rsidRDefault="0076666A" w:rsidP="000F0BD8">
            <w:pPr>
              <w:spacing w:before="40" w:after="40" w:line="240" w:lineRule="auto"/>
              <w:rPr>
                <w:rFonts w:cstheme="minorHAnsi"/>
                <w:b/>
                <w:bCs/>
                <w:sz w:val="18"/>
                <w:bdr w:val="none" w:sz="0" w:space="0" w:color="auto" w:frame="1"/>
                <w:lang w:eastAsia="en-GB"/>
              </w:rPr>
            </w:pPr>
            <w:r w:rsidRPr="00773EEA">
              <w:rPr>
                <w:rFonts w:cstheme="minorHAnsi"/>
                <w:b/>
                <w:bCs/>
                <w:sz w:val="18"/>
                <w:bdr w:val="none" w:sz="0" w:space="0" w:color="auto" w:frame="1"/>
                <w:lang w:eastAsia="en-GB"/>
              </w:rPr>
              <w:t>TO-11: Chonburi / EEC</w:t>
            </w:r>
          </w:p>
        </w:tc>
        <w:tc>
          <w:tcPr>
            <w:tcW w:w="1843" w:type="dxa"/>
            <w:noWrap/>
            <w:hideMark/>
          </w:tcPr>
          <w:p w14:paraId="4B28C617"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$337,600.00 </w:t>
            </w:r>
          </w:p>
        </w:tc>
        <w:tc>
          <w:tcPr>
            <w:tcW w:w="1843" w:type="dxa"/>
            <w:noWrap/>
            <w:hideMark/>
          </w:tcPr>
          <w:p w14:paraId="76444E0C"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$28,590.00 </w:t>
            </w:r>
          </w:p>
        </w:tc>
        <w:tc>
          <w:tcPr>
            <w:tcW w:w="1842" w:type="dxa"/>
            <w:noWrap/>
            <w:hideMark/>
          </w:tcPr>
          <w:p w14:paraId="35731F91"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$366,190.00 </w:t>
            </w:r>
          </w:p>
        </w:tc>
      </w:tr>
      <w:tr w:rsidR="00773EEA" w:rsidRPr="00773EEA" w14:paraId="321EA50A" w14:textId="77777777" w:rsidTr="005F1785">
        <w:trPr>
          <w:trHeight w:val="300"/>
        </w:trPr>
        <w:tc>
          <w:tcPr>
            <w:tcW w:w="2835" w:type="dxa"/>
            <w:shd w:val="clear" w:color="auto" w:fill="EBC132" w:themeFill="accent1"/>
            <w:noWrap/>
            <w:hideMark/>
          </w:tcPr>
          <w:p w14:paraId="2C31542F"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 xml:space="preserve">TO-12: </w:t>
            </w:r>
            <w:proofErr w:type="spellStart"/>
            <w:r w:rsidRPr="00773EEA">
              <w:rPr>
                <w:rFonts w:cstheme="minorHAnsi"/>
                <w:b/>
                <w:bCs/>
                <w:sz w:val="18"/>
                <w:bdr w:val="none" w:sz="0" w:space="0" w:color="auto" w:frame="1"/>
                <w:lang w:eastAsia="en-GB"/>
              </w:rPr>
              <w:t>Luang</w:t>
            </w:r>
            <w:proofErr w:type="spellEnd"/>
            <w:r w:rsidRPr="00773EEA">
              <w:rPr>
                <w:rFonts w:cstheme="minorHAnsi"/>
                <w:b/>
                <w:bCs/>
                <w:sz w:val="18"/>
                <w:bdr w:val="none" w:sz="0" w:space="0" w:color="auto" w:frame="1"/>
                <w:lang w:eastAsia="en-GB"/>
              </w:rPr>
              <w:t xml:space="preserve"> Prabang</w:t>
            </w:r>
          </w:p>
        </w:tc>
        <w:tc>
          <w:tcPr>
            <w:tcW w:w="1843" w:type="dxa"/>
            <w:noWrap/>
            <w:hideMark/>
          </w:tcPr>
          <w:p w14:paraId="7B774A30"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$505,000.00 </w:t>
            </w:r>
          </w:p>
        </w:tc>
        <w:tc>
          <w:tcPr>
            <w:tcW w:w="1843" w:type="dxa"/>
            <w:noWrap/>
            <w:hideMark/>
          </w:tcPr>
          <w:p w14:paraId="2A661FB4"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$92,200.00 </w:t>
            </w:r>
          </w:p>
        </w:tc>
        <w:tc>
          <w:tcPr>
            <w:tcW w:w="1842" w:type="dxa"/>
            <w:noWrap/>
            <w:hideMark/>
          </w:tcPr>
          <w:p w14:paraId="2ADB176E"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$597,200.00 </w:t>
            </w:r>
          </w:p>
        </w:tc>
      </w:tr>
      <w:tr w:rsidR="00773EEA" w:rsidRPr="00773EEA" w14:paraId="1F3B267B" w14:textId="77777777" w:rsidTr="005F1785">
        <w:trPr>
          <w:trHeight w:val="300"/>
        </w:trPr>
        <w:tc>
          <w:tcPr>
            <w:tcW w:w="2835" w:type="dxa"/>
            <w:shd w:val="clear" w:color="auto" w:fill="EBC132" w:themeFill="accent1"/>
            <w:noWrap/>
            <w:hideMark/>
          </w:tcPr>
          <w:p w14:paraId="5CAE2E72"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TO-13: Davao City</w:t>
            </w:r>
          </w:p>
        </w:tc>
        <w:tc>
          <w:tcPr>
            <w:tcW w:w="1843" w:type="dxa"/>
            <w:noWrap/>
            <w:hideMark/>
          </w:tcPr>
          <w:p w14:paraId="2138C600"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$293,250.00 </w:t>
            </w:r>
          </w:p>
        </w:tc>
        <w:tc>
          <w:tcPr>
            <w:tcW w:w="1843" w:type="dxa"/>
            <w:noWrap/>
            <w:hideMark/>
          </w:tcPr>
          <w:p w14:paraId="1A10A7C6" w14:textId="77777777" w:rsidR="0076666A" w:rsidRPr="00773EEA" w:rsidRDefault="0076666A" w:rsidP="000F0BD8">
            <w:pPr>
              <w:spacing w:before="40" w:after="40" w:line="240" w:lineRule="auto"/>
              <w:rPr>
                <w:rFonts w:cstheme="minorHAnsi"/>
                <w:sz w:val="18"/>
                <w:lang w:eastAsia="en-GB"/>
              </w:rPr>
            </w:pPr>
            <w:r w:rsidRPr="00773EEA">
              <w:rPr>
                <w:rFonts w:cstheme="minorHAnsi"/>
                <w:sz w:val="18"/>
                <w:bdr w:val="none" w:sz="0" w:space="0" w:color="auto" w:frame="1"/>
                <w:lang w:eastAsia="en-GB"/>
              </w:rPr>
              <w:t>$15,900.00 </w:t>
            </w:r>
          </w:p>
        </w:tc>
        <w:tc>
          <w:tcPr>
            <w:tcW w:w="1842" w:type="dxa"/>
            <w:noWrap/>
            <w:hideMark/>
          </w:tcPr>
          <w:p w14:paraId="0C010C22" w14:textId="77777777" w:rsidR="0076666A" w:rsidRPr="00773EEA" w:rsidRDefault="0076666A" w:rsidP="000F0BD8">
            <w:pPr>
              <w:spacing w:before="40" w:after="40" w:line="240" w:lineRule="auto"/>
              <w:rPr>
                <w:rFonts w:cstheme="minorHAnsi"/>
                <w:sz w:val="18"/>
                <w:lang w:eastAsia="en-GB"/>
              </w:rPr>
            </w:pPr>
            <w:r w:rsidRPr="00773EEA">
              <w:rPr>
                <w:rFonts w:cstheme="minorHAnsi"/>
                <w:b/>
                <w:bCs/>
                <w:sz w:val="18"/>
                <w:bdr w:val="none" w:sz="0" w:space="0" w:color="auto" w:frame="1"/>
                <w:lang w:eastAsia="en-GB"/>
              </w:rPr>
              <w:t>$309,150.00 </w:t>
            </w:r>
          </w:p>
        </w:tc>
      </w:tr>
    </w:tbl>
    <w:bookmarkEnd w:id="88"/>
    <w:p w14:paraId="4F7397E0" w14:textId="2CF0E6AD" w:rsidR="00DD703F" w:rsidRPr="00773EEA" w:rsidRDefault="0076666A" w:rsidP="00E6721E">
      <w:r w:rsidRPr="00773EEA">
        <w:rPr>
          <w:rFonts w:cstheme="minorHAnsi"/>
          <w:i/>
          <w:iCs/>
          <w:sz w:val="21"/>
          <w:szCs w:val="21"/>
        </w:rPr>
        <w:t>Source: Ramboll A</w:t>
      </w:r>
      <w:r w:rsidR="00DC210C" w:rsidRPr="00773EEA">
        <w:rPr>
          <w:rFonts w:cstheme="minorHAnsi"/>
          <w:i/>
          <w:iCs/>
          <w:sz w:val="21"/>
          <w:szCs w:val="21"/>
        </w:rPr>
        <w:t>A</w:t>
      </w:r>
      <w:r w:rsidRPr="00773EEA">
        <w:rPr>
          <w:rFonts w:cstheme="minorHAnsi"/>
          <w:i/>
          <w:iCs/>
          <w:sz w:val="21"/>
          <w:szCs w:val="21"/>
        </w:rPr>
        <w:t>SCTF Core Team</w:t>
      </w:r>
      <w:r w:rsidR="00C85975" w:rsidRPr="00773EEA">
        <w:rPr>
          <w:rFonts w:cstheme="minorHAnsi"/>
          <w:i/>
          <w:iCs/>
          <w:sz w:val="21"/>
          <w:szCs w:val="21"/>
        </w:rPr>
        <w:t xml:space="preserve"> </w:t>
      </w:r>
      <w:r w:rsidR="00C85975" w:rsidRPr="00773EEA">
        <w:rPr>
          <w:i/>
          <w:iCs/>
        </w:rPr>
        <w:t>(June 2022)</w:t>
      </w:r>
    </w:p>
    <w:p w14:paraId="104B70EB" w14:textId="77777777" w:rsidR="00A824DE" w:rsidRPr="00773EEA" w:rsidRDefault="00A824DE" w:rsidP="00141DEE"/>
    <w:p w14:paraId="3784929B" w14:textId="1D5BDB1E" w:rsidR="005D5736" w:rsidRPr="00773EEA" w:rsidRDefault="005D5736" w:rsidP="006D2B7B">
      <w:pPr>
        <w:pStyle w:val="Heading1Numberedsmallspaceafter"/>
        <w:keepNext w:val="0"/>
        <w:keepLines w:val="0"/>
        <w:pageBreakBefore/>
        <w:numPr>
          <w:ilvl w:val="0"/>
          <w:numId w:val="0"/>
        </w:numPr>
        <w:spacing w:after="360"/>
        <w:rPr>
          <w:rFonts w:ascii="Georgia" w:eastAsia="Times New Roman" w:hAnsi="Georgia" w:cs="Arial"/>
          <w:b w:val="0"/>
          <w:iCs/>
          <w:caps w:val="0"/>
          <w:color w:val="auto"/>
          <w:sz w:val="32"/>
          <w:szCs w:val="32"/>
          <w:lang w:val="en-GB"/>
        </w:rPr>
      </w:pPr>
      <w:bookmarkStart w:id="89" w:name="_Toc123633731"/>
      <w:r w:rsidRPr="00773EEA">
        <w:rPr>
          <w:rFonts w:ascii="Georgia" w:eastAsia="Times New Roman" w:hAnsi="Georgia" w:cs="Arial"/>
          <w:b w:val="0"/>
          <w:iCs/>
          <w:caps w:val="0"/>
          <w:color w:val="auto"/>
          <w:sz w:val="32"/>
          <w:szCs w:val="32"/>
          <w:lang w:val="en-GB"/>
        </w:rPr>
        <w:lastRenderedPageBreak/>
        <w:t xml:space="preserve">Annex </w:t>
      </w:r>
      <w:r w:rsidR="00041833" w:rsidRPr="00773EEA">
        <w:rPr>
          <w:rFonts w:ascii="Georgia" w:eastAsia="Times New Roman" w:hAnsi="Georgia" w:cs="Arial"/>
          <w:b w:val="0"/>
          <w:iCs/>
          <w:caps w:val="0"/>
          <w:color w:val="auto"/>
          <w:sz w:val="32"/>
          <w:szCs w:val="32"/>
          <w:lang w:val="en-GB"/>
        </w:rPr>
        <w:t>5</w:t>
      </w:r>
      <w:r w:rsidRPr="00773EEA">
        <w:rPr>
          <w:rFonts w:ascii="Georgia" w:eastAsia="Times New Roman" w:hAnsi="Georgia" w:cs="Arial"/>
          <w:b w:val="0"/>
          <w:iCs/>
          <w:caps w:val="0"/>
          <w:color w:val="auto"/>
          <w:sz w:val="32"/>
          <w:szCs w:val="32"/>
          <w:lang w:val="en-GB"/>
        </w:rPr>
        <w:t>: MTR Terms of Reference</w:t>
      </w:r>
      <w:bookmarkEnd w:id="89"/>
    </w:p>
    <w:p w14:paraId="0B44E935" w14:textId="77777777" w:rsidR="00EB0431" w:rsidRPr="00773EEA" w:rsidRDefault="00EB0431" w:rsidP="00EB0431">
      <w:pPr>
        <w:jc w:val="center"/>
        <w:rPr>
          <w:rFonts w:asciiTheme="majorHAnsi" w:hAnsiTheme="majorHAnsi" w:cstheme="majorHAnsi"/>
          <w:b/>
          <w:bCs/>
          <w:sz w:val="28"/>
          <w:szCs w:val="28"/>
        </w:rPr>
      </w:pPr>
      <w:r w:rsidRPr="00773EEA">
        <w:rPr>
          <w:rFonts w:asciiTheme="majorHAnsi" w:hAnsiTheme="majorHAnsi" w:cstheme="majorHAnsi"/>
          <w:b/>
          <w:bCs/>
          <w:sz w:val="28"/>
          <w:szCs w:val="28"/>
        </w:rPr>
        <w:t xml:space="preserve">Terms of Reference: </w:t>
      </w:r>
      <w:r w:rsidRPr="00773EEA">
        <w:rPr>
          <w:rFonts w:asciiTheme="majorHAnsi" w:hAnsiTheme="majorHAnsi" w:cstheme="majorHAnsi"/>
          <w:b/>
          <w:bCs/>
          <w:sz w:val="28"/>
          <w:szCs w:val="28"/>
        </w:rPr>
        <w:br/>
        <w:t>Mid-term Review of the ASEAN Australia Smart Cities Trust Fund</w:t>
      </w:r>
    </w:p>
    <w:p w14:paraId="143FA42A" w14:textId="77777777" w:rsidR="00EB0431" w:rsidRPr="00773EEA" w:rsidRDefault="00EB0431" w:rsidP="00EB0431">
      <w:pPr>
        <w:pStyle w:val="NormalWeb"/>
        <w:shd w:val="clear" w:color="auto" w:fill="FFFFFF"/>
        <w:spacing w:before="120" w:beforeAutospacing="0" w:after="120" w:afterAutospacing="0"/>
        <w:rPr>
          <w:rFonts w:ascii="Arial" w:hAnsi="Arial" w:cs="Arial"/>
          <w:b/>
          <w:bCs/>
          <w:sz w:val="20"/>
          <w:szCs w:val="20"/>
          <w:shd w:val="clear" w:color="auto" w:fill="FFFFFF"/>
        </w:rPr>
      </w:pPr>
      <w:r w:rsidRPr="00773EEA">
        <w:rPr>
          <w:rFonts w:ascii="Arial" w:hAnsi="Arial" w:cs="Arial"/>
          <w:b/>
          <w:bCs/>
          <w:sz w:val="20"/>
          <w:szCs w:val="20"/>
          <w:shd w:val="clear" w:color="auto" w:fill="FFFFFF"/>
        </w:rPr>
        <w:t xml:space="preserve">Background </w:t>
      </w:r>
    </w:p>
    <w:p w14:paraId="6889AD1B"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The ASEAN Australia Smart Cities Trust Fund (AASCTF) is a five-year, AU$20 million initiative, funded by the Australian Government and managed by the Asian Development Bank (ADB). The ADB has engaged Ramboll, a global engineering consultancy, to implement the AASCTF.</w:t>
      </w:r>
    </w:p>
    <w:p w14:paraId="04C2DA73"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 xml:space="preserve">The overarching goal of the AASCTF is to improve systems and governance </w:t>
      </w:r>
      <w:proofErr w:type="gramStart"/>
      <w:r w:rsidRPr="00773EEA">
        <w:rPr>
          <w:rFonts w:ascii="Arial" w:hAnsi="Arial" w:cs="Arial"/>
          <w:sz w:val="20"/>
          <w:szCs w:val="20"/>
          <w:shd w:val="clear" w:color="auto" w:fill="FFFFFF"/>
        </w:rPr>
        <w:t>through the use of</w:t>
      </w:r>
      <w:proofErr w:type="gramEnd"/>
      <w:r w:rsidRPr="00773EEA">
        <w:rPr>
          <w:rFonts w:ascii="Arial" w:hAnsi="Arial" w:cs="Arial"/>
          <w:sz w:val="20"/>
          <w:szCs w:val="20"/>
          <w:shd w:val="clear" w:color="auto" w:fill="FFFFFF"/>
        </w:rPr>
        <w:t xml:space="preserve"> digital solutions in ASEAN Member States. The aim of the AASCTF is to build liveable cities that are green, competitive, inclusive, and resilient, while promoting high quality of life, competitive economies and sustainable environments. The key output areas are 1) improved planning systems, 2) improved service delivery, and 3) improved financial management. </w:t>
      </w:r>
    </w:p>
    <w:p w14:paraId="424327FF" w14:textId="19763602" w:rsidR="00EB0431" w:rsidRPr="00773EEA" w:rsidRDefault="00EB0431" w:rsidP="00EB0431">
      <w:pPr>
        <w:pStyle w:val="NormalWeb"/>
        <w:shd w:val="clear" w:color="auto" w:fill="FFFFFF"/>
        <w:spacing w:before="120" w:beforeAutospacing="0" w:after="120" w:afterAutospacing="0"/>
        <w:rPr>
          <w:rFonts w:ascii="Arial" w:hAnsi="Arial" w:cs="Arial"/>
          <w:sz w:val="20"/>
          <w:szCs w:val="20"/>
        </w:rPr>
      </w:pPr>
      <w:r w:rsidRPr="00773EEA">
        <w:rPr>
          <w:rFonts w:ascii="Arial" w:hAnsi="Arial" w:cs="Arial"/>
          <w:sz w:val="20"/>
          <w:szCs w:val="20"/>
          <w:shd w:val="clear" w:color="auto" w:fill="FFFFFF"/>
        </w:rPr>
        <w:t>The program achieves this through three different levels of interventions (titled ‘</w:t>
      </w:r>
      <w:r w:rsidR="00D92B24" w:rsidRPr="00773EEA">
        <w:rPr>
          <w:rFonts w:ascii="Arial" w:hAnsi="Arial" w:cs="Arial"/>
          <w:sz w:val="20"/>
          <w:szCs w:val="20"/>
          <w:shd w:val="clear" w:color="auto" w:fill="FFFFFF"/>
        </w:rPr>
        <w:t>Bronze</w:t>
      </w:r>
      <w:r w:rsidRPr="00773EEA">
        <w:rPr>
          <w:rFonts w:ascii="Arial" w:hAnsi="Arial" w:cs="Arial"/>
          <w:sz w:val="20"/>
          <w:szCs w:val="20"/>
          <w:shd w:val="clear" w:color="auto" w:fill="FFFFFF"/>
        </w:rPr>
        <w:t>’, ‘</w:t>
      </w:r>
      <w:r w:rsidR="00D92B24" w:rsidRPr="00773EEA">
        <w:rPr>
          <w:rFonts w:ascii="Arial" w:hAnsi="Arial" w:cs="Arial"/>
          <w:sz w:val="20"/>
          <w:szCs w:val="20"/>
          <w:shd w:val="clear" w:color="auto" w:fill="FFFFFF"/>
        </w:rPr>
        <w:t xml:space="preserve">Silver’ </w:t>
      </w:r>
      <w:r w:rsidRPr="00773EEA">
        <w:rPr>
          <w:rFonts w:ascii="Arial" w:hAnsi="Arial" w:cs="Arial"/>
          <w:sz w:val="20"/>
          <w:szCs w:val="20"/>
          <w:shd w:val="clear" w:color="auto" w:fill="FFFFFF"/>
        </w:rPr>
        <w:t>and ‘</w:t>
      </w:r>
      <w:r w:rsidR="00D92B24" w:rsidRPr="00773EEA">
        <w:rPr>
          <w:rFonts w:ascii="Arial" w:hAnsi="Arial" w:cs="Arial"/>
          <w:sz w:val="20"/>
          <w:szCs w:val="20"/>
          <w:shd w:val="clear" w:color="auto" w:fill="FFFFFF"/>
        </w:rPr>
        <w:t>G</w:t>
      </w:r>
      <w:r w:rsidRPr="00773EEA">
        <w:rPr>
          <w:rFonts w:ascii="Arial" w:hAnsi="Arial" w:cs="Arial"/>
          <w:sz w:val="20"/>
          <w:szCs w:val="20"/>
          <w:shd w:val="clear" w:color="auto" w:fill="FFFFFF"/>
        </w:rPr>
        <w:t>old’) with participating ASEAN cities. Bronze cities can participate in regional knowledge sharing and capacity building events, silver cities are able to receive technical assistance and pilot proof of concepts, and gold cities are eligible for investment grants (standalone or as part of an ADB partnership or lending program) to be used to support the development of demonstration projects.</w:t>
      </w:r>
    </w:p>
    <w:p w14:paraId="256240A6"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ASEAN countries included in the program are Cambodia, Indonesia, Laos, Malaysia, Myanmar, Philippines, Thailand, and Vietnam. Twenty-four cities have been selected as bronze cities across the eight countries, while there are eleven silver cities, and it is envisaged that three cities become gold cities. Sectors and activities for participating cities are prioritised through a mix of city profiling, stakeholder consultations with city governments and DFAT posts, alignment with ADB partnership and lending program, ASEAN Smart City Network membership, and alignment with the ASEAN Sustainable Urbanisation Strategy. Task orders are then developed by the ADB (together with the AASCTF core team) to scope activities and enable mobilisation of task teams to carry out implementation of the pilot projects.</w:t>
      </w:r>
    </w:p>
    <w:p w14:paraId="4556E012"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The program also encourages participation with Australian organisations and the private sector, including the CSIRO. Regional twinning is being facilitated between participating ASEAN cities and appropriate mentor cities. Regional networking and capacity building has been progressed through introduction courses and videos to bronze cities, followed by baseline surveys to assess cities’ needs and gaps. The program has run a smart cities webinar series, with experts on smart initiatives that the AASCTF is developing in different sectors of the economy. AASCTF has also developed video products highlighting AASCTF impact stories and pilot project interventions, and digital solutions briefs that outline opportunities, benefits and pre-requisites for implementing digital solutions, showcasing case studies where city-wide application has occurred.</w:t>
      </w:r>
    </w:p>
    <w:p w14:paraId="30DEDC1F" w14:textId="77777777" w:rsidR="00EB0431" w:rsidRPr="00773EEA" w:rsidRDefault="00EB0431" w:rsidP="00EB0431">
      <w:pPr>
        <w:pStyle w:val="NormalWeb"/>
        <w:shd w:val="clear" w:color="auto" w:fill="FFFFFF"/>
        <w:spacing w:before="120" w:beforeAutospacing="0" w:after="120" w:afterAutospacing="0"/>
        <w:rPr>
          <w:rFonts w:ascii="Arial" w:hAnsi="Arial" w:cs="Arial"/>
          <w:b/>
          <w:bCs/>
          <w:sz w:val="20"/>
          <w:szCs w:val="20"/>
          <w:shd w:val="clear" w:color="auto" w:fill="FFFFFF"/>
        </w:rPr>
      </w:pPr>
      <w:r w:rsidRPr="00773EEA">
        <w:rPr>
          <w:rFonts w:ascii="Arial" w:hAnsi="Arial" w:cs="Arial"/>
          <w:b/>
          <w:bCs/>
          <w:sz w:val="20"/>
          <w:szCs w:val="20"/>
          <w:shd w:val="clear" w:color="auto" w:fill="FFFFFF"/>
        </w:rPr>
        <w:t>Purpose and Audience</w:t>
      </w:r>
    </w:p>
    <w:p w14:paraId="70AF52F9"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Mid-term Review (MTR) is a program management requirement by DFAT. The overall purpose of the MTR is to facilitate program improvement, including an assessment of the program’s effectiveness and efficiency of program management arrangements. The MTR should assess progress, review lessons learned and recommend any changes needed to improve implementation. The MTR should also analyse the potential usefulness of additional support in order to allow a decision on future funding.</w:t>
      </w:r>
    </w:p>
    <w:p w14:paraId="110EFFC3"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DFAT and the ADB will be the primary users of the MTR findings and recommendations. DFAT will, subject to approvals, publish it on the DFAT website.</w:t>
      </w:r>
    </w:p>
    <w:p w14:paraId="0776A580" w14:textId="77777777" w:rsidR="00EB0431" w:rsidRPr="00773EEA" w:rsidRDefault="00EB0431" w:rsidP="00EB0431">
      <w:pPr>
        <w:pStyle w:val="NormalWeb"/>
        <w:shd w:val="clear" w:color="auto" w:fill="FFFFFF"/>
        <w:spacing w:before="120" w:beforeAutospacing="0" w:after="120" w:afterAutospacing="0"/>
        <w:rPr>
          <w:rFonts w:ascii="Arial" w:hAnsi="Arial" w:cs="Arial"/>
          <w:b/>
          <w:bCs/>
          <w:sz w:val="20"/>
          <w:szCs w:val="20"/>
          <w:shd w:val="clear" w:color="auto" w:fill="FFFFFF"/>
        </w:rPr>
      </w:pPr>
      <w:r w:rsidRPr="00773EEA">
        <w:rPr>
          <w:rFonts w:ascii="Arial" w:hAnsi="Arial" w:cs="Arial"/>
          <w:b/>
          <w:bCs/>
          <w:sz w:val="20"/>
          <w:szCs w:val="20"/>
          <w:shd w:val="clear" w:color="auto" w:fill="FFFFFF"/>
        </w:rPr>
        <w:t>Scope of Work</w:t>
      </w:r>
    </w:p>
    <w:p w14:paraId="6DB7C1D1"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 xml:space="preserve">DFAT will contract an independent MTR team to review the Program. The MTR team will work in consultation with DFAT and ADB. Virtual meetings with multi-country stakeholders will be arranged as agreed by DFAT and ADB. </w:t>
      </w:r>
    </w:p>
    <w:p w14:paraId="3D93501C"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 xml:space="preserve">The MTR will assess and provide recommendations regarding the Program’s performance towards achieving outputs and outcomes under Year 1 and 2 implementation </w:t>
      </w:r>
      <w:proofErr w:type="gramStart"/>
      <w:r w:rsidRPr="00773EEA">
        <w:rPr>
          <w:rFonts w:ascii="Arial" w:hAnsi="Arial" w:cs="Arial"/>
          <w:sz w:val="20"/>
          <w:szCs w:val="20"/>
          <w:shd w:val="clear" w:color="auto" w:fill="FFFFFF"/>
        </w:rPr>
        <w:t>schedule</w:t>
      </w:r>
      <w:proofErr w:type="gramEnd"/>
      <w:r w:rsidRPr="00773EEA">
        <w:rPr>
          <w:rFonts w:ascii="Arial" w:hAnsi="Arial" w:cs="Arial"/>
          <w:sz w:val="20"/>
          <w:szCs w:val="20"/>
          <w:shd w:val="clear" w:color="auto" w:fill="FFFFFF"/>
        </w:rPr>
        <w:t>, including but not limited to the quality criteria of the Australian Aid Program, particularly effectiveness (including M&amp;E), efficiency, gender equality and risk. The assessment will also include the relevance of the Program’s objectives and structures in the context of the changing policy environment created by the impacts of COVID-19 pandemic.</w:t>
      </w:r>
    </w:p>
    <w:p w14:paraId="57750C46" w14:textId="77777777" w:rsidR="00EB0431" w:rsidRPr="00773EEA" w:rsidRDefault="00EB0431" w:rsidP="00EB0431">
      <w:pPr>
        <w:pStyle w:val="NormalWeb"/>
        <w:shd w:val="clear" w:color="auto" w:fill="FFFFFF"/>
        <w:spacing w:before="120" w:beforeAutospacing="0" w:after="120" w:afterAutospacing="0"/>
        <w:rPr>
          <w:rFonts w:ascii="Arial" w:hAnsi="Arial" w:cs="Arial"/>
          <w:sz w:val="20"/>
          <w:szCs w:val="20"/>
          <w:shd w:val="clear" w:color="auto" w:fill="FFFFFF"/>
        </w:rPr>
      </w:pPr>
      <w:r w:rsidRPr="00773EEA">
        <w:rPr>
          <w:rFonts w:ascii="Arial" w:hAnsi="Arial" w:cs="Arial"/>
          <w:sz w:val="20"/>
          <w:szCs w:val="20"/>
          <w:shd w:val="clear" w:color="auto" w:fill="FFFFFF"/>
        </w:rPr>
        <w:t>Key evaluation questions (KEQs) for the MTR are applied to both Pathways:</w:t>
      </w:r>
    </w:p>
    <w:p w14:paraId="4064CBEC"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KEQ 1: How likely and to what extent is AASCTF expected to achieve the objectives of the program? </w:t>
      </w:r>
    </w:p>
    <w:p w14:paraId="75EFE530" w14:textId="77777777" w:rsidR="00EB0431" w:rsidRPr="00773EEA" w:rsidRDefault="00EB0431" w:rsidP="00EB0431">
      <w:pPr>
        <w:pStyle w:val="Bullet1normal"/>
        <w:numPr>
          <w:ilvl w:val="0"/>
          <w:numId w:val="0"/>
        </w:numPr>
        <w:tabs>
          <w:tab w:val="left" w:pos="720"/>
        </w:tabs>
        <w:ind w:left="720"/>
        <w:jc w:val="both"/>
        <w:rPr>
          <w:rFonts w:ascii="Arial" w:hAnsi="Arial" w:cs="Arial"/>
          <w:sz w:val="20"/>
          <w:szCs w:val="20"/>
        </w:rPr>
      </w:pPr>
      <w:r w:rsidRPr="00773EEA">
        <w:rPr>
          <w:rFonts w:ascii="Arial" w:hAnsi="Arial" w:cs="Arial"/>
          <w:bCs/>
          <w:sz w:val="20"/>
          <w:szCs w:val="20"/>
          <w:lang w:val="en-US"/>
        </w:rPr>
        <w:t>Sub-questions for KEQ 1:</w:t>
      </w:r>
    </w:p>
    <w:p w14:paraId="0F385515" w14:textId="77777777" w:rsidR="00EB0431" w:rsidRPr="00773EEA" w:rsidRDefault="00EB0431" w:rsidP="00177735">
      <w:pPr>
        <w:pStyle w:val="ListParagraph"/>
        <w:numPr>
          <w:ilvl w:val="1"/>
          <w:numId w:val="16"/>
        </w:numPr>
        <w:spacing w:before="120" w:line="240" w:lineRule="auto"/>
        <w:rPr>
          <w:rFonts w:cs="Arial"/>
          <w:szCs w:val="20"/>
          <w:lang w:eastAsia="en-AU"/>
        </w:rPr>
      </w:pPr>
      <w:r w:rsidRPr="00773EEA">
        <w:rPr>
          <w:rFonts w:cs="Arial"/>
          <w:szCs w:val="20"/>
          <w:lang w:eastAsia="en-AU"/>
        </w:rPr>
        <w:t>To what extent did the AASCTF improve planning systems, service delivery and/or financial management in the participating cities?</w:t>
      </w:r>
    </w:p>
    <w:p w14:paraId="7F24B6CE" w14:textId="77777777" w:rsidR="00EB0431" w:rsidRPr="00773EEA" w:rsidRDefault="00EB0431" w:rsidP="00177735">
      <w:pPr>
        <w:pStyle w:val="ListParagraph"/>
        <w:numPr>
          <w:ilvl w:val="1"/>
          <w:numId w:val="16"/>
        </w:numPr>
        <w:spacing w:before="120" w:line="240" w:lineRule="auto"/>
        <w:rPr>
          <w:rFonts w:cs="Arial"/>
          <w:szCs w:val="20"/>
          <w:lang w:eastAsia="en-AU"/>
        </w:rPr>
      </w:pPr>
      <w:r w:rsidRPr="00773EEA">
        <w:rPr>
          <w:rFonts w:cs="Arial"/>
          <w:szCs w:val="20"/>
          <w:lang w:eastAsia="en-AU"/>
        </w:rPr>
        <w:t>How will sustainability be ensured after the program closes in 2024?</w:t>
      </w:r>
    </w:p>
    <w:p w14:paraId="3E85F52C" w14:textId="77777777" w:rsidR="00EB0431" w:rsidRPr="00773EEA" w:rsidRDefault="00EB0431" w:rsidP="00177735">
      <w:pPr>
        <w:pStyle w:val="ListParagraph"/>
        <w:numPr>
          <w:ilvl w:val="1"/>
          <w:numId w:val="16"/>
        </w:numPr>
        <w:spacing w:before="120" w:line="240" w:lineRule="auto"/>
        <w:rPr>
          <w:rFonts w:cs="Arial"/>
          <w:szCs w:val="20"/>
          <w:lang w:eastAsia="en-AU"/>
        </w:rPr>
      </w:pPr>
      <w:r w:rsidRPr="00773EEA">
        <w:rPr>
          <w:rFonts w:cs="Arial"/>
          <w:szCs w:val="20"/>
          <w:lang w:eastAsia="en-AU"/>
        </w:rPr>
        <w:t>Is AASCTF demonstrating approaches that can be replicated in other cities?</w:t>
      </w:r>
    </w:p>
    <w:p w14:paraId="341B6809" w14:textId="77777777" w:rsidR="00EB0431" w:rsidRPr="00773EEA" w:rsidRDefault="00EB0431" w:rsidP="00177735">
      <w:pPr>
        <w:pStyle w:val="ListParagraph"/>
        <w:numPr>
          <w:ilvl w:val="1"/>
          <w:numId w:val="16"/>
        </w:numPr>
        <w:spacing w:before="120" w:line="240" w:lineRule="auto"/>
        <w:rPr>
          <w:rFonts w:cs="Arial"/>
          <w:szCs w:val="20"/>
          <w:lang w:eastAsia="en-AU"/>
        </w:rPr>
      </w:pPr>
      <w:r w:rsidRPr="00773EEA">
        <w:rPr>
          <w:rFonts w:cs="Arial"/>
          <w:szCs w:val="20"/>
          <w:lang w:eastAsia="en-AU"/>
        </w:rPr>
        <w:t>How is the program supporting implementation of the ASEAN Sustainable Urbanisation Strategy?</w:t>
      </w:r>
    </w:p>
    <w:p w14:paraId="1A72ECF3" w14:textId="6702A1F2" w:rsidR="00EB0431" w:rsidRPr="00773EEA" w:rsidRDefault="00EB0431" w:rsidP="00177735">
      <w:pPr>
        <w:pStyle w:val="ListParagraph"/>
        <w:numPr>
          <w:ilvl w:val="1"/>
          <w:numId w:val="16"/>
        </w:numPr>
        <w:spacing w:before="120" w:line="240" w:lineRule="auto"/>
        <w:rPr>
          <w:rFonts w:cs="Arial"/>
          <w:szCs w:val="20"/>
          <w:lang w:eastAsia="en-AU"/>
        </w:rPr>
      </w:pPr>
      <w:r w:rsidRPr="00773EEA">
        <w:rPr>
          <w:rFonts w:cs="Arial"/>
          <w:szCs w:val="20"/>
          <w:shd w:val="clear" w:color="auto" w:fill="FFFFFF"/>
        </w:rPr>
        <w:lastRenderedPageBreak/>
        <w:t xml:space="preserve">What can be improved to ensure that the AASCTF will achieve the objectives of the </w:t>
      </w:r>
      <w:r w:rsidR="00157AAF" w:rsidRPr="00773EEA">
        <w:rPr>
          <w:rFonts w:cs="Arial"/>
          <w:szCs w:val="20"/>
          <w:shd w:val="clear" w:color="auto" w:fill="FFFFFF"/>
        </w:rPr>
        <w:t>program</w:t>
      </w:r>
      <w:r w:rsidRPr="00773EEA">
        <w:rPr>
          <w:rFonts w:cs="Arial"/>
          <w:szCs w:val="20"/>
          <w:shd w:val="clear" w:color="auto" w:fill="FFFFFF"/>
        </w:rPr>
        <w:t xml:space="preserve"> in the future?</w:t>
      </w:r>
    </w:p>
    <w:p w14:paraId="45F8EB49"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KEQ 2: How efficiently is AASCTF managing its resources? (Criterion – Efficiency). Is the program making appropriate use of Australia’s time and resources to achieve outcomes? </w:t>
      </w:r>
    </w:p>
    <w:p w14:paraId="79673485"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KEQ 3: Is the program making progress in effectively promoting gender equality and women’s empowerment in the program implementation? (Criterion – Gender Equality)</w:t>
      </w:r>
    </w:p>
    <w:p w14:paraId="0756CCD4"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KEQ 4: What are the key program risks (up to three) that may affect successfully achieving end of program outcomes? (Criterion – Risk).</w:t>
      </w:r>
    </w:p>
    <w:p w14:paraId="27FC93E5"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KEQ 5: How effectively has the program pivoted to address the impacts of COVID 19?</w:t>
      </w:r>
    </w:p>
    <w:p w14:paraId="1FC2787B" w14:textId="77777777" w:rsidR="00EB0431" w:rsidRPr="00773EEA" w:rsidRDefault="00EB0431" w:rsidP="00EB0431">
      <w:pPr>
        <w:pStyle w:val="Bullet1normal"/>
        <w:numPr>
          <w:ilvl w:val="0"/>
          <w:numId w:val="0"/>
        </w:numPr>
        <w:tabs>
          <w:tab w:val="left" w:pos="720"/>
        </w:tabs>
        <w:ind w:left="720"/>
        <w:jc w:val="both"/>
        <w:rPr>
          <w:rFonts w:ascii="Arial" w:hAnsi="Arial" w:cs="Arial"/>
          <w:sz w:val="20"/>
          <w:szCs w:val="20"/>
        </w:rPr>
      </w:pPr>
      <w:r w:rsidRPr="00773EEA">
        <w:rPr>
          <w:rFonts w:ascii="Arial" w:hAnsi="Arial" w:cs="Arial"/>
          <w:bCs/>
          <w:sz w:val="20"/>
          <w:szCs w:val="20"/>
          <w:lang w:val="en-US"/>
        </w:rPr>
        <w:t>Sub-questions for KEQ 1:</w:t>
      </w:r>
    </w:p>
    <w:p w14:paraId="0294DAAF" w14:textId="77777777" w:rsidR="00EB0431" w:rsidRPr="00773EEA" w:rsidRDefault="00EB0431" w:rsidP="00177735">
      <w:pPr>
        <w:pStyle w:val="ListParagraph"/>
        <w:numPr>
          <w:ilvl w:val="1"/>
          <w:numId w:val="16"/>
        </w:numPr>
        <w:spacing w:before="120" w:line="240" w:lineRule="auto"/>
        <w:rPr>
          <w:rFonts w:cs="Arial"/>
          <w:szCs w:val="20"/>
        </w:rPr>
      </w:pPr>
      <w:r w:rsidRPr="00773EEA">
        <w:rPr>
          <w:rFonts w:cs="Arial"/>
          <w:szCs w:val="20"/>
        </w:rPr>
        <w:t>noting the impacts of COVID 19 on implementation, should AASCTF be extended beyond 2024.</w:t>
      </w:r>
    </w:p>
    <w:p w14:paraId="23961071" w14:textId="77777777" w:rsidR="00EB0431" w:rsidRPr="00773EEA" w:rsidRDefault="00EB0431" w:rsidP="00EB0431">
      <w:pPr>
        <w:pStyle w:val="NormalWeb"/>
        <w:shd w:val="clear" w:color="auto" w:fill="FFFFFF"/>
        <w:spacing w:before="120" w:beforeAutospacing="0" w:after="120" w:afterAutospacing="0"/>
        <w:rPr>
          <w:rFonts w:ascii="Arial" w:hAnsi="Arial" w:cs="Arial"/>
          <w:b/>
          <w:bCs/>
          <w:sz w:val="20"/>
          <w:szCs w:val="20"/>
          <w:shd w:val="clear" w:color="auto" w:fill="FFFFFF"/>
        </w:rPr>
      </w:pPr>
      <w:r w:rsidRPr="00773EEA">
        <w:rPr>
          <w:rFonts w:ascii="Arial" w:hAnsi="Arial" w:cs="Arial"/>
          <w:b/>
          <w:bCs/>
          <w:sz w:val="20"/>
          <w:szCs w:val="20"/>
          <w:shd w:val="clear" w:color="auto" w:fill="FFFFFF"/>
        </w:rPr>
        <w:t>Team Composition and Role</w:t>
      </w:r>
    </w:p>
    <w:p w14:paraId="4F01809D" w14:textId="77777777" w:rsidR="00EB0431" w:rsidRPr="00773EEA" w:rsidRDefault="00EB0431" w:rsidP="00EB0431">
      <w:pPr>
        <w:pStyle w:val="NormalWeb"/>
        <w:shd w:val="clear" w:color="auto" w:fill="FFFFFF"/>
        <w:spacing w:before="0" w:beforeAutospacing="0"/>
        <w:rPr>
          <w:rFonts w:ascii="Arial" w:hAnsi="Arial" w:cs="Arial"/>
          <w:sz w:val="20"/>
          <w:szCs w:val="20"/>
          <w:shd w:val="clear" w:color="auto" w:fill="FFFFFF"/>
        </w:rPr>
      </w:pPr>
      <w:r w:rsidRPr="00773EEA">
        <w:rPr>
          <w:rFonts w:ascii="Arial" w:hAnsi="Arial" w:cs="Arial"/>
          <w:sz w:val="20"/>
          <w:szCs w:val="20"/>
          <w:shd w:val="clear" w:color="auto" w:fill="FFFFFF"/>
        </w:rPr>
        <w:t>The Mid-Term Review will be led by a Team Leader who has the following qualifications:</w:t>
      </w:r>
    </w:p>
    <w:p w14:paraId="07AFF569"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Excellent analytical, evaluation and communication (verbal and written) </w:t>
      </w:r>
      <w:proofErr w:type="gramStart"/>
      <w:r w:rsidRPr="00773EEA">
        <w:rPr>
          <w:rFonts w:cs="Arial"/>
          <w:szCs w:val="20"/>
        </w:rPr>
        <w:t>skills;</w:t>
      </w:r>
      <w:proofErr w:type="gramEnd"/>
    </w:p>
    <w:p w14:paraId="04665F9E"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A minimum of 10 years of experience designing, reviewing and/or evaluating donor-funded programs. </w:t>
      </w:r>
    </w:p>
    <w:p w14:paraId="666ED2CA"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Strong knowledge and experience in technical aspects of complex aid program </w:t>
      </w:r>
      <w:proofErr w:type="gramStart"/>
      <w:r w:rsidRPr="00773EEA">
        <w:rPr>
          <w:rFonts w:cs="Arial"/>
          <w:szCs w:val="20"/>
        </w:rPr>
        <w:t>management;</w:t>
      </w:r>
      <w:proofErr w:type="gramEnd"/>
    </w:p>
    <w:p w14:paraId="44997788"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Knowledge of the delivery and operation of donor-funded programs, or the ability to source this </w:t>
      </w:r>
      <w:proofErr w:type="gramStart"/>
      <w:r w:rsidRPr="00773EEA">
        <w:rPr>
          <w:rFonts w:cs="Arial"/>
          <w:szCs w:val="20"/>
        </w:rPr>
        <w:t>information;</w:t>
      </w:r>
      <w:proofErr w:type="gramEnd"/>
    </w:p>
    <w:p w14:paraId="4E8B88AD"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Knowledge of DFAT’s systems and </w:t>
      </w:r>
      <w:proofErr w:type="gramStart"/>
      <w:r w:rsidRPr="00773EEA">
        <w:rPr>
          <w:rFonts w:cs="Arial"/>
          <w:szCs w:val="20"/>
        </w:rPr>
        <w:t>policies;</w:t>
      </w:r>
      <w:proofErr w:type="gramEnd"/>
      <w:r w:rsidRPr="00773EEA">
        <w:rPr>
          <w:rFonts w:cs="Arial"/>
          <w:szCs w:val="20"/>
        </w:rPr>
        <w:t xml:space="preserve"> </w:t>
      </w:r>
    </w:p>
    <w:p w14:paraId="5A0740BE"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Ability to lead a small, multicultural evaluation team and empower team members. </w:t>
      </w:r>
    </w:p>
    <w:p w14:paraId="634BA871"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Fluency in English.</w:t>
      </w:r>
    </w:p>
    <w:p w14:paraId="6889D4B6"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The team will include a specialist/s with the following qualifications: Sound knowledge, understanding and experience regarding smart cities.</w:t>
      </w:r>
    </w:p>
    <w:p w14:paraId="0AB225E8"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Strong gender experience with knowledge on DFAT’s gender equality and diversity values.</w:t>
      </w:r>
    </w:p>
    <w:p w14:paraId="6F64FC50"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Knowledge of ADB operations is considered beneficial.</w:t>
      </w:r>
    </w:p>
    <w:p w14:paraId="10306A66" w14:textId="77777777" w:rsidR="00EB0431" w:rsidRPr="00773EEA" w:rsidRDefault="00EB0431" w:rsidP="00EB0431">
      <w:pPr>
        <w:pStyle w:val="ListParagraph"/>
        <w:tabs>
          <w:tab w:val="left" w:pos="425"/>
        </w:tabs>
        <w:spacing w:line="240" w:lineRule="auto"/>
        <w:ind w:left="425"/>
        <w:rPr>
          <w:rFonts w:cs="Arial"/>
          <w:szCs w:val="20"/>
        </w:rPr>
      </w:pPr>
    </w:p>
    <w:p w14:paraId="2C6E7CBC" w14:textId="77777777" w:rsidR="00EB0431" w:rsidRPr="00773EEA" w:rsidRDefault="00EB0431" w:rsidP="00EB0431">
      <w:pPr>
        <w:spacing w:line="240" w:lineRule="auto"/>
        <w:rPr>
          <w:rFonts w:cs="Arial"/>
          <w:szCs w:val="20"/>
        </w:rPr>
      </w:pPr>
      <w:r w:rsidRPr="00773EEA">
        <w:rPr>
          <w:rFonts w:cs="Arial"/>
          <w:szCs w:val="20"/>
        </w:rPr>
        <w:t xml:space="preserve">Additional </w:t>
      </w:r>
      <w:r w:rsidRPr="00773EEA">
        <w:rPr>
          <w:rFonts w:cs="Arial"/>
          <w:szCs w:val="20"/>
          <w:lang w:val="en-US"/>
        </w:rPr>
        <w:t xml:space="preserve">resources/team members </w:t>
      </w:r>
      <w:r w:rsidRPr="00773EEA">
        <w:rPr>
          <w:rFonts w:cs="Arial"/>
          <w:szCs w:val="20"/>
        </w:rPr>
        <w:t>may also be mobilised as required</w:t>
      </w:r>
      <w:r w:rsidRPr="00773EEA">
        <w:rPr>
          <w:rFonts w:cs="Arial"/>
          <w:szCs w:val="20"/>
          <w:lang w:val="en-US"/>
        </w:rPr>
        <w:t xml:space="preserve">. </w:t>
      </w:r>
      <w:r w:rsidRPr="00773EEA">
        <w:rPr>
          <w:rFonts w:cs="Arial"/>
          <w:szCs w:val="20"/>
        </w:rPr>
        <w:t>It is expected that the composition of the MTR team will reflect DFAT’s gender equality and diversity values.</w:t>
      </w:r>
    </w:p>
    <w:p w14:paraId="25B3FC2F" w14:textId="77777777" w:rsidR="00EB0431" w:rsidRPr="00773EEA" w:rsidRDefault="00EB0431" w:rsidP="00EB0431">
      <w:pPr>
        <w:tabs>
          <w:tab w:val="left" w:pos="425"/>
        </w:tabs>
        <w:spacing w:line="240" w:lineRule="auto"/>
        <w:rPr>
          <w:rFonts w:cs="Arial"/>
          <w:szCs w:val="20"/>
        </w:rPr>
      </w:pPr>
      <w:r w:rsidRPr="00773EEA">
        <w:rPr>
          <w:rFonts w:cs="Arial"/>
          <w:szCs w:val="20"/>
        </w:rPr>
        <w:t xml:space="preserve">The </w:t>
      </w:r>
      <w:r w:rsidRPr="00773EEA">
        <w:rPr>
          <w:rFonts w:cs="Arial"/>
          <w:szCs w:val="20"/>
          <w:lang w:val="en-US"/>
        </w:rPr>
        <w:t xml:space="preserve">Team Leader </w:t>
      </w:r>
      <w:r w:rsidRPr="00773EEA">
        <w:rPr>
          <w:rFonts w:cs="Arial"/>
          <w:szCs w:val="20"/>
        </w:rPr>
        <w:t>is responsible for developing the overall review approach and methodology, delivering a quality review report and effectively utilising the expertise of any additional team members in meeting the ToR.</w:t>
      </w:r>
    </w:p>
    <w:p w14:paraId="04DE6048" w14:textId="77777777" w:rsidR="00EB0431" w:rsidRPr="00773EEA" w:rsidRDefault="00EB0431" w:rsidP="00EB0431">
      <w:pPr>
        <w:rPr>
          <w:rFonts w:cs="Arial"/>
          <w:b/>
          <w:szCs w:val="20"/>
        </w:rPr>
      </w:pPr>
      <w:r w:rsidRPr="00773EEA">
        <w:rPr>
          <w:rFonts w:cs="Arial"/>
          <w:b/>
          <w:szCs w:val="20"/>
          <w:lang w:val="en-US"/>
        </w:rPr>
        <w:t xml:space="preserve">Mid-Term </w:t>
      </w:r>
      <w:r w:rsidRPr="00773EEA">
        <w:rPr>
          <w:rFonts w:cs="Arial"/>
          <w:b/>
          <w:szCs w:val="20"/>
        </w:rPr>
        <w:t xml:space="preserve">Review </w:t>
      </w:r>
      <w:r w:rsidRPr="00773EEA">
        <w:rPr>
          <w:rFonts w:cs="Arial"/>
          <w:b/>
          <w:szCs w:val="20"/>
          <w:lang w:val="en-US"/>
        </w:rPr>
        <w:t xml:space="preserve">(MTR) </w:t>
      </w:r>
      <w:r w:rsidRPr="00773EEA">
        <w:rPr>
          <w:rFonts w:cs="Arial"/>
          <w:b/>
          <w:szCs w:val="20"/>
        </w:rPr>
        <w:t>Process and Timeframes</w:t>
      </w:r>
    </w:p>
    <w:p w14:paraId="62206F63" w14:textId="77777777" w:rsidR="00EB0431" w:rsidRPr="00773EEA" w:rsidRDefault="00EB0431" w:rsidP="00EB0431">
      <w:pPr>
        <w:spacing w:line="240" w:lineRule="auto"/>
        <w:rPr>
          <w:rFonts w:cs="Arial"/>
          <w:szCs w:val="20"/>
        </w:rPr>
      </w:pPr>
      <w:r w:rsidRPr="00773EEA">
        <w:rPr>
          <w:rFonts w:cs="Arial"/>
          <w:szCs w:val="20"/>
        </w:rPr>
        <w:t>The MTR will consist of</w:t>
      </w:r>
      <w:r w:rsidRPr="00773EEA">
        <w:rPr>
          <w:rFonts w:cs="Arial"/>
          <w:szCs w:val="20"/>
          <w:lang w:val="en-US"/>
        </w:rPr>
        <w:t>:</w:t>
      </w:r>
    </w:p>
    <w:p w14:paraId="115E22E0"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a desk </w:t>
      </w:r>
      <w:proofErr w:type="gramStart"/>
      <w:r w:rsidRPr="00773EEA">
        <w:rPr>
          <w:rFonts w:cs="Arial"/>
          <w:szCs w:val="20"/>
        </w:rPr>
        <w:t>review;</w:t>
      </w:r>
      <w:proofErr w:type="gramEnd"/>
    </w:p>
    <w:p w14:paraId="636CB328"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interviews with key stakeholders. A proposed list of stakeholders to be consulted is available</w:t>
      </w:r>
      <w:r w:rsidRPr="00773EEA">
        <w:rPr>
          <w:rFonts w:cs="Arial"/>
          <w:szCs w:val="20"/>
          <w:lang w:val="en-US"/>
        </w:rPr>
        <w:t xml:space="preserve"> in Annex A. This list </w:t>
      </w:r>
      <w:r w:rsidRPr="00773EEA">
        <w:rPr>
          <w:rFonts w:cs="Arial"/>
          <w:szCs w:val="20"/>
        </w:rPr>
        <w:t>should be finalised by the Team Leader as part of the Review Plan.</w:t>
      </w:r>
    </w:p>
    <w:p w14:paraId="5C21DFD2"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The MTR is planned to occur over April to June 2022 (subject to COVID-19 constraints).</w:t>
      </w:r>
    </w:p>
    <w:p w14:paraId="1A945069" w14:textId="77777777" w:rsidR="00EB0431" w:rsidRPr="00773EEA" w:rsidRDefault="00EB0431" w:rsidP="00177735">
      <w:pPr>
        <w:pStyle w:val="ListParagraph"/>
        <w:numPr>
          <w:ilvl w:val="0"/>
          <w:numId w:val="16"/>
        </w:numPr>
        <w:spacing w:before="120" w:line="240" w:lineRule="auto"/>
        <w:rPr>
          <w:rFonts w:cs="Arial"/>
          <w:szCs w:val="20"/>
        </w:rPr>
      </w:pPr>
      <w:r w:rsidRPr="00773EEA">
        <w:rPr>
          <w:rFonts w:cs="Arial"/>
          <w:szCs w:val="20"/>
        </w:rPr>
        <w:t xml:space="preserve">The total MTR period of up to 29 input days for the Team Leader and up to 15 input days as required for team members includes time for desk review, development of an MTR plan, </w:t>
      </w:r>
      <w:r w:rsidRPr="00773EEA">
        <w:rPr>
          <w:rFonts w:cs="Arial"/>
          <w:szCs w:val="20"/>
          <w:lang w:val="en-US"/>
        </w:rPr>
        <w:t>e-consultations with countries</w:t>
      </w:r>
      <w:r w:rsidRPr="00773EEA">
        <w:rPr>
          <w:rFonts w:cs="Arial"/>
          <w:szCs w:val="20"/>
        </w:rPr>
        <w:t xml:space="preserve"> and the </w:t>
      </w:r>
      <w:r w:rsidRPr="00773EEA">
        <w:rPr>
          <w:rFonts w:cs="Arial"/>
          <w:szCs w:val="20"/>
          <w:lang w:val="en-US"/>
        </w:rPr>
        <w:t xml:space="preserve">program </w:t>
      </w:r>
      <w:r w:rsidRPr="00773EEA">
        <w:rPr>
          <w:rFonts w:cs="Arial"/>
          <w:szCs w:val="20"/>
        </w:rPr>
        <w:t xml:space="preserve">advisors (to be approved by DFAT following discussion with the Team Leader), </w:t>
      </w:r>
      <w:r w:rsidRPr="00773EEA">
        <w:rPr>
          <w:rFonts w:cs="Arial"/>
          <w:szCs w:val="20"/>
          <w:lang w:val="en-US"/>
        </w:rPr>
        <w:t>e-</w:t>
      </w:r>
      <w:r w:rsidRPr="00773EEA">
        <w:rPr>
          <w:rFonts w:cs="Arial"/>
          <w:szCs w:val="20"/>
        </w:rPr>
        <w:t>presentation of Aide Memoire and preparation of the MTR</w:t>
      </w:r>
      <w:r w:rsidRPr="00773EEA">
        <w:rPr>
          <w:rFonts w:cs="Arial"/>
          <w:szCs w:val="20"/>
          <w:lang w:val="en-US"/>
        </w:rPr>
        <w:t xml:space="preserve"> </w:t>
      </w:r>
      <w:r w:rsidRPr="00773EEA">
        <w:rPr>
          <w:rFonts w:cs="Arial"/>
          <w:szCs w:val="20"/>
        </w:rPr>
        <w:t>reports.</w:t>
      </w:r>
    </w:p>
    <w:p w14:paraId="46DD8CCF" w14:textId="77777777" w:rsidR="00EB0431" w:rsidRPr="00773EEA" w:rsidRDefault="00EB0431" w:rsidP="00177735">
      <w:pPr>
        <w:pStyle w:val="ListParagraph"/>
        <w:numPr>
          <w:ilvl w:val="0"/>
          <w:numId w:val="13"/>
        </w:numPr>
        <w:spacing w:before="120" w:line="240" w:lineRule="auto"/>
        <w:contextualSpacing w:val="0"/>
        <w:rPr>
          <w:rFonts w:cs="Arial"/>
          <w:szCs w:val="20"/>
        </w:rPr>
      </w:pPr>
      <w:r w:rsidRPr="00773EEA">
        <w:rPr>
          <w:rFonts w:cs="Arial"/>
          <w:szCs w:val="20"/>
        </w:rPr>
        <w:t>A tentative allocation of the Team Leader’s and team members’ inputs appears in the table below:</w:t>
      </w:r>
    </w:p>
    <w:p w14:paraId="3C6FB1AC" w14:textId="77777777" w:rsidR="00EB0431" w:rsidRPr="00773EEA" w:rsidRDefault="00EB0431" w:rsidP="00EB0431">
      <w:pPr>
        <w:pStyle w:val="ListParagraph"/>
        <w:spacing w:line="240" w:lineRule="auto"/>
        <w:ind w:left="0"/>
        <w:rPr>
          <w:rFonts w:cs="Arial"/>
          <w:szCs w:val="20"/>
        </w:rPr>
      </w:pPr>
    </w:p>
    <w:tbl>
      <w:tblPr>
        <w:tblStyle w:val="TableGrid"/>
        <w:tblW w:w="8789" w:type="dxa"/>
        <w:tblInd w:w="720" w:type="dxa"/>
        <w:tblLook w:val="04A0" w:firstRow="1" w:lastRow="0" w:firstColumn="1" w:lastColumn="0" w:noHBand="0" w:noVBand="1"/>
      </w:tblPr>
      <w:tblGrid>
        <w:gridCol w:w="1685"/>
        <w:gridCol w:w="1559"/>
        <w:gridCol w:w="1306"/>
        <w:gridCol w:w="1247"/>
        <w:gridCol w:w="2992"/>
      </w:tblGrid>
      <w:tr w:rsidR="00773EEA" w:rsidRPr="00773EEA" w14:paraId="65C498EA" w14:textId="77777777" w:rsidTr="00FD30CA">
        <w:trPr>
          <w:tblHeader/>
        </w:trPr>
        <w:tc>
          <w:tcPr>
            <w:tcW w:w="1684" w:type="dxa"/>
            <w:tcBorders>
              <w:top w:val="single" w:sz="4" w:space="0" w:color="auto"/>
              <w:left w:val="single" w:sz="4" w:space="0" w:color="auto"/>
              <w:bottom w:val="single" w:sz="4" w:space="0" w:color="auto"/>
              <w:right w:val="single" w:sz="4" w:space="0" w:color="auto"/>
            </w:tcBorders>
            <w:hideMark/>
          </w:tcPr>
          <w:p w14:paraId="23FFF079" w14:textId="77777777" w:rsidR="00EB0431" w:rsidRPr="00773EEA" w:rsidRDefault="00EB0431" w:rsidP="00394337">
            <w:pPr>
              <w:pStyle w:val="ListParagraph"/>
              <w:spacing w:line="240" w:lineRule="auto"/>
              <w:ind w:left="0"/>
              <w:jc w:val="center"/>
              <w:rPr>
                <w:rFonts w:cs="Arial"/>
                <w:b/>
                <w:szCs w:val="20"/>
              </w:rPr>
            </w:pPr>
            <w:r w:rsidRPr="00773EEA">
              <w:rPr>
                <w:rFonts w:cs="Arial"/>
                <w:b/>
                <w:szCs w:val="20"/>
              </w:rPr>
              <w:t>Task</w:t>
            </w:r>
          </w:p>
        </w:tc>
        <w:tc>
          <w:tcPr>
            <w:tcW w:w="1559" w:type="dxa"/>
            <w:tcBorders>
              <w:top w:val="single" w:sz="4" w:space="0" w:color="auto"/>
              <w:left w:val="single" w:sz="4" w:space="0" w:color="auto"/>
              <w:bottom w:val="single" w:sz="4" w:space="0" w:color="auto"/>
              <w:right w:val="single" w:sz="4" w:space="0" w:color="auto"/>
            </w:tcBorders>
            <w:hideMark/>
          </w:tcPr>
          <w:p w14:paraId="2CB91565" w14:textId="77777777" w:rsidR="00EB0431" w:rsidRPr="00773EEA" w:rsidRDefault="00EB0431" w:rsidP="00394337">
            <w:pPr>
              <w:pStyle w:val="ListParagraph"/>
              <w:spacing w:line="240" w:lineRule="auto"/>
              <w:ind w:left="0"/>
              <w:jc w:val="center"/>
              <w:rPr>
                <w:rFonts w:cs="Arial"/>
                <w:b/>
                <w:szCs w:val="20"/>
              </w:rPr>
            </w:pPr>
            <w:r w:rsidRPr="00773EEA">
              <w:rPr>
                <w:rFonts w:cs="Arial"/>
                <w:b/>
                <w:szCs w:val="20"/>
              </w:rPr>
              <w:t>Location</w:t>
            </w:r>
          </w:p>
        </w:tc>
        <w:tc>
          <w:tcPr>
            <w:tcW w:w="1306" w:type="dxa"/>
            <w:tcBorders>
              <w:top w:val="single" w:sz="4" w:space="0" w:color="auto"/>
              <w:left w:val="single" w:sz="4" w:space="0" w:color="auto"/>
              <w:bottom w:val="single" w:sz="4" w:space="0" w:color="auto"/>
              <w:right w:val="single" w:sz="4" w:space="0" w:color="auto"/>
            </w:tcBorders>
            <w:hideMark/>
          </w:tcPr>
          <w:p w14:paraId="53768973" w14:textId="77777777" w:rsidR="00EB0431" w:rsidRPr="00773EEA" w:rsidRDefault="00EB0431" w:rsidP="00394337">
            <w:pPr>
              <w:pStyle w:val="ListParagraph"/>
              <w:spacing w:line="240" w:lineRule="auto"/>
              <w:ind w:left="0"/>
              <w:jc w:val="center"/>
              <w:rPr>
                <w:rFonts w:cs="Arial"/>
                <w:b/>
                <w:szCs w:val="20"/>
                <w:lang w:val="en-US"/>
              </w:rPr>
            </w:pPr>
            <w:r w:rsidRPr="00773EEA">
              <w:rPr>
                <w:rFonts w:cs="Arial"/>
                <w:b/>
                <w:szCs w:val="20"/>
              </w:rPr>
              <w:t>Input</w:t>
            </w:r>
            <w:r w:rsidRPr="00773EEA">
              <w:rPr>
                <w:rFonts w:cs="Arial"/>
                <w:b/>
                <w:szCs w:val="20"/>
                <w:lang w:val="en-US"/>
              </w:rPr>
              <w:t xml:space="preserve"> days Team Leader</w:t>
            </w:r>
          </w:p>
        </w:tc>
        <w:tc>
          <w:tcPr>
            <w:tcW w:w="1247" w:type="dxa"/>
            <w:tcBorders>
              <w:top w:val="single" w:sz="4" w:space="0" w:color="auto"/>
              <w:left w:val="single" w:sz="4" w:space="0" w:color="auto"/>
              <w:bottom w:val="single" w:sz="4" w:space="0" w:color="auto"/>
              <w:right w:val="single" w:sz="4" w:space="0" w:color="auto"/>
            </w:tcBorders>
            <w:hideMark/>
          </w:tcPr>
          <w:p w14:paraId="0583DEBE" w14:textId="77777777" w:rsidR="00EB0431" w:rsidRPr="00773EEA" w:rsidRDefault="00EB0431" w:rsidP="00394337">
            <w:pPr>
              <w:pStyle w:val="ListParagraph"/>
              <w:spacing w:line="240" w:lineRule="auto"/>
              <w:ind w:left="0"/>
              <w:jc w:val="center"/>
              <w:rPr>
                <w:rFonts w:cs="Arial"/>
                <w:b/>
                <w:szCs w:val="20"/>
              </w:rPr>
            </w:pPr>
            <w:r w:rsidRPr="00773EEA">
              <w:rPr>
                <w:rFonts w:cs="Arial"/>
                <w:b/>
                <w:szCs w:val="20"/>
              </w:rPr>
              <w:t>Input days Team Members</w:t>
            </w:r>
          </w:p>
        </w:tc>
        <w:tc>
          <w:tcPr>
            <w:tcW w:w="2993" w:type="dxa"/>
            <w:tcBorders>
              <w:top w:val="single" w:sz="4" w:space="0" w:color="auto"/>
              <w:left w:val="single" w:sz="4" w:space="0" w:color="auto"/>
              <w:bottom w:val="single" w:sz="4" w:space="0" w:color="auto"/>
              <w:right w:val="single" w:sz="4" w:space="0" w:color="auto"/>
            </w:tcBorders>
            <w:hideMark/>
          </w:tcPr>
          <w:p w14:paraId="2F04C9F5" w14:textId="77777777" w:rsidR="00EB0431" w:rsidRPr="00773EEA" w:rsidRDefault="00EB0431" w:rsidP="00394337">
            <w:pPr>
              <w:pStyle w:val="ListParagraph"/>
              <w:spacing w:line="240" w:lineRule="auto"/>
              <w:ind w:left="0"/>
              <w:jc w:val="center"/>
              <w:rPr>
                <w:rFonts w:cs="Arial"/>
                <w:b/>
                <w:szCs w:val="20"/>
              </w:rPr>
            </w:pPr>
            <w:r w:rsidRPr="00773EEA">
              <w:rPr>
                <w:rFonts w:cs="Arial"/>
                <w:b/>
                <w:szCs w:val="20"/>
              </w:rPr>
              <w:t>Output</w:t>
            </w:r>
          </w:p>
        </w:tc>
      </w:tr>
      <w:tr w:rsidR="00773EEA" w:rsidRPr="00773EEA" w14:paraId="054FF0AD"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422B2BD7" w14:textId="77777777" w:rsidR="00EB0431" w:rsidRPr="00773EEA" w:rsidRDefault="00EB0431" w:rsidP="00394337">
            <w:pPr>
              <w:pStyle w:val="ListParagraph"/>
              <w:spacing w:line="240" w:lineRule="auto"/>
              <w:ind w:left="0"/>
              <w:rPr>
                <w:rFonts w:cs="Arial"/>
                <w:szCs w:val="20"/>
              </w:rPr>
            </w:pPr>
            <w:r w:rsidRPr="00773EEA">
              <w:rPr>
                <w:rFonts w:cs="Arial"/>
                <w:szCs w:val="20"/>
              </w:rPr>
              <w:t>Desk Review &amp; Appraisal</w:t>
            </w:r>
          </w:p>
        </w:tc>
        <w:tc>
          <w:tcPr>
            <w:tcW w:w="1559" w:type="dxa"/>
            <w:tcBorders>
              <w:top w:val="single" w:sz="4" w:space="0" w:color="auto"/>
              <w:left w:val="single" w:sz="4" w:space="0" w:color="auto"/>
              <w:bottom w:val="single" w:sz="4" w:space="0" w:color="auto"/>
              <w:right w:val="single" w:sz="4" w:space="0" w:color="auto"/>
            </w:tcBorders>
            <w:hideMark/>
          </w:tcPr>
          <w:p w14:paraId="0D3DA0FD" w14:textId="77777777" w:rsidR="00EB0431" w:rsidRPr="00773EEA" w:rsidRDefault="00EB0431" w:rsidP="00394337">
            <w:pPr>
              <w:pStyle w:val="ListParagraph"/>
              <w:spacing w:line="240" w:lineRule="auto"/>
              <w:ind w:left="0"/>
              <w:rPr>
                <w:rFonts w:cs="Arial"/>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1055C123"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5</w:t>
            </w:r>
          </w:p>
        </w:tc>
        <w:tc>
          <w:tcPr>
            <w:tcW w:w="1247" w:type="dxa"/>
            <w:tcBorders>
              <w:top w:val="single" w:sz="4" w:space="0" w:color="auto"/>
              <w:left w:val="single" w:sz="4" w:space="0" w:color="auto"/>
              <w:bottom w:val="single" w:sz="4" w:space="0" w:color="auto"/>
              <w:right w:val="single" w:sz="4" w:space="0" w:color="auto"/>
            </w:tcBorders>
            <w:hideMark/>
          </w:tcPr>
          <w:p w14:paraId="44DF0A2C"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3</w:t>
            </w:r>
          </w:p>
        </w:tc>
        <w:tc>
          <w:tcPr>
            <w:tcW w:w="2993" w:type="dxa"/>
            <w:tcBorders>
              <w:top w:val="single" w:sz="4" w:space="0" w:color="auto"/>
              <w:left w:val="single" w:sz="4" w:space="0" w:color="auto"/>
              <w:bottom w:val="single" w:sz="4" w:space="0" w:color="auto"/>
              <w:right w:val="single" w:sz="4" w:space="0" w:color="auto"/>
            </w:tcBorders>
            <w:hideMark/>
          </w:tcPr>
          <w:p w14:paraId="3B960523" w14:textId="77777777" w:rsidR="00EB0431" w:rsidRPr="00773EEA" w:rsidRDefault="00EB0431" w:rsidP="00394337">
            <w:pPr>
              <w:pStyle w:val="ListParagraph"/>
              <w:spacing w:line="240" w:lineRule="auto"/>
              <w:ind w:left="0"/>
              <w:rPr>
                <w:rFonts w:cs="Arial"/>
                <w:szCs w:val="20"/>
              </w:rPr>
            </w:pPr>
            <w:r w:rsidRPr="00773EEA">
              <w:rPr>
                <w:rFonts w:cs="Arial"/>
                <w:szCs w:val="20"/>
              </w:rPr>
              <w:t>Desk analysis as an input to the MTR</w:t>
            </w:r>
            <w:r w:rsidRPr="00773EEA">
              <w:rPr>
                <w:rFonts w:cs="Arial"/>
                <w:szCs w:val="20"/>
                <w:lang w:val="en-US"/>
              </w:rPr>
              <w:t xml:space="preserve"> </w:t>
            </w:r>
            <w:r w:rsidRPr="00773EEA">
              <w:rPr>
                <w:rFonts w:cs="Arial"/>
                <w:szCs w:val="20"/>
              </w:rPr>
              <w:t xml:space="preserve">plan </w:t>
            </w:r>
          </w:p>
        </w:tc>
      </w:tr>
      <w:tr w:rsidR="00773EEA" w:rsidRPr="00773EEA" w14:paraId="3823EFAD"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66D0D1F8" w14:textId="77777777" w:rsidR="00EB0431" w:rsidRPr="00773EEA" w:rsidRDefault="00EB0431" w:rsidP="00394337">
            <w:pPr>
              <w:pStyle w:val="ListParagraph"/>
              <w:spacing w:line="240" w:lineRule="auto"/>
              <w:ind w:left="0"/>
              <w:rPr>
                <w:rFonts w:cs="Arial"/>
                <w:szCs w:val="20"/>
              </w:rPr>
            </w:pPr>
            <w:r w:rsidRPr="00773EEA">
              <w:rPr>
                <w:rFonts w:cs="Arial"/>
                <w:szCs w:val="20"/>
              </w:rPr>
              <w:t>Team Meeting (online)</w:t>
            </w:r>
          </w:p>
        </w:tc>
        <w:tc>
          <w:tcPr>
            <w:tcW w:w="1559" w:type="dxa"/>
            <w:tcBorders>
              <w:top w:val="single" w:sz="4" w:space="0" w:color="auto"/>
              <w:left w:val="single" w:sz="4" w:space="0" w:color="auto"/>
              <w:bottom w:val="single" w:sz="4" w:space="0" w:color="auto"/>
              <w:right w:val="single" w:sz="4" w:space="0" w:color="auto"/>
            </w:tcBorders>
            <w:hideMark/>
          </w:tcPr>
          <w:p w14:paraId="74140EFA" w14:textId="77777777" w:rsidR="00EB0431" w:rsidRPr="00773EEA" w:rsidRDefault="00EB0431" w:rsidP="00394337">
            <w:pPr>
              <w:pStyle w:val="ListParagraph"/>
              <w:spacing w:line="240" w:lineRule="auto"/>
              <w:ind w:left="0"/>
              <w:rPr>
                <w:rFonts w:cs="Arial"/>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408F7EA3"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3</w:t>
            </w:r>
          </w:p>
        </w:tc>
        <w:tc>
          <w:tcPr>
            <w:tcW w:w="1247" w:type="dxa"/>
            <w:tcBorders>
              <w:top w:val="single" w:sz="4" w:space="0" w:color="auto"/>
              <w:left w:val="single" w:sz="4" w:space="0" w:color="auto"/>
              <w:bottom w:val="single" w:sz="4" w:space="0" w:color="auto"/>
              <w:right w:val="single" w:sz="4" w:space="0" w:color="auto"/>
            </w:tcBorders>
            <w:hideMark/>
          </w:tcPr>
          <w:p w14:paraId="5BFA09C1"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3</w:t>
            </w:r>
          </w:p>
        </w:tc>
        <w:tc>
          <w:tcPr>
            <w:tcW w:w="2993" w:type="dxa"/>
            <w:tcBorders>
              <w:top w:val="single" w:sz="4" w:space="0" w:color="auto"/>
              <w:left w:val="single" w:sz="4" w:space="0" w:color="auto"/>
              <w:bottom w:val="single" w:sz="4" w:space="0" w:color="auto"/>
              <w:right w:val="single" w:sz="4" w:space="0" w:color="auto"/>
            </w:tcBorders>
            <w:hideMark/>
          </w:tcPr>
          <w:p w14:paraId="22552973" w14:textId="77777777" w:rsidR="00EB0431" w:rsidRPr="00773EEA" w:rsidRDefault="00EB0431" w:rsidP="00394337">
            <w:pPr>
              <w:pStyle w:val="ListParagraph"/>
              <w:spacing w:line="240" w:lineRule="auto"/>
              <w:ind w:left="0"/>
              <w:rPr>
                <w:rFonts w:cs="Arial"/>
                <w:szCs w:val="20"/>
              </w:rPr>
            </w:pPr>
            <w:r w:rsidRPr="00773EEA">
              <w:rPr>
                <w:rFonts w:cs="Arial"/>
                <w:szCs w:val="20"/>
              </w:rPr>
              <w:t>Team discussion on the MTR plan, findings and reports</w:t>
            </w:r>
          </w:p>
        </w:tc>
      </w:tr>
      <w:tr w:rsidR="00773EEA" w:rsidRPr="00773EEA" w14:paraId="4D374B20"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55AEA3F3" w14:textId="77777777" w:rsidR="00EB0431" w:rsidRPr="00773EEA" w:rsidRDefault="00EB0431" w:rsidP="00394337">
            <w:pPr>
              <w:pStyle w:val="ListParagraph"/>
              <w:spacing w:line="240" w:lineRule="auto"/>
              <w:ind w:left="0"/>
              <w:rPr>
                <w:rFonts w:cs="Arial"/>
                <w:szCs w:val="20"/>
              </w:rPr>
            </w:pPr>
            <w:r w:rsidRPr="00773EEA">
              <w:rPr>
                <w:rFonts w:cs="Arial"/>
                <w:szCs w:val="20"/>
              </w:rPr>
              <w:t>Development of Mid-Term Review Plan</w:t>
            </w:r>
          </w:p>
        </w:tc>
        <w:tc>
          <w:tcPr>
            <w:tcW w:w="1559" w:type="dxa"/>
            <w:tcBorders>
              <w:top w:val="single" w:sz="4" w:space="0" w:color="auto"/>
              <w:left w:val="single" w:sz="4" w:space="0" w:color="auto"/>
              <w:bottom w:val="single" w:sz="4" w:space="0" w:color="auto"/>
              <w:right w:val="single" w:sz="4" w:space="0" w:color="auto"/>
            </w:tcBorders>
            <w:hideMark/>
          </w:tcPr>
          <w:p w14:paraId="27D494E5" w14:textId="77777777" w:rsidR="00EB0431" w:rsidRPr="00773EEA" w:rsidRDefault="00EB0431" w:rsidP="00394337">
            <w:pPr>
              <w:pStyle w:val="ListParagraph"/>
              <w:spacing w:line="240" w:lineRule="auto"/>
              <w:ind w:left="0"/>
              <w:rPr>
                <w:rFonts w:cs="Arial"/>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2160D316"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2</w:t>
            </w:r>
          </w:p>
        </w:tc>
        <w:tc>
          <w:tcPr>
            <w:tcW w:w="1247" w:type="dxa"/>
            <w:tcBorders>
              <w:top w:val="single" w:sz="4" w:space="0" w:color="auto"/>
              <w:left w:val="single" w:sz="4" w:space="0" w:color="auto"/>
              <w:bottom w:val="single" w:sz="4" w:space="0" w:color="auto"/>
              <w:right w:val="single" w:sz="4" w:space="0" w:color="auto"/>
            </w:tcBorders>
            <w:hideMark/>
          </w:tcPr>
          <w:p w14:paraId="1A8EA7D2"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1</w:t>
            </w:r>
          </w:p>
        </w:tc>
        <w:tc>
          <w:tcPr>
            <w:tcW w:w="2993" w:type="dxa"/>
            <w:tcBorders>
              <w:top w:val="single" w:sz="4" w:space="0" w:color="auto"/>
              <w:left w:val="single" w:sz="4" w:space="0" w:color="auto"/>
              <w:bottom w:val="single" w:sz="4" w:space="0" w:color="auto"/>
              <w:right w:val="single" w:sz="4" w:space="0" w:color="auto"/>
            </w:tcBorders>
            <w:hideMark/>
          </w:tcPr>
          <w:p w14:paraId="6DC8D8EF" w14:textId="77777777" w:rsidR="00EB0431" w:rsidRPr="00773EEA" w:rsidRDefault="00EB0431" w:rsidP="00394337">
            <w:pPr>
              <w:pStyle w:val="ListParagraph"/>
              <w:spacing w:line="240" w:lineRule="auto"/>
              <w:ind w:left="0"/>
              <w:rPr>
                <w:rFonts w:cs="Arial"/>
                <w:szCs w:val="20"/>
              </w:rPr>
            </w:pPr>
            <w:r w:rsidRPr="00773EEA">
              <w:rPr>
                <w:rFonts w:cs="Arial"/>
                <w:szCs w:val="20"/>
              </w:rPr>
              <w:t>MTR Plan to be submitted to DFAT within 2 weeks from desk review start date/one week prior to consultation</w:t>
            </w:r>
          </w:p>
        </w:tc>
      </w:tr>
      <w:tr w:rsidR="00773EEA" w:rsidRPr="00773EEA" w14:paraId="53238B0D"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5D49DFAB" w14:textId="77777777" w:rsidR="00EB0431" w:rsidRPr="00773EEA" w:rsidRDefault="00EB0431" w:rsidP="00394337">
            <w:pPr>
              <w:pStyle w:val="ListParagraph"/>
              <w:spacing w:line="240" w:lineRule="auto"/>
              <w:ind w:left="0"/>
              <w:rPr>
                <w:rFonts w:cs="Arial"/>
                <w:szCs w:val="20"/>
              </w:rPr>
            </w:pPr>
            <w:r w:rsidRPr="00773EEA">
              <w:rPr>
                <w:rFonts w:cs="Arial"/>
                <w:szCs w:val="20"/>
              </w:rPr>
              <w:t>E-consultations with stakeholders</w:t>
            </w:r>
          </w:p>
        </w:tc>
        <w:tc>
          <w:tcPr>
            <w:tcW w:w="1559" w:type="dxa"/>
            <w:tcBorders>
              <w:top w:val="single" w:sz="4" w:space="0" w:color="auto"/>
              <w:left w:val="single" w:sz="4" w:space="0" w:color="auto"/>
              <w:bottom w:val="single" w:sz="4" w:space="0" w:color="auto"/>
              <w:right w:val="single" w:sz="4" w:space="0" w:color="auto"/>
            </w:tcBorders>
            <w:hideMark/>
          </w:tcPr>
          <w:p w14:paraId="7616832D" w14:textId="77777777" w:rsidR="00EB0431" w:rsidRPr="00773EEA" w:rsidRDefault="00EB0431" w:rsidP="00394337">
            <w:pPr>
              <w:pStyle w:val="ListParagraph"/>
              <w:spacing w:line="240" w:lineRule="auto"/>
              <w:ind w:left="0"/>
              <w:rPr>
                <w:rFonts w:cs="Arial"/>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58B3504E"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9</w:t>
            </w:r>
          </w:p>
        </w:tc>
        <w:tc>
          <w:tcPr>
            <w:tcW w:w="1247" w:type="dxa"/>
            <w:tcBorders>
              <w:top w:val="single" w:sz="4" w:space="0" w:color="auto"/>
              <w:left w:val="single" w:sz="4" w:space="0" w:color="auto"/>
              <w:bottom w:val="single" w:sz="4" w:space="0" w:color="auto"/>
              <w:right w:val="single" w:sz="4" w:space="0" w:color="auto"/>
            </w:tcBorders>
            <w:hideMark/>
          </w:tcPr>
          <w:p w14:paraId="721C9D05" w14:textId="77777777" w:rsidR="00EB0431" w:rsidRPr="00773EEA" w:rsidRDefault="00EB0431" w:rsidP="00394337">
            <w:pPr>
              <w:pStyle w:val="ListParagraph"/>
              <w:spacing w:line="240" w:lineRule="auto"/>
              <w:ind w:left="0"/>
              <w:jc w:val="center"/>
              <w:rPr>
                <w:rFonts w:cs="Arial"/>
                <w:szCs w:val="20"/>
                <w:lang w:val="en-US"/>
              </w:rPr>
            </w:pPr>
            <w:r w:rsidRPr="00773EEA">
              <w:rPr>
                <w:rFonts w:cs="Arial"/>
                <w:szCs w:val="20"/>
                <w:lang w:val="en-US"/>
              </w:rPr>
              <w:t>9</w:t>
            </w:r>
          </w:p>
        </w:tc>
        <w:tc>
          <w:tcPr>
            <w:tcW w:w="2993" w:type="dxa"/>
            <w:tcBorders>
              <w:top w:val="single" w:sz="4" w:space="0" w:color="auto"/>
              <w:left w:val="single" w:sz="4" w:space="0" w:color="auto"/>
              <w:bottom w:val="single" w:sz="4" w:space="0" w:color="auto"/>
              <w:right w:val="single" w:sz="4" w:space="0" w:color="auto"/>
            </w:tcBorders>
            <w:hideMark/>
          </w:tcPr>
          <w:p w14:paraId="4EC0BD1B" w14:textId="77777777" w:rsidR="00EB0431" w:rsidRPr="00773EEA" w:rsidRDefault="00EB0431" w:rsidP="00394337">
            <w:pPr>
              <w:pStyle w:val="ListParagraph"/>
              <w:spacing w:line="240" w:lineRule="auto"/>
              <w:ind w:left="0"/>
              <w:rPr>
                <w:rFonts w:cs="Arial"/>
                <w:b/>
                <w:szCs w:val="20"/>
              </w:rPr>
            </w:pPr>
            <w:r w:rsidRPr="00773EEA">
              <w:rPr>
                <w:rFonts w:cs="Arial"/>
                <w:szCs w:val="20"/>
                <w:lang w:val="en-US"/>
              </w:rPr>
              <w:t>Team Leader</w:t>
            </w:r>
            <w:r w:rsidRPr="00773EEA">
              <w:rPr>
                <w:rFonts w:cs="Arial"/>
                <w:szCs w:val="20"/>
              </w:rPr>
              <w:t xml:space="preserve"> should consult with DFAT and ADB re the </w:t>
            </w:r>
            <w:r w:rsidRPr="00773EEA">
              <w:rPr>
                <w:rFonts w:cs="Arial"/>
                <w:szCs w:val="20"/>
                <w:lang w:val="en-US"/>
              </w:rPr>
              <w:t xml:space="preserve">stakeholders to be consulted </w:t>
            </w:r>
            <w:r w:rsidRPr="00773EEA">
              <w:rPr>
                <w:rFonts w:cs="Arial"/>
                <w:szCs w:val="20"/>
              </w:rPr>
              <w:lastRenderedPageBreak/>
              <w:t>as part of the MTR Plan development.</w:t>
            </w:r>
          </w:p>
        </w:tc>
      </w:tr>
      <w:tr w:rsidR="00773EEA" w:rsidRPr="00773EEA" w14:paraId="7E8FAEE9"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159A4E30" w14:textId="77777777" w:rsidR="00EB0431" w:rsidRPr="00773EEA" w:rsidRDefault="00EB0431" w:rsidP="00394337">
            <w:pPr>
              <w:pStyle w:val="ListParagraph"/>
              <w:spacing w:line="240" w:lineRule="auto"/>
              <w:ind w:left="0"/>
              <w:rPr>
                <w:rFonts w:cs="Arial"/>
                <w:szCs w:val="20"/>
              </w:rPr>
            </w:pPr>
            <w:r w:rsidRPr="00773EEA">
              <w:rPr>
                <w:rFonts w:cs="Arial"/>
                <w:szCs w:val="20"/>
              </w:rPr>
              <w:lastRenderedPageBreak/>
              <w:t>Aide Memoire Drafting and presentation (online)</w:t>
            </w:r>
          </w:p>
        </w:tc>
        <w:tc>
          <w:tcPr>
            <w:tcW w:w="1559" w:type="dxa"/>
            <w:tcBorders>
              <w:top w:val="single" w:sz="4" w:space="0" w:color="auto"/>
              <w:left w:val="single" w:sz="4" w:space="0" w:color="auto"/>
              <w:bottom w:val="single" w:sz="4" w:space="0" w:color="auto"/>
              <w:right w:val="single" w:sz="4" w:space="0" w:color="auto"/>
            </w:tcBorders>
            <w:hideMark/>
          </w:tcPr>
          <w:p w14:paraId="5BB64075" w14:textId="77777777" w:rsidR="00EB0431" w:rsidRPr="00773EEA" w:rsidRDefault="00EB0431" w:rsidP="00394337">
            <w:pPr>
              <w:pStyle w:val="ListParagraph"/>
              <w:spacing w:line="240" w:lineRule="auto"/>
              <w:ind w:left="0"/>
              <w:rPr>
                <w:rFonts w:cs="Arial"/>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79D3AB1B"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2</w:t>
            </w:r>
          </w:p>
        </w:tc>
        <w:tc>
          <w:tcPr>
            <w:tcW w:w="1247" w:type="dxa"/>
            <w:tcBorders>
              <w:top w:val="single" w:sz="4" w:space="0" w:color="auto"/>
              <w:left w:val="single" w:sz="4" w:space="0" w:color="auto"/>
              <w:bottom w:val="single" w:sz="4" w:space="0" w:color="auto"/>
              <w:right w:val="single" w:sz="4" w:space="0" w:color="auto"/>
            </w:tcBorders>
            <w:hideMark/>
          </w:tcPr>
          <w:p w14:paraId="48582C82"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1</w:t>
            </w:r>
          </w:p>
        </w:tc>
        <w:tc>
          <w:tcPr>
            <w:tcW w:w="2993" w:type="dxa"/>
            <w:tcBorders>
              <w:top w:val="single" w:sz="4" w:space="0" w:color="auto"/>
              <w:left w:val="single" w:sz="4" w:space="0" w:color="auto"/>
              <w:bottom w:val="single" w:sz="4" w:space="0" w:color="auto"/>
              <w:right w:val="single" w:sz="4" w:space="0" w:color="auto"/>
            </w:tcBorders>
            <w:hideMark/>
          </w:tcPr>
          <w:p w14:paraId="79B0613F" w14:textId="77777777" w:rsidR="00EB0431" w:rsidRPr="00773EEA" w:rsidRDefault="00EB0431" w:rsidP="00394337">
            <w:pPr>
              <w:pStyle w:val="ListParagraph"/>
              <w:spacing w:line="240" w:lineRule="auto"/>
              <w:ind w:left="0"/>
              <w:rPr>
                <w:rFonts w:cs="Arial"/>
                <w:szCs w:val="20"/>
                <w:lang w:val="en-US"/>
              </w:rPr>
            </w:pPr>
            <w:r w:rsidRPr="00773EEA">
              <w:rPr>
                <w:rFonts w:cs="Arial"/>
                <w:szCs w:val="20"/>
              </w:rPr>
              <w:t>Aide Memoir</w:t>
            </w:r>
            <w:r w:rsidRPr="00773EEA">
              <w:rPr>
                <w:rFonts w:cs="Arial"/>
                <w:szCs w:val="20"/>
                <w:lang w:val="en-US"/>
              </w:rPr>
              <w:t>e</w:t>
            </w:r>
            <w:r w:rsidRPr="00773EEA">
              <w:rPr>
                <w:rFonts w:cs="Arial"/>
                <w:szCs w:val="20"/>
              </w:rPr>
              <w:t xml:space="preserve"> discussion with DFAT and ADB</w:t>
            </w:r>
          </w:p>
        </w:tc>
      </w:tr>
      <w:tr w:rsidR="00773EEA" w:rsidRPr="00773EEA" w14:paraId="6C92575F"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693618C1" w14:textId="77777777" w:rsidR="00EB0431" w:rsidRPr="00773EEA" w:rsidRDefault="00EB0431" w:rsidP="00394337">
            <w:pPr>
              <w:pStyle w:val="ListParagraph"/>
              <w:spacing w:line="240" w:lineRule="auto"/>
              <w:ind w:left="0"/>
              <w:rPr>
                <w:rFonts w:cs="Arial"/>
                <w:szCs w:val="20"/>
              </w:rPr>
            </w:pPr>
            <w:r w:rsidRPr="00773EEA">
              <w:rPr>
                <w:rFonts w:cs="Arial"/>
                <w:szCs w:val="20"/>
              </w:rPr>
              <w:t xml:space="preserve">Drafting Mid-Term Review Report </w:t>
            </w:r>
          </w:p>
        </w:tc>
        <w:tc>
          <w:tcPr>
            <w:tcW w:w="1559" w:type="dxa"/>
            <w:tcBorders>
              <w:top w:val="single" w:sz="4" w:space="0" w:color="auto"/>
              <w:left w:val="single" w:sz="4" w:space="0" w:color="auto"/>
              <w:bottom w:val="single" w:sz="4" w:space="0" w:color="auto"/>
              <w:right w:val="single" w:sz="4" w:space="0" w:color="auto"/>
            </w:tcBorders>
            <w:hideMark/>
          </w:tcPr>
          <w:p w14:paraId="5B60848B" w14:textId="77777777" w:rsidR="00EB0431" w:rsidRPr="00773EEA" w:rsidRDefault="00EB0431" w:rsidP="00394337">
            <w:pPr>
              <w:pStyle w:val="ListParagraph"/>
              <w:spacing w:line="240" w:lineRule="auto"/>
              <w:ind w:left="0"/>
              <w:rPr>
                <w:rFonts w:cs="Arial"/>
                <w:b/>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20C9BFEF" w14:textId="77777777" w:rsidR="00EB0431" w:rsidRPr="00773EEA" w:rsidRDefault="00EB0431" w:rsidP="00394337">
            <w:pPr>
              <w:pStyle w:val="ListParagraph"/>
              <w:spacing w:line="240" w:lineRule="auto"/>
              <w:ind w:left="0"/>
              <w:jc w:val="center"/>
              <w:rPr>
                <w:rFonts w:cs="Arial"/>
                <w:b/>
                <w:szCs w:val="20"/>
                <w:lang w:val="en-US"/>
              </w:rPr>
            </w:pPr>
            <w:r w:rsidRPr="00773EEA">
              <w:rPr>
                <w:rFonts w:cs="Arial"/>
                <w:bCs/>
                <w:szCs w:val="20"/>
                <w:lang w:val="en-US"/>
              </w:rPr>
              <w:t>6</w:t>
            </w:r>
          </w:p>
        </w:tc>
        <w:tc>
          <w:tcPr>
            <w:tcW w:w="1247" w:type="dxa"/>
            <w:tcBorders>
              <w:top w:val="single" w:sz="4" w:space="0" w:color="auto"/>
              <w:left w:val="single" w:sz="4" w:space="0" w:color="auto"/>
              <w:bottom w:val="single" w:sz="4" w:space="0" w:color="auto"/>
              <w:right w:val="single" w:sz="4" w:space="0" w:color="auto"/>
            </w:tcBorders>
            <w:hideMark/>
          </w:tcPr>
          <w:p w14:paraId="76D4FBD4"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2</w:t>
            </w:r>
          </w:p>
        </w:tc>
        <w:tc>
          <w:tcPr>
            <w:tcW w:w="2993" w:type="dxa"/>
            <w:tcBorders>
              <w:top w:val="single" w:sz="4" w:space="0" w:color="auto"/>
              <w:left w:val="single" w:sz="4" w:space="0" w:color="auto"/>
              <w:bottom w:val="single" w:sz="4" w:space="0" w:color="auto"/>
              <w:right w:val="single" w:sz="4" w:space="0" w:color="auto"/>
            </w:tcBorders>
            <w:hideMark/>
          </w:tcPr>
          <w:p w14:paraId="63CDE335" w14:textId="77777777" w:rsidR="00EB0431" w:rsidRPr="00773EEA" w:rsidRDefault="00EB0431" w:rsidP="00394337">
            <w:pPr>
              <w:pStyle w:val="ListParagraph"/>
              <w:spacing w:line="240" w:lineRule="auto"/>
              <w:ind w:left="0"/>
              <w:rPr>
                <w:rFonts w:cs="Arial"/>
                <w:szCs w:val="20"/>
                <w:lang w:val="en-US"/>
              </w:rPr>
            </w:pPr>
            <w:r w:rsidRPr="00773EEA">
              <w:rPr>
                <w:rFonts w:cs="Arial"/>
                <w:szCs w:val="20"/>
              </w:rPr>
              <w:t xml:space="preserve">Draft report to be submitted to DFAT within two weeks of completion of stakeholder consultations. The draft final MTR report by the AASCTF Board (comprising of DFAT and ADB officials) will provide comments. </w:t>
            </w:r>
          </w:p>
        </w:tc>
      </w:tr>
      <w:tr w:rsidR="00773EEA" w:rsidRPr="00773EEA" w14:paraId="2A90B711" w14:textId="77777777" w:rsidTr="00394337">
        <w:tc>
          <w:tcPr>
            <w:tcW w:w="1684" w:type="dxa"/>
            <w:tcBorders>
              <w:top w:val="single" w:sz="4" w:space="0" w:color="auto"/>
              <w:left w:val="single" w:sz="4" w:space="0" w:color="auto"/>
              <w:bottom w:val="single" w:sz="4" w:space="0" w:color="auto"/>
              <w:right w:val="single" w:sz="4" w:space="0" w:color="auto"/>
            </w:tcBorders>
            <w:hideMark/>
          </w:tcPr>
          <w:p w14:paraId="452EBFA9" w14:textId="77777777" w:rsidR="00EB0431" w:rsidRPr="00773EEA" w:rsidRDefault="00EB0431" w:rsidP="00394337">
            <w:pPr>
              <w:pStyle w:val="ListParagraph"/>
              <w:spacing w:line="240" w:lineRule="auto"/>
              <w:ind w:left="0"/>
              <w:rPr>
                <w:rFonts w:cs="Arial"/>
                <w:szCs w:val="20"/>
              </w:rPr>
            </w:pPr>
            <w:r w:rsidRPr="00773EEA">
              <w:rPr>
                <w:rFonts w:cs="Arial"/>
                <w:szCs w:val="20"/>
              </w:rPr>
              <w:t>Finalisation of Mid-Term Review Report</w:t>
            </w:r>
          </w:p>
        </w:tc>
        <w:tc>
          <w:tcPr>
            <w:tcW w:w="1559" w:type="dxa"/>
            <w:tcBorders>
              <w:top w:val="single" w:sz="4" w:space="0" w:color="auto"/>
              <w:left w:val="single" w:sz="4" w:space="0" w:color="auto"/>
              <w:bottom w:val="single" w:sz="4" w:space="0" w:color="auto"/>
              <w:right w:val="single" w:sz="4" w:space="0" w:color="auto"/>
            </w:tcBorders>
            <w:hideMark/>
          </w:tcPr>
          <w:p w14:paraId="2D7BA2D1" w14:textId="77777777" w:rsidR="00EB0431" w:rsidRPr="00773EEA" w:rsidRDefault="00EB0431" w:rsidP="00394337">
            <w:pPr>
              <w:pStyle w:val="ListParagraph"/>
              <w:spacing w:line="240" w:lineRule="auto"/>
              <w:ind w:left="0"/>
              <w:rPr>
                <w:rFonts w:cs="Arial"/>
                <w:b/>
                <w:szCs w:val="20"/>
              </w:rPr>
            </w:pPr>
            <w:r w:rsidRPr="00773EEA">
              <w:rPr>
                <w:rFonts w:cs="Arial"/>
                <w:szCs w:val="20"/>
              </w:rPr>
              <w:t>Home country</w:t>
            </w:r>
          </w:p>
        </w:tc>
        <w:tc>
          <w:tcPr>
            <w:tcW w:w="1306" w:type="dxa"/>
            <w:tcBorders>
              <w:top w:val="single" w:sz="4" w:space="0" w:color="auto"/>
              <w:left w:val="single" w:sz="4" w:space="0" w:color="auto"/>
              <w:bottom w:val="single" w:sz="4" w:space="0" w:color="auto"/>
              <w:right w:val="single" w:sz="4" w:space="0" w:color="auto"/>
            </w:tcBorders>
            <w:hideMark/>
          </w:tcPr>
          <w:p w14:paraId="7B21FF65" w14:textId="77777777" w:rsidR="00EB0431" w:rsidRPr="00773EEA" w:rsidRDefault="00EB0431" w:rsidP="00394337">
            <w:pPr>
              <w:pStyle w:val="ListParagraph"/>
              <w:spacing w:line="240" w:lineRule="auto"/>
              <w:ind w:left="0"/>
              <w:jc w:val="center"/>
              <w:rPr>
                <w:rFonts w:cs="Arial"/>
                <w:b/>
                <w:szCs w:val="20"/>
                <w:lang w:val="en-US"/>
              </w:rPr>
            </w:pPr>
            <w:r w:rsidRPr="00773EEA">
              <w:rPr>
                <w:rFonts w:cs="Arial"/>
                <w:bCs/>
                <w:szCs w:val="20"/>
              </w:rPr>
              <w:t>2</w:t>
            </w:r>
          </w:p>
        </w:tc>
        <w:tc>
          <w:tcPr>
            <w:tcW w:w="1247" w:type="dxa"/>
            <w:tcBorders>
              <w:top w:val="single" w:sz="4" w:space="0" w:color="auto"/>
              <w:left w:val="single" w:sz="4" w:space="0" w:color="auto"/>
              <w:bottom w:val="single" w:sz="4" w:space="0" w:color="auto"/>
              <w:right w:val="single" w:sz="4" w:space="0" w:color="auto"/>
            </w:tcBorders>
            <w:hideMark/>
          </w:tcPr>
          <w:p w14:paraId="624FACDE" w14:textId="77777777" w:rsidR="00EB0431" w:rsidRPr="00773EEA" w:rsidRDefault="00EB0431" w:rsidP="00394337">
            <w:pPr>
              <w:pStyle w:val="ListParagraph"/>
              <w:spacing w:line="240" w:lineRule="auto"/>
              <w:ind w:left="0"/>
              <w:jc w:val="center"/>
              <w:rPr>
                <w:rFonts w:cs="Arial"/>
                <w:szCs w:val="20"/>
              </w:rPr>
            </w:pPr>
            <w:r w:rsidRPr="00773EEA">
              <w:rPr>
                <w:rFonts w:cs="Arial"/>
                <w:szCs w:val="20"/>
              </w:rPr>
              <w:t>1</w:t>
            </w:r>
          </w:p>
        </w:tc>
        <w:tc>
          <w:tcPr>
            <w:tcW w:w="2993" w:type="dxa"/>
            <w:tcBorders>
              <w:top w:val="single" w:sz="4" w:space="0" w:color="auto"/>
              <w:left w:val="single" w:sz="4" w:space="0" w:color="auto"/>
              <w:bottom w:val="single" w:sz="4" w:space="0" w:color="auto"/>
              <w:right w:val="single" w:sz="4" w:space="0" w:color="auto"/>
            </w:tcBorders>
            <w:hideMark/>
          </w:tcPr>
          <w:p w14:paraId="25A79F23" w14:textId="77777777" w:rsidR="00EB0431" w:rsidRPr="00773EEA" w:rsidRDefault="00EB0431" w:rsidP="00394337">
            <w:pPr>
              <w:pStyle w:val="ListParagraph"/>
              <w:spacing w:line="240" w:lineRule="auto"/>
              <w:ind w:left="0"/>
              <w:rPr>
                <w:rFonts w:cs="Arial"/>
                <w:b/>
                <w:szCs w:val="20"/>
              </w:rPr>
            </w:pPr>
            <w:r w:rsidRPr="00773EEA">
              <w:rPr>
                <w:rFonts w:cs="Arial"/>
                <w:szCs w:val="20"/>
              </w:rPr>
              <w:t>Final report to be submitted to DFAT within one week of</w:t>
            </w:r>
            <w:r w:rsidRPr="00773EEA">
              <w:rPr>
                <w:rFonts w:cs="Arial"/>
                <w:b/>
                <w:szCs w:val="20"/>
              </w:rPr>
              <w:t xml:space="preserve"> </w:t>
            </w:r>
            <w:r w:rsidRPr="00773EEA">
              <w:rPr>
                <w:rFonts w:cs="Arial"/>
                <w:szCs w:val="20"/>
              </w:rPr>
              <w:t>receiving DFAT’s comments on the draft report</w:t>
            </w:r>
          </w:p>
        </w:tc>
      </w:tr>
      <w:tr w:rsidR="00773EEA" w:rsidRPr="00773EEA" w14:paraId="34AE4388" w14:textId="77777777" w:rsidTr="005F1785">
        <w:tc>
          <w:tcPr>
            <w:tcW w:w="1685" w:type="dxa"/>
            <w:tcBorders>
              <w:top w:val="single" w:sz="4" w:space="0" w:color="auto"/>
              <w:left w:val="single" w:sz="4" w:space="0" w:color="auto"/>
              <w:bottom w:val="single" w:sz="4" w:space="0" w:color="auto"/>
              <w:right w:val="single" w:sz="4" w:space="0" w:color="auto"/>
            </w:tcBorders>
            <w:hideMark/>
          </w:tcPr>
          <w:p w14:paraId="4A71F0DB" w14:textId="77777777" w:rsidR="00F2243F" w:rsidRPr="00773EEA" w:rsidRDefault="00F2243F" w:rsidP="00394337">
            <w:pPr>
              <w:pStyle w:val="ListParagraph"/>
              <w:spacing w:line="240" w:lineRule="auto"/>
              <w:ind w:left="0"/>
              <w:jc w:val="center"/>
              <w:rPr>
                <w:rFonts w:cs="Arial"/>
                <w:b/>
                <w:szCs w:val="20"/>
              </w:rPr>
            </w:pPr>
            <w:r w:rsidRPr="00773EEA">
              <w:rPr>
                <w:rFonts w:cs="Arial"/>
                <w:b/>
                <w:szCs w:val="20"/>
              </w:rPr>
              <w:t>Total days of input</w:t>
            </w:r>
          </w:p>
        </w:tc>
        <w:tc>
          <w:tcPr>
            <w:tcW w:w="1558" w:type="dxa"/>
            <w:tcBorders>
              <w:top w:val="single" w:sz="4" w:space="0" w:color="auto"/>
              <w:left w:val="single" w:sz="4" w:space="0" w:color="auto"/>
              <w:bottom w:val="single" w:sz="4" w:space="0" w:color="auto"/>
              <w:right w:val="single" w:sz="4" w:space="0" w:color="auto"/>
            </w:tcBorders>
          </w:tcPr>
          <w:p w14:paraId="0CCBC73E" w14:textId="47956C8B" w:rsidR="00F2243F" w:rsidRPr="00773EEA" w:rsidRDefault="00F2243F" w:rsidP="00394337">
            <w:pPr>
              <w:pStyle w:val="ListParagraph"/>
              <w:spacing w:line="240" w:lineRule="auto"/>
              <w:ind w:left="0"/>
              <w:jc w:val="center"/>
              <w:rPr>
                <w:rFonts w:cs="Arial"/>
                <w:b/>
                <w:szCs w:val="20"/>
              </w:rPr>
            </w:pPr>
          </w:p>
        </w:tc>
        <w:tc>
          <w:tcPr>
            <w:tcW w:w="1306" w:type="dxa"/>
            <w:tcBorders>
              <w:top w:val="single" w:sz="4" w:space="0" w:color="auto"/>
              <w:left w:val="single" w:sz="4" w:space="0" w:color="auto"/>
              <w:bottom w:val="single" w:sz="4" w:space="0" w:color="auto"/>
              <w:right w:val="single" w:sz="4" w:space="0" w:color="auto"/>
            </w:tcBorders>
            <w:hideMark/>
          </w:tcPr>
          <w:p w14:paraId="00A7549E" w14:textId="77777777" w:rsidR="00F2243F" w:rsidRPr="00773EEA" w:rsidRDefault="00F2243F" w:rsidP="00394337">
            <w:pPr>
              <w:pStyle w:val="ListParagraph"/>
              <w:spacing w:line="240" w:lineRule="auto"/>
              <w:ind w:left="0"/>
              <w:jc w:val="center"/>
              <w:rPr>
                <w:rFonts w:cs="Arial"/>
                <w:b/>
                <w:bCs/>
                <w:szCs w:val="20"/>
              </w:rPr>
            </w:pPr>
            <w:r w:rsidRPr="00773EEA">
              <w:rPr>
                <w:rFonts w:cs="Arial"/>
                <w:b/>
                <w:bCs/>
                <w:szCs w:val="20"/>
              </w:rPr>
              <w:t>29</w:t>
            </w:r>
          </w:p>
        </w:tc>
        <w:tc>
          <w:tcPr>
            <w:tcW w:w="1247" w:type="dxa"/>
            <w:tcBorders>
              <w:top w:val="single" w:sz="4" w:space="0" w:color="auto"/>
              <w:left w:val="single" w:sz="4" w:space="0" w:color="auto"/>
              <w:bottom w:val="single" w:sz="4" w:space="0" w:color="auto"/>
              <w:right w:val="single" w:sz="4" w:space="0" w:color="auto"/>
            </w:tcBorders>
            <w:hideMark/>
          </w:tcPr>
          <w:p w14:paraId="2E65E2A1" w14:textId="77777777" w:rsidR="00F2243F" w:rsidRPr="00773EEA" w:rsidRDefault="00F2243F" w:rsidP="00394337">
            <w:pPr>
              <w:pStyle w:val="ListParagraph"/>
              <w:spacing w:line="240" w:lineRule="auto"/>
              <w:ind w:left="0"/>
              <w:jc w:val="center"/>
              <w:rPr>
                <w:rFonts w:cs="Arial"/>
                <w:b/>
                <w:szCs w:val="20"/>
              </w:rPr>
            </w:pPr>
            <w:r w:rsidRPr="00773EEA">
              <w:rPr>
                <w:rFonts w:cs="Arial"/>
                <w:b/>
                <w:szCs w:val="20"/>
              </w:rPr>
              <w:t>20</w:t>
            </w:r>
          </w:p>
        </w:tc>
        <w:tc>
          <w:tcPr>
            <w:tcW w:w="2993" w:type="dxa"/>
            <w:tcBorders>
              <w:top w:val="single" w:sz="4" w:space="0" w:color="auto"/>
              <w:left w:val="single" w:sz="4" w:space="0" w:color="auto"/>
              <w:bottom w:val="single" w:sz="4" w:space="0" w:color="auto"/>
              <w:right w:val="single" w:sz="4" w:space="0" w:color="auto"/>
            </w:tcBorders>
          </w:tcPr>
          <w:p w14:paraId="15B3FAEE" w14:textId="77777777" w:rsidR="00F2243F" w:rsidRPr="00773EEA" w:rsidRDefault="00F2243F" w:rsidP="00394337">
            <w:pPr>
              <w:pStyle w:val="ListParagraph"/>
              <w:spacing w:line="240" w:lineRule="auto"/>
              <w:ind w:left="0"/>
              <w:rPr>
                <w:rFonts w:cs="Arial"/>
                <w:b/>
                <w:szCs w:val="20"/>
              </w:rPr>
            </w:pPr>
          </w:p>
        </w:tc>
      </w:tr>
    </w:tbl>
    <w:p w14:paraId="1C618A0B" w14:textId="77777777" w:rsidR="00EB0431" w:rsidRPr="00773EEA" w:rsidRDefault="00EB0431" w:rsidP="00EB0431">
      <w:pPr>
        <w:pStyle w:val="ListParagraph"/>
        <w:snapToGrid w:val="0"/>
        <w:spacing w:after="0" w:line="240" w:lineRule="auto"/>
        <w:ind w:left="0"/>
        <w:rPr>
          <w:rFonts w:cs="Arial"/>
          <w:b/>
          <w:szCs w:val="20"/>
        </w:rPr>
      </w:pPr>
    </w:p>
    <w:p w14:paraId="64F98AB8" w14:textId="77777777" w:rsidR="00EB0431" w:rsidRPr="00773EEA" w:rsidRDefault="00EB0431" w:rsidP="00EB0431">
      <w:pPr>
        <w:pStyle w:val="ListParagraph"/>
        <w:snapToGrid w:val="0"/>
        <w:spacing w:after="0" w:line="240" w:lineRule="auto"/>
        <w:ind w:left="0"/>
        <w:rPr>
          <w:rFonts w:cs="Arial"/>
          <w:b/>
          <w:szCs w:val="20"/>
        </w:rPr>
      </w:pPr>
    </w:p>
    <w:p w14:paraId="544B984F" w14:textId="77777777" w:rsidR="00EB0431" w:rsidRPr="00773EEA" w:rsidRDefault="00EB0431" w:rsidP="00EB0431">
      <w:pPr>
        <w:snapToGrid w:val="0"/>
        <w:spacing w:after="0" w:line="240" w:lineRule="auto"/>
        <w:rPr>
          <w:rFonts w:cs="Arial"/>
          <w:b/>
          <w:szCs w:val="20"/>
        </w:rPr>
      </w:pPr>
      <w:r w:rsidRPr="00773EEA">
        <w:rPr>
          <w:rFonts w:cs="Arial"/>
          <w:b/>
          <w:szCs w:val="20"/>
          <w:lang w:val="en-US"/>
        </w:rPr>
        <w:t xml:space="preserve"> </w:t>
      </w:r>
      <w:r w:rsidRPr="00773EEA">
        <w:rPr>
          <w:rFonts w:cs="Arial"/>
          <w:b/>
          <w:szCs w:val="20"/>
        </w:rPr>
        <w:t>Reporting and Output Requirements</w:t>
      </w:r>
    </w:p>
    <w:p w14:paraId="731F0096" w14:textId="77777777" w:rsidR="00EB0431" w:rsidRPr="00773EEA" w:rsidRDefault="00EB0431" w:rsidP="00177735">
      <w:pPr>
        <w:pStyle w:val="ListParagraph"/>
        <w:numPr>
          <w:ilvl w:val="0"/>
          <w:numId w:val="17"/>
        </w:numPr>
        <w:spacing w:before="120" w:line="240" w:lineRule="auto"/>
        <w:rPr>
          <w:rFonts w:cs="Arial"/>
          <w:szCs w:val="20"/>
        </w:rPr>
      </w:pPr>
      <w:r w:rsidRPr="00773EEA">
        <w:rPr>
          <w:rFonts w:cs="Arial"/>
          <w:b/>
          <w:szCs w:val="20"/>
        </w:rPr>
        <w:t xml:space="preserve">Mid-Term Review Plan </w:t>
      </w:r>
      <w:r w:rsidRPr="00773EEA">
        <w:rPr>
          <w:rFonts w:cs="Arial"/>
          <w:szCs w:val="20"/>
        </w:rPr>
        <w:t>of</w:t>
      </w:r>
      <w:r w:rsidRPr="00773EEA">
        <w:rPr>
          <w:rFonts w:cs="Arial"/>
          <w:b/>
          <w:szCs w:val="20"/>
        </w:rPr>
        <w:t xml:space="preserve"> </w:t>
      </w:r>
      <w:r w:rsidRPr="00773EEA">
        <w:rPr>
          <w:rFonts w:cs="Arial"/>
          <w:szCs w:val="20"/>
        </w:rPr>
        <w:t xml:space="preserve">no more than seven pages will outline the scope and methodology of the review. It will include the methodology for assessing program outcomes; the process for information collection and analysis, including tools such as questionnaires and/or detailed separate set of questions to be asked during the consultations; identification of any challenges anticipated in achieving the review objectives; allocation of tasks; key timelines; consultation schedules identifying key stakeholders to be consulted and the purpose of consultations; and other activities to be undertaken (as necessary). The </w:t>
      </w:r>
      <w:r w:rsidRPr="00773EEA">
        <w:rPr>
          <w:rFonts w:cs="Arial"/>
          <w:szCs w:val="20"/>
          <w:lang w:val="en-US"/>
        </w:rPr>
        <w:t xml:space="preserve">MTR </w:t>
      </w:r>
      <w:r w:rsidRPr="00773EEA">
        <w:rPr>
          <w:rFonts w:cs="Arial"/>
          <w:szCs w:val="20"/>
        </w:rPr>
        <w:t xml:space="preserve">Review Plan will be submitted electronically to DFAT one week prior to the initial </w:t>
      </w:r>
      <w:r w:rsidRPr="00773EEA">
        <w:rPr>
          <w:rFonts w:cs="Arial"/>
          <w:szCs w:val="20"/>
          <w:lang w:val="en-US"/>
        </w:rPr>
        <w:t xml:space="preserve">online </w:t>
      </w:r>
      <w:r w:rsidRPr="00773EEA">
        <w:rPr>
          <w:rFonts w:cs="Arial"/>
          <w:szCs w:val="20"/>
        </w:rPr>
        <w:t>meeting with DFAT.</w:t>
      </w:r>
    </w:p>
    <w:p w14:paraId="07667E4B" w14:textId="77777777" w:rsidR="00EB0431" w:rsidRPr="00773EEA" w:rsidRDefault="00EB0431" w:rsidP="00177735">
      <w:pPr>
        <w:pStyle w:val="ListParagraph"/>
        <w:numPr>
          <w:ilvl w:val="0"/>
          <w:numId w:val="17"/>
        </w:numPr>
        <w:spacing w:before="120" w:line="240" w:lineRule="auto"/>
        <w:rPr>
          <w:rFonts w:cs="Arial"/>
          <w:szCs w:val="20"/>
        </w:rPr>
      </w:pPr>
      <w:r w:rsidRPr="00773EEA">
        <w:rPr>
          <w:rFonts w:cs="Arial"/>
          <w:b/>
          <w:szCs w:val="20"/>
        </w:rPr>
        <w:t xml:space="preserve">Aide Memoire </w:t>
      </w:r>
      <w:r w:rsidRPr="00773EEA">
        <w:rPr>
          <w:rFonts w:cs="Arial"/>
          <w:szCs w:val="20"/>
        </w:rPr>
        <w:t>of</w:t>
      </w:r>
      <w:r w:rsidRPr="00773EEA">
        <w:rPr>
          <w:rFonts w:cs="Arial"/>
          <w:b/>
          <w:szCs w:val="20"/>
        </w:rPr>
        <w:t xml:space="preserve"> </w:t>
      </w:r>
      <w:r w:rsidRPr="00773EEA">
        <w:rPr>
          <w:rFonts w:cs="Arial"/>
          <w:szCs w:val="20"/>
        </w:rPr>
        <w:t xml:space="preserve">no more than 5 pages on key findings during the </w:t>
      </w:r>
      <w:r w:rsidRPr="00773EEA">
        <w:rPr>
          <w:rFonts w:cs="Arial"/>
          <w:szCs w:val="20"/>
          <w:lang w:val="en-US"/>
        </w:rPr>
        <w:t>consultations</w:t>
      </w:r>
      <w:r w:rsidRPr="00773EEA">
        <w:rPr>
          <w:rFonts w:cs="Arial"/>
          <w:szCs w:val="20"/>
        </w:rPr>
        <w:t>, to be prepared based on DFAT’s Aide Memoire template (See Annex B). The team will have approximately two days to work on the Aide Memoire, and the Team Leader will present it to DFAT and ADB through an hour of videoconference.</w:t>
      </w:r>
    </w:p>
    <w:p w14:paraId="0207CA35" w14:textId="77777777" w:rsidR="00EB0431" w:rsidRPr="00773EEA" w:rsidRDefault="00EB0431" w:rsidP="00177735">
      <w:pPr>
        <w:pStyle w:val="ListParagraph"/>
        <w:numPr>
          <w:ilvl w:val="0"/>
          <w:numId w:val="17"/>
        </w:numPr>
        <w:spacing w:before="120" w:line="240" w:lineRule="auto"/>
        <w:rPr>
          <w:rFonts w:cs="Arial"/>
          <w:szCs w:val="20"/>
        </w:rPr>
      </w:pPr>
      <w:r w:rsidRPr="00773EEA">
        <w:rPr>
          <w:rFonts w:cs="Arial"/>
          <w:b/>
          <w:szCs w:val="20"/>
        </w:rPr>
        <w:t xml:space="preserve">First Draft Report of the </w:t>
      </w:r>
      <w:r w:rsidRPr="00773EEA">
        <w:rPr>
          <w:rFonts w:cs="Arial"/>
          <w:b/>
          <w:szCs w:val="20"/>
          <w:lang w:val="en-US"/>
        </w:rPr>
        <w:t xml:space="preserve">Mid-Term </w:t>
      </w:r>
      <w:r w:rsidRPr="00773EEA">
        <w:rPr>
          <w:rFonts w:cs="Arial"/>
          <w:b/>
          <w:szCs w:val="20"/>
        </w:rPr>
        <w:t>Review</w:t>
      </w:r>
      <w:r w:rsidRPr="00773EEA">
        <w:rPr>
          <w:rFonts w:cs="Arial"/>
          <w:szCs w:val="20"/>
        </w:rPr>
        <w:t xml:space="preserve"> of no more than 25 pages, excluding an executive summary and annexes, should be submitted electronically to DFAT for comments within two weeks of the end of the </w:t>
      </w:r>
      <w:r w:rsidRPr="00773EEA">
        <w:rPr>
          <w:rFonts w:cs="Arial"/>
          <w:szCs w:val="20"/>
          <w:lang w:val="en-US"/>
        </w:rPr>
        <w:t>consultations with countries</w:t>
      </w:r>
      <w:r w:rsidRPr="00773EEA">
        <w:rPr>
          <w:rFonts w:cs="Arial"/>
          <w:szCs w:val="20"/>
        </w:rPr>
        <w:t>. The review report must meet DFAT’s Monitoring and Evaluation Standards for Evaluation Reports and the DFAT’s Ethical Research and Evaluation Guidance Note, and should be a brief, clear and cogent summary of the review outcomes, addressing at least the Review Scope and Key Questions set out a</w:t>
      </w:r>
      <w:r w:rsidRPr="00773EEA">
        <w:rPr>
          <w:rFonts w:cs="Arial"/>
          <w:szCs w:val="20"/>
          <w:lang w:val="en-US"/>
        </w:rPr>
        <w:t>t</w:t>
      </w:r>
      <w:r w:rsidRPr="00773EEA">
        <w:rPr>
          <w:rFonts w:cs="Arial"/>
          <w:szCs w:val="20"/>
        </w:rPr>
        <w:t xml:space="preserve"> Part C above, providing a balanced analysis of relevant issues and recommendations for improvement. </w:t>
      </w:r>
    </w:p>
    <w:p w14:paraId="7FE50740" w14:textId="77777777" w:rsidR="00EB0431" w:rsidRPr="00773EEA" w:rsidRDefault="00EB0431" w:rsidP="00177735">
      <w:pPr>
        <w:pStyle w:val="ListParagraph"/>
        <w:numPr>
          <w:ilvl w:val="0"/>
          <w:numId w:val="17"/>
        </w:numPr>
        <w:spacing w:before="120" w:line="240" w:lineRule="auto"/>
        <w:rPr>
          <w:rFonts w:cs="Arial"/>
          <w:szCs w:val="20"/>
        </w:rPr>
      </w:pPr>
      <w:r w:rsidRPr="00773EEA">
        <w:rPr>
          <w:rFonts w:cs="Arial"/>
          <w:b/>
          <w:szCs w:val="20"/>
        </w:rPr>
        <w:t xml:space="preserve">Final Report of the </w:t>
      </w:r>
      <w:r w:rsidRPr="00773EEA">
        <w:rPr>
          <w:rFonts w:cs="Arial"/>
          <w:b/>
          <w:szCs w:val="20"/>
          <w:lang w:val="en-US"/>
        </w:rPr>
        <w:t xml:space="preserve">Mid-Term </w:t>
      </w:r>
      <w:r w:rsidRPr="00773EEA">
        <w:rPr>
          <w:rFonts w:cs="Arial"/>
          <w:b/>
          <w:szCs w:val="20"/>
        </w:rPr>
        <w:t>Review</w:t>
      </w:r>
      <w:r w:rsidRPr="00773EEA">
        <w:rPr>
          <w:rFonts w:cs="Arial"/>
          <w:szCs w:val="20"/>
        </w:rPr>
        <w:t xml:space="preserve"> of no more than 25 pages excluding an executive summary and annexes, should be submitted electronically to DFAT within two weeks after receiving DFAT comments.</w:t>
      </w:r>
    </w:p>
    <w:p w14:paraId="105424B5" w14:textId="77777777" w:rsidR="00EB0431" w:rsidRPr="00773EEA" w:rsidRDefault="00EB0431" w:rsidP="00EB0431">
      <w:pPr>
        <w:pStyle w:val="ListParagraph"/>
        <w:spacing w:after="0" w:line="240" w:lineRule="auto"/>
        <w:ind w:left="0"/>
        <w:rPr>
          <w:rFonts w:cs="Arial"/>
          <w:b/>
          <w:szCs w:val="20"/>
        </w:rPr>
      </w:pPr>
    </w:p>
    <w:p w14:paraId="0710E0F1" w14:textId="77777777" w:rsidR="00EB0431" w:rsidRPr="00773EEA" w:rsidRDefault="00EB0431" w:rsidP="00EB0431">
      <w:pPr>
        <w:pStyle w:val="ListParagraph"/>
        <w:spacing w:after="0" w:line="240" w:lineRule="auto"/>
        <w:ind w:left="0"/>
        <w:rPr>
          <w:rFonts w:cs="Arial"/>
          <w:b/>
          <w:szCs w:val="20"/>
          <w:lang w:val="en-US"/>
        </w:rPr>
      </w:pPr>
      <w:r w:rsidRPr="00773EEA">
        <w:rPr>
          <w:rFonts w:cs="Arial"/>
          <w:b/>
          <w:szCs w:val="20"/>
          <w:lang w:val="en-US"/>
        </w:rPr>
        <w:t>G.     Annexes</w:t>
      </w:r>
    </w:p>
    <w:p w14:paraId="2D921EF8" w14:textId="77777777" w:rsidR="00EB0431" w:rsidRPr="00773EEA" w:rsidRDefault="00EB0431" w:rsidP="00177735">
      <w:pPr>
        <w:pStyle w:val="ListParagraph"/>
        <w:numPr>
          <w:ilvl w:val="0"/>
          <w:numId w:val="14"/>
        </w:numPr>
        <w:spacing w:before="120" w:after="0" w:line="240" w:lineRule="auto"/>
        <w:ind w:left="845"/>
        <w:rPr>
          <w:rFonts w:cs="Arial"/>
          <w:szCs w:val="20"/>
          <w:lang w:val="en-US"/>
        </w:rPr>
      </w:pPr>
      <w:r w:rsidRPr="00773EEA">
        <w:rPr>
          <w:rFonts w:cs="Arial"/>
          <w:szCs w:val="20"/>
          <w:lang w:val="en-US"/>
        </w:rPr>
        <w:t xml:space="preserve">List of Proposed Interviews    </w:t>
      </w:r>
    </w:p>
    <w:p w14:paraId="59BAEA62" w14:textId="77777777" w:rsidR="00EB0431" w:rsidRPr="00773EEA" w:rsidRDefault="00EB0431" w:rsidP="00177735">
      <w:pPr>
        <w:pStyle w:val="ListParagraph"/>
        <w:numPr>
          <w:ilvl w:val="0"/>
          <w:numId w:val="14"/>
        </w:numPr>
        <w:spacing w:before="120" w:after="0" w:line="240" w:lineRule="auto"/>
        <w:ind w:left="845"/>
        <w:rPr>
          <w:rFonts w:cs="Arial"/>
          <w:szCs w:val="20"/>
        </w:rPr>
      </w:pPr>
      <w:r w:rsidRPr="00773EEA">
        <w:rPr>
          <w:rFonts w:cs="Arial"/>
          <w:szCs w:val="20"/>
        </w:rPr>
        <w:t>DFAT’s Aide Memoire outline</w:t>
      </w:r>
      <w:r w:rsidRPr="00773EEA">
        <w:rPr>
          <w:rFonts w:cs="Arial"/>
          <w:szCs w:val="20"/>
          <w:lang w:val="en-US"/>
        </w:rPr>
        <w:t xml:space="preserve"> (May 2020)</w:t>
      </w:r>
      <w:r w:rsidRPr="00773EEA">
        <w:rPr>
          <w:rFonts w:cs="Arial"/>
          <w:szCs w:val="20"/>
        </w:rPr>
        <w:t>.</w:t>
      </w:r>
    </w:p>
    <w:p w14:paraId="72BE86B8" w14:textId="77777777" w:rsidR="00EB0431" w:rsidRPr="00773EEA" w:rsidRDefault="00EB0431" w:rsidP="00EB0431">
      <w:pPr>
        <w:pStyle w:val="ListParagraph"/>
        <w:spacing w:after="0" w:line="240" w:lineRule="auto"/>
        <w:ind w:left="0" w:firstLineChars="200" w:firstLine="400"/>
        <w:rPr>
          <w:rFonts w:cs="Arial"/>
          <w:szCs w:val="20"/>
        </w:rPr>
      </w:pPr>
    </w:p>
    <w:p w14:paraId="124327E0" w14:textId="77777777" w:rsidR="00EB0431" w:rsidRPr="00773EEA" w:rsidRDefault="00EB0431" w:rsidP="00EB0431">
      <w:pPr>
        <w:pStyle w:val="ListParagraph"/>
        <w:spacing w:after="0" w:line="240" w:lineRule="auto"/>
        <w:ind w:left="0"/>
        <w:rPr>
          <w:rFonts w:cs="Arial"/>
          <w:b/>
          <w:szCs w:val="20"/>
        </w:rPr>
      </w:pPr>
      <w:r w:rsidRPr="00773EEA">
        <w:rPr>
          <w:rFonts w:cs="Arial"/>
          <w:b/>
          <w:szCs w:val="20"/>
          <w:lang w:val="en-US"/>
        </w:rPr>
        <w:t xml:space="preserve">H.     </w:t>
      </w:r>
      <w:r w:rsidRPr="00773EEA">
        <w:rPr>
          <w:rFonts w:cs="Arial"/>
          <w:b/>
          <w:szCs w:val="20"/>
        </w:rPr>
        <w:t xml:space="preserve">List of Key Documents for Desk Review </w:t>
      </w:r>
    </w:p>
    <w:p w14:paraId="355D6690" w14:textId="77777777" w:rsidR="00EB0431" w:rsidRPr="00773EEA" w:rsidRDefault="00EB0431" w:rsidP="00EB0431">
      <w:pPr>
        <w:pStyle w:val="ListParagraph"/>
        <w:spacing w:after="0" w:line="240" w:lineRule="auto"/>
        <w:ind w:leftChars="200" w:left="400"/>
        <w:rPr>
          <w:rFonts w:cs="Arial"/>
          <w:b/>
          <w:szCs w:val="20"/>
        </w:rPr>
      </w:pPr>
      <w:r w:rsidRPr="00773EEA">
        <w:rPr>
          <w:rFonts w:cs="Arial"/>
          <w:szCs w:val="20"/>
        </w:rPr>
        <w:t>(</w:t>
      </w:r>
      <w:proofErr w:type="gramStart"/>
      <w:r w:rsidRPr="00773EEA">
        <w:rPr>
          <w:rFonts w:cs="Arial"/>
          <w:szCs w:val="20"/>
        </w:rPr>
        <w:t>to</w:t>
      </w:r>
      <w:proofErr w:type="gramEnd"/>
      <w:r w:rsidRPr="00773EEA">
        <w:rPr>
          <w:rFonts w:cs="Arial"/>
          <w:szCs w:val="20"/>
        </w:rPr>
        <w:t xml:space="preserve"> be provided by DFAT within two weeks prior to the desk review)</w:t>
      </w:r>
    </w:p>
    <w:p w14:paraId="5B345FE7"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lang w:val="en-US"/>
        </w:rPr>
        <w:t xml:space="preserve">AASCTF Program </w:t>
      </w:r>
      <w:r w:rsidRPr="00773EEA">
        <w:rPr>
          <w:rFonts w:cs="Arial"/>
          <w:szCs w:val="20"/>
        </w:rPr>
        <w:t>Design as per DFATs indicative AASCTF program logic, AASCTF Trust Fund Paper and AASCTF Implementation Guidelines</w:t>
      </w:r>
    </w:p>
    <w:p w14:paraId="0350069A"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rPr>
        <w:t xml:space="preserve">AASCTF M&amp;E </w:t>
      </w:r>
      <w:r w:rsidRPr="00773EEA">
        <w:rPr>
          <w:rFonts w:cs="Arial"/>
          <w:szCs w:val="20"/>
          <w:lang w:val="en-US"/>
        </w:rPr>
        <w:t xml:space="preserve">Plan </w:t>
      </w:r>
      <w:r w:rsidRPr="00773EEA">
        <w:rPr>
          <w:rFonts w:cs="Arial"/>
          <w:szCs w:val="20"/>
        </w:rPr>
        <w:t xml:space="preserve">documents and existing M&amp;E data </w:t>
      </w:r>
    </w:p>
    <w:p w14:paraId="3019E1B7"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shd w:val="clear" w:color="auto" w:fill="FFFFFF"/>
        </w:rPr>
        <w:t>AASCTF GESI strategy</w:t>
      </w:r>
    </w:p>
    <w:p w14:paraId="6BF503EB"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lang w:val="en-US"/>
        </w:rPr>
        <w:t>AASCTF Annual Reports and Semi-Annual Reports</w:t>
      </w:r>
    </w:p>
    <w:p w14:paraId="31A4486E"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lang w:val="en-US"/>
        </w:rPr>
        <w:t>Quarterly Reports (Core Team &amp; Task Order)</w:t>
      </w:r>
    </w:p>
    <w:p w14:paraId="067B79C2"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rPr>
        <w:t>Urban Financing Partnership Facility Annual and Mid-year Reports</w:t>
      </w:r>
    </w:p>
    <w:p w14:paraId="49FABA21"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lang w:val="en-US"/>
        </w:rPr>
        <w:t xml:space="preserve">Program related products </w:t>
      </w:r>
      <w:r w:rsidRPr="00773EEA">
        <w:rPr>
          <w:rFonts w:cs="Arial"/>
          <w:szCs w:val="20"/>
        </w:rPr>
        <w:t>– Webinar/workshop recordings, digital solutions briefs, information flyers, newsletters and videos, etc</w:t>
      </w:r>
    </w:p>
    <w:p w14:paraId="32C355BC"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rPr>
        <w:t>Task Order key deliverables/outputs</w:t>
      </w:r>
    </w:p>
    <w:p w14:paraId="0ABCEDA9"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lang w:val="en-US"/>
        </w:rPr>
        <w:t>2020 DFAT Investment Monitoring Report and Partner Performance Assessment</w:t>
      </w:r>
    </w:p>
    <w:p w14:paraId="0CF61024" w14:textId="77777777" w:rsidR="00EB0431" w:rsidRPr="00773EEA" w:rsidRDefault="00EB0431" w:rsidP="00177735">
      <w:pPr>
        <w:pStyle w:val="ListParagraph"/>
        <w:numPr>
          <w:ilvl w:val="0"/>
          <w:numId w:val="15"/>
        </w:numPr>
        <w:spacing w:before="120" w:after="0" w:line="240" w:lineRule="auto"/>
        <w:ind w:leftChars="200" w:left="825"/>
        <w:rPr>
          <w:rFonts w:cs="Arial"/>
          <w:szCs w:val="20"/>
        </w:rPr>
      </w:pPr>
      <w:r w:rsidRPr="00773EEA">
        <w:rPr>
          <w:rFonts w:cs="Arial"/>
          <w:szCs w:val="20"/>
        </w:rPr>
        <w:t>Relevant DFAT strategic documents for Australian Aid, including:</w:t>
      </w:r>
    </w:p>
    <w:p w14:paraId="56D5DAD7" w14:textId="77777777" w:rsidR="00EB0431" w:rsidRPr="00773EEA" w:rsidRDefault="00EB0431" w:rsidP="00177735">
      <w:pPr>
        <w:pStyle w:val="ListParagraph"/>
        <w:numPr>
          <w:ilvl w:val="0"/>
          <w:numId w:val="18"/>
        </w:numPr>
        <w:spacing w:before="120" w:after="0" w:line="240" w:lineRule="auto"/>
        <w:rPr>
          <w:rFonts w:cs="Arial"/>
          <w:szCs w:val="20"/>
        </w:rPr>
      </w:pPr>
      <w:r w:rsidRPr="00773EEA">
        <w:rPr>
          <w:rFonts w:cs="Arial"/>
          <w:szCs w:val="20"/>
        </w:rPr>
        <w:lastRenderedPageBreak/>
        <w:t xml:space="preserve">ASEAN and Southeast Asia Regional COVID-19 Development Response Plan </w:t>
      </w:r>
    </w:p>
    <w:p w14:paraId="653958EC" w14:textId="77777777" w:rsidR="00EB0431" w:rsidRPr="00773EEA" w:rsidRDefault="00EB0431" w:rsidP="00177735">
      <w:pPr>
        <w:pStyle w:val="ListParagraph"/>
        <w:numPr>
          <w:ilvl w:val="0"/>
          <w:numId w:val="18"/>
        </w:numPr>
        <w:spacing w:before="120" w:after="0" w:line="240" w:lineRule="auto"/>
        <w:rPr>
          <w:rFonts w:cs="Arial"/>
          <w:szCs w:val="20"/>
        </w:rPr>
      </w:pPr>
      <w:r w:rsidRPr="00773EEA">
        <w:rPr>
          <w:rFonts w:cs="Arial"/>
          <w:szCs w:val="20"/>
        </w:rPr>
        <w:t>DFAT Gender equality and women’s empowerment strategy</w:t>
      </w:r>
    </w:p>
    <w:p w14:paraId="6415485F" w14:textId="77777777" w:rsidR="00EB0431" w:rsidRPr="00773EEA" w:rsidRDefault="00EB0431" w:rsidP="00177735">
      <w:pPr>
        <w:pStyle w:val="ListParagraph"/>
        <w:numPr>
          <w:ilvl w:val="0"/>
          <w:numId w:val="18"/>
        </w:numPr>
        <w:spacing w:before="120" w:after="0" w:line="240" w:lineRule="auto"/>
        <w:rPr>
          <w:rFonts w:cs="Arial"/>
          <w:szCs w:val="20"/>
        </w:rPr>
      </w:pPr>
      <w:r w:rsidRPr="00773EEA">
        <w:rPr>
          <w:rFonts w:cs="Arial"/>
          <w:szCs w:val="20"/>
        </w:rPr>
        <w:t>DFAT’s M&amp;E Standards (see Standard 5 – Independent Evaluation Plans and Standard 6 –    Independent Evaluation Reports).</w:t>
      </w:r>
    </w:p>
    <w:p w14:paraId="014E581B" w14:textId="77777777" w:rsidR="00EB0431" w:rsidRPr="00773EEA" w:rsidRDefault="00EB0431" w:rsidP="00EB0431">
      <w:pPr>
        <w:rPr>
          <w:rFonts w:cs="Arial"/>
          <w:szCs w:val="20"/>
          <w:lang w:val="en-US"/>
        </w:rPr>
      </w:pPr>
    </w:p>
    <w:p w14:paraId="3596B496" w14:textId="77777777" w:rsidR="00EB0431" w:rsidRPr="00773EEA" w:rsidRDefault="00EB0431" w:rsidP="00EB0431">
      <w:pPr>
        <w:rPr>
          <w:rFonts w:cs="Arial"/>
          <w:b/>
          <w:szCs w:val="20"/>
        </w:rPr>
      </w:pPr>
      <w:r w:rsidRPr="00773EEA">
        <w:rPr>
          <w:rFonts w:cs="Arial"/>
          <w:b/>
          <w:szCs w:val="20"/>
          <w:lang w:val="en-US"/>
        </w:rPr>
        <w:t>Annex</w:t>
      </w:r>
      <w:r w:rsidRPr="00773EEA">
        <w:rPr>
          <w:rFonts w:cs="Arial"/>
          <w:b/>
          <w:szCs w:val="20"/>
        </w:rPr>
        <w:t xml:space="preserve"> A</w:t>
      </w:r>
    </w:p>
    <w:p w14:paraId="719AC1D8" w14:textId="77777777" w:rsidR="00EB0431" w:rsidRPr="00773EEA" w:rsidRDefault="00EB0431" w:rsidP="00EB0431">
      <w:pPr>
        <w:jc w:val="center"/>
        <w:rPr>
          <w:rFonts w:cs="Arial"/>
          <w:b/>
          <w:szCs w:val="20"/>
          <w:lang w:val="en-US"/>
        </w:rPr>
      </w:pPr>
      <w:r w:rsidRPr="00773EEA">
        <w:rPr>
          <w:rFonts w:cs="Arial"/>
          <w:b/>
          <w:szCs w:val="20"/>
          <w:lang w:val="en-US"/>
        </w:rPr>
        <w:t>List of Proposed Interviews</w:t>
      </w:r>
    </w:p>
    <w:tbl>
      <w:tblPr>
        <w:tblStyle w:val="TableGrid"/>
        <w:tblW w:w="0" w:type="auto"/>
        <w:tblLook w:val="04A0" w:firstRow="1" w:lastRow="0" w:firstColumn="1" w:lastColumn="0" w:noHBand="0" w:noVBand="1"/>
      </w:tblPr>
      <w:tblGrid>
        <w:gridCol w:w="663"/>
        <w:gridCol w:w="2800"/>
        <w:gridCol w:w="3246"/>
        <w:gridCol w:w="2307"/>
      </w:tblGrid>
      <w:tr w:rsidR="00773EEA" w:rsidRPr="00773EEA" w14:paraId="5B881796" w14:textId="77777777" w:rsidTr="00E25A0F">
        <w:trPr>
          <w:tblHeader/>
        </w:trPr>
        <w:tc>
          <w:tcPr>
            <w:tcW w:w="663" w:type="dxa"/>
            <w:tcBorders>
              <w:top w:val="single" w:sz="4" w:space="0" w:color="auto"/>
              <w:left w:val="single" w:sz="4" w:space="0" w:color="auto"/>
              <w:bottom w:val="single" w:sz="4" w:space="0" w:color="auto"/>
              <w:right w:val="single" w:sz="4" w:space="0" w:color="auto"/>
            </w:tcBorders>
            <w:hideMark/>
          </w:tcPr>
          <w:p w14:paraId="29775D17" w14:textId="77777777" w:rsidR="00EB0431" w:rsidRPr="00773EEA" w:rsidRDefault="00EB0431" w:rsidP="00394337">
            <w:pPr>
              <w:jc w:val="center"/>
              <w:rPr>
                <w:rFonts w:cs="Arial"/>
                <w:b/>
                <w:szCs w:val="20"/>
                <w:lang w:val="en-US"/>
              </w:rPr>
            </w:pPr>
            <w:r w:rsidRPr="00773EEA">
              <w:rPr>
                <w:rFonts w:cs="Arial"/>
                <w:b/>
                <w:szCs w:val="20"/>
                <w:lang w:val="en-US"/>
              </w:rPr>
              <w:t>No.</w:t>
            </w:r>
          </w:p>
        </w:tc>
        <w:tc>
          <w:tcPr>
            <w:tcW w:w="2800" w:type="dxa"/>
            <w:tcBorders>
              <w:top w:val="single" w:sz="4" w:space="0" w:color="auto"/>
              <w:left w:val="single" w:sz="4" w:space="0" w:color="auto"/>
              <w:bottom w:val="single" w:sz="4" w:space="0" w:color="auto"/>
              <w:right w:val="single" w:sz="4" w:space="0" w:color="auto"/>
            </w:tcBorders>
            <w:hideMark/>
          </w:tcPr>
          <w:p w14:paraId="633B1006" w14:textId="77777777" w:rsidR="00EB0431" w:rsidRPr="00773EEA" w:rsidRDefault="00EB0431" w:rsidP="00394337">
            <w:pPr>
              <w:jc w:val="center"/>
              <w:rPr>
                <w:rFonts w:cs="Arial"/>
                <w:b/>
                <w:szCs w:val="20"/>
                <w:lang w:val="en-US"/>
              </w:rPr>
            </w:pPr>
            <w:r w:rsidRPr="00773EEA">
              <w:rPr>
                <w:rFonts w:cs="Arial"/>
                <w:b/>
                <w:szCs w:val="20"/>
                <w:lang w:val="en-US"/>
              </w:rPr>
              <w:t>Name</w:t>
            </w:r>
          </w:p>
        </w:tc>
        <w:tc>
          <w:tcPr>
            <w:tcW w:w="3246" w:type="dxa"/>
            <w:tcBorders>
              <w:top w:val="single" w:sz="4" w:space="0" w:color="auto"/>
              <w:left w:val="single" w:sz="4" w:space="0" w:color="auto"/>
              <w:bottom w:val="single" w:sz="4" w:space="0" w:color="auto"/>
              <w:right w:val="single" w:sz="4" w:space="0" w:color="auto"/>
            </w:tcBorders>
            <w:hideMark/>
          </w:tcPr>
          <w:p w14:paraId="6BE299C2" w14:textId="77777777" w:rsidR="00EB0431" w:rsidRPr="00773EEA" w:rsidRDefault="00EB0431" w:rsidP="00394337">
            <w:pPr>
              <w:jc w:val="center"/>
              <w:rPr>
                <w:rFonts w:cs="Arial"/>
                <w:b/>
                <w:szCs w:val="20"/>
                <w:lang w:val="en-US"/>
              </w:rPr>
            </w:pPr>
            <w:r w:rsidRPr="00773EEA">
              <w:rPr>
                <w:rFonts w:cs="Arial"/>
                <w:b/>
                <w:szCs w:val="20"/>
                <w:lang w:val="en-US"/>
              </w:rPr>
              <w:t>Position</w:t>
            </w:r>
          </w:p>
        </w:tc>
        <w:tc>
          <w:tcPr>
            <w:tcW w:w="2307" w:type="dxa"/>
            <w:tcBorders>
              <w:top w:val="single" w:sz="4" w:space="0" w:color="auto"/>
              <w:left w:val="single" w:sz="4" w:space="0" w:color="auto"/>
              <w:bottom w:val="single" w:sz="4" w:space="0" w:color="auto"/>
              <w:right w:val="single" w:sz="4" w:space="0" w:color="auto"/>
            </w:tcBorders>
            <w:hideMark/>
          </w:tcPr>
          <w:p w14:paraId="6F3190AC" w14:textId="77777777" w:rsidR="00EB0431" w:rsidRPr="00773EEA" w:rsidRDefault="00EB0431" w:rsidP="00394337">
            <w:pPr>
              <w:jc w:val="center"/>
              <w:rPr>
                <w:rFonts w:cs="Arial"/>
                <w:b/>
                <w:szCs w:val="20"/>
                <w:lang w:val="en-US"/>
              </w:rPr>
            </w:pPr>
            <w:proofErr w:type="spellStart"/>
            <w:r w:rsidRPr="00773EEA">
              <w:rPr>
                <w:rFonts w:cs="Arial"/>
                <w:b/>
                <w:szCs w:val="20"/>
                <w:lang w:val="en-US"/>
              </w:rPr>
              <w:t>Organisation</w:t>
            </w:r>
            <w:proofErr w:type="spellEnd"/>
          </w:p>
        </w:tc>
      </w:tr>
      <w:tr w:rsidR="00773EEA" w:rsidRPr="00773EEA" w14:paraId="2144641E" w14:textId="77777777" w:rsidTr="00394337">
        <w:tc>
          <w:tcPr>
            <w:tcW w:w="663" w:type="dxa"/>
            <w:tcBorders>
              <w:top w:val="single" w:sz="4" w:space="0" w:color="auto"/>
              <w:left w:val="single" w:sz="4" w:space="0" w:color="auto"/>
              <w:bottom w:val="single" w:sz="4" w:space="0" w:color="auto"/>
              <w:right w:val="single" w:sz="4" w:space="0" w:color="auto"/>
            </w:tcBorders>
          </w:tcPr>
          <w:p w14:paraId="0EFDAE23" w14:textId="77777777" w:rsidR="00EB0431" w:rsidRPr="00773EEA" w:rsidRDefault="00EB0431" w:rsidP="00394337">
            <w:pPr>
              <w:jc w:val="center"/>
              <w:rPr>
                <w:rFonts w:cs="Arial"/>
                <w:bCs/>
                <w:szCs w:val="20"/>
                <w:lang w:val="en-US"/>
              </w:rPr>
            </w:pPr>
            <w:r w:rsidRPr="00773EEA">
              <w:rPr>
                <w:rFonts w:cs="Arial"/>
                <w:bCs/>
                <w:szCs w:val="20"/>
                <w:lang w:val="en-US"/>
              </w:rPr>
              <w:t>1</w:t>
            </w:r>
          </w:p>
        </w:tc>
        <w:tc>
          <w:tcPr>
            <w:tcW w:w="2800" w:type="dxa"/>
            <w:tcBorders>
              <w:top w:val="single" w:sz="4" w:space="0" w:color="auto"/>
              <w:left w:val="single" w:sz="4" w:space="0" w:color="auto"/>
              <w:bottom w:val="single" w:sz="4" w:space="0" w:color="auto"/>
              <w:right w:val="single" w:sz="4" w:space="0" w:color="auto"/>
            </w:tcBorders>
          </w:tcPr>
          <w:p w14:paraId="350E239F" w14:textId="77777777" w:rsidR="00EB0431" w:rsidRPr="00773EEA" w:rsidRDefault="00EB0431" w:rsidP="00394337">
            <w:pPr>
              <w:rPr>
                <w:rFonts w:cs="Arial"/>
                <w:bCs/>
                <w:szCs w:val="20"/>
                <w:lang w:val="nl-NL"/>
              </w:rPr>
            </w:pPr>
            <w:r w:rsidRPr="00773EEA">
              <w:rPr>
                <w:rFonts w:cs="Arial"/>
                <w:bCs/>
                <w:szCs w:val="20"/>
                <w:lang w:val="nl-NL"/>
              </w:rPr>
              <w:t>Srinivas Sampath</w:t>
            </w:r>
          </w:p>
          <w:p w14:paraId="7A79595C" w14:textId="77777777" w:rsidR="00EB0431" w:rsidRPr="00773EEA" w:rsidRDefault="00EB0431" w:rsidP="00394337">
            <w:pPr>
              <w:rPr>
                <w:rFonts w:cs="Arial"/>
                <w:bCs/>
                <w:szCs w:val="20"/>
                <w:lang w:val="nl-NL"/>
              </w:rPr>
            </w:pPr>
            <w:r w:rsidRPr="00773EEA">
              <w:rPr>
                <w:rFonts w:cs="Arial"/>
                <w:bCs/>
                <w:szCs w:val="20"/>
                <w:lang w:val="nl-NL"/>
              </w:rPr>
              <w:t>Joris van Etten</w:t>
            </w:r>
          </w:p>
          <w:p w14:paraId="1C660D05" w14:textId="77777777" w:rsidR="00EB0431" w:rsidRPr="00773EEA" w:rsidRDefault="00EB0431" w:rsidP="00394337">
            <w:pPr>
              <w:rPr>
                <w:rFonts w:cs="Arial"/>
                <w:bCs/>
                <w:szCs w:val="20"/>
                <w:lang w:val="nl-NL"/>
              </w:rPr>
            </w:pPr>
            <w:r w:rsidRPr="00773EEA">
              <w:rPr>
                <w:rFonts w:cs="Arial"/>
                <w:bCs/>
                <w:szCs w:val="20"/>
                <w:lang w:val="nl-NL"/>
              </w:rPr>
              <w:t>Aimee Orbe</w:t>
            </w:r>
          </w:p>
          <w:p w14:paraId="120E3031" w14:textId="77777777" w:rsidR="00EB0431" w:rsidRPr="00773EEA" w:rsidRDefault="00EB0431" w:rsidP="00394337">
            <w:pPr>
              <w:rPr>
                <w:rFonts w:cs="Arial"/>
                <w:bCs/>
                <w:szCs w:val="20"/>
                <w:lang w:val="nl-NL"/>
              </w:rPr>
            </w:pPr>
          </w:p>
        </w:tc>
        <w:tc>
          <w:tcPr>
            <w:tcW w:w="3246" w:type="dxa"/>
            <w:tcBorders>
              <w:top w:val="single" w:sz="4" w:space="0" w:color="auto"/>
              <w:left w:val="single" w:sz="4" w:space="0" w:color="auto"/>
              <w:bottom w:val="single" w:sz="4" w:space="0" w:color="auto"/>
              <w:right w:val="single" w:sz="4" w:space="0" w:color="auto"/>
            </w:tcBorders>
          </w:tcPr>
          <w:p w14:paraId="455B8431" w14:textId="77777777" w:rsidR="00EB0431" w:rsidRPr="00773EEA" w:rsidRDefault="00EB0431" w:rsidP="00394337">
            <w:pPr>
              <w:rPr>
                <w:rFonts w:cs="Arial"/>
                <w:bCs/>
                <w:szCs w:val="20"/>
                <w:lang w:val="en-US"/>
              </w:rPr>
            </w:pPr>
            <w:r w:rsidRPr="00773EEA">
              <w:rPr>
                <w:rFonts w:cs="Arial"/>
                <w:bCs/>
                <w:szCs w:val="20"/>
                <w:lang w:val="en-US"/>
              </w:rPr>
              <w:t>Director</w:t>
            </w:r>
          </w:p>
          <w:p w14:paraId="62EB3513" w14:textId="77777777" w:rsidR="00EB0431" w:rsidRPr="00773EEA" w:rsidRDefault="00EB0431" w:rsidP="00394337">
            <w:pPr>
              <w:rPr>
                <w:rFonts w:cs="Arial"/>
                <w:bCs/>
                <w:szCs w:val="20"/>
                <w:lang w:val="en-US"/>
              </w:rPr>
            </w:pPr>
            <w:r w:rsidRPr="00773EEA">
              <w:rPr>
                <w:rFonts w:cs="Arial"/>
                <w:bCs/>
                <w:szCs w:val="20"/>
                <w:lang w:val="en-US"/>
              </w:rPr>
              <w:t>Senior Urban Development Specialist</w:t>
            </w:r>
          </w:p>
        </w:tc>
        <w:tc>
          <w:tcPr>
            <w:tcW w:w="2307" w:type="dxa"/>
            <w:tcBorders>
              <w:top w:val="single" w:sz="4" w:space="0" w:color="auto"/>
              <w:left w:val="single" w:sz="4" w:space="0" w:color="auto"/>
              <w:bottom w:val="single" w:sz="4" w:space="0" w:color="auto"/>
              <w:right w:val="single" w:sz="4" w:space="0" w:color="auto"/>
            </w:tcBorders>
          </w:tcPr>
          <w:p w14:paraId="745FFB9B" w14:textId="77777777" w:rsidR="00EB0431" w:rsidRPr="00773EEA" w:rsidRDefault="00EB0431" w:rsidP="00394337">
            <w:pPr>
              <w:rPr>
                <w:rFonts w:cs="Arial"/>
                <w:bCs/>
                <w:szCs w:val="20"/>
                <w:lang w:val="en-US"/>
              </w:rPr>
            </w:pPr>
            <w:r w:rsidRPr="00773EEA">
              <w:rPr>
                <w:rFonts w:cs="Arial"/>
                <w:bCs/>
                <w:szCs w:val="20"/>
                <w:lang w:val="en-US"/>
              </w:rPr>
              <w:t>Southeast Asia Urban Development and Water Division, ADB</w:t>
            </w:r>
          </w:p>
        </w:tc>
      </w:tr>
      <w:tr w:rsidR="00773EEA" w:rsidRPr="00773EEA" w14:paraId="0B15DD64" w14:textId="77777777" w:rsidTr="00394337">
        <w:tc>
          <w:tcPr>
            <w:tcW w:w="663" w:type="dxa"/>
            <w:tcBorders>
              <w:top w:val="single" w:sz="4" w:space="0" w:color="auto"/>
              <w:left w:val="single" w:sz="4" w:space="0" w:color="auto"/>
              <w:bottom w:val="single" w:sz="4" w:space="0" w:color="auto"/>
              <w:right w:val="single" w:sz="4" w:space="0" w:color="auto"/>
            </w:tcBorders>
          </w:tcPr>
          <w:p w14:paraId="57C1A1A6" w14:textId="77777777" w:rsidR="00EB0431" w:rsidRPr="00773EEA" w:rsidRDefault="00EB0431" w:rsidP="00394337">
            <w:pPr>
              <w:jc w:val="center"/>
              <w:rPr>
                <w:rFonts w:cs="Arial"/>
                <w:bCs/>
                <w:szCs w:val="20"/>
                <w:lang w:val="en-US"/>
              </w:rPr>
            </w:pPr>
            <w:r w:rsidRPr="00773EEA">
              <w:rPr>
                <w:rFonts w:cs="Arial"/>
                <w:bCs/>
                <w:szCs w:val="20"/>
                <w:lang w:val="en-US"/>
              </w:rPr>
              <w:t>2</w:t>
            </w:r>
          </w:p>
        </w:tc>
        <w:tc>
          <w:tcPr>
            <w:tcW w:w="2800" w:type="dxa"/>
            <w:tcBorders>
              <w:top w:val="single" w:sz="4" w:space="0" w:color="auto"/>
              <w:left w:val="single" w:sz="4" w:space="0" w:color="auto"/>
              <w:bottom w:val="single" w:sz="4" w:space="0" w:color="auto"/>
              <w:right w:val="single" w:sz="4" w:space="0" w:color="auto"/>
            </w:tcBorders>
          </w:tcPr>
          <w:p w14:paraId="3A633379" w14:textId="77777777" w:rsidR="00EB0431" w:rsidRPr="00773EEA" w:rsidRDefault="00EB0431" w:rsidP="00394337">
            <w:pPr>
              <w:rPr>
                <w:rFonts w:cs="Arial"/>
                <w:bCs/>
                <w:szCs w:val="20"/>
                <w:lang w:val="en-US"/>
              </w:rPr>
            </w:pPr>
            <w:r w:rsidRPr="00773EEA">
              <w:rPr>
                <w:rFonts w:cs="Arial"/>
                <w:bCs/>
                <w:szCs w:val="20"/>
                <w:lang w:val="en-US"/>
              </w:rPr>
              <w:t xml:space="preserve">Peter Adams </w:t>
            </w:r>
          </w:p>
        </w:tc>
        <w:tc>
          <w:tcPr>
            <w:tcW w:w="3246" w:type="dxa"/>
            <w:tcBorders>
              <w:top w:val="single" w:sz="4" w:space="0" w:color="auto"/>
              <w:left w:val="single" w:sz="4" w:space="0" w:color="auto"/>
              <w:bottom w:val="single" w:sz="4" w:space="0" w:color="auto"/>
              <w:right w:val="single" w:sz="4" w:space="0" w:color="auto"/>
            </w:tcBorders>
          </w:tcPr>
          <w:p w14:paraId="0ABA7E74" w14:textId="77777777" w:rsidR="00EB0431" w:rsidRPr="00773EEA" w:rsidRDefault="00EB0431" w:rsidP="00394337">
            <w:pPr>
              <w:rPr>
                <w:rFonts w:cs="Arial"/>
                <w:bCs/>
                <w:szCs w:val="20"/>
                <w:lang w:val="en-US"/>
              </w:rPr>
            </w:pPr>
            <w:r w:rsidRPr="00773EEA">
              <w:rPr>
                <w:rFonts w:cs="Arial"/>
                <w:bCs/>
                <w:szCs w:val="20"/>
                <w:lang w:val="en-US"/>
              </w:rPr>
              <w:t xml:space="preserve">Assistant Director </w:t>
            </w:r>
          </w:p>
        </w:tc>
        <w:tc>
          <w:tcPr>
            <w:tcW w:w="2307" w:type="dxa"/>
            <w:tcBorders>
              <w:top w:val="single" w:sz="4" w:space="0" w:color="auto"/>
              <w:left w:val="single" w:sz="4" w:space="0" w:color="auto"/>
              <w:bottom w:val="single" w:sz="4" w:space="0" w:color="auto"/>
              <w:right w:val="single" w:sz="4" w:space="0" w:color="auto"/>
            </w:tcBorders>
          </w:tcPr>
          <w:p w14:paraId="2F91E549" w14:textId="77777777" w:rsidR="00EB0431" w:rsidRPr="00773EEA" w:rsidRDefault="00EB0431" w:rsidP="00394337">
            <w:pPr>
              <w:rPr>
                <w:rFonts w:cs="Arial"/>
                <w:bCs/>
                <w:szCs w:val="20"/>
                <w:lang w:val="en-US"/>
              </w:rPr>
            </w:pPr>
            <w:r w:rsidRPr="00773EEA">
              <w:rPr>
                <w:rFonts w:cs="Arial"/>
                <w:bCs/>
                <w:szCs w:val="20"/>
                <w:lang w:val="en-US"/>
              </w:rPr>
              <w:t>ASEAN and Regional Architecture Branch, DFAT</w:t>
            </w:r>
          </w:p>
        </w:tc>
      </w:tr>
      <w:tr w:rsidR="00773EEA" w:rsidRPr="00773EEA" w14:paraId="33931673" w14:textId="77777777" w:rsidTr="00394337">
        <w:tc>
          <w:tcPr>
            <w:tcW w:w="663" w:type="dxa"/>
            <w:tcBorders>
              <w:top w:val="single" w:sz="4" w:space="0" w:color="auto"/>
              <w:left w:val="single" w:sz="4" w:space="0" w:color="auto"/>
              <w:bottom w:val="single" w:sz="4" w:space="0" w:color="auto"/>
              <w:right w:val="single" w:sz="4" w:space="0" w:color="auto"/>
            </w:tcBorders>
            <w:hideMark/>
          </w:tcPr>
          <w:p w14:paraId="60DAFDD3" w14:textId="77777777" w:rsidR="00EB0431" w:rsidRPr="00773EEA" w:rsidRDefault="00EB0431" w:rsidP="00394337">
            <w:pPr>
              <w:jc w:val="center"/>
              <w:rPr>
                <w:rFonts w:cs="Arial"/>
                <w:bCs/>
                <w:szCs w:val="20"/>
                <w:lang w:val="en-US"/>
              </w:rPr>
            </w:pPr>
            <w:r w:rsidRPr="00773EEA">
              <w:rPr>
                <w:rFonts w:cs="Arial"/>
                <w:bCs/>
                <w:szCs w:val="20"/>
                <w:lang w:val="en-US"/>
              </w:rPr>
              <w:t>3</w:t>
            </w:r>
          </w:p>
        </w:tc>
        <w:tc>
          <w:tcPr>
            <w:tcW w:w="2800" w:type="dxa"/>
            <w:tcBorders>
              <w:top w:val="single" w:sz="4" w:space="0" w:color="auto"/>
              <w:left w:val="single" w:sz="4" w:space="0" w:color="auto"/>
              <w:bottom w:val="single" w:sz="4" w:space="0" w:color="auto"/>
              <w:right w:val="single" w:sz="4" w:space="0" w:color="auto"/>
            </w:tcBorders>
            <w:hideMark/>
          </w:tcPr>
          <w:p w14:paraId="4C485FD8" w14:textId="77777777" w:rsidR="00EB0431" w:rsidRPr="00773EEA" w:rsidRDefault="00EB0431" w:rsidP="00394337">
            <w:pPr>
              <w:tabs>
                <w:tab w:val="left" w:pos="765"/>
              </w:tabs>
              <w:rPr>
                <w:rFonts w:cs="Arial"/>
                <w:bCs/>
                <w:szCs w:val="20"/>
                <w:lang w:val="en-US"/>
              </w:rPr>
            </w:pPr>
            <w:r w:rsidRPr="00773EEA">
              <w:rPr>
                <w:rFonts w:cs="Arial"/>
                <w:bCs/>
                <w:szCs w:val="20"/>
                <w:lang w:val="en-US"/>
              </w:rPr>
              <w:t>Selection of DFAT posts in the Region</w:t>
            </w:r>
          </w:p>
          <w:p w14:paraId="0F91B34B" w14:textId="77777777" w:rsidR="00EB0431" w:rsidRPr="00773EEA" w:rsidRDefault="00EB0431" w:rsidP="00394337">
            <w:pPr>
              <w:rPr>
                <w:rFonts w:cs="Arial"/>
                <w:bCs/>
                <w:szCs w:val="20"/>
                <w:lang w:val="en-US"/>
              </w:rPr>
            </w:pPr>
          </w:p>
        </w:tc>
        <w:tc>
          <w:tcPr>
            <w:tcW w:w="3246" w:type="dxa"/>
            <w:tcBorders>
              <w:top w:val="single" w:sz="4" w:space="0" w:color="auto"/>
              <w:left w:val="single" w:sz="4" w:space="0" w:color="auto"/>
              <w:bottom w:val="single" w:sz="4" w:space="0" w:color="auto"/>
              <w:right w:val="single" w:sz="4" w:space="0" w:color="auto"/>
            </w:tcBorders>
            <w:hideMark/>
          </w:tcPr>
          <w:p w14:paraId="63980535" w14:textId="77777777" w:rsidR="00EB0431" w:rsidRPr="00773EEA" w:rsidRDefault="00EB0431" w:rsidP="00394337">
            <w:pPr>
              <w:rPr>
                <w:rFonts w:cs="Arial"/>
                <w:bCs/>
                <w:szCs w:val="20"/>
                <w:lang w:val="en-US"/>
              </w:rPr>
            </w:pPr>
            <w:r w:rsidRPr="00773EEA">
              <w:rPr>
                <w:rFonts w:cs="Arial"/>
                <w:bCs/>
                <w:szCs w:val="20"/>
                <w:lang w:val="en-US"/>
              </w:rPr>
              <w:t xml:space="preserve">TBC  </w:t>
            </w:r>
          </w:p>
        </w:tc>
        <w:tc>
          <w:tcPr>
            <w:tcW w:w="2307" w:type="dxa"/>
            <w:tcBorders>
              <w:top w:val="single" w:sz="4" w:space="0" w:color="auto"/>
              <w:left w:val="single" w:sz="4" w:space="0" w:color="auto"/>
              <w:bottom w:val="single" w:sz="4" w:space="0" w:color="auto"/>
              <w:right w:val="single" w:sz="4" w:space="0" w:color="auto"/>
            </w:tcBorders>
            <w:hideMark/>
          </w:tcPr>
          <w:p w14:paraId="5A0CAE99" w14:textId="77777777" w:rsidR="00EB0431" w:rsidRPr="00773EEA" w:rsidRDefault="00EB0431" w:rsidP="00394337">
            <w:pPr>
              <w:rPr>
                <w:rFonts w:cs="Arial"/>
                <w:bCs/>
                <w:szCs w:val="20"/>
                <w:lang w:val="en-US"/>
              </w:rPr>
            </w:pPr>
            <w:r w:rsidRPr="00773EEA">
              <w:rPr>
                <w:rFonts w:cs="Arial"/>
                <w:bCs/>
                <w:szCs w:val="20"/>
                <w:lang w:val="en-US"/>
              </w:rPr>
              <w:t xml:space="preserve">DFAT </w:t>
            </w:r>
          </w:p>
        </w:tc>
      </w:tr>
      <w:tr w:rsidR="00773EEA" w:rsidRPr="00773EEA" w14:paraId="71471B40" w14:textId="77777777" w:rsidTr="00394337">
        <w:tc>
          <w:tcPr>
            <w:tcW w:w="663" w:type="dxa"/>
            <w:tcBorders>
              <w:top w:val="single" w:sz="4" w:space="0" w:color="auto"/>
              <w:left w:val="single" w:sz="4" w:space="0" w:color="auto"/>
              <w:bottom w:val="single" w:sz="4" w:space="0" w:color="auto"/>
              <w:right w:val="single" w:sz="4" w:space="0" w:color="auto"/>
            </w:tcBorders>
          </w:tcPr>
          <w:p w14:paraId="2CD0FEB6" w14:textId="77777777" w:rsidR="00EB0431" w:rsidRPr="00773EEA" w:rsidRDefault="00EB0431" w:rsidP="00394337">
            <w:pPr>
              <w:jc w:val="center"/>
              <w:rPr>
                <w:rFonts w:cs="Arial"/>
                <w:bCs/>
                <w:szCs w:val="20"/>
                <w:lang w:val="en-US"/>
              </w:rPr>
            </w:pPr>
            <w:r w:rsidRPr="00773EEA">
              <w:rPr>
                <w:rFonts w:cs="Arial"/>
                <w:bCs/>
                <w:szCs w:val="20"/>
                <w:lang w:val="en-US"/>
              </w:rPr>
              <w:t>13</w:t>
            </w:r>
          </w:p>
        </w:tc>
        <w:tc>
          <w:tcPr>
            <w:tcW w:w="2800" w:type="dxa"/>
            <w:tcBorders>
              <w:top w:val="single" w:sz="4" w:space="0" w:color="auto"/>
              <w:left w:val="single" w:sz="4" w:space="0" w:color="auto"/>
              <w:bottom w:val="single" w:sz="4" w:space="0" w:color="auto"/>
              <w:right w:val="single" w:sz="4" w:space="0" w:color="auto"/>
            </w:tcBorders>
          </w:tcPr>
          <w:p w14:paraId="68C86A26"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6B9D326E"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08A4A51E" w14:textId="77777777" w:rsidR="00EB0431" w:rsidRPr="00773EEA" w:rsidRDefault="00EB0431" w:rsidP="00394337">
            <w:pPr>
              <w:rPr>
                <w:rFonts w:cs="Arial"/>
                <w:bCs/>
                <w:szCs w:val="20"/>
                <w:lang w:val="en-US"/>
              </w:rPr>
            </w:pPr>
            <w:r w:rsidRPr="00773EEA">
              <w:rPr>
                <w:rFonts w:cs="Arial"/>
                <w:szCs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2F5F2CD1" w14:textId="77777777" w:rsidR="00EB0431" w:rsidRPr="00773EEA" w:rsidRDefault="00EB0431" w:rsidP="00394337">
            <w:pPr>
              <w:rPr>
                <w:rFonts w:cs="Arial"/>
                <w:bCs/>
                <w:szCs w:val="20"/>
                <w:lang w:val="en-US"/>
              </w:rPr>
            </w:pPr>
            <w:r w:rsidRPr="00773EEA">
              <w:rPr>
                <w:rFonts w:cs="Arial"/>
                <w:bCs/>
                <w:szCs w:val="20"/>
                <w:lang w:val="en-US"/>
              </w:rPr>
              <w:t>Battambang City, Cambodia</w:t>
            </w:r>
          </w:p>
        </w:tc>
      </w:tr>
      <w:tr w:rsidR="00773EEA" w:rsidRPr="00773EEA" w14:paraId="210387D5" w14:textId="77777777" w:rsidTr="00394337">
        <w:tc>
          <w:tcPr>
            <w:tcW w:w="663" w:type="dxa"/>
            <w:tcBorders>
              <w:top w:val="single" w:sz="4" w:space="0" w:color="auto"/>
              <w:left w:val="single" w:sz="4" w:space="0" w:color="auto"/>
              <w:bottom w:val="single" w:sz="4" w:space="0" w:color="auto"/>
              <w:right w:val="single" w:sz="4" w:space="0" w:color="auto"/>
            </w:tcBorders>
          </w:tcPr>
          <w:p w14:paraId="4FED5179" w14:textId="77777777" w:rsidR="00EB0431" w:rsidRPr="00773EEA" w:rsidRDefault="00EB0431" w:rsidP="00394337">
            <w:pPr>
              <w:jc w:val="center"/>
              <w:rPr>
                <w:rFonts w:cs="Arial"/>
                <w:bCs/>
                <w:szCs w:val="20"/>
                <w:lang w:val="en-US"/>
              </w:rPr>
            </w:pPr>
            <w:r w:rsidRPr="00773EEA">
              <w:rPr>
                <w:rFonts w:cs="Arial"/>
                <w:bCs/>
                <w:szCs w:val="20"/>
                <w:lang w:val="en-US"/>
              </w:rPr>
              <w:t>14</w:t>
            </w:r>
          </w:p>
        </w:tc>
        <w:tc>
          <w:tcPr>
            <w:tcW w:w="2800" w:type="dxa"/>
            <w:tcBorders>
              <w:top w:val="single" w:sz="4" w:space="0" w:color="auto"/>
              <w:left w:val="single" w:sz="4" w:space="0" w:color="auto"/>
              <w:bottom w:val="single" w:sz="4" w:space="0" w:color="auto"/>
              <w:right w:val="single" w:sz="4" w:space="0" w:color="auto"/>
            </w:tcBorders>
          </w:tcPr>
          <w:p w14:paraId="5E5B6619"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7368B06F"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12458CFC" w14:textId="77777777" w:rsidR="00EB0431" w:rsidRPr="00773EEA" w:rsidRDefault="00EB0431" w:rsidP="00394337">
            <w:pPr>
              <w:pStyle w:val="CommentText"/>
              <w:rPr>
                <w:rFonts w:cs="Arial"/>
                <w:sz w:val="20"/>
              </w:rPr>
            </w:pPr>
            <w:r w:rsidRPr="00773EEA">
              <w:rPr>
                <w:rFonts w:cs="Arial"/>
                <w:sz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113E605D" w14:textId="77777777" w:rsidR="00EB0431" w:rsidRPr="00773EEA" w:rsidRDefault="00EB0431" w:rsidP="00394337">
            <w:pPr>
              <w:rPr>
                <w:rFonts w:cs="Arial"/>
                <w:bCs/>
                <w:szCs w:val="20"/>
                <w:lang w:val="en-US"/>
              </w:rPr>
            </w:pPr>
            <w:r w:rsidRPr="00773EEA">
              <w:rPr>
                <w:rFonts w:cs="Arial"/>
                <w:bCs/>
                <w:szCs w:val="20"/>
                <w:lang w:val="en-US"/>
              </w:rPr>
              <w:t xml:space="preserve">Makassar, Indonesia </w:t>
            </w:r>
          </w:p>
        </w:tc>
      </w:tr>
      <w:tr w:rsidR="00773EEA" w:rsidRPr="00773EEA" w14:paraId="29921336" w14:textId="77777777" w:rsidTr="00394337">
        <w:tc>
          <w:tcPr>
            <w:tcW w:w="663" w:type="dxa"/>
            <w:tcBorders>
              <w:top w:val="single" w:sz="4" w:space="0" w:color="auto"/>
              <w:left w:val="single" w:sz="4" w:space="0" w:color="auto"/>
              <w:bottom w:val="single" w:sz="4" w:space="0" w:color="auto"/>
              <w:right w:val="single" w:sz="4" w:space="0" w:color="auto"/>
            </w:tcBorders>
          </w:tcPr>
          <w:p w14:paraId="1F7ECB20" w14:textId="77777777" w:rsidR="00EB0431" w:rsidRPr="00773EEA" w:rsidRDefault="00EB0431" w:rsidP="00394337">
            <w:pPr>
              <w:jc w:val="center"/>
              <w:rPr>
                <w:rFonts w:cs="Arial"/>
                <w:bCs/>
                <w:szCs w:val="20"/>
                <w:lang w:val="en-US"/>
              </w:rPr>
            </w:pPr>
            <w:r w:rsidRPr="00773EEA">
              <w:rPr>
                <w:rFonts w:cs="Arial"/>
                <w:bCs/>
                <w:szCs w:val="20"/>
                <w:lang w:val="en-US"/>
              </w:rPr>
              <w:t>15</w:t>
            </w:r>
          </w:p>
        </w:tc>
        <w:tc>
          <w:tcPr>
            <w:tcW w:w="2800" w:type="dxa"/>
            <w:tcBorders>
              <w:top w:val="single" w:sz="4" w:space="0" w:color="auto"/>
              <w:left w:val="single" w:sz="4" w:space="0" w:color="auto"/>
              <w:bottom w:val="single" w:sz="4" w:space="0" w:color="auto"/>
              <w:right w:val="single" w:sz="4" w:space="0" w:color="auto"/>
            </w:tcBorders>
          </w:tcPr>
          <w:p w14:paraId="5E434ECF"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57334047"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6435BEE7" w14:textId="77777777" w:rsidR="00EB0431" w:rsidRPr="00773EEA" w:rsidRDefault="00EB0431" w:rsidP="00394337">
            <w:pPr>
              <w:rPr>
                <w:rFonts w:cs="Arial"/>
                <w:bCs/>
                <w:szCs w:val="20"/>
                <w:lang w:val="en-US"/>
              </w:rPr>
            </w:pPr>
            <w:r w:rsidRPr="00773EEA">
              <w:rPr>
                <w:rFonts w:cs="Arial"/>
                <w:szCs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7CE99F52" w14:textId="77777777" w:rsidR="00EB0431" w:rsidRPr="00773EEA" w:rsidRDefault="00EB0431" w:rsidP="00394337">
            <w:pPr>
              <w:rPr>
                <w:rFonts w:cs="Arial"/>
                <w:bCs/>
                <w:szCs w:val="20"/>
                <w:lang w:val="en-US"/>
              </w:rPr>
            </w:pPr>
            <w:r w:rsidRPr="00773EEA">
              <w:rPr>
                <w:rFonts w:cs="Arial"/>
                <w:bCs/>
                <w:szCs w:val="20"/>
                <w:lang w:val="en-US"/>
              </w:rPr>
              <w:t>Kaysone City, Lao PDR</w:t>
            </w:r>
          </w:p>
        </w:tc>
      </w:tr>
      <w:tr w:rsidR="00773EEA" w:rsidRPr="00773EEA" w14:paraId="06217FC3" w14:textId="77777777" w:rsidTr="00394337">
        <w:tc>
          <w:tcPr>
            <w:tcW w:w="663" w:type="dxa"/>
            <w:tcBorders>
              <w:top w:val="single" w:sz="4" w:space="0" w:color="auto"/>
              <w:left w:val="single" w:sz="4" w:space="0" w:color="auto"/>
              <w:bottom w:val="single" w:sz="4" w:space="0" w:color="auto"/>
              <w:right w:val="single" w:sz="4" w:space="0" w:color="auto"/>
            </w:tcBorders>
          </w:tcPr>
          <w:p w14:paraId="63F7D35C" w14:textId="77777777" w:rsidR="00EB0431" w:rsidRPr="00773EEA" w:rsidRDefault="00EB0431" w:rsidP="00394337">
            <w:pPr>
              <w:jc w:val="center"/>
              <w:rPr>
                <w:rFonts w:cs="Arial"/>
                <w:bCs/>
                <w:szCs w:val="20"/>
                <w:lang w:val="en-US"/>
              </w:rPr>
            </w:pPr>
            <w:r w:rsidRPr="00773EEA">
              <w:rPr>
                <w:rFonts w:cs="Arial"/>
                <w:bCs/>
                <w:szCs w:val="20"/>
                <w:lang w:val="en-US"/>
              </w:rPr>
              <w:t>16</w:t>
            </w:r>
          </w:p>
        </w:tc>
        <w:tc>
          <w:tcPr>
            <w:tcW w:w="2800" w:type="dxa"/>
            <w:tcBorders>
              <w:top w:val="single" w:sz="4" w:space="0" w:color="auto"/>
              <w:left w:val="single" w:sz="4" w:space="0" w:color="auto"/>
              <w:bottom w:val="single" w:sz="4" w:space="0" w:color="auto"/>
              <w:right w:val="single" w:sz="4" w:space="0" w:color="auto"/>
            </w:tcBorders>
          </w:tcPr>
          <w:p w14:paraId="35745AF9"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4BD2C12C"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6F499018" w14:textId="77777777" w:rsidR="00EB0431" w:rsidRPr="00773EEA" w:rsidRDefault="00EB0431" w:rsidP="00394337">
            <w:pPr>
              <w:rPr>
                <w:rFonts w:cs="Arial"/>
                <w:bCs/>
                <w:szCs w:val="20"/>
                <w:lang w:val="en-US"/>
              </w:rPr>
            </w:pPr>
            <w:r w:rsidRPr="00773EEA">
              <w:rPr>
                <w:rFonts w:cs="Arial"/>
                <w:szCs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7429E41F" w14:textId="77777777" w:rsidR="00EB0431" w:rsidRPr="00773EEA" w:rsidRDefault="00EB0431" w:rsidP="00394337">
            <w:pPr>
              <w:rPr>
                <w:rFonts w:cs="Arial"/>
                <w:bCs/>
                <w:szCs w:val="20"/>
                <w:lang w:val="en-US"/>
              </w:rPr>
            </w:pPr>
            <w:r w:rsidRPr="00773EEA">
              <w:rPr>
                <w:rFonts w:cs="Arial"/>
                <w:bCs/>
                <w:szCs w:val="20"/>
                <w:lang w:val="en-US"/>
              </w:rPr>
              <w:t xml:space="preserve">Penang City, Malaysia </w:t>
            </w:r>
          </w:p>
        </w:tc>
      </w:tr>
      <w:tr w:rsidR="00773EEA" w:rsidRPr="00773EEA" w14:paraId="00174EA4" w14:textId="77777777" w:rsidTr="00394337">
        <w:tc>
          <w:tcPr>
            <w:tcW w:w="663" w:type="dxa"/>
            <w:tcBorders>
              <w:top w:val="single" w:sz="4" w:space="0" w:color="auto"/>
              <w:left w:val="single" w:sz="4" w:space="0" w:color="auto"/>
              <w:bottom w:val="single" w:sz="4" w:space="0" w:color="auto"/>
              <w:right w:val="single" w:sz="4" w:space="0" w:color="auto"/>
            </w:tcBorders>
          </w:tcPr>
          <w:p w14:paraId="4E2F111D" w14:textId="77777777" w:rsidR="00EB0431" w:rsidRPr="00773EEA" w:rsidRDefault="00EB0431" w:rsidP="00394337">
            <w:pPr>
              <w:jc w:val="center"/>
              <w:rPr>
                <w:rFonts w:cs="Arial"/>
                <w:bCs/>
                <w:szCs w:val="20"/>
                <w:lang w:val="en-US"/>
              </w:rPr>
            </w:pPr>
            <w:r w:rsidRPr="00773EEA">
              <w:rPr>
                <w:rFonts w:cs="Arial"/>
                <w:bCs/>
                <w:szCs w:val="20"/>
                <w:lang w:val="en-US"/>
              </w:rPr>
              <w:t>17</w:t>
            </w:r>
          </w:p>
        </w:tc>
        <w:tc>
          <w:tcPr>
            <w:tcW w:w="2800" w:type="dxa"/>
            <w:tcBorders>
              <w:top w:val="single" w:sz="4" w:space="0" w:color="auto"/>
              <w:left w:val="single" w:sz="4" w:space="0" w:color="auto"/>
              <w:bottom w:val="single" w:sz="4" w:space="0" w:color="auto"/>
              <w:right w:val="single" w:sz="4" w:space="0" w:color="auto"/>
            </w:tcBorders>
          </w:tcPr>
          <w:p w14:paraId="7EB064FE"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501F4DD9"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5BFA551F" w14:textId="77777777" w:rsidR="00EB0431" w:rsidRPr="00773EEA" w:rsidRDefault="00EB0431" w:rsidP="00394337">
            <w:pPr>
              <w:rPr>
                <w:rFonts w:cs="Arial"/>
                <w:bCs/>
                <w:szCs w:val="20"/>
                <w:lang w:val="en-US"/>
              </w:rPr>
            </w:pPr>
            <w:r w:rsidRPr="00773EEA">
              <w:rPr>
                <w:rFonts w:cs="Arial"/>
                <w:szCs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2DA0778E" w14:textId="77777777" w:rsidR="00EB0431" w:rsidRPr="00773EEA" w:rsidRDefault="00EB0431" w:rsidP="00394337">
            <w:pPr>
              <w:rPr>
                <w:rFonts w:cs="Arial"/>
                <w:bCs/>
                <w:szCs w:val="20"/>
                <w:lang w:val="en-US"/>
              </w:rPr>
            </w:pPr>
            <w:r w:rsidRPr="00773EEA">
              <w:rPr>
                <w:rFonts w:cs="Arial"/>
                <w:bCs/>
                <w:szCs w:val="20"/>
                <w:lang w:val="en-US"/>
              </w:rPr>
              <w:t>Yangon City, Myanmar</w:t>
            </w:r>
          </w:p>
        </w:tc>
      </w:tr>
      <w:tr w:rsidR="00773EEA" w:rsidRPr="00773EEA" w14:paraId="5EB381D8" w14:textId="77777777" w:rsidTr="00394337">
        <w:tc>
          <w:tcPr>
            <w:tcW w:w="663" w:type="dxa"/>
            <w:tcBorders>
              <w:top w:val="single" w:sz="4" w:space="0" w:color="auto"/>
              <w:left w:val="single" w:sz="4" w:space="0" w:color="auto"/>
              <w:bottom w:val="single" w:sz="4" w:space="0" w:color="auto"/>
              <w:right w:val="single" w:sz="4" w:space="0" w:color="auto"/>
            </w:tcBorders>
          </w:tcPr>
          <w:p w14:paraId="1930AB11" w14:textId="77777777" w:rsidR="00EB0431" w:rsidRPr="00773EEA" w:rsidRDefault="00EB0431" w:rsidP="00394337">
            <w:pPr>
              <w:jc w:val="center"/>
              <w:rPr>
                <w:rFonts w:cs="Arial"/>
                <w:bCs/>
                <w:szCs w:val="20"/>
                <w:lang w:val="en-US"/>
              </w:rPr>
            </w:pPr>
            <w:r w:rsidRPr="00773EEA">
              <w:rPr>
                <w:rFonts w:cs="Arial"/>
                <w:bCs/>
                <w:szCs w:val="20"/>
                <w:lang w:val="en-US"/>
              </w:rPr>
              <w:t>18</w:t>
            </w:r>
          </w:p>
        </w:tc>
        <w:tc>
          <w:tcPr>
            <w:tcW w:w="2800" w:type="dxa"/>
            <w:tcBorders>
              <w:top w:val="single" w:sz="4" w:space="0" w:color="auto"/>
              <w:left w:val="single" w:sz="4" w:space="0" w:color="auto"/>
              <w:bottom w:val="single" w:sz="4" w:space="0" w:color="auto"/>
              <w:right w:val="single" w:sz="4" w:space="0" w:color="auto"/>
            </w:tcBorders>
          </w:tcPr>
          <w:p w14:paraId="7B1F7B92"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01D49A14" w14:textId="77777777" w:rsidR="00EB0431" w:rsidRPr="00773EEA" w:rsidRDefault="00EB0431" w:rsidP="00394337">
            <w:pPr>
              <w:rPr>
                <w:rFonts w:cs="Arial"/>
                <w:bCs/>
                <w:szCs w:val="20"/>
                <w:lang w:val="en-US"/>
              </w:rPr>
            </w:pPr>
            <w:r w:rsidRPr="00773EEA">
              <w:rPr>
                <w:rFonts w:cs="Arial"/>
                <w:bCs/>
                <w:szCs w:val="20"/>
                <w:lang w:val="en-US"/>
              </w:rPr>
              <w:t>AASCTF team leader who worked with the city</w:t>
            </w:r>
          </w:p>
          <w:p w14:paraId="5427B347" w14:textId="77777777" w:rsidR="00EB0431" w:rsidRPr="00773EEA" w:rsidRDefault="00EB0431" w:rsidP="00394337">
            <w:pPr>
              <w:rPr>
                <w:rFonts w:cs="Arial"/>
                <w:bCs/>
                <w:szCs w:val="20"/>
                <w:lang w:val="en-US"/>
              </w:rPr>
            </w:pPr>
            <w:r w:rsidRPr="00773EEA">
              <w:rPr>
                <w:rFonts w:cs="Arial"/>
                <w:szCs w:val="20"/>
              </w:rPr>
              <w:t>Representative of the beneficiary city</w:t>
            </w:r>
          </w:p>
        </w:tc>
        <w:tc>
          <w:tcPr>
            <w:tcW w:w="2307" w:type="dxa"/>
            <w:tcBorders>
              <w:top w:val="single" w:sz="4" w:space="0" w:color="auto"/>
              <w:left w:val="single" w:sz="4" w:space="0" w:color="auto"/>
              <w:bottom w:val="single" w:sz="4" w:space="0" w:color="auto"/>
              <w:right w:val="single" w:sz="4" w:space="0" w:color="auto"/>
            </w:tcBorders>
          </w:tcPr>
          <w:p w14:paraId="1215859D" w14:textId="77777777" w:rsidR="00EB0431" w:rsidRPr="00773EEA" w:rsidRDefault="00EB0431" w:rsidP="00394337">
            <w:pPr>
              <w:rPr>
                <w:rFonts w:cs="Arial"/>
                <w:bCs/>
                <w:szCs w:val="20"/>
                <w:lang w:val="en-US"/>
              </w:rPr>
            </w:pPr>
            <w:r w:rsidRPr="00773EEA">
              <w:rPr>
                <w:rFonts w:cs="Arial"/>
                <w:bCs/>
                <w:szCs w:val="20"/>
                <w:lang w:val="en-US"/>
              </w:rPr>
              <w:t>Baguio City, Philippines</w:t>
            </w:r>
          </w:p>
        </w:tc>
      </w:tr>
      <w:tr w:rsidR="00773EEA" w:rsidRPr="00773EEA" w14:paraId="7E8A9A7F" w14:textId="77777777" w:rsidTr="00394337">
        <w:tc>
          <w:tcPr>
            <w:tcW w:w="663" w:type="dxa"/>
            <w:tcBorders>
              <w:top w:val="single" w:sz="4" w:space="0" w:color="auto"/>
              <w:left w:val="single" w:sz="4" w:space="0" w:color="auto"/>
              <w:bottom w:val="single" w:sz="4" w:space="0" w:color="auto"/>
              <w:right w:val="single" w:sz="4" w:space="0" w:color="auto"/>
            </w:tcBorders>
          </w:tcPr>
          <w:p w14:paraId="278922F2" w14:textId="77777777" w:rsidR="00EB0431" w:rsidRPr="00773EEA" w:rsidRDefault="00EB0431" w:rsidP="00394337">
            <w:pPr>
              <w:jc w:val="center"/>
              <w:rPr>
                <w:rFonts w:cs="Arial"/>
                <w:bCs/>
                <w:szCs w:val="20"/>
                <w:lang w:val="en-US"/>
              </w:rPr>
            </w:pPr>
            <w:r w:rsidRPr="00773EEA">
              <w:rPr>
                <w:rFonts w:cs="Arial"/>
                <w:bCs/>
                <w:szCs w:val="20"/>
                <w:lang w:val="en-US"/>
              </w:rPr>
              <w:t>21</w:t>
            </w:r>
          </w:p>
        </w:tc>
        <w:tc>
          <w:tcPr>
            <w:tcW w:w="2800" w:type="dxa"/>
            <w:tcBorders>
              <w:top w:val="single" w:sz="4" w:space="0" w:color="auto"/>
              <w:left w:val="single" w:sz="4" w:space="0" w:color="auto"/>
              <w:bottom w:val="single" w:sz="4" w:space="0" w:color="auto"/>
              <w:right w:val="single" w:sz="4" w:space="0" w:color="auto"/>
            </w:tcBorders>
          </w:tcPr>
          <w:p w14:paraId="530E71D5" w14:textId="77777777" w:rsidR="00EB0431" w:rsidRPr="00773EEA" w:rsidRDefault="00EB0431" w:rsidP="00394337">
            <w:pPr>
              <w:rPr>
                <w:rFonts w:cs="Arial"/>
                <w:bCs/>
                <w:szCs w:val="20"/>
                <w:lang w:val="en-US"/>
              </w:rPr>
            </w:pPr>
            <w:r w:rsidRPr="00773EEA">
              <w:rPr>
                <w:rFonts w:cs="Arial"/>
                <w:bCs/>
                <w:szCs w:val="20"/>
                <w:lang w:val="en-US"/>
              </w:rPr>
              <w:t xml:space="preserve">A selection of </w:t>
            </w:r>
            <w:proofErr w:type="gramStart"/>
            <w:r w:rsidRPr="00773EEA">
              <w:rPr>
                <w:rFonts w:cs="Arial"/>
                <w:bCs/>
                <w:szCs w:val="20"/>
                <w:lang w:val="en-US"/>
              </w:rPr>
              <w:t>Bronze</w:t>
            </w:r>
            <w:proofErr w:type="gramEnd"/>
            <w:r w:rsidRPr="00773EEA">
              <w:rPr>
                <w:rFonts w:cs="Arial"/>
                <w:bCs/>
                <w:szCs w:val="20"/>
                <w:lang w:val="en-US"/>
              </w:rPr>
              <w:t xml:space="preserve"> tier cities </w:t>
            </w:r>
          </w:p>
        </w:tc>
        <w:tc>
          <w:tcPr>
            <w:tcW w:w="3246" w:type="dxa"/>
            <w:tcBorders>
              <w:top w:val="single" w:sz="4" w:space="0" w:color="auto"/>
              <w:left w:val="single" w:sz="4" w:space="0" w:color="auto"/>
              <w:bottom w:val="single" w:sz="4" w:space="0" w:color="auto"/>
              <w:right w:val="single" w:sz="4" w:space="0" w:color="auto"/>
            </w:tcBorders>
          </w:tcPr>
          <w:p w14:paraId="6C31E300" w14:textId="77777777" w:rsidR="00EB0431" w:rsidRPr="00773EEA" w:rsidRDefault="00EB0431" w:rsidP="00394337">
            <w:pPr>
              <w:rPr>
                <w:rFonts w:cs="Arial"/>
                <w:bCs/>
                <w:szCs w:val="20"/>
                <w:lang w:val="en-US"/>
              </w:rPr>
            </w:pPr>
          </w:p>
        </w:tc>
        <w:tc>
          <w:tcPr>
            <w:tcW w:w="2307" w:type="dxa"/>
            <w:tcBorders>
              <w:top w:val="single" w:sz="4" w:space="0" w:color="auto"/>
              <w:left w:val="single" w:sz="4" w:space="0" w:color="auto"/>
              <w:bottom w:val="single" w:sz="4" w:space="0" w:color="auto"/>
              <w:right w:val="single" w:sz="4" w:space="0" w:color="auto"/>
            </w:tcBorders>
          </w:tcPr>
          <w:p w14:paraId="50DE630C" w14:textId="77777777" w:rsidR="00EB0431" w:rsidRPr="00773EEA" w:rsidRDefault="00EB0431" w:rsidP="00394337">
            <w:pPr>
              <w:rPr>
                <w:rFonts w:cs="Arial"/>
                <w:bCs/>
                <w:szCs w:val="20"/>
                <w:lang w:val="en-US"/>
              </w:rPr>
            </w:pPr>
          </w:p>
        </w:tc>
      </w:tr>
      <w:tr w:rsidR="00773EEA" w:rsidRPr="00773EEA" w14:paraId="19BFF2DD" w14:textId="77777777" w:rsidTr="00394337">
        <w:tc>
          <w:tcPr>
            <w:tcW w:w="663" w:type="dxa"/>
            <w:tcBorders>
              <w:top w:val="single" w:sz="4" w:space="0" w:color="auto"/>
              <w:left w:val="single" w:sz="4" w:space="0" w:color="auto"/>
              <w:bottom w:val="single" w:sz="4" w:space="0" w:color="auto"/>
              <w:right w:val="single" w:sz="4" w:space="0" w:color="auto"/>
            </w:tcBorders>
          </w:tcPr>
          <w:p w14:paraId="265603DB" w14:textId="77777777" w:rsidR="00EB0431" w:rsidRPr="00773EEA" w:rsidRDefault="00EB0431" w:rsidP="00394337">
            <w:pPr>
              <w:jc w:val="center"/>
              <w:rPr>
                <w:rFonts w:cs="Arial"/>
                <w:bCs/>
                <w:szCs w:val="20"/>
                <w:lang w:val="en-US"/>
              </w:rPr>
            </w:pPr>
            <w:r w:rsidRPr="00773EEA">
              <w:rPr>
                <w:rFonts w:cs="Arial"/>
                <w:bCs/>
                <w:szCs w:val="20"/>
                <w:lang w:val="en-US"/>
              </w:rPr>
              <w:t>22</w:t>
            </w:r>
          </w:p>
        </w:tc>
        <w:tc>
          <w:tcPr>
            <w:tcW w:w="2800" w:type="dxa"/>
            <w:tcBorders>
              <w:top w:val="single" w:sz="4" w:space="0" w:color="auto"/>
              <w:left w:val="single" w:sz="4" w:space="0" w:color="auto"/>
              <w:bottom w:val="single" w:sz="4" w:space="0" w:color="auto"/>
              <w:right w:val="single" w:sz="4" w:space="0" w:color="auto"/>
            </w:tcBorders>
          </w:tcPr>
          <w:p w14:paraId="4CDEBD01" w14:textId="77777777" w:rsidR="00EB0431" w:rsidRPr="00773EEA" w:rsidRDefault="00EB0431" w:rsidP="00394337">
            <w:pPr>
              <w:rPr>
                <w:rFonts w:cs="Arial"/>
                <w:bCs/>
                <w:szCs w:val="20"/>
                <w:lang w:val="en-US"/>
              </w:rPr>
            </w:pPr>
            <w:r w:rsidRPr="00773EEA">
              <w:rPr>
                <w:rFonts w:cs="Arial"/>
                <w:bCs/>
                <w:szCs w:val="20"/>
                <w:lang w:val="en-US"/>
              </w:rPr>
              <w:t>Soren Hansen</w:t>
            </w:r>
          </w:p>
          <w:p w14:paraId="18059E0A" w14:textId="77777777" w:rsidR="00EB0431" w:rsidRPr="00773EEA" w:rsidRDefault="00EB0431" w:rsidP="00394337">
            <w:pPr>
              <w:rPr>
                <w:rFonts w:cs="Arial"/>
                <w:bCs/>
                <w:szCs w:val="20"/>
                <w:lang w:val="en-US"/>
              </w:rPr>
            </w:pPr>
            <w:r w:rsidRPr="00773EEA">
              <w:rPr>
                <w:rFonts w:cs="Arial"/>
                <w:bCs/>
                <w:szCs w:val="20"/>
                <w:lang w:val="en-US"/>
              </w:rPr>
              <w:t>Hillarie Cania</w:t>
            </w:r>
          </w:p>
          <w:p w14:paraId="2A8CB4D5" w14:textId="77777777" w:rsidR="00EB0431" w:rsidRPr="00773EEA" w:rsidRDefault="00EB0431" w:rsidP="00394337">
            <w:pPr>
              <w:rPr>
                <w:rFonts w:cs="Arial"/>
                <w:bCs/>
                <w:szCs w:val="20"/>
                <w:lang w:val="en-US"/>
              </w:rPr>
            </w:pPr>
            <w:r w:rsidRPr="00773EEA">
              <w:rPr>
                <w:rFonts w:cs="Arial"/>
                <w:bCs/>
                <w:szCs w:val="20"/>
                <w:lang w:val="en-US"/>
              </w:rPr>
              <w:t>Andrew Brahney</w:t>
            </w:r>
          </w:p>
          <w:p w14:paraId="730228FE" w14:textId="77777777" w:rsidR="00EB0431" w:rsidRPr="00773EEA" w:rsidRDefault="00EB0431" w:rsidP="00394337">
            <w:pPr>
              <w:rPr>
                <w:rFonts w:cs="Arial"/>
                <w:bCs/>
                <w:szCs w:val="20"/>
                <w:lang w:val="en-US"/>
              </w:rPr>
            </w:pPr>
            <w:r w:rsidRPr="00773EEA">
              <w:rPr>
                <w:rFonts w:cs="Arial"/>
                <w:bCs/>
                <w:szCs w:val="20"/>
                <w:lang w:val="en-US"/>
              </w:rPr>
              <w:t>Xavier le Den</w:t>
            </w:r>
          </w:p>
          <w:p w14:paraId="34EB7B68" w14:textId="77777777" w:rsidR="00EB0431" w:rsidRPr="00773EEA" w:rsidRDefault="00EB0431" w:rsidP="00394337">
            <w:pPr>
              <w:rPr>
                <w:rFonts w:cs="Arial"/>
                <w:bCs/>
                <w:szCs w:val="20"/>
                <w:lang w:val="en-US"/>
              </w:rPr>
            </w:pPr>
            <w:r w:rsidRPr="00773EEA">
              <w:rPr>
                <w:rFonts w:cs="Arial"/>
                <w:bCs/>
                <w:szCs w:val="20"/>
                <w:lang w:val="en-US"/>
              </w:rPr>
              <w:lastRenderedPageBreak/>
              <w:t>Catherine Grant</w:t>
            </w:r>
          </w:p>
          <w:p w14:paraId="48EA043F" w14:textId="77777777" w:rsidR="00EB0431" w:rsidRPr="00773EEA" w:rsidRDefault="00EB0431" w:rsidP="00394337">
            <w:pPr>
              <w:rPr>
                <w:rFonts w:cs="Arial"/>
                <w:bCs/>
                <w:szCs w:val="20"/>
                <w:lang w:val="en-US"/>
              </w:rPr>
            </w:pPr>
            <w:r w:rsidRPr="00773EEA">
              <w:rPr>
                <w:rFonts w:cs="Arial"/>
                <w:bCs/>
                <w:szCs w:val="20"/>
                <w:lang w:val="en-US"/>
              </w:rPr>
              <w:t>Jens Christian Riise</w:t>
            </w:r>
          </w:p>
          <w:p w14:paraId="54B1B8F5" w14:textId="77777777" w:rsidR="00EB0431" w:rsidRPr="00773EEA" w:rsidRDefault="00EB0431" w:rsidP="00394337">
            <w:pPr>
              <w:rPr>
                <w:rFonts w:cs="Arial"/>
                <w:bCs/>
                <w:szCs w:val="20"/>
                <w:lang w:val="en-US"/>
              </w:rPr>
            </w:pPr>
          </w:p>
        </w:tc>
        <w:tc>
          <w:tcPr>
            <w:tcW w:w="3246" w:type="dxa"/>
            <w:tcBorders>
              <w:top w:val="single" w:sz="4" w:space="0" w:color="auto"/>
              <w:left w:val="single" w:sz="4" w:space="0" w:color="auto"/>
              <w:bottom w:val="single" w:sz="4" w:space="0" w:color="auto"/>
              <w:right w:val="single" w:sz="4" w:space="0" w:color="auto"/>
            </w:tcBorders>
          </w:tcPr>
          <w:p w14:paraId="41116133" w14:textId="77777777" w:rsidR="00EB0431" w:rsidRPr="00773EEA" w:rsidRDefault="00EB0431" w:rsidP="00394337">
            <w:pPr>
              <w:rPr>
                <w:rFonts w:cs="Arial"/>
                <w:bCs/>
                <w:szCs w:val="20"/>
                <w:lang w:val="en-US"/>
              </w:rPr>
            </w:pPr>
            <w:r w:rsidRPr="00773EEA">
              <w:rPr>
                <w:rFonts w:cs="Arial"/>
                <w:bCs/>
                <w:szCs w:val="20"/>
                <w:lang w:val="en-US"/>
              </w:rPr>
              <w:lastRenderedPageBreak/>
              <w:t>Team Leader</w:t>
            </w:r>
          </w:p>
          <w:p w14:paraId="52CAC555" w14:textId="77777777" w:rsidR="00EB0431" w:rsidRPr="00773EEA" w:rsidRDefault="00EB0431" w:rsidP="00394337">
            <w:pPr>
              <w:rPr>
                <w:rFonts w:cs="Arial"/>
                <w:bCs/>
                <w:szCs w:val="20"/>
                <w:lang w:val="en-US"/>
              </w:rPr>
            </w:pPr>
            <w:r w:rsidRPr="00773EEA">
              <w:rPr>
                <w:rFonts w:cs="Arial"/>
                <w:bCs/>
                <w:szCs w:val="20"/>
                <w:lang w:val="en-US"/>
              </w:rPr>
              <w:t>Deputy Team Leader</w:t>
            </w:r>
          </w:p>
          <w:p w14:paraId="4801259F" w14:textId="77777777" w:rsidR="00EB0431" w:rsidRPr="00773EEA" w:rsidRDefault="00EB0431" w:rsidP="00394337">
            <w:pPr>
              <w:rPr>
                <w:rFonts w:cs="Arial"/>
                <w:bCs/>
                <w:szCs w:val="20"/>
                <w:lang w:val="en-US"/>
              </w:rPr>
            </w:pPr>
            <w:r w:rsidRPr="00773EEA">
              <w:rPr>
                <w:rFonts w:cs="Arial"/>
                <w:bCs/>
                <w:szCs w:val="20"/>
                <w:lang w:val="en-US"/>
              </w:rPr>
              <w:t>Senior Smart ICT Specialist</w:t>
            </w:r>
          </w:p>
          <w:p w14:paraId="6F0D1322" w14:textId="77777777" w:rsidR="00EB0431" w:rsidRPr="00773EEA" w:rsidRDefault="00EB0431" w:rsidP="00394337">
            <w:pPr>
              <w:rPr>
                <w:rFonts w:cs="Arial"/>
                <w:bCs/>
                <w:szCs w:val="20"/>
                <w:lang w:val="da-DK"/>
              </w:rPr>
            </w:pPr>
            <w:r w:rsidRPr="00773EEA">
              <w:rPr>
                <w:rFonts w:cs="Arial"/>
                <w:bCs/>
                <w:szCs w:val="20"/>
                <w:lang w:val="da-DK"/>
              </w:rPr>
              <w:t>Senior M&amp;E Specialist</w:t>
            </w:r>
          </w:p>
          <w:p w14:paraId="63A3FF67" w14:textId="77777777" w:rsidR="00EB0431" w:rsidRPr="00773EEA" w:rsidRDefault="00EB0431" w:rsidP="00394337">
            <w:pPr>
              <w:rPr>
                <w:rFonts w:cs="Arial"/>
                <w:bCs/>
                <w:szCs w:val="20"/>
                <w:lang w:val="da-DK"/>
              </w:rPr>
            </w:pPr>
            <w:r w:rsidRPr="00773EEA">
              <w:rPr>
                <w:rFonts w:cs="Arial"/>
                <w:bCs/>
                <w:szCs w:val="20"/>
                <w:lang w:val="da-DK"/>
              </w:rPr>
              <w:lastRenderedPageBreak/>
              <w:t>Gender Specialist</w:t>
            </w:r>
          </w:p>
          <w:p w14:paraId="2589FC98" w14:textId="77777777" w:rsidR="00EB0431" w:rsidRPr="00773EEA" w:rsidRDefault="00EB0431" w:rsidP="00394337">
            <w:pPr>
              <w:rPr>
                <w:rFonts w:cs="Arial"/>
                <w:bCs/>
                <w:szCs w:val="20"/>
                <w:lang w:val="en-US"/>
              </w:rPr>
            </w:pPr>
            <w:r w:rsidRPr="00773EEA">
              <w:rPr>
                <w:rFonts w:cs="Arial"/>
                <w:bCs/>
                <w:szCs w:val="20"/>
                <w:lang w:val="en-US"/>
              </w:rPr>
              <w:t>Communication and Outreach Specialist</w:t>
            </w:r>
          </w:p>
        </w:tc>
        <w:tc>
          <w:tcPr>
            <w:tcW w:w="2307" w:type="dxa"/>
            <w:tcBorders>
              <w:top w:val="single" w:sz="4" w:space="0" w:color="auto"/>
              <w:left w:val="single" w:sz="4" w:space="0" w:color="auto"/>
              <w:bottom w:val="single" w:sz="4" w:space="0" w:color="auto"/>
              <w:right w:val="single" w:sz="4" w:space="0" w:color="auto"/>
            </w:tcBorders>
          </w:tcPr>
          <w:p w14:paraId="39AC1575" w14:textId="77777777" w:rsidR="00EB0431" w:rsidRPr="00773EEA" w:rsidRDefault="00EB0431" w:rsidP="00394337">
            <w:pPr>
              <w:rPr>
                <w:rFonts w:cs="Arial"/>
                <w:bCs/>
                <w:szCs w:val="20"/>
                <w:lang w:val="en-US"/>
              </w:rPr>
            </w:pPr>
            <w:r w:rsidRPr="00773EEA">
              <w:rPr>
                <w:rFonts w:cs="Arial"/>
                <w:bCs/>
                <w:szCs w:val="20"/>
                <w:lang w:val="en-US"/>
              </w:rPr>
              <w:lastRenderedPageBreak/>
              <w:t>AASCTF Core team/Ramboll</w:t>
            </w:r>
          </w:p>
        </w:tc>
      </w:tr>
      <w:tr w:rsidR="00773EEA" w:rsidRPr="00773EEA" w14:paraId="0AC897F3" w14:textId="77777777" w:rsidTr="00394337">
        <w:tc>
          <w:tcPr>
            <w:tcW w:w="663" w:type="dxa"/>
            <w:tcBorders>
              <w:top w:val="single" w:sz="4" w:space="0" w:color="auto"/>
              <w:left w:val="single" w:sz="4" w:space="0" w:color="auto"/>
              <w:bottom w:val="single" w:sz="4" w:space="0" w:color="auto"/>
              <w:right w:val="single" w:sz="4" w:space="0" w:color="auto"/>
            </w:tcBorders>
          </w:tcPr>
          <w:p w14:paraId="73D4B517" w14:textId="77777777" w:rsidR="00EB0431" w:rsidRPr="00773EEA" w:rsidRDefault="00EB0431" w:rsidP="00394337">
            <w:pPr>
              <w:jc w:val="center"/>
              <w:rPr>
                <w:rFonts w:cs="Arial"/>
                <w:bCs/>
                <w:szCs w:val="20"/>
                <w:lang w:val="en-US"/>
              </w:rPr>
            </w:pPr>
            <w:r w:rsidRPr="00773EEA">
              <w:rPr>
                <w:rFonts w:cs="Arial"/>
                <w:bCs/>
                <w:szCs w:val="20"/>
                <w:lang w:val="en-US"/>
              </w:rPr>
              <w:t>23</w:t>
            </w:r>
          </w:p>
        </w:tc>
        <w:tc>
          <w:tcPr>
            <w:tcW w:w="2800" w:type="dxa"/>
            <w:tcBorders>
              <w:top w:val="single" w:sz="4" w:space="0" w:color="auto"/>
              <w:left w:val="single" w:sz="4" w:space="0" w:color="auto"/>
              <w:bottom w:val="single" w:sz="4" w:space="0" w:color="auto"/>
              <w:right w:val="single" w:sz="4" w:space="0" w:color="auto"/>
            </w:tcBorders>
          </w:tcPr>
          <w:p w14:paraId="42342506" w14:textId="77777777" w:rsidR="00EB0431" w:rsidRPr="00773EEA" w:rsidRDefault="00EB0431" w:rsidP="00394337">
            <w:pPr>
              <w:rPr>
                <w:rFonts w:cs="Arial"/>
                <w:bCs/>
                <w:szCs w:val="20"/>
                <w:lang w:val="en-US"/>
              </w:rPr>
            </w:pPr>
            <w:r w:rsidRPr="00773EEA">
              <w:rPr>
                <w:rFonts w:cs="Arial"/>
                <w:bCs/>
                <w:szCs w:val="20"/>
                <w:lang w:val="en-US"/>
              </w:rPr>
              <w:t>TBC</w:t>
            </w:r>
          </w:p>
        </w:tc>
        <w:tc>
          <w:tcPr>
            <w:tcW w:w="3246" w:type="dxa"/>
            <w:tcBorders>
              <w:top w:val="single" w:sz="4" w:space="0" w:color="auto"/>
              <w:left w:val="single" w:sz="4" w:space="0" w:color="auto"/>
              <w:bottom w:val="single" w:sz="4" w:space="0" w:color="auto"/>
              <w:right w:val="single" w:sz="4" w:space="0" w:color="auto"/>
            </w:tcBorders>
          </w:tcPr>
          <w:p w14:paraId="657D1FC9" w14:textId="77777777" w:rsidR="00EB0431" w:rsidRPr="00773EEA" w:rsidRDefault="00EB0431" w:rsidP="00394337">
            <w:pPr>
              <w:rPr>
                <w:rFonts w:cs="Arial"/>
                <w:bCs/>
                <w:szCs w:val="20"/>
                <w:lang w:val="en-US"/>
              </w:rPr>
            </w:pPr>
          </w:p>
        </w:tc>
        <w:tc>
          <w:tcPr>
            <w:tcW w:w="2307" w:type="dxa"/>
            <w:tcBorders>
              <w:top w:val="single" w:sz="4" w:space="0" w:color="auto"/>
              <w:left w:val="single" w:sz="4" w:space="0" w:color="auto"/>
              <w:bottom w:val="single" w:sz="4" w:space="0" w:color="auto"/>
              <w:right w:val="single" w:sz="4" w:space="0" w:color="auto"/>
            </w:tcBorders>
          </w:tcPr>
          <w:p w14:paraId="0C393C3D" w14:textId="77777777" w:rsidR="00EB0431" w:rsidRPr="00773EEA" w:rsidRDefault="00EB0431" w:rsidP="00394337">
            <w:pPr>
              <w:rPr>
                <w:rFonts w:cs="Arial"/>
                <w:bCs/>
                <w:szCs w:val="20"/>
                <w:lang w:val="en-US"/>
              </w:rPr>
            </w:pPr>
            <w:r w:rsidRPr="00773EEA">
              <w:rPr>
                <w:rFonts w:cs="Arial"/>
                <w:bCs/>
                <w:szCs w:val="20"/>
                <w:lang w:val="en-US"/>
              </w:rPr>
              <w:t xml:space="preserve">The Asia Foundation </w:t>
            </w:r>
          </w:p>
        </w:tc>
      </w:tr>
      <w:tr w:rsidR="00EB0431" w:rsidRPr="00773EEA" w14:paraId="2EC06CF8" w14:textId="77777777" w:rsidTr="00394337">
        <w:tc>
          <w:tcPr>
            <w:tcW w:w="663" w:type="dxa"/>
            <w:tcBorders>
              <w:top w:val="single" w:sz="4" w:space="0" w:color="auto"/>
              <w:left w:val="single" w:sz="4" w:space="0" w:color="auto"/>
              <w:bottom w:val="single" w:sz="4" w:space="0" w:color="auto"/>
              <w:right w:val="single" w:sz="4" w:space="0" w:color="auto"/>
            </w:tcBorders>
          </w:tcPr>
          <w:p w14:paraId="4C7A0A10" w14:textId="77777777" w:rsidR="00EB0431" w:rsidRPr="00773EEA" w:rsidRDefault="00EB0431" w:rsidP="00394337">
            <w:pPr>
              <w:jc w:val="center"/>
              <w:rPr>
                <w:rFonts w:cs="Arial"/>
                <w:bCs/>
                <w:szCs w:val="20"/>
                <w:lang w:val="en-US"/>
              </w:rPr>
            </w:pPr>
            <w:r w:rsidRPr="00773EEA">
              <w:rPr>
                <w:rFonts w:cs="Arial"/>
                <w:bCs/>
                <w:szCs w:val="20"/>
                <w:lang w:val="en-US"/>
              </w:rPr>
              <w:t>24</w:t>
            </w:r>
          </w:p>
        </w:tc>
        <w:tc>
          <w:tcPr>
            <w:tcW w:w="2800" w:type="dxa"/>
            <w:tcBorders>
              <w:top w:val="single" w:sz="4" w:space="0" w:color="auto"/>
              <w:left w:val="single" w:sz="4" w:space="0" w:color="auto"/>
              <w:bottom w:val="single" w:sz="4" w:space="0" w:color="auto"/>
              <w:right w:val="single" w:sz="4" w:space="0" w:color="auto"/>
            </w:tcBorders>
          </w:tcPr>
          <w:p w14:paraId="00E0D7EA" w14:textId="77777777" w:rsidR="00EB0431" w:rsidRPr="00773EEA" w:rsidRDefault="00EB0431" w:rsidP="00394337">
            <w:pPr>
              <w:rPr>
                <w:rFonts w:cs="Arial"/>
                <w:bCs/>
                <w:szCs w:val="20"/>
                <w:lang w:val="en-US"/>
              </w:rPr>
            </w:pPr>
            <w:r w:rsidRPr="00773EEA">
              <w:rPr>
                <w:rFonts w:cs="Arial"/>
                <w:bCs/>
                <w:szCs w:val="20"/>
                <w:lang w:val="en-US"/>
              </w:rPr>
              <w:t xml:space="preserve">TBC </w:t>
            </w:r>
          </w:p>
        </w:tc>
        <w:tc>
          <w:tcPr>
            <w:tcW w:w="3246" w:type="dxa"/>
            <w:tcBorders>
              <w:top w:val="single" w:sz="4" w:space="0" w:color="auto"/>
              <w:left w:val="single" w:sz="4" w:space="0" w:color="auto"/>
              <w:bottom w:val="single" w:sz="4" w:space="0" w:color="auto"/>
              <w:right w:val="single" w:sz="4" w:space="0" w:color="auto"/>
            </w:tcBorders>
          </w:tcPr>
          <w:p w14:paraId="4CC7E627" w14:textId="77777777" w:rsidR="00EB0431" w:rsidRPr="00773EEA" w:rsidRDefault="00EB0431" w:rsidP="00394337">
            <w:pPr>
              <w:rPr>
                <w:rFonts w:cs="Arial"/>
                <w:bCs/>
                <w:szCs w:val="20"/>
                <w:lang w:val="en-US"/>
              </w:rPr>
            </w:pPr>
          </w:p>
        </w:tc>
        <w:tc>
          <w:tcPr>
            <w:tcW w:w="2307" w:type="dxa"/>
            <w:tcBorders>
              <w:top w:val="single" w:sz="4" w:space="0" w:color="auto"/>
              <w:left w:val="single" w:sz="4" w:space="0" w:color="auto"/>
              <w:bottom w:val="single" w:sz="4" w:space="0" w:color="auto"/>
              <w:right w:val="single" w:sz="4" w:space="0" w:color="auto"/>
            </w:tcBorders>
          </w:tcPr>
          <w:p w14:paraId="2BD53E36" w14:textId="77777777" w:rsidR="00EB0431" w:rsidRPr="00773EEA" w:rsidRDefault="00EB0431" w:rsidP="00394337">
            <w:pPr>
              <w:rPr>
                <w:rFonts w:cs="Arial"/>
                <w:bCs/>
                <w:szCs w:val="20"/>
                <w:lang w:val="en-US"/>
              </w:rPr>
            </w:pPr>
            <w:r w:rsidRPr="00773EEA">
              <w:rPr>
                <w:rFonts w:cs="Arial"/>
                <w:bCs/>
                <w:szCs w:val="20"/>
                <w:lang w:val="en-US"/>
              </w:rPr>
              <w:t xml:space="preserve">Gold Coast City, Australia </w:t>
            </w:r>
          </w:p>
        </w:tc>
      </w:tr>
    </w:tbl>
    <w:p w14:paraId="27212749" w14:textId="77777777" w:rsidR="00EB0431" w:rsidRPr="00773EEA" w:rsidRDefault="00EB0431" w:rsidP="00EB0431">
      <w:pPr>
        <w:spacing w:line="256" w:lineRule="auto"/>
        <w:rPr>
          <w:rFonts w:cs="Arial"/>
          <w:szCs w:val="20"/>
          <w:lang w:val="en-US"/>
        </w:rPr>
      </w:pPr>
    </w:p>
    <w:p w14:paraId="2D403A11" w14:textId="77777777" w:rsidR="007E5F32" w:rsidRPr="00773EEA" w:rsidRDefault="007E5F32" w:rsidP="007E5F32">
      <w:pPr>
        <w:rPr>
          <w:rFonts w:cs="Arial"/>
          <w:b/>
          <w:szCs w:val="20"/>
          <w:lang w:val="en-US"/>
        </w:rPr>
      </w:pPr>
      <w:r w:rsidRPr="00773EEA">
        <w:rPr>
          <w:rFonts w:cs="Arial"/>
          <w:b/>
          <w:szCs w:val="20"/>
          <w:lang w:val="en-US"/>
        </w:rPr>
        <w:t>Annex B</w:t>
      </w:r>
    </w:p>
    <w:p w14:paraId="14005A45" w14:textId="77777777" w:rsidR="007E5F32" w:rsidRPr="00773EEA" w:rsidRDefault="007E5F32" w:rsidP="007E5F32">
      <w:pPr>
        <w:rPr>
          <w:rFonts w:cs="Arial"/>
          <w:b/>
          <w:szCs w:val="20"/>
          <w:lang w:val="en-US"/>
        </w:rPr>
      </w:pPr>
      <w:r w:rsidRPr="00773EEA">
        <w:rPr>
          <w:rFonts w:cs="Arial"/>
          <w:b/>
          <w:szCs w:val="20"/>
          <w:lang w:val="en-US"/>
        </w:rPr>
        <w:t>Aide Memoire Overview</w:t>
      </w:r>
    </w:p>
    <w:p w14:paraId="6C93D677" w14:textId="77777777" w:rsidR="007E5F32" w:rsidRPr="00773EEA" w:rsidRDefault="007E5F32" w:rsidP="007E5F32">
      <w:pPr>
        <w:pStyle w:val="BodyText"/>
        <w:rPr>
          <w:rFonts w:cs="Arial"/>
          <w:szCs w:val="20"/>
        </w:rPr>
      </w:pPr>
      <w:r w:rsidRPr="00773EEA">
        <w:rPr>
          <w:rFonts w:cs="Arial"/>
          <w:szCs w:val="20"/>
        </w:rPr>
        <w:t>This tool provides guidance on the content of an Aide Memoire. An Aide Memoire is commonly presented to interested stakeholders at the end of an in-country design mission, and so can form a useful basis for the drafting of an end-of-mission cable. The Aide Memoire is usually drafted by the Design Team Leader in consultation with Post.</w:t>
      </w:r>
    </w:p>
    <w:p w14:paraId="7E97856B" w14:textId="77777777" w:rsidR="007E5F32" w:rsidRPr="00773EEA" w:rsidRDefault="007E5F32" w:rsidP="007E5F32">
      <w:pPr>
        <w:rPr>
          <w:rFonts w:cs="Arial"/>
          <w:b/>
          <w:szCs w:val="20"/>
          <w:lang w:val="en-US"/>
        </w:rPr>
      </w:pPr>
      <w:r w:rsidRPr="00773EEA">
        <w:rPr>
          <w:rFonts w:cs="Arial"/>
          <w:b/>
          <w:szCs w:val="20"/>
          <w:lang w:val="en-US"/>
        </w:rPr>
        <w:t>Meeting DFAT requirements</w:t>
      </w:r>
    </w:p>
    <w:p w14:paraId="15E6532F" w14:textId="77777777" w:rsidR="007E5F32" w:rsidRPr="00773EEA" w:rsidRDefault="007E5F32" w:rsidP="007E5F32">
      <w:pPr>
        <w:pStyle w:val="BodyText"/>
        <w:rPr>
          <w:rFonts w:cs="Arial"/>
          <w:szCs w:val="20"/>
        </w:rPr>
      </w:pPr>
      <w:r w:rsidRPr="00773EEA">
        <w:rPr>
          <w:rFonts w:cs="Arial"/>
          <w:szCs w:val="20"/>
        </w:rPr>
        <w:t>The key audiences for this document will be the department, the Partner Government (where relevant) and the other active stakeholders (</w:t>
      </w:r>
      <w:proofErr w:type="gramStart"/>
      <w:r w:rsidRPr="00773EEA">
        <w:rPr>
          <w:rFonts w:cs="Arial"/>
          <w:szCs w:val="20"/>
        </w:rPr>
        <w:t>e.g.</w:t>
      </w:r>
      <w:proofErr w:type="gramEnd"/>
      <w:r w:rsidRPr="00773EEA">
        <w:rPr>
          <w:rFonts w:cs="Arial"/>
          <w:szCs w:val="20"/>
        </w:rPr>
        <w:t xml:space="preserve"> partner agencies, community peak bodies, etc.). An Aide Memoire would normally be around 5 pages in length. Below is a typical structure:</w:t>
      </w:r>
    </w:p>
    <w:p w14:paraId="4011E88C"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 xml:space="preserve">Design </w:t>
      </w:r>
      <w:proofErr w:type="gramStart"/>
      <w:r w:rsidRPr="00773EEA">
        <w:rPr>
          <w:rFonts w:ascii="Arial" w:hAnsi="Arial" w:cs="Arial"/>
          <w:color w:val="auto"/>
          <w:sz w:val="20"/>
          <w:szCs w:val="20"/>
        </w:rPr>
        <w:t>Background;</w:t>
      </w:r>
      <w:proofErr w:type="gramEnd"/>
    </w:p>
    <w:p w14:paraId="0A131EBA"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 xml:space="preserve">Description of proposed </w:t>
      </w:r>
      <w:proofErr w:type="gramStart"/>
      <w:r w:rsidRPr="00773EEA">
        <w:rPr>
          <w:rFonts w:ascii="Arial" w:hAnsi="Arial" w:cs="Arial"/>
          <w:color w:val="auto"/>
          <w:sz w:val="20"/>
          <w:szCs w:val="20"/>
        </w:rPr>
        <w:t>investment;</w:t>
      </w:r>
      <w:proofErr w:type="gramEnd"/>
    </w:p>
    <w:p w14:paraId="1A8E6D36"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 xml:space="preserve">Observations and Key </w:t>
      </w:r>
      <w:proofErr w:type="gramStart"/>
      <w:r w:rsidRPr="00773EEA">
        <w:rPr>
          <w:rFonts w:ascii="Arial" w:hAnsi="Arial" w:cs="Arial"/>
          <w:color w:val="auto"/>
          <w:sz w:val="20"/>
          <w:szCs w:val="20"/>
        </w:rPr>
        <w:t>Recommendations;</w:t>
      </w:r>
      <w:proofErr w:type="gramEnd"/>
    </w:p>
    <w:p w14:paraId="65006776"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 xml:space="preserve">Next </w:t>
      </w:r>
      <w:proofErr w:type="gramStart"/>
      <w:r w:rsidRPr="00773EEA">
        <w:rPr>
          <w:rFonts w:ascii="Arial" w:hAnsi="Arial" w:cs="Arial"/>
          <w:color w:val="auto"/>
          <w:sz w:val="20"/>
          <w:szCs w:val="20"/>
        </w:rPr>
        <w:t>steps;</w:t>
      </w:r>
      <w:proofErr w:type="gramEnd"/>
    </w:p>
    <w:p w14:paraId="5B8E1892"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 xml:space="preserve">Acknowledgements </w:t>
      </w:r>
      <w:proofErr w:type="gramStart"/>
      <w:r w:rsidRPr="00773EEA">
        <w:rPr>
          <w:rFonts w:ascii="Arial" w:hAnsi="Arial" w:cs="Arial"/>
          <w:color w:val="auto"/>
          <w:sz w:val="20"/>
          <w:szCs w:val="20"/>
        </w:rPr>
        <w:t>and;</w:t>
      </w:r>
      <w:proofErr w:type="gramEnd"/>
    </w:p>
    <w:p w14:paraId="755178CB" w14:textId="77777777" w:rsidR="007E5F32" w:rsidRPr="00773EEA" w:rsidRDefault="007E5F32" w:rsidP="00177735">
      <w:pPr>
        <w:pStyle w:val="ListNumber"/>
        <w:numPr>
          <w:ilvl w:val="0"/>
          <w:numId w:val="21"/>
        </w:numPr>
        <w:tabs>
          <w:tab w:val="left" w:pos="284"/>
        </w:tabs>
        <w:suppressAutoHyphens w:val="0"/>
        <w:spacing w:before="0" w:after="120" w:line="280" w:lineRule="exact"/>
        <w:rPr>
          <w:rFonts w:ascii="Arial" w:hAnsi="Arial" w:cs="Arial"/>
          <w:color w:val="auto"/>
          <w:sz w:val="20"/>
          <w:szCs w:val="20"/>
        </w:rPr>
      </w:pPr>
      <w:r w:rsidRPr="00773EEA">
        <w:rPr>
          <w:rFonts w:ascii="Arial" w:hAnsi="Arial" w:cs="Arial"/>
          <w:color w:val="auto"/>
          <w:sz w:val="20"/>
          <w:szCs w:val="20"/>
        </w:rPr>
        <w:t>Annexes</w:t>
      </w:r>
    </w:p>
    <w:p w14:paraId="51940931" w14:textId="77777777" w:rsidR="007E5F32" w:rsidRPr="00773EEA" w:rsidRDefault="007E5F32" w:rsidP="007E5F32">
      <w:pPr>
        <w:pStyle w:val="ListNumber2"/>
        <w:tabs>
          <w:tab w:val="clear" w:pos="360"/>
          <w:tab w:val="left" w:pos="1418"/>
        </w:tabs>
        <w:ind w:left="1134"/>
        <w:rPr>
          <w:rFonts w:ascii="Arial" w:hAnsi="Arial" w:cs="Arial"/>
          <w:sz w:val="20"/>
          <w:szCs w:val="20"/>
        </w:rPr>
      </w:pPr>
      <w:r w:rsidRPr="00773EEA">
        <w:rPr>
          <w:rFonts w:ascii="Arial" w:hAnsi="Arial" w:cs="Arial"/>
          <w:sz w:val="20"/>
          <w:szCs w:val="20"/>
        </w:rPr>
        <w:t>List of team members</w:t>
      </w:r>
    </w:p>
    <w:p w14:paraId="373189F9" w14:textId="77777777" w:rsidR="007E5F32" w:rsidRPr="00773EEA" w:rsidRDefault="007E5F32" w:rsidP="007E5F32">
      <w:pPr>
        <w:pStyle w:val="ListNumber2"/>
        <w:tabs>
          <w:tab w:val="clear" w:pos="360"/>
          <w:tab w:val="left" w:pos="1418"/>
        </w:tabs>
        <w:ind w:left="1134"/>
        <w:rPr>
          <w:rFonts w:ascii="Arial" w:hAnsi="Arial" w:cs="Arial"/>
          <w:sz w:val="20"/>
          <w:szCs w:val="20"/>
        </w:rPr>
      </w:pPr>
      <w:r w:rsidRPr="00773EEA">
        <w:rPr>
          <w:rFonts w:ascii="Arial" w:hAnsi="Arial" w:cs="Arial"/>
          <w:sz w:val="20"/>
          <w:szCs w:val="20"/>
        </w:rPr>
        <w:t>People/agencies consulted.</w:t>
      </w:r>
    </w:p>
    <w:p w14:paraId="0286E1E3" w14:textId="77777777" w:rsidR="007E5F32" w:rsidRPr="00773EEA" w:rsidRDefault="007E5F32" w:rsidP="007E5F32">
      <w:pPr>
        <w:rPr>
          <w:rFonts w:cs="Arial"/>
          <w:b/>
          <w:szCs w:val="20"/>
          <w:lang w:val="en-US"/>
        </w:rPr>
      </w:pPr>
      <w:r w:rsidRPr="00773EEA">
        <w:rPr>
          <w:rFonts w:cs="Arial"/>
          <w:b/>
          <w:szCs w:val="20"/>
          <w:lang w:val="en-US"/>
        </w:rPr>
        <w:t>Notes on the content of an Aide Memoire</w:t>
      </w:r>
    </w:p>
    <w:p w14:paraId="0B947F6F" w14:textId="77777777" w:rsidR="007E5F32" w:rsidRPr="00773EEA" w:rsidRDefault="007E5F32" w:rsidP="007E5F32">
      <w:pPr>
        <w:pStyle w:val="BodyText"/>
        <w:rPr>
          <w:rFonts w:cs="Arial"/>
          <w:szCs w:val="20"/>
        </w:rPr>
      </w:pPr>
      <w:r w:rsidRPr="00773EEA">
        <w:rPr>
          <w:rFonts w:cs="Arial"/>
          <w:b/>
          <w:szCs w:val="20"/>
        </w:rPr>
        <w:t>1. Background</w:t>
      </w:r>
      <w:r w:rsidRPr="00773EEA">
        <w:rPr>
          <w:rStyle w:val="apple-converted-space"/>
          <w:rFonts w:cs="Arial"/>
          <w:szCs w:val="20"/>
        </w:rPr>
        <w:t xml:space="preserve"> </w:t>
      </w:r>
      <w:r w:rsidRPr="00773EEA">
        <w:rPr>
          <w:rFonts w:cs="Arial"/>
          <w:szCs w:val="20"/>
        </w:rPr>
        <w:t>–</w:t>
      </w:r>
      <w:r w:rsidRPr="00773EEA">
        <w:rPr>
          <w:rStyle w:val="apple-converted-space"/>
          <w:rFonts w:cs="Arial"/>
          <w:szCs w:val="20"/>
        </w:rPr>
        <w:t xml:space="preserve"> it </w:t>
      </w:r>
      <w:r w:rsidRPr="00773EEA">
        <w:rPr>
          <w:rFonts w:cs="Arial"/>
          <w:szCs w:val="20"/>
        </w:rPr>
        <w:t>should outline the origin of the investment proposal, confirm the purpose of the Investment Design process and provide a broad outline of the parameters of the likely investment (</w:t>
      </w:r>
      <w:proofErr w:type="gramStart"/>
      <w:r w:rsidRPr="00773EEA">
        <w:rPr>
          <w:rFonts w:cs="Arial"/>
          <w:szCs w:val="20"/>
        </w:rPr>
        <w:t>e.g.</w:t>
      </w:r>
      <w:proofErr w:type="gramEnd"/>
      <w:r w:rsidRPr="00773EEA">
        <w:rPr>
          <w:rFonts w:cs="Arial"/>
          <w:szCs w:val="20"/>
        </w:rPr>
        <w:t xml:space="preserve"> indicative size of the aid investment, anticipated period of the investment, key partners).</w:t>
      </w:r>
    </w:p>
    <w:p w14:paraId="5AE9811E" w14:textId="77777777" w:rsidR="007E5F32" w:rsidRPr="00773EEA" w:rsidRDefault="007E5F32" w:rsidP="007E5F32">
      <w:pPr>
        <w:pStyle w:val="BodyText"/>
        <w:rPr>
          <w:rFonts w:cs="Arial"/>
          <w:szCs w:val="20"/>
        </w:rPr>
      </w:pPr>
      <w:r w:rsidRPr="00773EEA">
        <w:rPr>
          <w:rFonts w:cs="Arial"/>
          <w:b/>
          <w:szCs w:val="20"/>
        </w:rPr>
        <w:t>2. Description of the investment</w:t>
      </w:r>
      <w:r w:rsidRPr="00773EEA">
        <w:rPr>
          <w:rStyle w:val="apple-converted-space"/>
          <w:rFonts w:cs="Arial"/>
          <w:szCs w:val="20"/>
        </w:rPr>
        <w:t xml:space="preserve"> </w:t>
      </w:r>
      <w:r w:rsidRPr="00773EEA">
        <w:rPr>
          <w:rFonts w:cs="Arial"/>
          <w:szCs w:val="20"/>
        </w:rPr>
        <w:t>– it should briefly: describe the anticipated contribution to program/partnership development outcomes and the proposed aid investment outcomes; outline the key stakeholders who will be engaged with the investment, the key governance mechanisms to be used and indicative management structure; describe to the extent possible some of the key outputs likely to be delivered, proposed procurement arrangements; and outline the proposed monitoring and review mechanisms.</w:t>
      </w:r>
    </w:p>
    <w:p w14:paraId="4B0B4AC8" w14:textId="77777777" w:rsidR="007E5F32" w:rsidRPr="00773EEA" w:rsidRDefault="007E5F32" w:rsidP="007E5F32">
      <w:pPr>
        <w:pStyle w:val="BodyText"/>
        <w:rPr>
          <w:rFonts w:cs="Arial"/>
          <w:szCs w:val="20"/>
        </w:rPr>
      </w:pPr>
      <w:r w:rsidRPr="00773EEA">
        <w:rPr>
          <w:rFonts w:cs="Arial"/>
          <w:b/>
          <w:szCs w:val="20"/>
        </w:rPr>
        <w:t>3. Observations and Key Recommendations</w:t>
      </w:r>
      <w:r w:rsidRPr="00773EEA">
        <w:rPr>
          <w:rStyle w:val="apple-converted-space"/>
          <w:rFonts w:cs="Arial"/>
          <w:szCs w:val="20"/>
        </w:rPr>
        <w:t xml:space="preserve"> </w:t>
      </w:r>
      <w:r w:rsidRPr="00773EEA">
        <w:rPr>
          <w:rFonts w:cs="Arial"/>
          <w:szCs w:val="20"/>
        </w:rPr>
        <w:t>– this section allows the design team to outline any observations that will be influential in shaping the Investment Design including risks and constraints and how the design should mitigate any negative impacts. It also provides an opportunity to make recommendations to stakeholders about what is required to ensure that the opportunities for successful implementation are maximised (including any key counterpart commitments).</w:t>
      </w:r>
    </w:p>
    <w:p w14:paraId="0B40C4FC" w14:textId="77777777" w:rsidR="007E5F32" w:rsidRPr="00773EEA" w:rsidRDefault="007E5F32" w:rsidP="007E5F32">
      <w:pPr>
        <w:pStyle w:val="BodyText"/>
        <w:rPr>
          <w:rFonts w:cs="Arial"/>
          <w:szCs w:val="20"/>
        </w:rPr>
      </w:pPr>
      <w:r w:rsidRPr="00773EEA">
        <w:rPr>
          <w:rFonts w:cs="Arial"/>
          <w:b/>
          <w:szCs w:val="20"/>
        </w:rPr>
        <w:t>4. Next Steps</w:t>
      </w:r>
      <w:r w:rsidRPr="00773EEA">
        <w:rPr>
          <w:rStyle w:val="apple-converted-space"/>
          <w:rFonts w:cs="Arial"/>
          <w:szCs w:val="20"/>
        </w:rPr>
        <w:t xml:space="preserve"> </w:t>
      </w:r>
      <w:r w:rsidRPr="00773EEA">
        <w:rPr>
          <w:rFonts w:cs="Arial"/>
          <w:szCs w:val="20"/>
        </w:rPr>
        <w:t>– a brief, indicative timeline of the steps that must be undertaken through to design finalisation and mobilisation. Depending on the recommended delivery approach, these could include: DFAT, other parties and partner government approvals, tendering, contracting and mobilisation.</w:t>
      </w:r>
    </w:p>
    <w:p w14:paraId="14F61812" w14:textId="77777777" w:rsidR="007D1B29" w:rsidRDefault="007E5F32">
      <w:pPr>
        <w:rPr>
          <w:rFonts w:cs="Arial"/>
          <w:b/>
          <w:szCs w:val="20"/>
        </w:rPr>
        <w:sectPr w:rsidR="007D1B29" w:rsidSect="002B63A4">
          <w:type w:val="continuous"/>
          <w:pgSz w:w="11906" w:h="16838" w:code="9"/>
          <w:pgMar w:top="720" w:right="720" w:bottom="720" w:left="720" w:header="567" w:footer="408" w:gutter="0"/>
          <w:cols w:space="340"/>
          <w:titlePg/>
          <w:docGrid w:linePitch="360"/>
        </w:sectPr>
      </w:pPr>
      <w:r w:rsidRPr="00773EEA">
        <w:rPr>
          <w:rFonts w:cs="Arial"/>
          <w:b/>
          <w:szCs w:val="20"/>
        </w:rPr>
        <w:t>5. Acknowledgements</w:t>
      </w:r>
      <w:r w:rsidRPr="00773EEA">
        <w:rPr>
          <w:rStyle w:val="apple-converted-space"/>
          <w:rFonts w:cs="Arial"/>
          <w:szCs w:val="20"/>
        </w:rPr>
        <w:t xml:space="preserve"> </w:t>
      </w:r>
      <w:r w:rsidRPr="00773EEA">
        <w:rPr>
          <w:rFonts w:cs="Arial"/>
          <w:szCs w:val="20"/>
        </w:rPr>
        <w:t>– it is always appropriate to acknowledge the logistical support provided by the Post and partners to the in-country mission(s) and thank those consulted for their time and input.</w:t>
      </w:r>
      <w:r w:rsidRPr="00773EEA">
        <w:rPr>
          <w:rFonts w:cs="Arial"/>
          <w:b/>
          <w:szCs w:val="20"/>
        </w:rPr>
        <w:t xml:space="preserve"> </w:t>
      </w:r>
    </w:p>
    <w:p w14:paraId="118AF828" w14:textId="6A91B6D2" w:rsidR="007D1B29" w:rsidRPr="007D1B29" w:rsidRDefault="007D1B29" w:rsidP="007D1B29">
      <w:pPr>
        <w:rPr>
          <w:rFonts w:ascii="Georgia" w:hAnsi="Georgia"/>
          <w:sz w:val="24"/>
          <w:szCs w:val="24"/>
        </w:rPr>
      </w:pPr>
      <w:r w:rsidRPr="00773EEA">
        <w:rPr>
          <w:rFonts w:ascii="Georgia" w:hAnsi="Georgia"/>
          <w:sz w:val="24"/>
          <w:szCs w:val="24"/>
        </w:rPr>
        <w:lastRenderedPageBreak/>
        <w:t>Headquarters</w:t>
      </w:r>
      <w:r w:rsidRPr="00773EEA">
        <w:rPr>
          <w:b/>
        </w:rPr>
        <w:br/>
      </w:r>
      <w:r w:rsidRPr="00773EEA">
        <w:t xml:space="preserve">240 Blackfriars Road </w:t>
      </w:r>
      <w:r w:rsidRPr="00773EEA">
        <w:rPr>
          <w:b/>
        </w:rPr>
        <w:br/>
      </w:r>
      <w:r w:rsidRPr="00773EEA">
        <w:t>London</w:t>
      </w:r>
      <w:r w:rsidRPr="00773EEA">
        <w:rPr>
          <w:b/>
        </w:rPr>
        <w:br/>
      </w:r>
      <w:r w:rsidRPr="00773EEA">
        <w:t>SE1 8NW</w:t>
      </w:r>
      <w:r w:rsidRPr="00773EEA">
        <w:rPr>
          <w:b/>
        </w:rPr>
        <w:br/>
      </w:r>
      <w:r w:rsidRPr="00773EEA">
        <w:t>United Kingdom</w:t>
      </w:r>
      <w:r w:rsidRPr="00773EEA">
        <w:rPr>
          <w:b/>
        </w:rPr>
        <w:br/>
      </w:r>
      <w:r w:rsidRPr="00773EEA">
        <w:t>T: +44 20 7735 6660</w:t>
      </w:r>
    </w:p>
    <w:p w14:paraId="1B5EC60A" w14:textId="77777777" w:rsidR="007D1B29" w:rsidRPr="00773EEA" w:rsidRDefault="007D1B29" w:rsidP="007D1B29"/>
    <w:p w14:paraId="1DE02741" w14:textId="77777777" w:rsidR="007D1B29" w:rsidRPr="00773EEA" w:rsidRDefault="007D1B29" w:rsidP="007D1B29">
      <w:pPr>
        <w:rPr>
          <w:b/>
        </w:rPr>
      </w:pPr>
      <w:r w:rsidRPr="00773EEA">
        <w:rPr>
          <w:rFonts w:ascii="Georgia" w:hAnsi="Georgia"/>
          <w:sz w:val="24"/>
          <w:szCs w:val="24"/>
        </w:rPr>
        <w:t>Europe</w:t>
      </w:r>
      <w:r w:rsidRPr="00773EEA">
        <w:rPr>
          <w:b/>
        </w:rPr>
        <w:br/>
      </w:r>
      <w:r w:rsidRPr="00773EEA">
        <w:t>Adam Smith Europe B.V.</w:t>
      </w:r>
      <w:r w:rsidRPr="00773EEA">
        <w:rPr>
          <w:b/>
        </w:rPr>
        <w:br/>
      </w:r>
      <w:r w:rsidRPr="00773EEA">
        <w:rPr>
          <w:lang w:val="de-DE"/>
        </w:rPr>
        <w:t xml:space="preserve">Keizersgracht 62, </w:t>
      </w:r>
      <w:r w:rsidRPr="00773EEA">
        <w:rPr>
          <w:b/>
        </w:rPr>
        <w:br/>
      </w:r>
      <w:r w:rsidRPr="00773EEA">
        <w:rPr>
          <w:lang w:val="de-DE"/>
        </w:rPr>
        <w:t xml:space="preserve">1015 CS Amsterdam, </w:t>
      </w:r>
      <w:r w:rsidRPr="00773EEA">
        <w:rPr>
          <w:b/>
        </w:rPr>
        <w:br/>
      </w:r>
      <w:r w:rsidRPr="00773EEA">
        <w:rPr>
          <w:lang w:val="de-DE"/>
        </w:rPr>
        <w:t>Netherlands</w:t>
      </w:r>
      <w:r w:rsidRPr="00773EEA">
        <w:rPr>
          <w:b/>
        </w:rPr>
        <w:br/>
      </w:r>
      <w:r w:rsidRPr="00773EEA">
        <w:rPr>
          <w:lang w:val="de-DE"/>
        </w:rPr>
        <w:t xml:space="preserve">T: </w:t>
      </w:r>
      <w:r w:rsidRPr="00773EEA">
        <w:t>+44 20 7735 6660</w:t>
      </w:r>
    </w:p>
    <w:p w14:paraId="3B4EB63D" w14:textId="77777777" w:rsidR="007D1B29" w:rsidRPr="00773EEA" w:rsidRDefault="007D1B29" w:rsidP="007D1B29"/>
    <w:p w14:paraId="55B222E4" w14:textId="77777777" w:rsidR="007D1B29" w:rsidRPr="00773EEA" w:rsidRDefault="007D1B29" w:rsidP="007D1B29">
      <w:r w:rsidRPr="00773EEA">
        <w:rPr>
          <w:rFonts w:ascii="Georgia" w:hAnsi="Georgia"/>
          <w:sz w:val="24"/>
          <w:szCs w:val="24"/>
        </w:rPr>
        <w:t>Africa</w:t>
      </w:r>
      <w:r w:rsidRPr="00773EEA">
        <w:rPr>
          <w:b/>
        </w:rPr>
        <w:br/>
      </w:r>
      <w:r w:rsidRPr="00773EEA">
        <w:t>West End Towers</w:t>
      </w:r>
      <w:r w:rsidRPr="00773EEA">
        <w:br/>
      </w:r>
      <w:proofErr w:type="spellStart"/>
      <w:r w:rsidRPr="00773EEA">
        <w:t>Wayaki</w:t>
      </w:r>
      <w:proofErr w:type="spellEnd"/>
      <w:r w:rsidRPr="00773EEA">
        <w:t xml:space="preserve"> Way/</w:t>
      </w:r>
      <w:proofErr w:type="spellStart"/>
      <w:r w:rsidRPr="00773EEA">
        <w:t>Muthangari</w:t>
      </w:r>
      <w:proofErr w:type="spellEnd"/>
      <w:r w:rsidRPr="00773EEA">
        <w:t xml:space="preserve"> Drive</w:t>
      </w:r>
      <w:r w:rsidRPr="00773EEA">
        <w:rPr>
          <w:b/>
        </w:rPr>
        <w:br/>
      </w:r>
      <w:r w:rsidRPr="00773EEA">
        <w:rPr>
          <w:lang w:val="de-DE"/>
        </w:rPr>
        <w:t>PO Box 26721-00100 Nairobi</w:t>
      </w:r>
      <w:r w:rsidRPr="00773EEA">
        <w:rPr>
          <w:b/>
        </w:rPr>
        <w:br/>
      </w:r>
      <w:r w:rsidRPr="00773EEA">
        <w:rPr>
          <w:lang w:val="de-DE"/>
        </w:rPr>
        <w:t>Kenya</w:t>
      </w:r>
      <w:r w:rsidRPr="00773EEA">
        <w:rPr>
          <w:b/>
        </w:rPr>
        <w:br/>
      </w:r>
      <w:r w:rsidRPr="00773EEA">
        <w:rPr>
          <w:lang w:val="de-DE"/>
        </w:rPr>
        <w:t>T: +254 20 444 4388</w:t>
      </w:r>
    </w:p>
    <w:p w14:paraId="2DF171C6" w14:textId="77777777" w:rsidR="007D1B29" w:rsidRPr="00773EEA" w:rsidRDefault="007D1B29" w:rsidP="007D1B29"/>
    <w:p w14:paraId="22A696D1" w14:textId="77777777" w:rsidR="007D1B29" w:rsidRPr="00773EEA" w:rsidRDefault="007D1B29" w:rsidP="007D1B29">
      <w:pPr>
        <w:rPr>
          <w:b/>
        </w:rPr>
      </w:pPr>
      <w:r w:rsidRPr="00773EEA">
        <w:rPr>
          <w:rFonts w:ascii="Georgia" w:hAnsi="Georgia"/>
          <w:sz w:val="24"/>
          <w:szCs w:val="24"/>
        </w:rPr>
        <w:t>Asia Pacific</w:t>
      </w:r>
      <w:r w:rsidRPr="00773EEA">
        <w:rPr>
          <w:b/>
        </w:rPr>
        <w:br/>
      </w:r>
      <w:r w:rsidRPr="00773EEA">
        <w:rPr>
          <w:lang w:val="en-US"/>
        </w:rPr>
        <w:t>Suite 103</w:t>
      </w:r>
      <w:r w:rsidRPr="00773EEA">
        <w:rPr>
          <w:b/>
        </w:rPr>
        <w:br/>
      </w:r>
      <w:r w:rsidRPr="00773EEA">
        <w:rPr>
          <w:lang w:val="en-US"/>
        </w:rPr>
        <w:t>80 William Street</w:t>
      </w:r>
      <w:r w:rsidRPr="00773EEA">
        <w:rPr>
          <w:b/>
        </w:rPr>
        <w:br/>
      </w:r>
      <w:r w:rsidRPr="00773EEA">
        <w:rPr>
          <w:lang w:val="en-US"/>
        </w:rPr>
        <w:t>Woolloomooloo</w:t>
      </w:r>
      <w:r w:rsidRPr="00773EEA">
        <w:rPr>
          <w:b/>
        </w:rPr>
        <w:br/>
      </w:r>
      <w:r w:rsidRPr="00773EEA">
        <w:rPr>
          <w:lang w:val="en-US"/>
        </w:rPr>
        <w:t>Sydney NSW 2011</w:t>
      </w:r>
      <w:r w:rsidRPr="00773EEA">
        <w:rPr>
          <w:b/>
        </w:rPr>
        <w:br/>
      </w:r>
      <w:r w:rsidRPr="00773EEA">
        <w:rPr>
          <w:lang w:val="en-US"/>
        </w:rPr>
        <w:t>Australia</w:t>
      </w:r>
      <w:r w:rsidRPr="00773EEA">
        <w:t>T: +61 2 8265 0000</w:t>
      </w:r>
      <w:r w:rsidRPr="00773EEA">
        <w:rPr>
          <w:b/>
        </w:rPr>
        <w:br/>
      </w:r>
    </w:p>
    <w:p w14:paraId="6BF49A41" w14:textId="77777777" w:rsidR="007D1B29" w:rsidRDefault="007D1B29" w:rsidP="007D1B29">
      <w:r w:rsidRPr="00773EEA">
        <w:rPr>
          <w:rFonts w:ascii="Georgia" w:hAnsi="Georgia"/>
          <w:sz w:val="24"/>
          <w:szCs w:val="24"/>
        </w:rPr>
        <w:t>North America</w:t>
      </w:r>
      <w:r w:rsidRPr="00773EEA">
        <w:rPr>
          <w:b/>
        </w:rPr>
        <w:br/>
      </w:r>
      <w:r w:rsidRPr="00773EEA">
        <w:t xml:space="preserve">1629 K Street NW, </w:t>
      </w:r>
      <w:r w:rsidRPr="00773EEA">
        <w:rPr>
          <w:b/>
        </w:rPr>
        <w:br/>
      </w:r>
      <w:r w:rsidRPr="00773EEA">
        <w:t>Suite 300</w:t>
      </w:r>
      <w:r w:rsidRPr="00773EEA">
        <w:rPr>
          <w:b/>
        </w:rPr>
        <w:br/>
      </w:r>
      <w:r w:rsidRPr="00773EEA">
        <w:t>Washington, DC</w:t>
      </w:r>
      <w:r w:rsidRPr="00773EEA">
        <w:rPr>
          <w:b/>
        </w:rPr>
        <w:br/>
      </w:r>
      <w:r w:rsidRPr="00773EEA">
        <w:t>20006</w:t>
      </w:r>
      <w:r w:rsidRPr="00773EEA">
        <w:rPr>
          <w:b/>
        </w:rPr>
        <w:br/>
      </w:r>
      <w:r w:rsidRPr="00773EEA">
        <w:t>United States of America</w:t>
      </w:r>
      <w:r w:rsidRPr="00773EEA">
        <w:rPr>
          <w:b/>
        </w:rPr>
        <w:br/>
      </w:r>
      <w:r w:rsidRPr="00773EEA">
        <w:t>T: +1 (202) 873-7626</w:t>
      </w:r>
    </w:p>
    <w:p w14:paraId="21CE90A6" w14:textId="77777777" w:rsidR="007D1B29" w:rsidRDefault="007D1B29" w:rsidP="007D1B29"/>
    <w:p w14:paraId="75AFFAFD" w14:textId="77777777" w:rsidR="007612E0" w:rsidRDefault="007612E0" w:rsidP="007D1B29">
      <w:pPr>
        <w:rPr>
          <w:b/>
          <w:color w:val="515254" w:themeColor="text2" w:themeShade="BF"/>
          <w:sz w:val="24"/>
          <w:szCs w:val="24"/>
        </w:rPr>
      </w:pPr>
      <w:r w:rsidRPr="00773EEA">
        <w:rPr>
          <w:noProof/>
          <w:lang w:val="en-AU" w:eastAsia="en-AU"/>
        </w:rPr>
        <w:drawing>
          <wp:inline distT="0" distB="0" distL="0" distR="0" wp14:anchorId="3A0F9F28" wp14:editId="1E37C591">
            <wp:extent cx="1306830" cy="424815"/>
            <wp:effectExtent l="0" t="0" r="762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06830" cy="424815"/>
                    </a:xfrm>
                    <a:prstGeom prst="rect">
                      <a:avLst/>
                    </a:prstGeom>
                    <a:noFill/>
                    <a:ln>
                      <a:noFill/>
                    </a:ln>
                  </pic:spPr>
                </pic:pic>
              </a:graphicData>
            </a:graphic>
          </wp:inline>
        </w:drawing>
      </w:r>
    </w:p>
    <w:p w14:paraId="6961E1A2" w14:textId="5CA3097D" w:rsidR="002A7DCC" w:rsidRPr="007612E0" w:rsidRDefault="007D1B29" w:rsidP="007D1B29">
      <w:pPr>
        <w:rPr>
          <w:b/>
          <w:color w:val="515254" w:themeColor="text2" w:themeShade="BF"/>
          <w:sz w:val="24"/>
          <w:szCs w:val="24"/>
        </w:rPr>
      </w:pPr>
      <w:r w:rsidRPr="007612E0">
        <w:rPr>
          <w:b/>
          <w:color w:val="515254" w:themeColor="text2" w:themeShade="BF"/>
          <w:sz w:val="24"/>
          <w:szCs w:val="24"/>
        </w:rPr>
        <w:t>www.adamsmithinternational.com</w:t>
      </w:r>
      <w:r w:rsidR="005B39A3" w:rsidRPr="00773EEA">
        <w:rPr>
          <w:noProof/>
          <w:lang w:val="en-AU" w:eastAsia="en-AU"/>
        </w:rPr>
        <mc:AlternateContent>
          <mc:Choice Requires="wps">
            <w:drawing>
              <wp:anchor distT="0" distB="0" distL="114300" distR="114300" simplePos="0" relativeHeight="251653120" behindDoc="0" locked="0" layoutInCell="1" allowOverlap="1" wp14:anchorId="0B2A36D2" wp14:editId="0DC60F4C">
                <wp:simplePos x="0" y="0"/>
                <wp:positionH relativeFrom="column">
                  <wp:posOffset>4823</wp:posOffset>
                </wp:positionH>
                <wp:positionV relativeFrom="paragraph">
                  <wp:posOffset>8546780</wp:posOffset>
                </wp:positionV>
                <wp:extent cx="5077352" cy="1115684"/>
                <wp:effectExtent l="0" t="0" r="0" b="0"/>
                <wp:wrapNone/>
                <wp:docPr id="654" name="Text Box 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77352" cy="1115684"/>
                        </a:xfrm>
                        <a:prstGeom prst="rect">
                          <a:avLst/>
                        </a:prstGeom>
                        <a:noFill/>
                        <a:ln w="6350">
                          <a:noFill/>
                        </a:ln>
                      </wps:spPr>
                      <wps:txbx>
                        <w:txbxContent>
                          <w:p w14:paraId="185B3C83" w14:textId="77777777" w:rsidR="009D77A2" w:rsidRPr="00640F17" w:rsidRDefault="009D77A2" w:rsidP="005B39A3">
                            <w:pPr>
                              <w:rPr>
                                <w:color w:val="FFFFFF" w:themeColor="background1"/>
                              </w:rPr>
                            </w:pPr>
                            <w:r w:rsidRPr="00640F17">
                              <w:rPr>
                                <w:noProof/>
                                <w:color w:val="FFFFFF" w:themeColor="background1"/>
                                <w:lang w:val="en-AU" w:eastAsia="en-AU"/>
                              </w:rPr>
                              <w:drawing>
                                <wp:inline distT="0" distB="0" distL="0" distR="0" wp14:anchorId="7F2D3511" wp14:editId="450D10E3">
                                  <wp:extent cx="144000" cy="144000"/>
                                  <wp:effectExtent l="0" t="0" r="8890" b="8890"/>
                                  <wp:docPr id="24" name="Picture 24"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kedIn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40F17">
                              <w:rPr>
                                <w:color w:val="FFFFFF" w:themeColor="background1"/>
                              </w:rPr>
                              <w:t xml:space="preserve"> Adam Smith International</w:t>
                            </w:r>
                            <w:r>
                              <w:rPr>
                                <w:color w:val="FFFFFF" w:themeColor="background1"/>
                              </w:rPr>
                              <w:t xml:space="preserve">    </w:t>
                            </w:r>
                            <w:r w:rsidRPr="00640F17">
                              <w:rPr>
                                <w:noProof/>
                                <w:color w:val="FFFFFF" w:themeColor="background1"/>
                                <w:lang w:val="en-AU" w:eastAsia="en-AU"/>
                              </w:rPr>
                              <w:drawing>
                                <wp:inline distT="0" distB="0" distL="0" distR="0" wp14:anchorId="05CC811B" wp14:editId="4F039F3A">
                                  <wp:extent cx="144000" cy="144000"/>
                                  <wp:effectExtent l="0" t="0" r="8890" b="8890"/>
                                  <wp:docPr id="25" name="Picture 25"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H="1">
                                            <a:off x="0" y="0"/>
                                            <a:ext cx="144000" cy="144000"/>
                                          </a:xfrm>
                                          <a:prstGeom prst="rect">
                                            <a:avLst/>
                                          </a:prstGeom>
                                          <a:noFill/>
                                          <a:ln>
                                            <a:noFill/>
                                          </a:ln>
                                        </pic:spPr>
                                      </pic:pic>
                                    </a:graphicData>
                                  </a:graphic>
                                </wp:inline>
                              </w:drawing>
                            </w:r>
                            <w:r w:rsidRPr="00640F17">
                              <w:rPr>
                                <w:color w:val="FFFFFF" w:themeColor="background1"/>
                              </w:rPr>
                              <w:t xml:space="preserve"> @adamsmithint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0B2A36D2" id="Text Box 654" o:spid="_x0000_s1031" type="#_x0000_t202" alt="&quot;&quot;" style="position:absolute;margin-left:.4pt;margin-top:672.95pt;width:399.8pt;height:87.85pt;z-index:2516531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" filled="f" stroked="f" strokeweight=".5pt">
                <v:textbox>
                  <w:txbxContent>
                    <w:p w14:paraId="185B3C83" w14:textId="77777777" w:rsidR="009D77A2" w:rsidRPr="00640F17" w:rsidRDefault="009D77A2" w:rsidP="005B39A3">
                      <w:pPr>
                        <w:rPr>
                          <w:color w:val="FFFFFF" w:themeColor="background1"/>
                        </w:rPr>
                      </w:pPr>
                      <w:r w:rsidRPr="00640F17">
                        <w:rPr>
                          <w:noProof/>
                          <w:color w:val="FFFFFF" w:themeColor="background1"/>
                          <w:lang w:val="en-AU" w:eastAsia="en-AU"/>
                        </w:rPr>
                        <w:drawing>
                          <wp:inline distT="0" distB="0" distL="0" distR="0" wp14:anchorId="7F2D3511" wp14:editId="450D10E3">
                            <wp:extent cx="144000" cy="144000"/>
                            <wp:effectExtent l="0" t="0" r="8890" b="8890"/>
                            <wp:docPr id="24" name="Picture 24"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nkedIn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40F17">
                        <w:rPr>
                          <w:color w:val="FFFFFF" w:themeColor="background1"/>
                        </w:rPr>
                        <w:t xml:space="preserve"> Adam Smith International</w:t>
                      </w:r>
                      <w:r>
                        <w:rPr>
                          <w:color w:val="FFFFFF" w:themeColor="background1"/>
                        </w:rPr>
                        <w:t xml:space="preserve">    </w:t>
                      </w:r>
                      <w:r w:rsidRPr="00640F17">
                        <w:rPr>
                          <w:noProof/>
                          <w:color w:val="FFFFFF" w:themeColor="background1"/>
                          <w:lang w:val="en-AU" w:eastAsia="en-AU"/>
                        </w:rPr>
                        <w:drawing>
                          <wp:inline distT="0" distB="0" distL="0" distR="0" wp14:anchorId="05CC811B" wp14:editId="4F039F3A">
                            <wp:extent cx="144000" cy="144000"/>
                            <wp:effectExtent l="0" t="0" r="8890" b="8890"/>
                            <wp:docPr id="25" name="Picture 25"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flipH="1">
                                      <a:off x="0" y="0"/>
                                      <a:ext cx="144000" cy="144000"/>
                                    </a:xfrm>
                                    <a:prstGeom prst="rect">
                                      <a:avLst/>
                                    </a:prstGeom>
                                    <a:noFill/>
                                    <a:ln>
                                      <a:noFill/>
                                    </a:ln>
                                  </pic:spPr>
                                </pic:pic>
                              </a:graphicData>
                            </a:graphic>
                          </wp:inline>
                        </w:drawing>
                      </w:r>
                      <w:r w:rsidRPr="00640F17">
                        <w:rPr>
                          <w:color w:val="FFFFFF" w:themeColor="background1"/>
                        </w:rPr>
                        <w:t xml:space="preserve"> @adamsmithint</w:t>
                      </w:r>
                    </w:p>
                  </w:txbxContent>
                </v:textbox>
              </v:shape>
            </w:pict>
          </mc:Fallback>
        </mc:AlternateContent>
      </w:r>
      <w:r w:rsidR="005B39A3" w:rsidRPr="00773EEA">
        <w:rPr>
          <w:noProof/>
          <w:lang w:val="en-AU" w:eastAsia="en-AU"/>
        </w:rPr>
        <w:drawing>
          <wp:anchor distT="0" distB="0" distL="114300" distR="114300" simplePos="0" relativeHeight="251654144" behindDoc="0" locked="0" layoutInCell="1" allowOverlap="1" wp14:anchorId="7A93B53C" wp14:editId="1C9E103A">
            <wp:simplePos x="0" y="0"/>
            <wp:positionH relativeFrom="column">
              <wp:posOffset>5017403</wp:posOffset>
            </wp:positionH>
            <wp:positionV relativeFrom="paragraph">
              <wp:posOffset>8686800</wp:posOffset>
            </wp:positionV>
            <wp:extent cx="1711960" cy="940637"/>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11960" cy="940637"/>
                    </a:xfrm>
                    <a:prstGeom prst="rect">
                      <a:avLst/>
                    </a:prstGeom>
                  </pic:spPr>
                </pic:pic>
              </a:graphicData>
            </a:graphic>
            <wp14:sizeRelH relativeFrom="page">
              <wp14:pctWidth>0</wp14:pctWidth>
            </wp14:sizeRelH>
            <wp14:sizeRelV relativeFrom="page">
              <wp14:pctHeight>0</wp14:pctHeight>
            </wp14:sizeRelV>
          </wp:anchor>
        </w:drawing>
      </w:r>
    </w:p>
    <w:sectPr w:rsidR="002A7DCC" w:rsidRPr="007612E0" w:rsidSect="00784112">
      <w:headerReference w:type="even" r:id="rId41"/>
      <w:headerReference w:type="default" r:id="rId42"/>
      <w:headerReference w:type="first" r:id="rId43"/>
      <w:pgSz w:w="11906" w:h="16838" w:code="9"/>
      <w:pgMar w:top="720" w:right="720" w:bottom="720" w:left="720" w:header="567" w:footer="408" w:gutter="0"/>
      <w:pgNumType w:start="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3232" w14:textId="77777777" w:rsidR="00EB46C8" w:rsidRDefault="00EB46C8" w:rsidP="0025796A">
      <w:r>
        <w:separator/>
      </w:r>
    </w:p>
    <w:p w14:paraId="00E84BFC" w14:textId="77777777" w:rsidR="00EB46C8" w:rsidRDefault="00EB46C8" w:rsidP="0025796A"/>
  </w:endnote>
  <w:endnote w:type="continuationSeparator" w:id="0">
    <w:p w14:paraId="23CC217E" w14:textId="77777777" w:rsidR="00EB46C8" w:rsidRDefault="00EB46C8" w:rsidP="0025796A">
      <w:r>
        <w:continuationSeparator/>
      </w:r>
    </w:p>
    <w:p w14:paraId="692DB6E3" w14:textId="77777777" w:rsidR="00EB46C8" w:rsidRDefault="00EB46C8" w:rsidP="00257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Euphemia UCAS">
    <w:altName w:val="Arial"/>
    <w:charset w:val="B1"/>
    <w:family w:val="swiss"/>
    <w:pitch w:val="variable"/>
    <w:sig w:usb0="80000863" w:usb1="00000000" w:usb2="00002000" w:usb3="00000000" w:csb0="000001F3" w:csb1="00000000"/>
  </w:font>
  <w:font w:name="@Yu Gothic UI">
    <w:charset w:val="80"/>
    <w:family w:val="swiss"/>
    <w:pitch w:val="variable"/>
    <w:sig w:usb0="E00002FF" w:usb1="2AC7FDFF" w:usb2="00000016" w:usb3="00000000" w:csb0="0002009F" w:csb1="00000000"/>
  </w:font>
  <w:font w:name="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3D23" w14:textId="7ADB492D" w:rsidR="009D77A2" w:rsidRPr="001D52D3" w:rsidRDefault="009D77A2" w:rsidP="001D52D3">
    <w:pPr>
      <w:pStyle w:val="Footer"/>
      <w:jc w:val="center"/>
      <w:rPr>
        <w:caps/>
        <w:noProof/>
        <w:color w:val="EBC132" w:themeColor="accent1"/>
      </w:rPr>
    </w:pPr>
    <w:r w:rsidRPr="00773EEA">
      <w:rPr>
        <w:caps/>
      </w:rPr>
      <w:fldChar w:fldCharType="begin"/>
    </w:r>
    <w:r w:rsidRPr="00773EEA">
      <w:rPr>
        <w:caps/>
      </w:rPr>
      <w:instrText xml:space="preserve"> PAGE   \* MERGEFORMAT </w:instrText>
    </w:r>
    <w:r w:rsidRPr="00773EEA">
      <w:rPr>
        <w:caps/>
      </w:rPr>
      <w:fldChar w:fldCharType="separate"/>
    </w:r>
    <w:r w:rsidRPr="00773EEA">
      <w:rPr>
        <w:caps/>
        <w:noProof/>
      </w:rPr>
      <w:t>2</w:t>
    </w:r>
    <w:r w:rsidRPr="00773EEA">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75C9" w14:textId="1E223096" w:rsidR="009D77A2" w:rsidRDefault="009D77A2" w:rsidP="002B63A4">
    <w:pPr>
      <w:pStyle w:val="Footer"/>
      <w:jc w:val="center"/>
    </w:pPr>
    <w:r w:rsidRPr="00773EEA">
      <w:rPr>
        <w:caps/>
      </w:rPr>
      <w:fldChar w:fldCharType="begin"/>
    </w:r>
    <w:r w:rsidRPr="00773EEA">
      <w:rPr>
        <w:caps/>
      </w:rPr>
      <w:instrText xml:space="preserve"> PAGE   \* MERGEFORMAT </w:instrText>
    </w:r>
    <w:r w:rsidRPr="00773EEA">
      <w:rPr>
        <w:caps/>
      </w:rPr>
      <w:fldChar w:fldCharType="separate"/>
    </w:r>
    <w:r w:rsidRPr="00773EEA">
      <w:rPr>
        <w:caps/>
      </w:rPr>
      <w:t>6</w:t>
    </w:r>
    <w:r w:rsidRPr="00773EEA">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F4B9" w14:textId="77777777" w:rsidR="00EB46C8" w:rsidRDefault="00EB46C8" w:rsidP="0025796A">
      <w:r>
        <w:separator/>
      </w:r>
    </w:p>
    <w:p w14:paraId="7F5825CF" w14:textId="77777777" w:rsidR="00EB46C8" w:rsidRPr="005F64C7" w:rsidRDefault="00EB46C8" w:rsidP="0025796A"/>
    <w:p w14:paraId="73AF76C6" w14:textId="77777777" w:rsidR="00EB46C8" w:rsidRDefault="00EB46C8" w:rsidP="0025796A"/>
  </w:footnote>
  <w:footnote w:type="continuationSeparator" w:id="0">
    <w:p w14:paraId="363BA046" w14:textId="77777777" w:rsidR="00EB46C8" w:rsidRDefault="00EB46C8" w:rsidP="0025796A">
      <w:r>
        <w:separator/>
      </w:r>
    </w:p>
    <w:p w14:paraId="28807480" w14:textId="77777777" w:rsidR="00EB46C8" w:rsidRDefault="00EB46C8" w:rsidP="0025796A"/>
    <w:p w14:paraId="63020886" w14:textId="77777777" w:rsidR="00EB46C8" w:rsidRDefault="00EB46C8" w:rsidP="0025796A"/>
  </w:footnote>
  <w:footnote w:type="continuationNotice" w:id="1">
    <w:p w14:paraId="0DB4E073" w14:textId="77777777" w:rsidR="00EB46C8" w:rsidRDefault="00EB46C8" w:rsidP="0025796A"/>
    <w:p w14:paraId="6F135060" w14:textId="77777777" w:rsidR="00EB46C8" w:rsidRDefault="00EB46C8" w:rsidP="0025796A"/>
    <w:p w14:paraId="52FF6058" w14:textId="77777777" w:rsidR="00EB46C8" w:rsidRDefault="00EB46C8" w:rsidP="0025796A"/>
    <w:p w14:paraId="2A1FF858" w14:textId="77777777" w:rsidR="00EB46C8" w:rsidRDefault="00EB46C8" w:rsidP="0025796A"/>
  </w:footnote>
  <w:footnote w:id="2">
    <w:p w14:paraId="6339416A" w14:textId="5EC4CF4B" w:rsidR="009D77A2" w:rsidRPr="00FE7C44" w:rsidRDefault="009D77A2">
      <w:pPr>
        <w:pStyle w:val="FootnoteText"/>
        <w:rPr>
          <w:lang w:val="en-US"/>
        </w:rPr>
      </w:pPr>
      <w:r>
        <w:rPr>
          <w:rStyle w:val="FootnoteReference"/>
        </w:rPr>
        <w:footnoteRef/>
      </w:r>
      <w:r>
        <w:t xml:space="preserve"> </w:t>
      </w:r>
      <w:r w:rsidRPr="00E006B8">
        <w:rPr>
          <w:rFonts w:cs="Arial"/>
        </w:rPr>
        <w:t>Since the coup on 2021, AASCTF activities in Yangon have been discontinued, due to security concerns</w:t>
      </w:r>
      <w:r>
        <w:rPr>
          <w:rFonts w:cs="Arial"/>
        </w:rPr>
        <w:t>, and so did not form part of the KIIs.</w:t>
      </w:r>
    </w:p>
  </w:footnote>
  <w:footnote w:id="3">
    <w:p w14:paraId="16C34936" w14:textId="3F6BDB5E" w:rsidR="009D77A2" w:rsidRPr="00C62655" w:rsidRDefault="009D77A2" w:rsidP="000A67F0">
      <w:pPr>
        <w:pStyle w:val="FootnoteText"/>
        <w:rPr>
          <w:rStyle w:val="BookTitle"/>
          <w:b w:val="0"/>
          <w:bCs w:val="0"/>
          <w:color w:val="auto"/>
        </w:rPr>
      </w:pPr>
      <w:r>
        <w:rPr>
          <w:rStyle w:val="FootnoteReference"/>
        </w:rPr>
        <w:footnoteRef/>
      </w:r>
      <w:r>
        <w:t xml:space="preserve"> </w:t>
      </w:r>
      <w:r w:rsidRPr="000A67F0">
        <w:rPr>
          <w:rFonts w:cs="Arial"/>
          <w:iCs/>
        </w:rPr>
        <w:t xml:space="preserve">This </w:t>
      </w:r>
      <w:r>
        <w:rPr>
          <w:rFonts w:cs="Arial"/>
          <w:iCs/>
        </w:rPr>
        <w:t>is provided in Annex 2</w:t>
      </w:r>
      <w:r w:rsidRPr="00C62655">
        <w:rPr>
          <w:rStyle w:val="BookTitle"/>
          <w:b w:val="0"/>
          <w:bCs w:val="0"/>
          <w:color w:val="auto"/>
        </w:rPr>
        <w:t xml:space="preserve"> </w:t>
      </w:r>
    </w:p>
    <w:p w14:paraId="63BDF128" w14:textId="5CDC4826" w:rsidR="009D77A2" w:rsidRPr="000A67F0" w:rsidRDefault="009D77A2">
      <w:pPr>
        <w:pStyle w:val="FootnoteText"/>
        <w:rPr>
          <w:lang w:val="en-US"/>
        </w:rPr>
      </w:pPr>
    </w:p>
  </w:footnote>
  <w:footnote w:id="4">
    <w:p w14:paraId="47A73839" w14:textId="77777777" w:rsidR="009D77A2" w:rsidRPr="00154CCB" w:rsidRDefault="009D77A2" w:rsidP="00B7602B">
      <w:pPr>
        <w:pStyle w:val="FootnoteText"/>
        <w:spacing w:after="0" w:line="240" w:lineRule="auto"/>
        <w:rPr>
          <w:rFonts w:cs="Arial"/>
        </w:rPr>
      </w:pPr>
      <w:r w:rsidRPr="00154CCB">
        <w:rPr>
          <w:rStyle w:val="FootnoteReference"/>
          <w:rFonts w:ascii="Arial" w:hAnsi="Arial" w:cs="Arial"/>
          <w:color w:val="auto"/>
          <w:sz w:val="16"/>
        </w:rPr>
        <w:footnoteRef/>
      </w:r>
      <w:r w:rsidRPr="00154CCB">
        <w:rPr>
          <w:rFonts w:cs="Arial"/>
        </w:rPr>
        <w:t xml:space="preserve"> ASEAN Secretariat (2018) ASEAN Sustainable Urbanisation Strategy (</w:t>
      </w:r>
      <w:hyperlink r:id="rId1" w:history="1">
        <w:r w:rsidRPr="00154CCB">
          <w:rPr>
            <w:rStyle w:val="Hyperlink"/>
            <w:rFonts w:ascii="Arial" w:hAnsi="Arial" w:cs="Arial"/>
            <w:color w:val="auto"/>
            <w:sz w:val="16"/>
          </w:rPr>
          <w:t>Link</w:t>
        </w:r>
      </w:hyperlink>
      <w:r w:rsidRPr="00154CCB">
        <w:rPr>
          <w:rFonts w:cs="Arial"/>
        </w:rPr>
        <w:t xml:space="preserve">) </w:t>
      </w:r>
    </w:p>
  </w:footnote>
  <w:footnote w:id="5">
    <w:p w14:paraId="7524C323" w14:textId="77777777" w:rsidR="009D77A2" w:rsidRPr="00154CCB" w:rsidRDefault="009D77A2" w:rsidP="00B7602B">
      <w:pPr>
        <w:pStyle w:val="FootnoteText"/>
        <w:spacing w:after="0" w:line="240" w:lineRule="auto"/>
        <w:rPr>
          <w:rFonts w:cs="Arial"/>
        </w:rPr>
      </w:pPr>
      <w:r w:rsidRPr="00154CCB">
        <w:rPr>
          <w:rStyle w:val="FootnoteReference"/>
          <w:rFonts w:ascii="Arial" w:hAnsi="Arial" w:cs="Arial"/>
          <w:color w:val="auto"/>
          <w:sz w:val="16"/>
        </w:rPr>
        <w:footnoteRef/>
      </w:r>
      <w:r w:rsidRPr="00154CCB">
        <w:rPr>
          <w:rFonts w:cs="Arial"/>
        </w:rPr>
        <w:t xml:space="preserve"> UNESCAP (2018) Presentation on ‘Urbanization in Asia and the Pacific’ (</w:t>
      </w:r>
      <w:hyperlink r:id="rId2" w:anchor=":~:text=Asia-Pacific%20Region%20•Rapid%20urbanization%3A%20half%20of%20the%20region‘s,of%20the%20urban%20population%20in%20low-lying%20coastal%20areas" w:history="1">
        <w:r w:rsidRPr="00154CCB">
          <w:rPr>
            <w:rStyle w:val="Hyperlink"/>
            <w:rFonts w:ascii="Arial" w:hAnsi="Arial" w:cs="Arial"/>
            <w:color w:val="auto"/>
            <w:sz w:val="16"/>
          </w:rPr>
          <w:t>Link</w:t>
        </w:r>
      </w:hyperlink>
      <w:r w:rsidRPr="00154CCB">
        <w:rPr>
          <w:rFonts w:cs="Arial"/>
        </w:rPr>
        <w:t>)</w:t>
      </w:r>
    </w:p>
  </w:footnote>
  <w:footnote w:id="6">
    <w:p w14:paraId="1E5F0D27" w14:textId="77777777" w:rsidR="009D77A2" w:rsidRPr="00154CCB" w:rsidRDefault="009D77A2" w:rsidP="00B7602B">
      <w:pPr>
        <w:pStyle w:val="NormalWeb"/>
        <w:spacing w:before="0" w:beforeAutospacing="0" w:after="0" w:afterAutospacing="0"/>
        <w:rPr>
          <w:rFonts w:ascii="Arial" w:hAnsi="Arial" w:cs="Arial"/>
          <w:sz w:val="16"/>
          <w:szCs w:val="16"/>
        </w:rPr>
      </w:pPr>
      <w:r w:rsidRPr="00154CCB">
        <w:rPr>
          <w:rStyle w:val="FootnoteReference"/>
          <w:rFonts w:ascii="Arial" w:eastAsiaTheme="majorEastAsia" w:hAnsi="Arial" w:cs="Arial"/>
          <w:color w:val="auto"/>
          <w:sz w:val="16"/>
          <w:szCs w:val="16"/>
        </w:rPr>
        <w:footnoteRef/>
      </w:r>
      <w:r w:rsidRPr="00154CCB">
        <w:rPr>
          <w:rFonts w:ascii="Arial" w:hAnsi="Arial" w:cs="Arial"/>
          <w:sz w:val="16"/>
          <w:szCs w:val="16"/>
        </w:rPr>
        <w:t xml:space="preserve"> UN World Population Prospects 2019 (</w:t>
      </w:r>
      <w:hyperlink r:id="rId3" w:history="1">
        <w:r w:rsidRPr="00154CCB">
          <w:rPr>
            <w:rStyle w:val="Hyperlink"/>
            <w:rFonts w:ascii="Arial" w:hAnsi="Arial" w:cs="Arial"/>
            <w:color w:val="auto"/>
            <w:sz w:val="16"/>
            <w:szCs w:val="16"/>
          </w:rPr>
          <w:t>Link</w:t>
        </w:r>
      </w:hyperlink>
      <w:r w:rsidRPr="00154CCB">
        <w:rPr>
          <w:rFonts w:ascii="Arial" w:hAnsi="Arial" w:cs="Arial"/>
          <w:sz w:val="16"/>
          <w:szCs w:val="16"/>
        </w:rPr>
        <w:t>)</w:t>
      </w:r>
    </w:p>
  </w:footnote>
  <w:footnote w:id="7">
    <w:p w14:paraId="3F885953" w14:textId="77777777" w:rsidR="009D77A2" w:rsidRPr="00154CCB" w:rsidRDefault="009D77A2" w:rsidP="00B7602B">
      <w:pPr>
        <w:pStyle w:val="FootnoteText"/>
        <w:spacing w:after="0" w:line="240" w:lineRule="auto"/>
        <w:rPr>
          <w:rFonts w:cs="Arial"/>
        </w:rPr>
      </w:pPr>
      <w:r w:rsidRPr="00154CCB">
        <w:rPr>
          <w:rStyle w:val="FootnoteReference"/>
          <w:rFonts w:ascii="Arial" w:hAnsi="Arial" w:cs="Arial"/>
          <w:color w:val="auto"/>
          <w:sz w:val="16"/>
        </w:rPr>
        <w:footnoteRef/>
      </w:r>
      <w:r w:rsidRPr="00154CCB">
        <w:rPr>
          <w:rFonts w:cs="Arial"/>
        </w:rPr>
        <w:t xml:space="preserve"> ASEAN Secretariat (2021) ASEAN State of Climate Change Report (</w:t>
      </w:r>
      <w:hyperlink r:id="rId4" w:history="1">
        <w:r w:rsidRPr="00154CCB">
          <w:rPr>
            <w:rStyle w:val="Hyperlink"/>
            <w:rFonts w:ascii="Arial" w:hAnsi="Arial" w:cs="Arial"/>
            <w:color w:val="auto"/>
            <w:sz w:val="16"/>
          </w:rPr>
          <w:t>Link</w:t>
        </w:r>
      </w:hyperlink>
      <w:r w:rsidRPr="00154CCB">
        <w:rPr>
          <w:rFonts w:cs="Arial"/>
        </w:rPr>
        <w:t>)</w:t>
      </w:r>
    </w:p>
  </w:footnote>
  <w:footnote w:id="8">
    <w:p w14:paraId="6CD79BEB" w14:textId="77777777" w:rsidR="009D77A2" w:rsidRPr="00154CCB" w:rsidRDefault="009D77A2" w:rsidP="00B7602B">
      <w:pPr>
        <w:spacing w:after="0" w:line="240" w:lineRule="auto"/>
        <w:jc w:val="both"/>
        <w:rPr>
          <w:rFonts w:cs="Arial"/>
          <w:sz w:val="16"/>
          <w:szCs w:val="16"/>
        </w:rPr>
      </w:pPr>
      <w:r w:rsidRPr="00154CCB">
        <w:rPr>
          <w:rFonts w:cs="Arial"/>
          <w:sz w:val="16"/>
          <w:szCs w:val="16"/>
          <w:vertAlign w:val="superscript"/>
        </w:rPr>
        <w:footnoteRef/>
      </w:r>
      <w:r w:rsidRPr="00154CCB">
        <w:rPr>
          <w:rFonts w:cs="Arial"/>
          <w:sz w:val="16"/>
          <w:szCs w:val="16"/>
        </w:rPr>
        <w:t xml:space="preserve"> Intergovernmental Panel on Climate Change (IPCC), “Climate Change 2021: The Physical Science Basis. Contribution of Working Group I to the Sixth Assessment Report of the Intergovernmental Panel on Climate Change" (Cambridge University Press, 2021).</w:t>
      </w:r>
    </w:p>
  </w:footnote>
  <w:footnote w:id="9">
    <w:p w14:paraId="26856D40" w14:textId="77777777" w:rsidR="009D77A2" w:rsidRPr="00154CCB" w:rsidRDefault="009D77A2" w:rsidP="00B7602B">
      <w:pPr>
        <w:pStyle w:val="NormalWeb"/>
        <w:spacing w:before="0" w:beforeAutospacing="0" w:after="0" w:afterAutospacing="0"/>
        <w:rPr>
          <w:rFonts w:ascii="Arial" w:hAnsi="Arial" w:cs="Arial"/>
          <w:sz w:val="16"/>
          <w:szCs w:val="16"/>
        </w:rPr>
      </w:pPr>
      <w:r w:rsidRPr="00154CCB">
        <w:rPr>
          <w:rStyle w:val="FootnoteReference"/>
          <w:rFonts w:ascii="Arial" w:eastAsiaTheme="majorEastAsia" w:hAnsi="Arial" w:cs="Arial"/>
          <w:color w:val="auto"/>
          <w:sz w:val="16"/>
          <w:szCs w:val="16"/>
        </w:rPr>
        <w:footnoteRef/>
      </w:r>
      <w:r w:rsidRPr="00154CCB">
        <w:rPr>
          <w:rFonts w:ascii="Arial" w:hAnsi="Arial" w:cs="Arial"/>
          <w:sz w:val="16"/>
          <w:szCs w:val="16"/>
        </w:rPr>
        <w:t xml:space="preserve"> UNEP (2018) Air Pollution in Asia and the Pacific: Science-based Solutions (</w:t>
      </w:r>
      <w:hyperlink r:id="rId5" w:history="1">
        <w:r w:rsidRPr="00154CCB">
          <w:rPr>
            <w:rStyle w:val="Hyperlink"/>
            <w:rFonts w:ascii="Arial" w:hAnsi="Arial" w:cs="Arial"/>
            <w:color w:val="auto"/>
            <w:sz w:val="16"/>
            <w:szCs w:val="16"/>
          </w:rPr>
          <w:t>Link</w:t>
        </w:r>
      </w:hyperlink>
      <w:r w:rsidRPr="00154CCB">
        <w:rPr>
          <w:rFonts w:ascii="Arial" w:hAnsi="Arial" w:cs="Arial"/>
          <w:sz w:val="16"/>
          <w:szCs w:val="16"/>
        </w:rPr>
        <w:t>)</w:t>
      </w:r>
    </w:p>
  </w:footnote>
  <w:footnote w:id="10">
    <w:p w14:paraId="67BCF2DC" w14:textId="77777777" w:rsidR="009D77A2" w:rsidRPr="00154CCB" w:rsidRDefault="009D77A2" w:rsidP="00B7602B">
      <w:pPr>
        <w:pStyle w:val="NormalWeb"/>
        <w:spacing w:before="0" w:beforeAutospacing="0" w:after="0" w:afterAutospacing="0"/>
        <w:rPr>
          <w:rFonts w:ascii="Arial" w:hAnsi="Arial" w:cs="Arial"/>
          <w:sz w:val="16"/>
          <w:szCs w:val="16"/>
        </w:rPr>
      </w:pPr>
      <w:r w:rsidRPr="00154CCB">
        <w:rPr>
          <w:rStyle w:val="FootnoteReference"/>
          <w:rFonts w:ascii="Arial" w:eastAsiaTheme="majorEastAsia" w:hAnsi="Arial" w:cs="Arial"/>
          <w:color w:val="auto"/>
          <w:sz w:val="16"/>
          <w:szCs w:val="16"/>
        </w:rPr>
        <w:footnoteRef/>
      </w:r>
      <w:r w:rsidRPr="00154CCB">
        <w:rPr>
          <w:rFonts w:ascii="Arial" w:hAnsi="Arial" w:cs="Arial"/>
          <w:sz w:val="16"/>
          <w:szCs w:val="16"/>
        </w:rPr>
        <w:t xml:space="preserve"> The Long-Term Climate Risk Index 1999-2018: </w:t>
      </w:r>
      <w:proofErr w:type="spellStart"/>
      <w:r w:rsidRPr="00154CCB">
        <w:rPr>
          <w:rFonts w:ascii="Arial" w:hAnsi="Arial" w:cs="Arial"/>
          <w:sz w:val="16"/>
          <w:szCs w:val="16"/>
        </w:rPr>
        <w:t>Germanwatch</w:t>
      </w:r>
      <w:proofErr w:type="spellEnd"/>
      <w:r w:rsidRPr="00154CCB">
        <w:rPr>
          <w:rFonts w:ascii="Arial" w:hAnsi="Arial" w:cs="Arial"/>
          <w:sz w:val="16"/>
          <w:szCs w:val="16"/>
        </w:rPr>
        <w:t>, 2020 Global Climate Risk Index. (</w:t>
      </w:r>
      <w:hyperlink r:id="rId6" w:history="1">
        <w:r w:rsidRPr="00154CCB">
          <w:rPr>
            <w:rStyle w:val="Hyperlink"/>
            <w:rFonts w:ascii="Arial" w:hAnsi="Arial" w:cs="Arial"/>
            <w:color w:val="auto"/>
            <w:sz w:val="16"/>
            <w:szCs w:val="16"/>
          </w:rPr>
          <w:t>Link</w:t>
        </w:r>
      </w:hyperlink>
      <w:r w:rsidRPr="00154CCB">
        <w:rPr>
          <w:rFonts w:ascii="Arial" w:hAnsi="Arial" w:cs="Arial"/>
          <w:sz w:val="16"/>
          <w:szCs w:val="16"/>
        </w:rPr>
        <w:t>)</w:t>
      </w:r>
    </w:p>
  </w:footnote>
  <w:footnote w:id="11">
    <w:p w14:paraId="56BDCE1E" w14:textId="77777777" w:rsidR="009D77A2" w:rsidRPr="00154CCB" w:rsidRDefault="009D77A2" w:rsidP="00B7602B">
      <w:pPr>
        <w:spacing w:after="0" w:line="240" w:lineRule="auto"/>
        <w:rPr>
          <w:rFonts w:cs="Arial"/>
          <w:sz w:val="16"/>
          <w:szCs w:val="16"/>
        </w:rPr>
      </w:pPr>
      <w:r w:rsidRPr="00154CCB">
        <w:rPr>
          <w:rStyle w:val="FootnoteReference"/>
          <w:rFonts w:ascii="Arial" w:hAnsi="Arial" w:cs="Arial"/>
          <w:color w:val="auto"/>
          <w:sz w:val="16"/>
          <w:szCs w:val="16"/>
        </w:rPr>
        <w:footnoteRef/>
      </w:r>
      <w:r w:rsidRPr="00154CCB">
        <w:rPr>
          <w:rFonts w:cs="Arial"/>
          <w:sz w:val="16"/>
          <w:szCs w:val="16"/>
        </w:rPr>
        <w:t xml:space="preserve"> UNESCAP (2018) Presentation on ‘Urbanization in Asia and the Pacific’ (</w:t>
      </w:r>
      <w:hyperlink r:id="rId7" w:anchor=":~:text=Asia-Pacific%20Region%20•Rapid%20urbanization%3A%20half%20of%20the%20region‘s,of%20the%20urban%20population%20in%20low-lying%20coastal%20areas" w:history="1">
        <w:r w:rsidRPr="00154CCB">
          <w:rPr>
            <w:rStyle w:val="Hyperlink"/>
            <w:rFonts w:ascii="Arial" w:hAnsi="Arial" w:cs="Arial"/>
            <w:color w:val="auto"/>
            <w:sz w:val="16"/>
            <w:szCs w:val="16"/>
          </w:rPr>
          <w:t>Link</w:t>
        </w:r>
      </w:hyperlink>
      <w:r w:rsidRPr="00154CCB">
        <w:rPr>
          <w:rFonts w:cs="Arial"/>
          <w:sz w:val="16"/>
          <w:szCs w:val="16"/>
        </w:rPr>
        <w:t>)</w:t>
      </w:r>
    </w:p>
  </w:footnote>
  <w:footnote w:id="12">
    <w:p w14:paraId="4A9939D4" w14:textId="77777777" w:rsidR="009D77A2" w:rsidRPr="00A74577" w:rsidRDefault="009D77A2" w:rsidP="00B7602B">
      <w:pPr>
        <w:pStyle w:val="FootnoteText"/>
        <w:spacing w:after="0" w:line="240" w:lineRule="auto"/>
        <w:rPr>
          <w:rFonts w:cstheme="minorHAnsi"/>
          <w:sz w:val="18"/>
          <w:szCs w:val="18"/>
        </w:rPr>
      </w:pPr>
      <w:r w:rsidRPr="00154CCB">
        <w:rPr>
          <w:rStyle w:val="FootnoteReference"/>
          <w:rFonts w:ascii="Arial" w:hAnsi="Arial" w:cs="Arial"/>
          <w:color w:val="auto"/>
          <w:sz w:val="16"/>
        </w:rPr>
        <w:footnoteRef/>
      </w:r>
      <w:r w:rsidRPr="00154CCB">
        <w:rPr>
          <w:rFonts w:cs="Arial"/>
        </w:rPr>
        <w:t xml:space="preserve"> UN-Habitat (2021), </w:t>
      </w:r>
      <w:r w:rsidRPr="00154CCB">
        <w:rPr>
          <w:rFonts w:cs="Arial"/>
          <w:i/>
          <w:iCs/>
        </w:rPr>
        <w:t>Cities and Pandemics: Towards a More Just, Green and Healthy Future</w:t>
      </w:r>
      <w:r w:rsidRPr="00154CCB">
        <w:rPr>
          <w:rFonts w:cs="Arial"/>
        </w:rPr>
        <w:t>. Nairobi, Kenya. (</w:t>
      </w:r>
      <w:hyperlink r:id="rId8" w:history="1">
        <w:r w:rsidRPr="00154CCB">
          <w:rPr>
            <w:rStyle w:val="Hyperlink"/>
            <w:rFonts w:ascii="Arial" w:hAnsi="Arial" w:cs="Arial"/>
            <w:color w:val="auto"/>
            <w:sz w:val="16"/>
          </w:rPr>
          <w:t>Link</w:t>
        </w:r>
      </w:hyperlink>
      <w:r w:rsidRPr="00154CCB">
        <w:rPr>
          <w:rFonts w:cs="Arial"/>
        </w:rPr>
        <w:t>)</w:t>
      </w:r>
    </w:p>
  </w:footnote>
  <w:footnote w:id="13">
    <w:p w14:paraId="09631F58" w14:textId="42D51858" w:rsidR="009D77A2" w:rsidRPr="001B7EAC" w:rsidRDefault="009D77A2" w:rsidP="001B7EAC">
      <w:pPr>
        <w:spacing w:line="240" w:lineRule="exact"/>
        <w:rPr>
          <w:rFonts w:eastAsia="Arial" w:cs="Arial"/>
          <w:i/>
          <w:iCs/>
          <w:sz w:val="16"/>
          <w:szCs w:val="16"/>
        </w:rPr>
      </w:pPr>
      <w:r w:rsidRPr="001B7EAC">
        <w:rPr>
          <w:vertAlign w:val="superscript"/>
        </w:rPr>
        <w:footnoteRef/>
      </w:r>
      <w:r>
        <w:t xml:space="preserve"> </w:t>
      </w:r>
      <w:r w:rsidRPr="7C2F6B61">
        <w:rPr>
          <w:rFonts w:eastAsia="Arial" w:cs="Arial"/>
          <w:i/>
          <w:iCs/>
          <w:sz w:val="16"/>
          <w:szCs w:val="16"/>
        </w:rPr>
        <w:t>AASCTF (2022) Mid-term Programme Level Self-Evaluation Report (Mid-term PLSER). Asian Development Bank and Ramboll.</w:t>
      </w:r>
    </w:p>
  </w:footnote>
  <w:footnote w:id="14">
    <w:p w14:paraId="255AAB72" w14:textId="77777777" w:rsidR="009D77A2" w:rsidRPr="00486CB3" w:rsidRDefault="009D77A2" w:rsidP="00B7602B">
      <w:pPr>
        <w:pStyle w:val="FootnoteText"/>
        <w:spacing w:after="0" w:line="240" w:lineRule="auto"/>
      </w:pPr>
      <w:r>
        <w:rPr>
          <w:rStyle w:val="FootnoteReference"/>
        </w:rPr>
        <w:footnoteRef/>
      </w:r>
      <w:r>
        <w:t xml:space="preserve"> AASCTF YouTube </w:t>
      </w:r>
      <w:r w:rsidRPr="00A648B7">
        <w:t xml:space="preserve">Channel </w:t>
      </w:r>
      <w:r w:rsidRPr="00ED0FAE">
        <w:rPr>
          <w:rFonts w:asciiTheme="minorHAnsi" w:hAnsiTheme="minorHAnsi" w:cstheme="minorHAnsi"/>
          <w:color w:val="000000" w:themeColor="text1"/>
        </w:rPr>
        <w:t>(</w:t>
      </w:r>
      <w:hyperlink r:id="rId9" w:history="1">
        <w:r w:rsidRPr="00ED0FAE">
          <w:rPr>
            <w:rStyle w:val="Hyperlink"/>
            <w:rFonts w:asciiTheme="minorHAnsi" w:hAnsiTheme="minorHAnsi" w:cstheme="minorHAnsi"/>
            <w:color w:val="000000" w:themeColor="text1"/>
            <w:sz w:val="16"/>
          </w:rPr>
          <w:t>Link</w:t>
        </w:r>
      </w:hyperlink>
      <w:r w:rsidRPr="00ED0FAE">
        <w:rPr>
          <w:rFonts w:asciiTheme="minorHAnsi" w:hAnsiTheme="minorHAnsi" w:cstheme="minorHAnsi"/>
          <w:color w:val="000000" w:themeColor="text1"/>
        </w:rPr>
        <w:t>)</w:t>
      </w:r>
    </w:p>
  </w:footnote>
  <w:footnote w:id="15">
    <w:p w14:paraId="36614957" w14:textId="77777777" w:rsidR="009D77A2" w:rsidRPr="00B44CD7" w:rsidRDefault="009D77A2" w:rsidP="00C70844">
      <w:pPr>
        <w:spacing w:after="0" w:line="240" w:lineRule="auto"/>
        <w:rPr>
          <w:sz w:val="16"/>
          <w:szCs w:val="16"/>
        </w:rPr>
      </w:pPr>
      <w:r w:rsidRPr="00B44CD7">
        <w:rPr>
          <w:rStyle w:val="FootnoteReference"/>
          <w:sz w:val="16"/>
          <w:szCs w:val="16"/>
        </w:rPr>
        <w:footnoteRef/>
      </w:r>
      <w:r w:rsidRPr="00B44CD7">
        <w:rPr>
          <w:sz w:val="16"/>
          <w:szCs w:val="16"/>
        </w:rPr>
        <w:t xml:space="preserve"> AASCTF (2022) Mid-term Programme Level Self-Evaluation Report (Mid-term PLSER). Asian Development Bank and Ramboll. </w:t>
      </w:r>
    </w:p>
  </w:footnote>
  <w:footnote w:id="16">
    <w:p w14:paraId="37C65A73" w14:textId="77777777" w:rsidR="009D77A2" w:rsidRPr="002A6036" w:rsidRDefault="009D77A2" w:rsidP="00B7602B">
      <w:pPr>
        <w:pStyle w:val="FootnoteText"/>
        <w:spacing w:after="0"/>
        <w:rPr>
          <w:rFonts w:asciiTheme="minorHAnsi" w:hAnsiTheme="minorHAnsi" w:cstheme="minorHAnsi"/>
        </w:rPr>
      </w:pPr>
      <w:r>
        <w:rPr>
          <w:rStyle w:val="FootnoteReference"/>
        </w:rPr>
        <w:footnoteRef/>
      </w:r>
      <w:r>
        <w:t xml:space="preserve"> ASEAN Secretariat (2018) </w:t>
      </w:r>
      <w:r w:rsidRPr="0021200F">
        <w:rPr>
          <w:rFonts w:cstheme="minorHAnsi"/>
        </w:rPr>
        <w:t xml:space="preserve">ASEAN </w:t>
      </w:r>
      <w:r w:rsidRPr="002A6036">
        <w:rPr>
          <w:rFonts w:asciiTheme="minorHAnsi" w:hAnsiTheme="minorHAnsi" w:cstheme="minorHAnsi"/>
        </w:rPr>
        <w:t>Sustainable Urbanisation Strategy (</w:t>
      </w:r>
      <w:hyperlink r:id="rId10" w:history="1">
        <w:r w:rsidRPr="002A6036">
          <w:rPr>
            <w:rStyle w:val="Hyperlink"/>
            <w:rFonts w:asciiTheme="minorHAnsi" w:hAnsiTheme="minorHAnsi" w:cstheme="minorHAnsi"/>
            <w:color w:val="6D6E71" w:themeColor="text2"/>
            <w:sz w:val="16"/>
          </w:rPr>
          <w:t>Link</w:t>
        </w:r>
      </w:hyperlink>
      <w:r w:rsidRPr="002A6036">
        <w:rPr>
          <w:rFonts w:asciiTheme="minorHAnsi" w:hAnsiTheme="minorHAnsi" w:cstheme="minorHAnsi"/>
        </w:rPr>
        <w:t>)</w:t>
      </w:r>
    </w:p>
  </w:footnote>
  <w:footnote w:id="17">
    <w:p w14:paraId="4F88D208" w14:textId="77777777" w:rsidR="009D77A2" w:rsidRPr="002A6036" w:rsidRDefault="009D77A2" w:rsidP="00B7602B">
      <w:pPr>
        <w:pStyle w:val="FootnoteText"/>
        <w:spacing w:after="0"/>
        <w:rPr>
          <w:rFonts w:asciiTheme="minorHAnsi" w:hAnsiTheme="minorHAnsi" w:cstheme="minorHAnsi"/>
        </w:rPr>
      </w:pPr>
      <w:r w:rsidRPr="002A6036">
        <w:rPr>
          <w:rStyle w:val="FootnoteReference"/>
          <w:rFonts w:asciiTheme="minorHAnsi" w:hAnsiTheme="minorHAnsi" w:cstheme="minorHAnsi"/>
        </w:rPr>
        <w:footnoteRef/>
      </w:r>
      <w:r w:rsidRPr="002A6036">
        <w:rPr>
          <w:rFonts w:asciiTheme="minorHAnsi" w:hAnsiTheme="minorHAnsi" w:cstheme="minorHAnsi"/>
        </w:rPr>
        <w:t xml:space="preserve"> ADB Strategy 2030 (</w:t>
      </w:r>
      <w:hyperlink r:id="rId11" w:history="1">
        <w:r w:rsidRPr="002A6036">
          <w:rPr>
            <w:rStyle w:val="Hyperlink"/>
            <w:rFonts w:asciiTheme="minorHAnsi" w:hAnsiTheme="minorHAnsi" w:cstheme="minorHAnsi"/>
            <w:color w:val="6D6E71" w:themeColor="text2"/>
            <w:sz w:val="16"/>
          </w:rPr>
          <w:t>Link</w:t>
        </w:r>
      </w:hyperlink>
      <w:r w:rsidRPr="002A6036">
        <w:rPr>
          <w:rFonts w:asciiTheme="minorHAnsi" w:hAnsiTheme="minorHAnsi" w:cstheme="minorHAnsi"/>
        </w:rPr>
        <w:t>)</w:t>
      </w:r>
    </w:p>
  </w:footnote>
  <w:footnote w:id="18">
    <w:p w14:paraId="389BC421" w14:textId="77777777" w:rsidR="009D77A2" w:rsidRPr="002C7E9F" w:rsidRDefault="009D77A2" w:rsidP="005C4CDA">
      <w:pPr>
        <w:pStyle w:val="FootnoteText"/>
      </w:pPr>
      <w:r>
        <w:rPr>
          <w:rStyle w:val="FootnoteReference"/>
        </w:rPr>
        <w:footnoteRef/>
      </w:r>
      <w:r>
        <w:t xml:space="preserve"> Makassar Liveable City Plan. Interactive Report </w:t>
      </w:r>
      <w:r w:rsidRPr="0088594B">
        <w:t>(</w:t>
      </w:r>
      <w:hyperlink r:id="rId12" w:history="1">
        <w:r w:rsidRPr="0088594B">
          <w:rPr>
            <w:rStyle w:val="Hyperlink"/>
            <w:rFonts w:cstheme="minorBidi"/>
            <w:color w:val="auto"/>
          </w:rPr>
          <w:t>Link</w:t>
        </w:r>
      </w:hyperlink>
      <w:r w:rsidRPr="0088594B">
        <w:t>)</w:t>
      </w:r>
    </w:p>
  </w:footnote>
  <w:footnote w:id="19">
    <w:p w14:paraId="31EB66AE" w14:textId="77777777" w:rsidR="009D77A2" w:rsidRPr="00EB7E67" w:rsidRDefault="009D77A2" w:rsidP="00A6509F">
      <w:pPr>
        <w:spacing w:after="0" w:line="240" w:lineRule="auto"/>
        <w:rPr>
          <w:sz w:val="16"/>
          <w:szCs w:val="16"/>
        </w:rPr>
      </w:pPr>
      <w:r w:rsidRPr="00EB7E67">
        <w:rPr>
          <w:rStyle w:val="FootnoteReference"/>
          <w:sz w:val="16"/>
          <w:szCs w:val="16"/>
        </w:rPr>
        <w:footnoteRef/>
      </w:r>
      <w:r w:rsidRPr="00EB7E67">
        <w:rPr>
          <w:sz w:val="16"/>
          <w:szCs w:val="16"/>
        </w:rPr>
        <w:t xml:space="preserve"> ADB (2022) Information Note on Financial Status ASEAN Australia Smart Cities Trust Fund. Internal AASCTF document.</w:t>
      </w:r>
    </w:p>
  </w:footnote>
  <w:footnote w:id="20">
    <w:p w14:paraId="6C2DE6D4" w14:textId="77777777" w:rsidR="009D77A2" w:rsidRPr="002A6036" w:rsidRDefault="009D77A2" w:rsidP="009704C1">
      <w:pPr>
        <w:spacing w:after="0" w:line="240" w:lineRule="auto"/>
        <w:rPr>
          <w:rFonts w:asciiTheme="minorHAnsi" w:hAnsiTheme="minorHAnsi" w:cstheme="minorHAnsi"/>
          <w:sz w:val="16"/>
          <w:szCs w:val="16"/>
        </w:rPr>
      </w:pPr>
      <w:r w:rsidRPr="00EB7E67">
        <w:rPr>
          <w:rStyle w:val="FootnoteReference"/>
          <w:sz w:val="16"/>
          <w:szCs w:val="16"/>
        </w:rPr>
        <w:footnoteRef/>
      </w:r>
      <w:r w:rsidRPr="00EB7E67">
        <w:rPr>
          <w:sz w:val="16"/>
          <w:szCs w:val="16"/>
        </w:rPr>
        <w:t xml:space="preserve"> </w:t>
      </w:r>
      <w:r w:rsidRPr="00751C78">
        <w:rPr>
          <w:sz w:val="16"/>
          <w:szCs w:val="16"/>
        </w:rPr>
        <w:t>McKinsey Global Institute</w:t>
      </w:r>
      <w:r w:rsidRPr="00EB7E67">
        <w:rPr>
          <w:sz w:val="16"/>
          <w:szCs w:val="16"/>
        </w:rPr>
        <w:t xml:space="preserve"> (</w:t>
      </w:r>
      <w:r w:rsidRPr="00751C78">
        <w:rPr>
          <w:sz w:val="16"/>
          <w:szCs w:val="16"/>
        </w:rPr>
        <w:t>2014</w:t>
      </w:r>
      <w:r w:rsidRPr="00EB7E67">
        <w:rPr>
          <w:sz w:val="16"/>
          <w:szCs w:val="16"/>
        </w:rPr>
        <w:t>)</w:t>
      </w:r>
      <w:r w:rsidRPr="00751C78">
        <w:rPr>
          <w:sz w:val="16"/>
          <w:szCs w:val="16"/>
        </w:rPr>
        <w:t xml:space="preserve"> Southeast Asia at the </w:t>
      </w:r>
      <w:r>
        <w:rPr>
          <w:sz w:val="16"/>
          <w:szCs w:val="16"/>
        </w:rPr>
        <w:t>C</w:t>
      </w:r>
      <w:r w:rsidRPr="00751C78">
        <w:rPr>
          <w:sz w:val="16"/>
          <w:szCs w:val="16"/>
        </w:rPr>
        <w:t xml:space="preserve">rossroads: Three </w:t>
      </w:r>
      <w:r>
        <w:rPr>
          <w:sz w:val="16"/>
          <w:szCs w:val="16"/>
        </w:rPr>
        <w:t>P</w:t>
      </w:r>
      <w:r w:rsidRPr="00751C78">
        <w:rPr>
          <w:sz w:val="16"/>
          <w:szCs w:val="16"/>
        </w:rPr>
        <w:t xml:space="preserve">aths to </w:t>
      </w:r>
      <w:r>
        <w:rPr>
          <w:sz w:val="16"/>
          <w:szCs w:val="16"/>
        </w:rPr>
        <w:t>P</w:t>
      </w:r>
      <w:r w:rsidRPr="00751C78">
        <w:rPr>
          <w:sz w:val="16"/>
          <w:szCs w:val="16"/>
        </w:rPr>
        <w:t>rosperity</w:t>
      </w:r>
      <w:r w:rsidRPr="002A6036">
        <w:rPr>
          <w:rFonts w:asciiTheme="minorHAnsi" w:hAnsiTheme="minorHAnsi" w:cstheme="minorHAnsi"/>
          <w:sz w:val="16"/>
          <w:szCs w:val="16"/>
        </w:rPr>
        <w:t>. (</w:t>
      </w:r>
      <w:hyperlink r:id="rId13" w:history="1">
        <w:r w:rsidRPr="002A6036">
          <w:rPr>
            <w:rStyle w:val="Hyperlink"/>
            <w:rFonts w:asciiTheme="minorHAnsi" w:hAnsiTheme="minorHAnsi" w:cstheme="minorHAnsi"/>
            <w:color w:val="auto"/>
            <w:sz w:val="16"/>
            <w:szCs w:val="16"/>
          </w:rPr>
          <w:t>Link</w:t>
        </w:r>
      </w:hyperlink>
      <w:r w:rsidRPr="002A6036">
        <w:rPr>
          <w:rFonts w:asciiTheme="minorHAnsi" w:hAnsiTheme="minorHAnsi" w:cstheme="minorHAnsi"/>
          <w:sz w:val="16"/>
          <w:szCs w:val="16"/>
        </w:rPr>
        <w:t>)</w:t>
      </w:r>
    </w:p>
  </w:footnote>
  <w:footnote w:id="21">
    <w:p w14:paraId="3835C28B" w14:textId="77777777" w:rsidR="009D77A2" w:rsidRPr="00034E0D" w:rsidRDefault="009D77A2" w:rsidP="008F61E0">
      <w:pPr>
        <w:pStyle w:val="FootnoteText"/>
      </w:pPr>
      <w:r>
        <w:rPr>
          <w:rStyle w:val="FootnoteReference"/>
        </w:rPr>
        <w:footnoteRef/>
      </w:r>
      <w:r>
        <w:t xml:space="preserve"> Based on information from key informant interviews with city government staff.</w:t>
      </w:r>
    </w:p>
  </w:footnote>
  <w:footnote w:id="22">
    <w:p w14:paraId="62ADFAD7" w14:textId="77777777" w:rsidR="009D77A2" w:rsidRPr="00FC38A0" w:rsidRDefault="009D77A2" w:rsidP="003B12AC">
      <w:pPr>
        <w:spacing w:after="0" w:line="240" w:lineRule="auto"/>
        <w:rPr>
          <w:sz w:val="16"/>
          <w:szCs w:val="16"/>
        </w:rPr>
      </w:pPr>
      <w:r w:rsidRPr="00FC38A0">
        <w:rPr>
          <w:rStyle w:val="FootnoteReference"/>
          <w:sz w:val="16"/>
          <w:szCs w:val="16"/>
        </w:rPr>
        <w:footnoteRef/>
      </w:r>
      <w:r w:rsidRPr="00FC38A0">
        <w:rPr>
          <w:sz w:val="16"/>
          <w:szCs w:val="16"/>
        </w:rPr>
        <w:t xml:space="preserve"> As captured in the programme team’s strategic note on ‘Post Pandemic Recovery and How It Alters AASCTF’s Focus and Scalability’, 2021.</w:t>
      </w:r>
    </w:p>
  </w:footnote>
  <w:footnote w:id="23">
    <w:p w14:paraId="477CEFA2" w14:textId="27CB7D7E" w:rsidR="009D77A2" w:rsidRPr="00FC38A0" w:rsidRDefault="009D77A2" w:rsidP="003B12AC">
      <w:pPr>
        <w:pStyle w:val="FootnoteText"/>
        <w:spacing w:line="240" w:lineRule="auto"/>
      </w:pPr>
      <w:r w:rsidRPr="00FC38A0">
        <w:rPr>
          <w:rStyle w:val="FootnoteReference"/>
        </w:rPr>
        <w:footnoteRef/>
      </w:r>
      <w:r w:rsidRPr="00FC38A0">
        <w:t xml:space="preserve"> ADB (2021) Leveraging Spatial Data for Pandemic-Resilient Cities. In partnership with city of Makassar and </w:t>
      </w:r>
      <w:r>
        <w:t>8</w:t>
      </w:r>
      <w:r w:rsidRPr="00FC38A0">
        <w:t>th Future Cities Lab</w:t>
      </w:r>
      <w:r>
        <w:t xml:space="preserve"> </w:t>
      </w:r>
      <w:r w:rsidRPr="002A6036">
        <w:rPr>
          <w:rFonts w:asciiTheme="minorHAnsi" w:hAnsiTheme="minorHAnsi" w:cstheme="minorHAnsi"/>
          <w:color w:val="000000" w:themeColor="text1"/>
        </w:rPr>
        <w:t>(</w:t>
      </w:r>
      <w:hyperlink r:id="rId14" w:history="1">
        <w:r w:rsidRPr="002A6036">
          <w:rPr>
            <w:rStyle w:val="Hyperlink"/>
            <w:rFonts w:asciiTheme="minorHAnsi" w:hAnsiTheme="minorHAnsi" w:cstheme="minorHAnsi"/>
            <w:color w:val="000000" w:themeColor="text1"/>
            <w:sz w:val="16"/>
          </w:rPr>
          <w:t>Link</w:t>
        </w:r>
      </w:hyperlink>
      <w:r w:rsidRPr="002A6036">
        <w:rPr>
          <w:rFonts w:asciiTheme="minorHAnsi" w:hAnsiTheme="minorHAnsi" w:cstheme="minorHAnsi"/>
          <w:color w:val="000000" w:themeColor="text1"/>
        </w:rPr>
        <w:t>)</w:t>
      </w:r>
    </w:p>
  </w:footnote>
  <w:footnote w:id="24">
    <w:p w14:paraId="0C8B5DF6" w14:textId="682C0B74" w:rsidR="009D77A2" w:rsidRPr="00B7602B" w:rsidRDefault="009D77A2" w:rsidP="00B7602B">
      <w:pPr>
        <w:pStyle w:val="FootnoteText"/>
        <w:spacing w:after="0"/>
        <w:rPr>
          <w:rFonts w:asciiTheme="minorHAnsi" w:hAnsiTheme="minorHAnsi" w:cstheme="minorHAnsi"/>
        </w:rPr>
      </w:pPr>
      <w:r w:rsidRPr="00B7602B">
        <w:rPr>
          <w:rStyle w:val="FootnoteReference"/>
          <w:rFonts w:asciiTheme="minorHAnsi" w:hAnsiTheme="minorHAnsi" w:cstheme="minorHAnsi"/>
          <w:sz w:val="16"/>
        </w:rPr>
        <w:footnoteRef/>
      </w:r>
      <w:r w:rsidRPr="00B7602B">
        <w:rPr>
          <w:rFonts w:asciiTheme="minorHAnsi" w:hAnsiTheme="minorHAnsi" w:cstheme="minorHAnsi"/>
        </w:rPr>
        <w:t xml:space="preserve"> DFAT (2020) Partnerships for Recovery: Australia’s Covid-19 Development Response</w:t>
      </w:r>
      <w:r w:rsidRPr="00B7602B">
        <w:rPr>
          <w:rFonts w:asciiTheme="minorHAnsi" w:hAnsiTheme="minorHAnsi" w:cstheme="minorHAnsi"/>
          <w:b/>
          <w:bCs/>
          <w:i/>
          <w:iCs/>
        </w:rPr>
        <w:t xml:space="preserve"> </w:t>
      </w:r>
      <w:r w:rsidRPr="002A6036">
        <w:rPr>
          <w:rFonts w:asciiTheme="minorHAnsi" w:hAnsiTheme="minorHAnsi" w:cstheme="minorHAnsi"/>
          <w:b/>
          <w:bCs/>
          <w:color w:val="000000" w:themeColor="text1"/>
        </w:rPr>
        <w:t>(</w:t>
      </w:r>
      <w:hyperlink r:id="rId15" w:history="1">
        <w:r w:rsidRPr="002A6036">
          <w:rPr>
            <w:rStyle w:val="Hyperlink"/>
            <w:rFonts w:asciiTheme="minorHAnsi" w:hAnsiTheme="minorHAnsi" w:cstheme="minorHAnsi"/>
            <w:bCs/>
            <w:color w:val="000000" w:themeColor="text1"/>
            <w:sz w:val="16"/>
          </w:rPr>
          <w:t>Link</w:t>
        </w:r>
      </w:hyperlink>
      <w:r w:rsidRPr="002A6036">
        <w:rPr>
          <w:rFonts w:asciiTheme="minorHAnsi" w:hAnsiTheme="minorHAnsi" w:cstheme="minorHAnsi"/>
          <w:b/>
          <w:bCs/>
          <w:color w:val="000000" w:themeColor="text1"/>
        </w:rPr>
        <w:t>)</w:t>
      </w:r>
    </w:p>
  </w:footnote>
  <w:footnote w:id="25">
    <w:p w14:paraId="04785D73" w14:textId="77777777" w:rsidR="00850353" w:rsidRPr="004542F6" w:rsidRDefault="00850353" w:rsidP="00850353">
      <w:pPr>
        <w:pStyle w:val="FootnoteText"/>
        <w:spacing w:line="240" w:lineRule="auto"/>
        <w:rPr>
          <w:rFonts w:cstheme="minorHAnsi"/>
        </w:rPr>
      </w:pPr>
      <w:r w:rsidRPr="00C92CF2">
        <w:rPr>
          <w:rStyle w:val="FootnoteReference"/>
          <w:rFonts w:cstheme="minorHAnsi"/>
          <w:sz w:val="18"/>
          <w:szCs w:val="18"/>
        </w:rPr>
        <w:footnoteRef/>
      </w:r>
      <w:r w:rsidRPr="00C92CF2">
        <w:rPr>
          <w:rFonts w:cstheme="minorHAnsi"/>
          <w:sz w:val="18"/>
          <w:szCs w:val="18"/>
        </w:rPr>
        <w:t xml:space="preserve"> See for example: ACDM (2018) Building Disaster and Climate Resilient Cities in ASEAN. Supported by JICA (</w:t>
      </w:r>
      <w:hyperlink r:id="rId16" w:history="1">
        <w:r w:rsidRPr="00C92CF2">
          <w:rPr>
            <w:rStyle w:val="Hyperlink"/>
            <w:rFonts w:cstheme="minorHAnsi"/>
            <w:color w:val="6D6E71" w:themeColor="text2"/>
            <w:szCs w:val="18"/>
          </w:rPr>
          <w:t>Link</w:t>
        </w:r>
      </w:hyperlink>
      <w:r w:rsidRPr="00C92CF2">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8146" w14:textId="1164DA58" w:rsidR="007D1B29" w:rsidRDefault="007D1B29">
    <w:pPr>
      <w:pStyle w:val="Header"/>
    </w:pPr>
    <w:r w:rsidRPr="00773EEA">
      <w:rPr>
        <w:noProof/>
        <w:lang w:val="en-AU" w:eastAsia="en-AU"/>
      </w:rPr>
      <mc:AlternateContent>
        <mc:Choice Requires="wps">
          <w:drawing>
            <wp:anchor distT="0" distB="0" distL="114300" distR="114300" simplePos="0" relativeHeight="251659264" behindDoc="1" locked="0" layoutInCell="1" allowOverlap="1" wp14:anchorId="65192494" wp14:editId="76D37260">
              <wp:simplePos x="0" y="0"/>
              <wp:positionH relativeFrom="page">
                <wp:posOffset>-8626</wp:posOffset>
              </wp:positionH>
              <wp:positionV relativeFrom="page">
                <wp:posOffset>-8626</wp:posOffset>
              </wp:positionV>
              <wp:extent cx="7564862" cy="10696407"/>
              <wp:effectExtent l="0" t="0" r="0" b="0"/>
              <wp:wrapNone/>
              <wp:docPr id="1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4862" cy="10696407"/>
                      </a:xfrm>
                      <a:prstGeom prst="rect">
                        <a:avLst/>
                      </a:prstGeom>
                      <a:solidFill>
                        <a:srgbClr val="EBC1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AACD2" w14:textId="77777777" w:rsidR="007D1B29" w:rsidRDefault="007D1B29" w:rsidP="007D1B29">
                          <w:pPr>
                            <w:ind w:left="85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2494" id="Rectangle 3" o:spid="_x0000_s1032" alt="&quot;&quot;" style="position:absolute;margin-left:-.7pt;margin-top:-.7pt;width:595.65pt;height:84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" fillcolor="#ebc132" stroked="f">
              <v:path arrowok="t"/>
              <v:textbox>
                <w:txbxContent>
                  <w:p w14:paraId="631AACD2" w14:textId="77777777" w:rsidR="007D1B29" w:rsidRDefault="007D1B29" w:rsidP="007D1B29">
                    <w:pPr>
                      <w:ind w:left="851"/>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007" w14:textId="613937D8" w:rsidR="009D77A2" w:rsidRDefault="009D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485"/>
      <w:gridCol w:w="3485"/>
      <w:gridCol w:w="3485"/>
    </w:tblGrid>
    <w:tr w:rsidR="009D77A2" w14:paraId="6F9C74A0" w14:textId="77777777" w:rsidTr="005F1785">
      <w:tc>
        <w:tcPr>
          <w:tcW w:w="3485" w:type="dxa"/>
        </w:tcPr>
        <w:p w14:paraId="7DF57EDC" w14:textId="22D17762" w:rsidR="009D77A2" w:rsidRDefault="009D77A2" w:rsidP="00B7602B">
          <w:pPr>
            <w:pStyle w:val="Header"/>
            <w:ind w:left="-115"/>
          </w:pPr>
        </w:p>
      </w:tc>
      <w:tc>
        <w:tcPr>
          <w:tcW w:w="3485" w:type="dxa"/>
        </w:tcPr>
        <w:p w14:paraId="0F6409A6" w14:textId="5A431D55" w:rsidR="009D77A2" w:rsidRDefault="009D77A2" w:rsidP="00B7602B">
          <w:pPr>
            <w:pStyle w:val="Header"/>
            <w:jc w:val="center"/>
          </w:pPr>
        </w:p>
      </w:tc>
      <w:tc>
        <w:tcPr>
          <w:tcW w:w="3485" w:type="dxa"/>
        </w:tcPr>
        <w:p w14:paraId="6F0F9FE8" w14:textId="25E83519" w:rsidR="009D77A2" w:rsidRDefault="009D77A2" w:rsidP="00B7602B">
          <w:pPr>
            <w:pStyle w:val="Header"/>
            <w:ind w:right="-115"/>
            <w:jc w:val="right"/>
          </w:pPr>
        </w:p>
      </w:tc>
    </w:tr>
  </w:tbl>
  <w:p w14:paraId="12A39A48" w14:textId="6B204849" w:rsidR="009D77A2" w:rsidRDefault="009D77A2" w:rsidP="00B76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12D4" w14:textId="2502C1E0" w:rsidR="009D77A2" w:rsidRDefault="007D1B29" w:rsidP="00B7602B">
    <w:pPr>
      <w:pStyle w:val="Header"/>
    </w:pPr>
    <w:r>
      <w:rPr>
        <w:rFonts w:ascii="Georgia" w:hAnsi="Georgia"/>
        <w:noProof/>
        <w:sz w:val="24"/>
        <w:szCs w:val="24"/>
      </w:rPr>
      <mc:AlternateContent>
        <mc:Choice Requires="wps">
          <w:drawing>
            <wp:anchor distT="0" distB="0" distL="114300" distR="114300" simplePos="0" relativeHeight="251661312" behindDoc="0" locked="0" layoutInCell="1" allowOverlap="1" wp14:anchorId="75D4813E" wp14:editId="3C78DB17">
              <wp:simplePos x="0" y="0"/>
              <wp:positionH relativeFrom="page">
                <wp:align>right</wp:align>
              </wp:positionH>
              <wp:positionV relativeFrom="paragraph">
                <wp:posOffset>-362309</wp:posOffset>
              </wp:positionV>
              <wp:extent cx="7556740" cy="10722634"/>
              <wp:effectExtent l="0" t="0" r="25400" b="2159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740" cy="107226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E729" id="Rectangle 12" o:spid="_x0000_s1026" alt="&quot;&quot;" style="position:absolute;margin-left:543.8pt;margin-top:-28.55pt;width:595pt;height:844.3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" fillcolor="#ebc132 [3204]" strokecolor="#81660c [1604]" strokeweight="1pt">
              <w10:wrap anchorx="page"/>
            </v:rect>
          </w:pict>
        </mc:Fallback>
      </mc:AlternateContent>
    </w:r>
  </w:p>
  <w:p w14:paraId="0B1FD271" w14:textId="36C78AA2" w:rsidR="00726A72" w:rsidRDefault="00726A72" w:rsidP="00B7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481D42"/>
    <w:multiLevelType w:val="singleLevel"/>
    <w:tmpl w:val="EE481D42"/>
    <w:lvl w:ilvl="0">
      <w:start w:val="1"/>
      <w:numFmt w:val="lowerLetter"/>
      <w:lvlText w:val="%1."/>
      <w:lvlJc w:val="left"/>
      <w:pPr>
        <w:tabs>
          <w:tab w:val="left" w:pos="425"/>
        </w:tabs>
        <w:ind w:left="425" w:hanging="425"/>
      </w:pPr>
    </w:lvl>
  </w:abstractNum>
  <w:abstractNum w:abstractNumId="1" w15:restartNumberingAfterBreak="0">
    <w:nsid w:val="FF5706EE"/>
    <w:multiLevelType w:val="singleLevel"/>
    <w:tmpl w:val="FF5706EE"/>
    <w:lvl w:ilvl="0">
      <w:start w:val="16"/>
      <w:numFmt w:val="decimal"/>
      <w:lvlText w:val="%1."/>
      <w:lvlJc w:val="left"/>
      <w:pPr>
        <w:tabs>
          <w:tab w:val="left" w:pos="425"/>
        </w:tabs>
        <w:ind w:left="425" w:hanging="425"/>
      </w:pPr>
    </w:lvl>
  </w:abstractNum>
  <w:abstractNum w:abstractNumId="2" w15:restartNumberingAfterBreak="0">
    <w:nsid w:val="FFFFFF88"/>
    <w:multiLevelType w:val="singleLevel"/>
    <w:tmpl w:val="D9425946"/>
    <w:lvl w:ilvl="0">
      <w:start w:val="1"/>
      <w:numFmt w:val="decimal"/>
      <w:pStyle w:val="ListNumber"/>
      <w:lvlText w:val="%1."/>
      <w:lvlJc w:val="left"/>
      <w:pPr>
        <w:tabs>
          <w:tab w:val="left" w:pos="360"/>
        </w:tabs>
        <w:ind w:left="360" w:hanging="360"/>
      </w:pPr>
    </w:lvl>
  </w:abstractNum>
  <w:abstractNum w:abstractNumId="3" w15:restartNumberingAfterBreak="0">
    <w:nsid w:val="062618B5"/>
    <w:multiLevelType w:val="hybridMultilevel"/>
    <w:tmpl w:val="17A8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60071"/>
    <w:multiLevelType w:val="hybridMultilevel"/>
    <w:tmpl w:val="2A4AC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5AA2CF"/>
    <w:multiLevelType w:val="singleLevel"/>
    <w:tmpl w:val="105AA2CF"/>
    <w:lvl w:ilvl="0">
      <w:start w:val="1"/>
      <w:numFmt w:val="lowerLetter"/>
      <w:lvlText w:val="%1."/>
      <w:lvlJc w:val="left"/>
      <w:pPr>
        <w:tabs>
          <w:tab w:val="left" w:pos="425"/>
        </w:tabs>
        <w:ind w:left="425" w:hanging="425"/>
      </w:pPr>
    </w:lvl>
  </w:abstractNum>
  <w:abstractNum w:abstractNumId="6" w15:restartNumberingAfterBreak="0">
    <w:nsid w:val="24615F4F"/>
    <w:multiLevelType w:val="hybridMultilevel"/>
    <w:tmpl w:val="CEF29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B159F"/>
    <w:multiLevelType w:val="multilevel"/>
    <w:tmpl w:val="21C2704C"/>
    <w:styleLink w:val="HeadingsList"/>
    <w:lvl w:ilvl="0">
      <w:start w:val="1"/>
      <w:numFmt w:val="decimal"/>
      <w:pStyle w:val="Heading1Numbered"/>
      <w:lvlText w:val="%1."/>
      <w:lvlJc w:val="left"/>
      <w:pPr>
        <w:ind w:left="709"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1BD594B"/>
    <w:multiLevelType w:val="hybridMultilevel"/>
    <w:tmpl w:val="9C4C8234"/>
    <w:lvl w:ilvl="0" w:tplc="8F565F7A">
      <w:start w:val="1"/>
      <w:numFmt w:val="decimal"/>
      <w:pStyle w:val="Figure"/>
      <w:lvlText w:val="Figure %1."/>
      <w:lvlJc w:val="left"/>
      <w:pPr>
        <w:ind w:left="720" w:hanging="360"/>
      </w:pPr>
      <w:rPr>
        <w:rFonts w:asciiTheme="majorHAnsi" w:hAnsiTheme="majorHAnsi" w:cstheme="majorHAnsi" w:hint="default"/>
        <w:color w:val="EBC132" w:themeColor="accent1"/>
        <w:vertAlign w:val="baseline"/>
      </w:rPr>
    </w:lvl>
    <w:lvl w:ilvl="1" w:tplc="C50C1AF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36F6D"/>
    <w:multiLevelType w:val="hybridMultilevel"/>
    <w:tmpl w:val="B5CAB218"/>
    <w:lvl w:ilvl="0" w:tplc="689EE1AC">
      <w:start w:val="1"/>
      <w:numFmt w:val="bullet"/>
      <w:lvlText w:val=""/>
      <w:lvlJc w:val="left"/>
      <w:pPr>
        <w:ind w:left="890" w:hanging="360"/>
      </w:pPr>
      <w:rPr>
        <w:rFonts w:ascii="Wingdings 3" w:hAnsi="Wingdings 3" w:hint="default"/>
        <w:color w:val="EBC132" w:themeColor="accent1"/>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3AFE5216"/>
    <w:multiLevelType w:val="multilevel"/>
    <w:tmpl w:val="EBA840B0"/>
    <w:lvl w:ilvl="0">
      <w:start w:val="1"/>
      <w:numFmt w:val="decimal"/>
      <w:lvlText w:val="%1."/>
      <w:lvlJc w:val="left"/>
      <w:pPr>
        <w:ind w:left="890" w:hanging="720"/>
      </w:pPr>
      <w:rPr>
        <w:rFonts w:hint="default"/>
      </w:rPr>
    </w:lvl>
    <w:lvl w:ilvl="1">
      <w:start w:val="1"/>
      <w:numFmt w:val="decimal"/>
      <w:isLgl/>
      <w:lvlText w:val="%1.%2"/>
      <w:lvlJc w:val="left"/>
      <w:pPr>
        <w:ind w:left="610" w:hanging="44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1" w15:restartNumberingAfterBreak="0">
    <w:nsid w:val="459E78D7"/>
    <w:multiLevelType w:val="hybridMultilevel"/>
    <w:tmpl w:val="7AFCA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1A368E"/>
    <w:multiLevelType w:val="hybridMultilevel"/>
    <w:tmpl w:val="3620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A2BC1"/>
    <w:multiLevelType w:val="hybridMultilevel"/>
    <w:tmpl w:val="8DB4C0D4"/>
    <w:lvl w:ilvl="0" w:tplc="FA066E32">
      <w:start w:val="1"/>
      <w:numFmt w:val="bullet"/>
      <w:pStyle w:val="Simplebulletlis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3DFA53"/>
    <w:multiLevelType w:val="hybridMultilevel"/>
    <w:tmpl w:val="9A9CBF50"/>
    <w:lvl w:ilvl="0" w:tplc="689EE1AC">
      <w:start w:val="1"/>
      <w:numFmt w:val="bullet"/>
      <w:lvlText w:val=""/>
      <w:lvlJc w:val="left"/>
      <w:pPr>
        <w:ind w:left="420" w:hanging="420"/>
      </w:pPr>
      <w:rPr>
        <w:rFonts w:ascii="Wingdings 3" w:hAnsi="Wingdings 3" w:hint="default"/>
        <w:color w:val="EBC132" w:themeColor="accent1"/>
      </w:rPr>
    </w:lvl>
    <w:lvl w:ilvl="1" w:tplc="61EABE70">
      <w:start w:val="1"/>
      <w:numFmt w:val="bullet"/>
      <w:lvlText w:val="o"/>
      <w:lvlJc w:val="left"/>
      <w:pPr>
        <w:ind w:left="840" w:hanging="420"/>
      </w:pPr>
      <w:rPr>
        <w:rFonts w:ascii="Courier New" w:hAnsi="Courier New" w:hint="default"/>
      </w:rPr>
    </w:lvl>
    <w:lvl w:ilvl="2" w:tplc="52785878">
      <w:start w:val="1"/>
      <w:numFmt w:val="bullet"/>
      <w:lvlText w:val=""/>
      <w:lvlJc w:val="left"/>
      <w:pPr>
        <w:ind w:left="1260" w:hanging="420"/>
      </w:pPr>
      <w:rPr>
        <w:rFonts w:ascii="Wingdings" w:hAnsi="Wingdings" w:hint="default"/>
      </w:rPr>
    </w:lvl>
    <w:lvl w:ilvl="3" w:tplc="5FBC11BA">
      <w:start w:val="1"/>
      <w:numFmt w:val="bullet"/>
      <w:lvlText w:val=""/>
      <w:lvlJc w:val="left"/>
      <w:pPr>
        <w:ind w:left="1680" w:hanging="420"/>
      </w:pPr>
      <w:rPr>
        <w:rFonts w:ascii="Symbol" w:hAnsi="Symbol" w:hint="default"/>
      </w:rPr>
    </w:lvl>
    <w:lvl w:ilvl="4" w:tplc="61D22422">
      <w:start w:val="1"/>
      <w:numFmt w:val="bullet"/>
      <w:lvlText w:val="o"/>
      <w:lvlJc w:val="left"/>
      <w:pPr>
        <w:ind w:left="2100" w:hanging="420"/>
      </w:pPr>
      <w:rPr>
        <w:rFonts w:ascii="Courier New" w:hAnsi="Courier New" w:hint="default"/>
      </w:rPr>
    </w:lvl>
    <w:lvl w:ilvl="5" w:tplc="B27817D4">
      <w:start w:val="1"/>
      <w:numFmt w:val="bullet"/>
      <w:lvlText w:val=""/>
      <w:lvlJc w:val="left"/>
      <w:pPr>
        <w:ind w:left="2520" w:hanging="420"/>
      </w:pPr>
      <w:rPr>
        <w:rFonts w:ascii="Wingdings" w:hAnsi="Wingdings" w:hint="default"/>
      </w:rPr>
    </w:lvl>
    <w:lvl w:ilvl="6" w:tplc="8560452C">
      <w:start w:val="1"/>
      <w:numFmt w:val="bullet"/>
      <w:lvlText w:val=""/>
      <w:lvlJc w:val="left"/>
      <w:pPr>
        <w:ind w:left="2940" w:hanging="420"/>
      </w:pPr>
      <w:rPr>
        <w:rFonts w:ascii="Symbol" w:hAnsi="Symbol" w:hint="default"/>
      </w:rPr>
    </w:lvl>
    <w:lvl w:ilvl="7" w:tplc="19D41990">
      <w:start w:val="1"/>
      <w:numFmt w:val="bullet"/>
      <w:lvlText w:val="o"/>
      <w:lvlJc w:val="left"/>
      <w:pPr>
        <w:ind w:left="3360" w:hanging="420"/>
      </w:pPr>
      <w:rPr>
        <w:rFonts w:ascii="Courier New" w:hAnsi="Courier New" w:hint="default"/>
      </w:rPr>
    </w:lvl>
    <w:lvl w:ilvl="8" w:tplc="EA44F03A">
      <w:start w:val="1"/>
      <w:numFmt w:val="bullet"/>
      <w:lvlText w:val=""/>
      <w:lvlJc w:val="left"/>
      <w:pPr>
        <w:ind w:left="3780" w:hanging="420"/>
      </w:pPr>
      <w:rPr>
        <w:rFonts w:ascii="Wingdings" w:hAnsi="Wingdings" w:hint="default"/>
      </w:rPr>
    </w:lvl>
  </w:abstractNum>
  <w:abstractNum w:abstractNumId="15" w15:restartNumberingAfterBreak="0">
    <w:nsid w:val="50FD49EA"/>
    <w:multiLevelType w:val="hybridMultilevel"/>
    <w:tmpl w:val="BBAC5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6C66E5"/>
    <w:multiLevelType w:val="hybridMultilevel"/>
    <w:tmpl w:val="4546FF84"/>
    <w:lvl w:ilvl="0" w:tplc="70748DE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56D1665E"/>
    <w:multiLevelType w:val="hybridMultilevel"/>
    <w:tmpl w:val="AD18E4DC"/>
    <w:lvl w:ilvl="0" w:tplc="CDE0CA78">
      <w:start w:val="1"/>
      <w:numFmt w:val="bullet"/>
      <w:pStyle w:val="BulletCall-out"/>
      <w:lvlText w:val="▍"/>
      <w:lvlJc w:val="left"/>
      <w:pPr>
        <w:ind w:left="890" w:hanging="360"/>
      </w:pPr>
      <w:rPr>
        <w:rFonts w:ascii="Yu Gothic UI Semibold" w:eastAsia="Yu Gothic UI Semibold" w:hAnsi="Yu Gothic UI Semibold" w:hint="eastAsia"/>
        <w:b/>
        <w:i w:val="0"/>
        <w:color w:val="EBC132" w:themeColor="accent1"/>
        <w:spacing w:val="10"/>
        <w:position w:val="0"/>
      </w:rPr>
    </w:lvl>
    <w:lvl w:ilvl="1" w:tplc="D5686E70">
      <w:numFmt w:val="bullet"/>
      <w:lvlText w:val="•"/>
      <w:lvlJc w:val="left"/>
      <w:pPr>
        <w:ind w:left="1970" w:hanging="720"/>
      </w:pPr>
      <w:rPr>
        <w:rFonts w:ascii="Arial" w:eastAsia="Times New Roman" w:hAnsi="Arial" w:cs="Arial"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9223B8F"/>
    <w:multiLevelType w:val="hybridMultilevel"/>
    <w:tmpl w:val="D2E2DF8C"/>
    <w:lvl w:ilvl="0" w:tplc="819829F2">
      <w:start w:val="1"/>
      <w:numFmt w:val="decimal"/>
      <w:pStyle w:val="Table"/>
      <w:lvlText w:val="Table %1."/>
      <w:lvlJc w:val="left"/>
      <w:pPr>
        <w:ind w:left="720" w:hanging="360"/>
      </w:pPr>
      <w:rPr>
        <w:rFonts w:ascii="Arial Bold" w:hAnsi="Arial Bold" w:hint="default"/>
        <w:b/>
        <w:i w:val="0"/>
        <w:color w:val="EBC132" w:themeColor="accent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E2C5E"/>
    <w:multiLevelType w:val="hybridMultilevel"/>
    <w:tmpl w:val="B99E9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E179A"/>
    <w:multiLevelType w:val="multilevel"/>
    <w:tmpl w:val="655E1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DA322B"/>
    <w:multiLevelType w:val="multilevel"/>
    <w:tmpl w:val="65DA322B"/>
    <w:lvl w:ilvl="0">
      <w:start w:val="1"/>
      <w:numFmt w:val="bullet"/>
      <w:pStyle w:val="Bullet1normal"/>
      <w:lvlText w:val=""/>
      <w:lvlJc w:val="left"/>
      <w:pPr>
        <w:ind w:left="1080" w:hanging="360"/>
      </w:pPr>
      <w:rPr>
        <w:rFonts w:ascii="Symbol" w:hAnsi="Symbol" w:hint="default"/>
        <w:color w:val="E26E00"/>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BC23306"/>
    <w:multiLevelType w:val="hybridMultilevel"/>
    <w:tmpl w:val="D70C6D7E"/>
    <w:lvl w:ilvl="0" w:tplc="68D4F21C">
      <w:start w:val="1"/>
      <w:numFmt w:val="bullet"/>
      <w:lvlText w:val=""/>
      <w:lvlJc w:val="left"/>
      <w:pPr>
        <w:ind w:left="720" w:hanging="360"/>
      </w:pPr>
      <w:rPr>
        <w:rFonts w:ascii="Symbol" w:hAnsi="Symbol" w:hint="default"/>
        <w:color w:val="EBC132" w:themeColor="accent1"/>
      </w:rPr>
    </w:lvl>
    <w:lvl w:ilvl="1" w:tplc="0A6E643A">
      <w:start w:val="1"/>
      <w:numFmt w:val="bullet"/>
      <w:lvlText w:val="o"/>
      <w:lvlJc w:val="left"/>
      <w:pPr>
        <w:ind w:left="1440" w:hanging="360"/>
      </w:pPr>
      <w:rPr>
        <w:rFonts w:ascii="Courier New" w:hAnsi="Courier New" w:hint="default"/>
        <w:color w:val="EBC132"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921B4"/>
    <w:multiLevelType w:val="hybridMultilevel"/>
    <w:tmpl w:val="3CE81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5816C5"/>
    <w:multiLevelType w:val="hybridMultilevel"/>
    <w:tmpl w:val="50D21070"/>
    <w:lvl w:ilvl="0" w:tplc="0C09000F">
      <w:start w:val="1"/>
      <w:numFmt w:val="decimal"/>
      <w:lvlText w:val="%1."/>
      <w:lvlJc w:val="left"/>
      <w:pPr>
        <w:ind w:left="1225" w:hanging="360"/>
      </w:pPr>
    </w:lvl>
    <w:lvl w:ilvl="1" w:tplc="0C090019" w:tentative="1">
      <w:start w:val="1"/>
      <w:numFmt w:val="lowerLetter"/>
      <w:lvlText w:val="%2."/>
      <w:lvlJc w:val="left"/>
      <w:pPr>
        <w:ind w:left="1945" w:hanging="360"/>
      </w:pPr>
    </w:lvl>
    <w:lvl w:ilvl="2" w:tplc="0C09001B" w:tentative="1">
      <w:start w:val="1"/>
      <w:numFmt w:val="lowerRoman"/>
      <w:lvlText w:val="%3."/>
      <w:lvlJc w:val="right"/>
      <w:pPr>
        <w:ind w:left="2665" w:hanging="180"/>
      </w:pPr>
    </w:lvl>
    <w:lvl w:ilvl="3" w:tplc="0C09000F" w:tentative="1">
      <w:start w:val="1"/>
      <w:numFmt w:val="decimal"/>
      <w:lvlText w:val="%4."/>
      <w:lvlJc w:val="left"/>
      <w:pPr>
        <w:ind w:left="3385" w:hanging="360"/>
      </w:pPr>
    </w:lvl>
    <w:lvl w:ilvl="4" w:tplc="0C090019" w:tentative="1">
      <w:start w:val="1"/>
      <w:numFmt w:val="lowerLetter"/>
      <w:lvlText w:val="%5."/>
      <w:lvlJc w:val="left"/>
      <w:pPr>
        <w:ind w:left="4105" w:hanging="360"/>
      </w:pPr>
    </w:lvl>
    <w:lvl w:ilvl="5" w:tplc="0C09001B" w:tentative="1">
      <w:start w:val="1"/>
      <w:numFmt w:val="lowerRoman"/>
      <w:lvlText w:val="%6."/>
      <w:lvlJc w:val="right"/>
      <w:pPr>
        <w:ind w:left="4825" w:hanging="180"/>
      </w:pPr>
    </w:lvl>
    <w:lvl w:ilvl="6" w:tplc="0C09000F" w:tentative="1">
      <w:start w:val="1"/>
      <w:numFmt w:val="decimal"/>
      <w:lvlText w:val="%7."/>
      <w:lvlJc w:val="left"/>
      <w:pPr>
        <w:ind w:left="5545" w:hanging="360"/>
      </w:pPr>
    </w:lvl>
    <w:lvl w:ilvl="7" w:tplc="0C090019" w:tentative="1">
      <w:start w:val="1"/>
      <w:numFmt w:val="lowerLetter"/>
      <w:lvlText w:val="%8."/>
      <w:lvlJc w:val="left"/>
      <w:pPr>
        <w:ind w:left="6265" w:hanging="360"/>
      </w:pPr>
    </w:lvl>
    <w:lvl w:ilvl="8" w:tplc="0C09001B" w:tentative="1">
      <w:start w:val="1"/>
      <w:numFmt w:val="lowerRoman"/>
      <w:lvlText w:val="%9."/>
      <w:lvlJc w:val="right"/>
      <w:pPr>
        <w:ind w:left="6985" w:hanging="180"/>
      </w:pPr>
    </w:lvl>
  </w:abstractNum>
  <w:abstractNum w:abstractNumId="25" w15:restartNumberingAfterBreak="0">
    <w:nsid w:val="79E1124E"/>
    <w:multiLevelType w:val="multilevel"/>
    <w:tmpl w:val="79E1124E"/>
    <w:lvl w:ilvl="0">
      <w:start w:val="1"/>
      <w:numFmt w:val="lowerLetter"/>
      <w:pStyle w:val="ListNumber2"/>
      <w:lvlText w:val="%1."/>
      <w:lvlJc w:val="left"/>
      <w:pPr>
        <w:tabs>
          <w:tab w:val="left" w:pos="567"/>
        </w:tabs>
        <w:ind w:left="567" w:hanging="28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DF6093F"/>
    <w:multiLevelType w:val="hybridMultilevel"/>
    <w:tmpl w:val="E2544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7"/>
  </w:num>
  <w:num w:numId="4">
    <w:abstractNumId w:val="8"/>
  </w:num>
  <w:num w:numId="5">
    <w:abstractNumId w:val="18"/>
  </w:num>
  <w:num w:numId="6">
    <w:abstractNumId w:val="22"/>
  </w:num>
  <w:num w:numId="7">
    <w:abstractNumId w:val="10"/>
  </w:num>
  <w:num w:numId="8">
    <w:abstractNumId w:val="9"/>
  </w:num>
  <w:num w:numId="9">
    <w:abstractNumId w:val="16"/>
  </w:num>
  <w:num w:numId="10">
    <w:abstractNumId w:val="3"/>
  </w:num>
  <w:num w:numId="11">
    <w:abstractNumId w:val="7"/>
  </w:num>
  <w:num w:numId="12">
    <w:abstractNumId w:val="21"/>
  </w:num>
  <w:num w:numId="13">
    <w:abstractNumId w:val="1"/>
    <w:lvlOverride w:ilvl="0">
      <w:startOverride w:val="16"/>
    </w:lvlOverride>
  </w:num>
  <w:num w:numId="14">
    <w:abstractNumId w:val="0"/>
    <w:lvlOverride w:ilvl="0">
      <w:startOverride w:val="1"/>
    </w:lvlOverride>
  </w:num>
  <w:num w:numId="15">
    <w:abstractNumId w:val="5"/>
    <w:lvlOverride w:ilvl="0">
      <w:startOverride w:val="1"/>
    </w:lvlOverride>
  </w:num>
  <w:num w:numId="16">
    <w:abstractNumId w:val="26"/>
  </w:num>
  <w:num w:numId="17">
    <w:abstractNumId w:val="15"/>
  </w:num>
  <w:num w:numId="18">
    <w:abstractNumId w:val="24"/>
  </w:num>
  <w:num w:numId="19">
    <w:abstractNumId w:val="2"/>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6"/>
  </w:num>
  <w:num w:numId="25">
    <w:abstractNumId w:val="23"/>
  </w:num>
  <w:num w:numId="26">
    <w:abstractNumId w:val="19"/>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Z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nl-NL"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PH" w:vendorID="64" w:dllVersion="0"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FootnoteReference"/>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A3"/>
    <w:rsid w:val="00000A05"/>
    <w:rsid w:val="00000C41"/>
    <w:rsid w:val="00000C59"/>
    <w:rsid w:val="00001089"/>
    <w:rsid w:val="00001722"/>
    <w:rsid w:val="00001736"/>
    <w:rsid w:val="0000176D"/>
    <w:rsid w:val="00001E23"/>
    <w:rsid w:val="00001F88"/>
    <w:rsid w:val="00002085"/>
    <w:rsid w:val="0000268D"/>
    <w:rsid w:val="0000385A"/>
    <w:rsid w:val="0000433B"/>
    <w:rsid w:val="0000448E"/>
    <w:rsid w:val="000045D0"/>
    <w:rsid w:val="00004ECD"/>
    <w:rsid w:val="00005351"/>
    <w:rsid w:val="00006364"/>
    <w:rsid w:val="00006675"/>
    <w:rsid w:val="00006CB9"/>
    <w:rsid w:val="00007741"/>
    <w:rsid w:val="00007A9D"/>
    <w:rsid w:val="00007EAC"/>
    <w:rsid w:val="00010650"/>
    <w:rsid w:val="00010678"/>
    <w:rsid w:val="00010C25"/>
    <w:rsid w:val="00011542"/>
    <w:rsid w:val="00011587"/>
    <w:rsid w:val="00011656"/>
    <w:rsid w:val="00012A49"/>
    <w:rsid w:val="00012BF9"/>
    <w:rsid w:val="00013D70"/>
    <w:rsid w:val="00013E0D"/>
    <w:rsid w:val="00014042"/>
    <w:rsid w:val="00014985"/>
    <w:rsid w:val="00014C0F"/>
    <w:rsid w:val="0001502C"/>
    <w:rsid w:val="00015208"/>
    <w:rsid w:val="00015494"/>
    <w:rsid w:val="0001563D"/>
    <w:rsid w:val="000157BF"/>
    <w:rsid w:val="000158F9"/>
    <w:rsid w:val="00015CC4"/>
    <w:rsid w:val="00015DF2"/>
    <w:rsid w:val="000163E2"/>
    <w:rsid w:val="00016C4F"/>
    <w:rsid w:val="00016DF6"/>
    <w:rsid w:val="00020363"/>
    <w:rsid w:val="00021165"/>
    <w:rsid w:val="0002123C"/>
    <w:rsid w:val="00021CEF"/>
    <w:rsid w:val="00022428"/>
    <w:rsid w:val="0002260F"/>
    <w:rsid w:val="00022925"/>
    <w:rsid w:val="00022CC6"/>
    <w:rsid w:val="00023423"/>
    <w:rsid w:val="00023734"/>
    <w:rsid w:val="00023A2A"/>
    <w:rsid w:val="00023FE8"/>
    <w:rsid w:val="00024323"/>
    <w:rsid w:val="00024391"/>
    <w:rsid w:val="000247E9"/>
    <w:rsid w:val="000248E0"/>
    <w:rsid w:val="00024C2E"/>
    <w:rsid w:val="00025115"/>
    <w:rsid w:val="000251F0"/>
    <w:rsid w:val="000252FA"/>
    <w:rsid w:val="000258C3"/>
    <w:rsid w:val="00026029"/>
    <w:rsid w:val="00026058"/>
    <w:rsid w:val="000262DA"/>
    <w:rsid w:val="00026776"/>
    <w:rsid w:val="00026C02"/>
    <w:rsid w:val="0002713A"/>
    <w:rsid w:val="000271CC"/>
    <w:rsid w:val="000278B3"/>
    <w:rsid w:val="000302A4"/>
    <w:rsid w:val="00031041"/>
    <w:rsid w:val="000312F6"/>
    <w:rsid w:val="00031341"/>
    <w:rsid w:val="00031778"/>
    <w:rsid w:val="0003291F"/>
    <w:rsid w:val="00032C65"/>
    <w:rsid w:val="00032F83"/>
    <w:rsid w:val="00033019"/>
    <w:rsid w:val="0003331A"/>
    <w:rsid w:val="00033422"/>
    <w:rsid w:val="00033642"/>
    <w:rsid w:val="00034E3D"/>
    <w:rsid w:val="00035496"/>
    <w:rsid w:val="000355FB"/>
    <w:rsid w:val="0003560B"/>
    <w:rsid w:val="00035A63"/>
    <w:rsid w:val="00035C09"/>
    <w:rsid w:val="0003606B"/>
    <w:rsid w:val="0003610F"/>
    <w:rsid w:val="00036214"/>
    <w:rsid w:val="0003662B"/>
    <w:rsid w:val="00036AC1"/>
    <w:rsid w:val="00037159"/>
    <w:rsid w:val="000377BA"/>
    <w:rsid w:val="0003780A"/>
    <w:rsid w:val="0003792F"/>
    <w:rsid w:val="00037A25"/>
    <w:rsid w:val="00037CA2"/>
    <w:rsid w:val="00040333"/>
    <w:rsid w:val="0004060F"/>
    <w:rsid w:val="00040D7C"/>
    <w:rsid w:val="000413CC"/>
    <w:rsid w:val="00041833"/>
    <w:rsid w:val="0004283A"/>
    <w:rsid w:val="00042A4C"/>
    <w:rsid w:val="00042FF8"/>
    <w:rsid w:val="00043310"/>
    <w:rsid w:val="00043BE1"/>
    <w:rsid w:val="000443E4"/>
    <w:rsid w:val="00044689"/>
    <w:rsid w:val="0004498A"/>
    <w:rsid w:val="000450BB"/>
    <w:rsid w:val="000466C7"/>
    <w:rsid w:val="00046B12"/>
    <w:rsid w:val="00046DA3"/>
    <w:rsid w:val="00046FF8"/>
    <w:rsid w:val="00047188"/>
    <w:rsid w:val="000478C3"/>
    <w:rsid w:val="00047BD7"/>
    <w:rsid w:val="00047BE9"/>
    <w:rsid w:val="00051272"/>
    <w:rsid w:val="000512C6"/>
    <w:rsid w:val="000512EF"/>
    <w:rsid w:val="000515D9"/>
    <w:rsid w:val="000521CF"/>
    <w:rsid w:val="00052386"/>
    <w:rsid w:val="00053059"/>
    <w:rsid w:val="000534C2"/>
    <w:rsid w:val="00053781"/>
    <w:rsid w:val="000545CA"/>
    <w:rsid w:val="00054A99"/>
    <w:rsid w:val="00055478"/>
    <w:rsid w:val="00055AA8"/>
    <w:rsid w:val="000564D2"/>
    <w:rsid w:val="00056785"/>
    <w:rsid w:val="00057394"/>
    <w:rsid w:val="00057400"/>
    <w:rsid w:val="000600A8"/>
    <w:rsid w:val="00060199"/>
    <w:rsid w:val="00060295"/>
    <w:rsid w:val="00060476"/>
    <w:rsid w:val="00060589"/>
    <w:rsid w:val="00060677"/>
    <w:rsid w:val="000626AA"/>
    <w:rsid w:val="00062F9D"/>
    <w:rsid w:val="0006309B"/>
    <w:rsid w:val="00063799"/>
    <w:rsid w:val="000639EE"/>
    <w:rsid w:val="00063E85"/>
    <w:rsid w:val="0006455A"/>
    <w:rsid w:val="00064A24"/>
    <w:rsid w:val="00064EEE"/>
    <w:rsid w:val="00066395"/>
    <w:rsid w:val="00066676"/>
    <w:rsid w:val="00066CD6"/>
    <w:rsid w:val="000704F3"/>
    <w:rsid w:val="00070ADD"/>
    <w:rsid w:val="00071179"/>
    <w:rsid w:val="000713DC"/>
    <w:rsid w:val="00071983"/>
    <w:rsid w:val="0007208A"/>
    <w:rsid w:val="000724ED"/>
    <w:rsid w:val="000728BE"/>
    <w:rsid w:val="00072C15"/>
    <w:rsid w:val="00072C63"/>
    <w:rsid w:val="00072CAF"/>
    <w:rsid w:val="00073927"/>
    <w:rsid w:val="00073FBB"/>
    <w:rsid w:val="000750E8"/>
    <w:rsid w:val="00075B4C"/>
    <w:rsid w:val="00075DF1"/>
    <w:rsid w:val="00075EB3"/>
    <w:rsid w:val="0007662B"/>
    <w:rsid w:val="0007713C"/>
    <w:rsid w:val="00077367"/>
    <w:rsid w:val="00077A44"/>
    <w:rsid w:val="00077BE0"/>
    <w:rsid w:val="0008015B"/>
    <w:rsid w:val="00080B1E"/>
    <w:rsid w:val="00080C02"/>
    <w:rsid w:val="00081149"/>
    <w:rsid w:val="0008220F"/>
    <w:rsid w:val="0008237A"/>
    <w:rsid w:val="00082750"/>
    <w:rsid w:val="00082801"/>
    <w:rsid w:val="000835DD"/>
    <w:rsid w:val="0008387F"/>
    <w:rsid w:val="000838C1"/>
    <w:rsid w:val="00084B98"/>
    <w:rsid w:val="00084D32"/>
    <w:rsid w:val="00084F67"/>
    <w:rsid w:val="000854A2"/>
    <w:rsid w:val="00085506"/>
    <w:rsid w:val="0008566C"/>
    <w:rsid w:val="0008605A"/>
    <w:rsid w:val="00086F7B"/>
    <w:rsid w:val="0008704F"/>
    <w:rsid w:val="0008716E"/>
    <w:rsid w:val="00090375"/>
    <w:rsid w:val="0009091C"/>
    <w:rsid w:val="00090FAB"/>
    <w:rsid w:val="0009184B"/>
    <w:rsid w:val="00091904"/>
    <w:rsid w:val="00091AD6"/>
    <w:rsid w:val="00091CE9"/>
    <w:rsid w:val="00092318"/>
    <w:rsid w:val="00092D7F"/>
    <w:rsid w:val="0009340F"/>
    <w:rsid w:val="0009372B"/>
    <w:rsid w:val="00093A26"/>
    <w:rsid w:val="00093A46"/>
    <w:rsid w:val="00093D94"/>
    <w:rsid w:val="00094062"/>
    <w:rsid w:val="000943BC"/>
    <w:rsid w:val="000945BC"/>
    <w:rsid w:val="000945F3"/>
    <w:rsid w:val="0009485D"/>
    <w:rsid w:val="00094C0D"/>
    <w:rsid w:val="00094D6D"/>
    <w:rsid w:val="0009519A"/>
    <w:rsid w:val="000959C7"/>
    <w:rsid w:val="00095AF3"/>
    <w:rsid w:val="000961FB"/>
    <w:rsid w:val="00096404"/>
    <w:rsid w:val="00096ABB"/>
    <w:rsid w:val="00096F73"/>
    <w:rsid w:val="00097118"/>
    <w:rsid w:val="00097277"/>
    <w:rsid w:val="00097682"/>
    <w:rsid w:val="000979C2"/>
    <w:rsid w:val="00097C31"/>
    <w:rsid w:val="00097F4E"/>
    <w:rsid w:val="000A014A"/>
    <w:rsid w:val="000A0506"/>
    <w:rsid w:val="000A0B9B"/>
    <w:rsid w:val="000A0C0B"/>
    <w:rsid w:val="000A0DC7"/>
    <w:rsid w:val="000A1814"/>
    <w:rsid w:val="000A186A"/>
    <w:rsid w:val="000A19EC"/>
    <w:rsid w:val="000A2371"/>
    <w:rsid w:val="000A2B13"/>
    <w:rsid w:val="000A2ED3"/>
    <w:rsid w:val="000A30A2"/>
    <w:rsid w:val="000A30A9"/>
    <w:rsid w:val="000A30F1"/>
    <w:rsid w:val="000A34D0"/>
    <w:rsid w:val="000A3903"/>
    <w:rsid w:val="000A3C76"/>
    <w:rsid w:val="000A4243"/>
    <w:rsid w:val="000A5234"/>
    <w:rsid w:val="000A578D"/>
    <w:rsid w:val="000A6685"/>
    <w:rsid w:val="000A67D6"/>
    <w:rsid w:val="000A67F0"/>
    <w:rsid w:val="000A6A05"/>
    <w:rsid w:val="000A6B00"/>
    <w:rsid w:val="000A7746"/>
    <w:rsid w:val="000A79DE"/>
    <w:rsid w:val="000A7BBD"/>
    <w:rsid w:val="000B03A2"/>
    <w:rsid w:val="000B25F0"/>
    <w:rsid w:val="000B2678"/>
    <w:rsid w:val="000B4069"/>
    <w:rsid w:val="000B4072"/>
    <w:rsid w:val="000B42FC"/>
    <w:rsid w:val="000B4DD8"/>
    <w:rsid w:val="000B4FDB"/>
    <w:rsid w:val="000B5486"/>
    <w:rsid w:val="000B57F1"/>
    <w:rsid w:val="000B5E2E"/>
    <w:rsid w:val="000B6238"/>
    <w:rsid w:val="000B7141"/>
    <w:rsid w:val="000B757F"/>
    <w:rsid w:val="000B7C06"/>
    <w:rsid w:val="000C0343"/>
    <w:rsid w:val="000C0C4A"/>
    <w:rsid w:val="000C11FB"/>
    <w:rsid w:val="000C1815"/>
    <w:rsid w:val="000C29F4"/>
    <w:rsid w:val="000C3244"/>
    <w:rsid w:val="000C39CD"/>
    <w:rsid w:val="000C4275"/>
    <w:rsid w:val="000C4C43"/>
    <w:rsid w:val="000C4C7B"/>
    <w:rsid w:val="000C5364"/>
    <w:rsid w:val="000C5765"/>
    <w:rsid w:val="000C596F"/>
    <w:rsid w:val="000C631C"/>
    <w:rsid w:val="000C6452"/>
    <w:rsid w:val="000C68B2"/>
    <w:rsid w:val="000C6D6B"/>
    <w:rsid w:val="000C6FF1"/>
    <w:rsid w:val="000C7330"/>
    <w:rsid w:val="000C7AF5"/>
    <w:rsid w:val="000D07FD"/>
    <w:rsid w:val="000D12A8"/>
    <w:rsid w:val="000D1A95"/>
    <w:rsid w:val="000D2164"/>
    <w:rsid w:val="000D2EAB"/>
    <w:rsid w:val="000D3090"/>
    <w:rsid w:val="000D3C86"/>
    <w:rsid w:val="000D4239"/>
    <w:rsid w:val="000D4AA0"/>
    <w:rsid w:val="000D52CD"/>
    <w:rsid w:val="000D578F"/>
    <w:rsid w:val="000D5FA9"/>
    <w:rsid w:val="000D60F0"/>
    <w:rsid w:val="000D6382"/>
    <w:rsid w:val="000D6A8C"/>
    <w:rsid w:val="000D6CFB"/>
    <w:rsid w:val="000D7009"/>
    <w:rsid w:val="000D7854"/>
    <w:rsid w:val="000D79EB"/>
    <w:rsid w:val="000E00F7"/>
    <w:rsid w:val="000E071A"/>
    <w:rsid w:val="000E0F9E"/>
    <w:rsid w:val="000E185D"/>
    <w:rsid w:val="000E1CAB"/>
    <w:rsid w:val="000E2C03"/>
    <w:rsid w:val="000E3529"/>
    <w:rsid w:val="000E3A18"/>
    <w:rsid w:val="000E3AD0"/>
    <w:rsid w:val="000E46F3"/>
    <w:rsid w:val="000E4749"/>
    <w:rsid w:val="000E5288"/>
    <w:rsid w:val="000E59EB"/>
    <w:rsid w:val="000E62FD"/>
    <w:rsid w:val="000E6FA5"/>
    <w:rsid w:val="000E7577"/>
    <w:rsid w:val="000F0BD8"/>
    <w:rsid w:val="000F0D4C"/>
    <w:rsid w:val="000F0E7E"/>
    <w:rsid w:val="000F1BA5"/>
    <w:rsid w:val="000F2BA7"/>
    <w:rsid w:val="000F2C56"/>
    <w:rsid w:val="000F342F"/>
    <w:rsid w:val="000F3524"/>
    <w:rsid w:val="000F376F"/>
    <w:rsid w:val="000F44AB"/>
    <w:rsid w:val="000F5096"/>
    <w:rsid w:val="000F5648"/>
    <w:rsid w:val="000F57C9"/>
    <w:rsid w:val="000F58A4"/>
    <w:rsid w:val="000F5E78"/>
    <w:rsid w:val="000F5F73"/>
    <w:rsid w:val="000F687E"/>
    <w:rsid w:val="000F6C14"/>
    <w:rsid w:val="000F7048"/>
    <w:rsid w:val="000F75ED"/>
    <w:rsid w:val="000F77D3"/>
    <w:rsid w:val="000F79E3"/>
    <w:rsid w:val="001005B0"/>
    <w:rsid w:val="00100721"/>
    <w:rsid w:val="00101692"/>
    <w:rsid w:val="00101781"/>
    <w:rsid w:val="0010292F"/>
    <w:rsid w:val="00102A55"/>
    <w:rsid w:val="001038A0"/>
    <w:rsid w:val="00103E3F"/>
    <w:rsid w:val="001059F7"/>
    <w:rsid w:val="00105ABB"/>
    <w:rsid w:val="00105EA4"/>
    <w:rsid w:val="00106430"/>
    <w:rsid w:val="00107025"/>
    <w:rsid w:val="00110B2F"/>
    <w:rsid w:val="0011275C"/>
    <w:rsid w:val="00112B2C"/>
    <w:rsid w:val="00112B89"/>
    <w:rsid w:val="001131A4"/>
    <w:rsid w:val="0011360A"/>
    <w:rsid w:val="0011395B"/>
    <w:rsid w:val="001157FA"/>
    <w:rsid w:val="00115F82"/>
    <w:rsid w:val="00116640"/>
    <w:rsid w:val="001169C0"/>
    <w:rsid w:val="00117783"/>
    <w:rsid w:val="00117C7D"/>
    <w:rsid w:val="00117EFE"/>
    <w:rsid w:val="00121533"/>
    <w:rsid w:val="001215F2"/>
    <w:rsid w:val="001216F4"/>
    <w:rsid w:val="00121BE1"/>
    <w:rsid w:val="00121EE9"/>
    <w:rsid w:val="001223F9"/>
    <w:rsid w:val="00122502"/>
    <w:rsid w:val="00122519"/>
    <w:rsid w:val="00123E1B"/>
    <w:rsid w:val="0012457C"/>
    <w:rsid w:val="0012475A"/>
    <w:rsid w:val="00124B57"/>
    <w:rsid w:val="00124E17"/>
    <w:rsid w:val="0012500C"/>
    <w:rsid w:val="00125186"/>
    <w:rsid w:val="001252AE"/>
    <w:rsid w:val="00125445"/>
    <w:rsid w:val="0012571F"/>
    <w:rsid w:val="00125D11"/>
    <w:rsid w:val="0012606A"/>
    <w:rsid w:val="001267E8"/>
    <w:rsid w:val="00126DAA"/>
    <w:rsid w:val="00126FD4"/>
    <w:rsid w:val="00127B4D"/>
    <w:rsid w:val="00127C6D"/>
    <w:rsid w:val="0013029D"/>
    <w:rsid w:val="00130A60"/>
    <w:rsid w:val="00130C2B"/>
    <w:rsid w:val="00130F9F"/>
    <w:rsid w:val="00131982"/>
    <w:rsid w:val="001333A2"/>
    <w:rsid w:val="001335BD"/>
    <w:rsid w:val="001337F4"/>
    <w:rsid w:val="00133AF0"/>
    <w:rsid w:val="00134370"/>
    <w:rsid w:val="001343E6"/>
    <w:rsid w:val="00134F44"/>
    <w:rsid w:val="00135113"/>
    <w:rsid w:val="001356E5"/>
    <w:rsid w:val="00135E7B"/>
    <w:rsid w:val="00135EE9"/>
    <w:rsid w:val="001362A3"/>
    <w:rsid w:val="001365DD"/>
    <w:rsid w:val="00136A08"/>
    <w:rsid w:val="00136E62"/>
    <w:rsid w:val="001370C0"/>
    <w:rsid w:val="00137148"/>
    <w:rsid w:val="0014063A"/>
    <w:rsid w:val="0014088C"/>
    <w:rsid w:val="00140BF0"/>
    <w:rsid w:val="00140BFB"/>
    <w:rsid w:val="001418A6"/>
    <w:rsid w:val="00141975"/>
    <w:rsid w:val="00141A19"/>
    <w:rsid w:val="00141A62"/>
    <w:rsid w:val="00141DEE"/>
    <w:rsid w:val="001420D6"/>
    <w:rsid w:val="001422A8"/>
    <w:rsid w:val="001427F1"/>
    <w:rsid w:val="00142CAD"/>
    <w:rsid w:val="00143730"/>
    <w:rsid w:val="00144060"/>
    <w:rsid w:val="00144316"/>
    <w:rsid w:val="00146106"/>
    <w:rsid w:val="001461A9"/>
    <w:rsid w:val="0014662A"/>
    <w:rsid w:val="001466D1"/>
    <w:rsid w:val="001471B6"/>
    <w:rsid w:val="001479BF"/>
    <w:rsid w:val="00150002"/>
    <w:rsid w:val="001501B5"/>
    <w:rsid w:val="001508B1"/>
    <w:rsid w:val="00150C4D"/>
    <w:rsid w:val="00150E86"/>
    <w:rsid w:val="00151789"/>
    <w:rsid w:val="001531AB"/>
    <w:rsid w:val="001534DA"/>
    <w:rsid w:val="00153926"/>
    <w:rsid w:val="00153A29"/>
    <w:rsid w:val="00153AC5"/>
    <w:rsid w:val="00153F0E"/>
    <w:rsid w:val="00154AEE"/>
    <w:rsid w:val="00154CCB"/>
    <w:rsid w:val="001558F5"/>
    <w:rsid w:val="00155C30"/>
    <w:rsid w:val="001562AA"/>
    <w:rsid w:val="0015654A"/>
    <w:rsid w:val="00157695"/>
    <w:rsid w:val="00157AAF"/>
    <w:rsid w:val="00157C19"/>
    <w:rsid w:val="00160707"/>
    <w:rsid w:val="00160905"/>
    <w:rsid w:val="00160D44"/>
    <w:rsid w:val="0016165D"/>
    <w:rsid w:val="00161700"/>
    <w:rsid w:val="001617D7"/>
    <w:rsid w:val="00161A96"/>
    <w:rsid w:val="00161D75"/>
    <w:rsid w:val="00161E89"/>
    <w:rsid w:val="00162623"/>
    <w:rsid w:val="00162C53"/>
    <w:rsid w:val="00163C1A"/>
    <w:rsid w:val="00163CD1"/>
    <w:rsid w:val="00163DA3"/>
    <w:rsid w:val="00164817"/>
    <w:rsid w:val="001657A8"/>
    <w:rsid w:val="00165AD1"/>
    <w:rsid w:val="00165B1E"/>
    <w:rsid w:val="001665FD"/>
    <w:rsid w:val="0016678B"/>
    <w:rsid w:val="00166DD4"/>
    <w:rsid w:val="00166E92"/>
    <w:rsid w:val="00167100"/>
    <w:rsid w:val="00167307"/>
    <w:rsid w:val="001678C5"/>
    <w:rsid w:val="00167989"/>
    <w:rsid w:val="0016799A"/>
    <w:rsid w:val="00167A33"/>
    <w:rsid w:val="00167AA4"/>
    <w:rsid w:val="00167C97"/>
    <w:rsid w:val="00167D3A"/>
    <w:rsid w:val="00167E59"/>
    <w:rsid w:val="00167E84"/>
    <w:rsid w:val="00167FBF"/>
    <w:rsid w:val="001707BE"/>
    <w:rsid w:val="00170C3B"/>
    <w:rsid w:val="001712C2"/>
    <w:rsid w:val="00171671"/>
    <w:rsid w:val="001716DC"/>
    <w:rsid w:val="00171D3D"/>
    <w:rsid w:val="00172540"/>
    <w:rsid w:val="00172555"/>
    <w:rsid w:val="00172F2F"/>
    <w:rsid w:val="00173341"/>
    <w:rsid w:val="00174647"/>
    <w:rsid w:val="00174678"/>
    <w:rsid w:val="001747DD"/>
    <w:rsid w:val="00174868"/>
    <w:rsid w:val="00174A7C"/>
    <w:rsid w:val="00174AED"/>
    <w:rsid w:val="00174F84"/>
    <w:rsid w:val="00174FED"/>
    <w:rsid w:val="00175136"/>
    <w:rsid w:val="0017595F"/>
    <w:rsid w:val="0017615C"/>
    <w:rsid w:val="001765C7"/>
    <w:rsid w:val="001770D6"/>
    <w:rsid w:val="00177735"/>
    <w:rsid w:val="00180586"/>
    <w:rsid w:val="0018079D"/>
    <w:rsid w:val="00181938"/>
    <w:rsid w:val="00181BDC"/>
    <w:rsid w:val="00182721"/>
    <w:rsid w:val="00182F06"/>
    <w:rsid w:val="0018324A"/>
    <w:rsid w:val="0018336F"/>
    <w:rsid w:val="00184BF6"/>
    <w:rsid w:val="00184F37"/>
    <w:rsid w:val="0018606F"/>
    <w:rsid w:val="0018632A"/>
    <w:rsid w:val="00186891"/>
    <w:rsid w:val="00186FF1"/>
    <w:rsid w:val="001872AD"/>
    <w:rsid w:val="00187A56"/>
    <w:rsid w:val="001902CE"/>
    <w:rsid w:val="00190739"/>
    <w:rsid w:val="001909A9"/>
    <w:rsid w:val="00191FB3"/>
    <w:rsid w:val="00192458"/>
    <w:rsid w:val="00192801"/>
    <w:rsid w:val="00192BEF"/>
    <w:rsid w:val="00192C2C"/>
    <w:rsid w:val="0019332C"/>
    <w:rsid w:val="00193C37"/>
    <w:rsid w:val="00194E1C"/>
    <w:rsid w:val="00195244"/>
    <w:rsid w:val="00195435"/>
    <w:rsid w:val="00195772"/>
    <w:rsid w:val="00195901"/>
    <w:rsid w:val="00195CA6"/>
    <w:rsid w:val="001964FE"/>
    <w:rsid w:val="0019682B"/>
    <w:rsid w:val="00196DF8"/>
    <w:rsid w:val="00196ED6"/>
    <w:rsid w:val="0019712F"/>
    <w:rsid w:val="001974B8"/>
    <w:rsid w:val="001A04DD"/>
    <w:rsid w:val="001A0810"/>
    <w:rsid w:val="001A0AB4"/>
    <w:rsid w:val="001A1175"/>
    <w:rsid w:val="001A2C3D"/>
    <w:rsid w:val="001A30A0"/>
    <w:rsid w:val="001A332F"/>
    <w:rsid w:val="001A3330"/>
    <w:rsid w:val="001A34DB"/>
    <w:rsid w:val="001A356D"/>
    <w:rsid w:val="001A3BE2"/>
    <w:rsid w:val="001A4210"/>
    <w:rsid w:val="001A4DFA"/>
    <w:rsid w:val="001A5383"/>
    <w:rsid w:val="001A700D"/>
    <w:rsid w:val="001A776B"/>
    <w:rsid w:val="001A7F32"/>
    <w:rsid w:val="001B05DE"/>
    <w:rsid w:val="001B0F5E"/>
    <w:rsid w:val="001B1264"/>
    <w:rsid w:val="001B14D4"/>
    <w:rsid w:val="001B1D29"/>
    <w:rsid w:val="001B2400"/>
    <w:rsid w:val="001B2492"/>
    <w:rsid w:val="001B2523"/>
    <w:rsid w:val="001B32E1"/>
    <w:rsid w:val="001B342F"/>
    <w:rsid w:val="001B3CF5"/>
    <w:rsid w:val="001B432D"/>
    <w:rsid w:val="001B444E"/>
    <w:rsid w:val="001B44EA"/>
    <w:rsid w:val="001B4533"/>
    <w:rsid w:val="001B46EB"/>
    <w:rsid w:val="001B48D2"/>
    <w:rsid w:val="001B48E5"/>
    <w:rsid w:val="001B53E8"/>
    <w:rsid w:val="001B5800"/>
    <w:rsid w:val="001B5F58"/>
    <w:rsid w:val="001B6340"/>
    <w:rsid w:val="001B7244"/>
    <w:rsid w:val="001B75CF"/>
    <w:rsid w:val="001B79FA"/>
    <w:rsid w:val="001B7D97"/>
    <w:rsid w:val="001B7EAC"/>
    <w:rsid w:val="001C0D63"/>
    <w:rsid w:val="001C10E2"/>
    <w:rsid w:val="001C1C56"/>
    <w:rsid w:val="001C2383"/>
    <w:rsid w:val="001C247B"/>
    <w:rsid w:val="001C264B"/>
    <w:rsid w:val="001C2D2A"/>
    <w:rsid w:val="001C2DB5"/>
    <w:rsid w:val="001C317E"/>
    <w:rsid w:val="001C39D9"/>
    <w:rsid w:val="001C3C83"/>
    <w:rsid w:val="001C42AC"/>
    <w:rsid w:val="001C49F1"/>
    <w:rsid w:val="001C4C13"/>
    <w:rsid w:val="001C5204"/>
    <w:rsid w:val="001C5404"/>
    <w:rsid w:val="001C5648"/>
    <w:rsid w:val="001C56BD"/>
    <w:rsid w:val="001C5975"/>
    <w:rsid w:val="001C5E13"/>
    <w:rsid w:val="001C62A7"/>
    <w:rsid w:val="001C655B"/>
    <w:rsid w:val="001C68BE"/>
    <w:rsid w:val="001C6E4A"/>
    <w:rsid w:val="001C7016"/>
    <w:rsid w:val="001C7E17"/>
    <w:rsid w:val="001D01B6"/>
    <w:rsid w:val="001D0395"/>
    <w:rsid w:val="001D07DD"/>
    <w:rsid w:val="001D0A7E"/>
    <w:rsid w:val="001D0CA8"/>
    <w:rsid w:val="001D1183"/>
    <w:rsid w:val="001D17CC"/>
    <w:rsid w:val="001D186B"/>
    <w:rsid w:val="001D1A13"/>
    <w:rsid w:val="001D1CDC"/>
    <w:rsid w:val="001D207E"/>
    <w:rsid w:val="001D24B4"/>
    <w:rsid w:val="001D29FD"/>
    <w:rsid w:val="001D300A"/>
    <w:rsid w:val="001D3364"/>
    <w:rsid w:val="001D411D"/>
    <w:rsid w:val="001D42F6"/>
    <w:rsid w:val="001D4E21"/>
    <w:rsid w:val="001D4FA3"/>
    <w:rsid w:val="001D504C"/>
    <w:rsid w:val="001D52CE"/>
    <w:rsid w:val="001D52D3"/>
    <w:rsid w:val="001D55D2"/>
    <w:rsid w:val="001D5D86"/>
    <w:rsid w:val="001D6D66"/>
    <w:rsid w:val="001D6DBF"/>
    <w:rsid w:val="001D7AB6"/>
    <w:rsid w:val="001D7DBB"/>
    <w:rsid w:val="001E057D"/>
    <w:rsid w:val="001E05D6"/>
    <w:rsid w:val="001E0710"/>
    <w:rsid w:val="001E0AFA"/>
    <w:rsid w:val="001E0BF3"/>
    <w:rsid w:val="001E0DB5"/>
    <w:rsid w:val="001E10F3"/>
    <w:rsid w:val="001E1467"/>
    <w:rsid w:val="001E1864"/>
    <w:rsid w:val="001E195E"/>
    <w:rsid w:val="001E19CC"/>
    <w:rsid w:val="001E1D2B"/>
    <w:rsid w:val="001E205A"/>
    <w:rsid w:val="001E241D"/>
    <w:rsid w:val="001E264E"/>
    <w:rsid w:val="001E2D3A"/>
    <w:rsid w:val="001E3F75"/>
    <w:rsid w:val="001E42B0"/>
    <w:rsid w:val="001E4B2B"/>
    <w:rsid w:val="001E52CF"/>
    <w:rsid w:val="001E5BD9"/>
    <w:rsid w:val="001E6A68"/>
    <w:rsid w:val="001E6C80"/>
    <w:rsid w:val="001E6CDB"/>
    <w:rsid w:val="001E6E3E"/>
    <w:rsid w:val="001E6EBE"/>
    <w:rsid w:val="001E71EB"/>
    <w:rsid w:val="001F0C07"/>
    <w:rsid w:val="001F115E"/>
    <w:rsid w:val="001F1941"/>
    <w:rsid w:val="001F1979"/>
    <w:rsid w:val="001F246A"/>
    <w:rsid w:val="001F343B"/>
    <w:rsid w:val="001F34FD"/>
    <w:rsid w:val="001F3EE9"/>
    <w:rsid w:val="001F4D3E"/>
    <w:rsid w:val="001F58B1"/>
    <w:rsid w:val="001F68F0"/>
    <w:rsid w:val="001F6C67"/>
    <w:rsid w:val="001F6E61"/>
    <w:rsid w:val="001F73D3"/>
    <w:rsid w:val="001F78EE"/>
    <w:rsid w:val="001F7D00"/>
    <w:rsid w:val="002001FF"/>
    <w:rsid w:val="0020030B"/>
    <w:rsid w:val="00201333"/>
    <w:rsid w:val="0020151B"/>
    <w:rsid w:val="00201826"/>
    <w:rsid w:val="00202046"/>
    <w:rsid w:val="00202164"/>
    <w:rsid w:val="00202776"/>
    <w:rsid w:val="002027D5"/>
    <w:rsid w:val="00202A18"/>
    <w:rsid w:val="00202B2E"/>
    <w:rsid w:val="00202E52"/>
    <w:rsid w:val="0020301B"/>
    <w:rsid w:val="002032B1"/>
    <w:rsid w:val="002032EA"/>
    <w:rsid w:val="00203BA4"/>
    <w:rsid w:val="002048A8"/>
    <w:rsid w:val="00205102"/>
    <w:rsid w:val="0020554A"/>
    <w:rsid w:val="00205D10"/>
    <w:rsid w:val="00205E1A"/>
    <w:rsid w:val="002060BA"/>
    <w:rsid w:val="00207BFC"/>
    <w:rsid w:val="00210001"/>
    <w:rsid w:val="002101BE"/>
    <w:rsid w:val="00210661"/>
    <w:rsid w:val="00210901"/>
    <w:rsid w:val="00210CF7"/>
    <w:rsid w:val="00211099"/>
    <w:rsid w:val="002112D9"/>
    <w:rsid w:val="002113C7"/>
    <w:rsid w:val="00211CB5"/>
    <w:rsid w:val="00211E93"/>
    <w:rsid w:val="00211F11"/>
    <w:rsid w:val="00212E9B"/>
    <w:rsid w:val="00212FD2"/>
    <w:rsid w:val="00213272"/>
    <w:rsid w:val="00213BCC"/>
    <w:rsid w:val="0021402B"/>
    <w:rsid w:val="0021449F"/>
    <w:rsid w:val="002144D1"/>
    <w:rsid w:val="002160C6"/>
    <w:rsid w:val="0021664E"/>
    <w:rsid w:val="0021676E"/>
    <w:rsid w:val="00216B11"/>
    <w:rsid w:val="00217257"/>
    <w:rsid w:val="00217E9E"/>
    <w:rsid w:val="002201CD"/>
    <w:rsid w:val="00220225"/>
    <w:rsid w:val="002204F3"/>
    <w:rsid w:val="0022073E"/>
    <w:rsid w:val="002213EE"/>
    <w:rsid w:val="002214CA"/>
    <w:rsid w:val="0022234E"/>
    <w:rsid w:val="002224C3"/>
    <w:rsid w:val="00222AB7"/>
    <w:rsid w:val="00223492"/>
    <w:rsid w:val="00223CD3"/>
    <w:rsid w:val="002243C9"/>
    <w:rsid w:val="0022482B"/>
    <w:rsid w:val="00224F62"/>
    <w:rsid w:val="00225082"/>
    <w:rsid w:val="002251D8"/>
    <w:rsid w:val="00225617"/>
    <w:rsid w:val="00225AB2"/>
    <w:rsid w:val="00225ACB"/>
    <w:rsid w:val="00225F13"/>
    <w:rsid w:val="00226486"/>
    <w:rsid w:val="0022683C"/>
    <w:rsid w:val="00227135"/>
    <w:rsid w:val="002272C8"/>
    <w:rsid w:val="0022743B"/>
    <w:rsid w:val="002304BE"/>
    <w:rsid w:val="00230984"/>
    <w:rsid w:val="00230C55"/>
    <w:rsid w:val="00230E70"/>
    <w:rsid w:val="00231F5A"/>
    <w:rsid w:val="00232012"/>
    <w:rsid w:val="002321B3"/>
    <w:rsid w:val="002328CF"/>
    <w:rsid w:val="002332DF"/>
    <w:rsid w:val="002334D9"/>
    <w:rsid w:val="00233A31"/>
    <w:rsid w:val="00233BCF"/>
    <w:rsid w:val="00233DEA"/>
    <w:rsid w:val="00234878"/>
    <w:rsid w:val="00234AB1"/>
    <w:rsid w:val="002357D1"/>
    <w:rsid w:val="0023592B"/>
    <w:rsid w:val="002359F4"/>
    <w:rsid w:val="00235F86"/>
    <w:rsid w:val="002363D0"/>
    <w:rsid w:val="00236ED8"/>
    <w:rsid w:val="00237CEA"/>
    <w:rsid w:val="0024024B"/>
    <w:rsid w:val="00240430"/>
    <w:rsid w:val="00241072"/>
    <w:rsid w:val="002419BB"/>
    <w:rsid w:val="00241B90"/>
    <w:rsid w:val="00241BB2"/>
    <w:rsid w:val="00242871"/>
    <w:rsid w:val="00242A76"/>
    <w:rsid w:val="00242CF2"/>
    <w:rsid w:val="00242D4F"/>
    <w:rsid w:val="00242DB0"/>
    <w:rsid w:val="0024321B"/>
    <w:rsid w:val="00243587"/>
    <w:rsid w:val="0024369E"/>
    <w:rsid w:val="00244286"/>
    <w:rsid w:val="00244A84"/>
    <w:rsid w:val="002450EC"/>
    <w:rsid w:val="002454F6"/>
    <w:rsid w:val="00245BFD"/>
    <w:rsid w:val="0024600F"/>
    <w:rsid w:val="00246012"/>
    <w:rsid w:val="00246261"/>
    <w:rsid w:val="00246B15"/>
    <w:rsid w:val="0024709E"/>
    <w:rsid w:val="00247353"/>
    <w:rsid w:val="00247406"/>
    <w:rsid w:val="0024758A"/>
    <w:rsid w:val="0024776E"/>
    <w:rsid w:val="0024780B"/>
    <w:rsid w:val="00247E6B"/>
    <w:rsid w:val="0025001E"/>
    <w:rsid w:val="0025048E"/>
    <w:rsid w:val="0025130B"/>
    <w:rsid w:val="002514F1"/>
    <w:rsid w:val="00251AC7"/>
    <w:rsid w:val="00251F77"/>
    <w:rsid w:val="0025206D"/>
    <w:rsid w:val="002529A9"/>
    <w:rsid w:val="00253297"/>
    <w:rsid w:val="00254AF5"/>
    <w:rsid w:val="00254CFB"/>
    <w:rsid w:val="00255BFC"/>
    <w:rsid w:val="00256396"/>
    <w:rsid w:val="00256592"/>
    <w:rsid w:val="002566EC"/>
    <w:rsid w:val="002567BB"/>
    <w:rsid w:val="00256F62"/>
    <w:rsid w:val="0025796A"/>
    <w:rsid w:val="0025799E"/>
    <w:rsid w:val="00257EAE"/>
    <w:rsid w:val="002605F0"/>
    <w:rsid w:val="00260627"/>
    <w:rsid w:val="00260E37"/>
    <w:rsid w:val="002619E7"/>
    <w:rsid w:val="00261A1B"/>
    <w:rsid w:val="00261BF2"/>
    <w:rsid w:val="00261E90"/>
    <w:rsid w:val="002625C6"/>
    <w:rsid w:val="00262981"/>
    <w:rsid w:val="00262A42"/>
    <w:rsid w:val="00263711"/>
    <w:rsid w:val="002638C0"/>
    <w:rsid w:val="00263B26"/>
    <w:rsid w:val="00263C48"/>
    <w:rsid w:val="00263FE2"/>
    <w:rsid w:val="00264706"/>
    <w:rsid w:val="00265B06"/>
    <w:rsid w:val="0026666C"/>
    <w:rsid w:val="00266C84"/>
    <w:rsid w:val="00266F50"/>
    <w:rsid w:val="00266FA4"/>
    <w:rsid w:val="00267C6B"/>
    <w:rsid w:val="00267CF2"/>
    <w:rsid w:val="0027030F"/>
    <w:rsid w:val="002706D1"/>
    <w:rsid w:val="002715B9"/>
    <w:rsid w:val="00271EBF"/>
    <w:rsid w:val="00271ED9"/>
    <w:rsid w:val="00271F31"/>
    <w:rsid w:val="00271F76"/>
    <w:rsid w:val="0027217E"/>
    <w:rsid w:val="00272BB4"/>
    <w:rsid w:val="002736CB"/>
    <w:rsid w:val="00273805"/>
    <w:rsid w:val="00273B5E"/>
    <w:rsid w:val="00274244"/>
    <w:rsid w:val="00274993"/>
    <w:rsid w:val="00275D44"/>
    <w:rsid w:val="00275E2C"/>
    <w:rsid w:val="002760A4"/>
    <w:rsid w:val="002760F9"/>
    <w:rsid w:val="0027669C"/>
    <w:rsid w:val="0027698C"/>
    <w:rsid w:val="00276E6C"/>
    <w:rsid w:val="00280089"/>
    <w:rsid w:val="002801BB"/>
    <w:rsid w:val="002803CD"/>
    <w:rsid w:val="002805ED"/>
    <w:rsid w:val="002806E9"/>
    <w:rsid w:val="00280DA9"/>
    <w:rsid w:val="0028100A"/>
    <w:rsid w:val="00281F1C"/>
    <w:rsid w:val="00282803"/>
    <w:rsid w:val="00282CAB"/>
    <w:rsid w:val="00282D83"/>
    <w:rsid w:val="00282F5C"/>
    <w:rsid w:val="0028320C"/>
    <w:rsid w:val="002836AA"/>
    <w:rsid w:val="00283ECE"/>
    <w:rsid w:val="00283FA0"/>
    <w:rsid w:val="0028420A"/>
    <w:rsid w:val="00284905"/>
    <w:rsid w:val="00284ADE"/>
    <w:rsid w:val="00284BF0"/>
    <w:rsid w:val="002853EB"/>
    <w:rsid w:val="002857CA"/>
    <w:rsid w:val="00285A9A"/>
    <w:rsid w:val="00285D4A"/>
    <w:rsid w:val="002860FF"/>
    <w:rsid w:val="002866D0"/>
    <w:rsid w:val="00286710"/>
    <w:rsid w:val="00286A79"/>
    <w:rsid w:val="00286C43"/>
    <w:rsid w:val="00286D2A"/>
    <w:rsid w:val="00286E4B"/>
    <w:rsid w:val="0028724A"/>
    <w:rsid w:val="00287369"/>
    <w:rsid w:val="002902EA"/>
    <w:rsid w:val="002904A9"/>
    <w:rsid w:val="00290A67"/>
    <w:rsid w:val="002912CC"/>
    <w:rsid w:val="00292C4B"/>
    <w:rsid w:val="002932A9"/>
    <w:rsid w:val="00293C15"/>
    <w:rsid w:val="00293DF4"/>
    <w:rsid w:val="00294250"/>
    <w:rsid w:val="00294409"/>
    <w:rsid w:val="00294D67"/>
    <w:rsid w:val="00295027"/>
    <w:rsid w:val="0029587A"/>
    <w:rsid w:val="00295F4C"/>
    <w:rsid w:val="00296BF0"/>
    <w:rsid w:val="002970A5"/>
    <w:rsid w:val="002975CF"/>
    <w:rsid w:val="0029794F"/>
    <w:rsid w:val="002A03FD"/>
    <w:rsid w:val="002A0543"/>
    <w:rsid w:val="002A087B"/>
    <w:rsid w:val="002A1BD9"/>
    <w:rsid w:val="002A226A"/>
    <w:rsid w:val="002A27D0"/>
    <w:rsid w:val="002A2BF5"/>
    <w:rsid w:val="002A3369"/>
    <w:rsid w:val="002A360B"/>
    <w:rsid w:val="002A38B8"/>
    <w:rsid w:val="002A409C"/>
    <w:rsid w:val="002A42DB"/>
    <w:rsid w:val="002A5881"/>
    <w:rsid w:val="002A5DA3"/>
    <w:rsid w:val="002A6036"/>
    <w:rsid w:val="002A6A90"/>
    <w:rsid w:val="002A7828"/>
    <w:rsid w:val="002A7B53"/>
    <w:rsid w:val="002A7B5C"/>
    <w:rsid w:val="002A7DCC"/>
    <w:rsid w:val="002A7DEE"/>
    <w:rsid w:val="002B00FB"/>
    <w:rsid w:val="002B014C"/>
    <w:rsid w:val="002B0B6D"/>
    <w:rsid w:val="002B0D29"/>
    <w:rsid w:val="002B0F6B"/>
    <w:rsid w:val="002B0FE3"/>
    <w:rsid w:val="002B1406"/>
    <w:rsid w:val="002B14BA"/>
    <w:rsid w:val="002B1604"/>
    <w:rsid w:val="002B1D86"/>
    <w:rsid w:val="002B2356"/>
    <w:rsid w:val="002B24AB"/>
    <w:rsid w:val="002B2D94"/>
    <w:rsid w:val="002B31CD"/>
    <w:rsid w:val="002B32D8"/>
    <w:rsid w:val="002B3598"/>
    <w:rsid w:val="002B376D"/>
    <w:rsid w:val="002B3A47"/>
    <w:rsid w:val="002B3B39"/>
    <w:rsid w:val="002B3BCE"/>
    <w:rsid w:val="002B3C1A"/>
    <w:rsid w:val="002B4162"/>
    <w:rsid w:val="002B4734"/>
    <w:rsid w:val="002B47AA"/>
    <w:rsid w:val="002B494F"/>
    <w:rsid w:val="002B4AC2"/>
    <w:rsid w:val="002B4C57"/>
    <w:rsid w:val="002B5D68"/>
    <w:rsid w:val="002B63A4"/>
    <w:rsid w:val="002B6B30"/>
    <w:rsid w:val="002B75AE"/>
    <w:rsid w:val="002B7DC8"/>
    <w:rsid w:val="002B7E3F"/>
    <w:rsid w:val="002C01E5"/>
    <w:rsid w:val="002C089F"/>
    <w:rsid w:val="002C1401"/>
    <w:rsid w:val="002C1A54"/>
    <w:rsid w:val="002C1AF5"/>
    <w:rsid w:val="002C2218"/>
    <w:rsid w:val="002C241A"/>
    <w:rsid w:val="002C250C"/>
    <w:rsid w:val="002C2FC3"/>
    <w:rsid w:val="002C4014"/>
    <w:rsid w:val="002C4803"/>
    <w:rsid w:val="002C483D"/>
    <w:rsid w:val="002C5590"/>
    <w:rsid w:val="002C58E1"/>
    <w:rsid w:val="002C58E7"/>
    <w:rsid w:val="002C5924"/>
    <w:rsid w:val="002C5E58"/>
    <w:rsid w:val="002C6CDA"/>
    <w:rsid w:val="002C7194"/>
    <w:rsid w:val="002C7FBB"/>
    <w:rsid w:val="002D0045"/>
    <w:rsid w:val="002D015E"/>
    <w:rsid w:val="002D0372"/>
    <w:rsid w:val="002D0856"/>
    <w:rsid w:val="002D096C"/>
    <w:rsid w:val="002D0BE3"/>
    <w:rsid w:val="002D10B1"/>
    <w:rsid w:val="002D126F"/>
    <w:rsid w:val="002D12E5"/>
    <w:rsid w:val="002D154C"/>
    <w:rsid w:val="002D1986"/>
    <w:rsid w:val="002D1A49"/>
    <w:rsid w:val="002D29B0"/>
    <w:rsid w:val="002D2B1C"/>
    <w:rsid w:val="002D2C04"/>
    <w:rsid w:val="002D2D3B"/>
    <w:rsid w:val="002D2E09"/>
    <w:rsid w:val="002D2EC7"/>
    <w:rsid w:val="002D333C"/>
    <w:rsid w:val="002D34CC"/>
    <w:rsid w:val="002D3760"/>
    <w:rsid w:val="002D38FD"/>
    <w:rsid w:val="002D5043"/>
    <w:rsid w:val="002D52DA"/>
    <w:rsid w:val="002D56AF"/>
    <w:rsid w:val="002D5C19"/>
    <w:rsid w:val="002D5D5A"/>
    <w:rsid w:val="002D5E47"/>
    <w:rsid w:val="002D64D4"/>
    <w:rsid w:val="002D669F"/>
    <w:rsid w:val="002D7741"/>
    <w:rsid w:val="002D7754"/>
    <w:rsid w:val="002D7794"/>
    <w:rsid w:val="002D7A31"/>
    <w:rsid w:val="002E0314"/>
    <w:rsid w:val="002E0AA0"/>
    <w:rsid w:val="002E0B7A"/>
    <w:rsid w:val="002E1847"/>
    <w:rsid w:val="002E1BFD"/>
    <w:rsid w:val="002E1E94"/>
    <w:rsid w:val="002E2069"/>
    <w:rsid w:val="002E20E2"/>
    <w:rsid w:val="002E2990"/>
    <w:rsid w:val="002E2FB2"/>
    <w:rsid w:val="002E2FB7"/>
    <w:rsid w:val="002E3DEB"/>
    <w:rsid w:val="002E42B4"/>
    <w:rsid w:val="002E5140"/>
    <w:rsid w:val="002E5D98"/>
    <w:rsid w:val="002E6133"/>
    <w:rsid w:val="002E7079"/>
    <w:rsid w:val="002E71C7"/>
    <w:rsid w:val="002E75FC"/>
    <w:rsid w:val="002E7AF0"/>
    <w:rsid w:val="002F0C51"/>
    <w:rsid w:val="002F0D23"/>
    <w:rsid w:val="002F1485"/>
    <w:rsid w:val="002F1A42"/>
    <w:rsid w:val="002F1B87"/>
    <w:rsid w:val="002F1C89"/>
    <w:rsid w:val="002F1E90"/>
    <w:rsid w:val="002F248E"/>
    <w:rsid w:val="002F2FDF"/>
    <w:rsid w:val="002F3014"/>
    <w:rsid w:val="002F37C6"/>
    <w:rsid w:val="002F61A9"/>
    <w:rsid w:val="002F6DC7"/>
    <w:rsid w:val="002F6E2F"/>
    <w:rsid w:val="002F79A7"/>
    <w:rsid w:val="002F7AAD"/>
    <w:rsid w:val="002F7B3C"/>
    <w:rsid w:val="002F7E92"/>
    <w:rsid w:val="00300012"/>
    <w:rsid w:val="003002AE"/>
    <w:rsid w:val="0030065D"/>
    <w:rsid w:val="00300678"/>
    <w:rsid w:val="00300C9F"/>
    <w:rsid w:val="00301DEE"/>
    <w:rsid w:val="00301F88"/>
    <w:rsid w:val="003020F1"/>
    <w:rsid w:val="0030236D"/>
    <w:rsid w:val="003032A0"/>
    <w:rsid w:val="003033F6"/>
    <w:rsid w:val="0030353E"/>
    <w:rsid w:val="003035BA"/>
    <w:rsid w:val="003039A9"/>
    <w:rsid w:val="00303AE8"/>
    <w:rsid w:val="00303DC8"/>
    <w:rsid w:val="00304CEC"/>
    <w:rsid w:val="00304DF3"/>
    <w:rsid w:val="00304FD3"/>
    <w:rsid w:val="00305015"/>
    <w:rsid w:val="00305449"/>
    <w:rsid w:val="0030558C"/>
    <w:rsid w:val="00305AA8"/>
    <w:rsid w:val="00306195"/>
    <w:rsid w:val="00306B27"/>
    <w:rsid w:val="00306BA9"/>
    <w:rsid w:val="00307EF9"/>
    <w:rsid w:val="00310A07"/>
    <w:rsid w:val="00310F10"/>
    <w:rsid w:val="0031101E"/>
    <w:rsid w:val="003112A0"/>
    <w:rsid w:val="00311418"/>
    <w:rsid w:val="00311545"/>
    <w:rsid w:val="00311A2F"/>
    <w:rsid w:val="00311A79"/>
    <w:rsid w:val="00311C15"/>
    <w:rsid w:val="003126F0"/>
    <w:rsid w:val="003126F8"/>
    <w:rsid w:val="00312DD6"/>
    <w:rsid w:val="00313E00"/>
    <w:rsid w:val="0031438A"/>
    <w:rsid w:val="00314A53"/>
    <w:rsid w:val="00314F33"/>
    <w:rsid w:val="00314FC9"/>
    <w:rsid w:val="003153E6"/>
    <w:rsid w:val="00315459"/>
    <w:rsid w:val="00315B9D"/>
    <w:rsid w:val="003168A0"/>
    <w:rsid w:val="0031695D"/>
    <w:rsid w:val="003169CC"/>
    <w:rsid w:val="00316F4F"/>
    <w:rsid w:val="003170E7"/>
    <w:rsid w:val="00320013"/>
    <w:rsid w:val="003201C5"/>
    <w:rsid w:val="00320E9E"/>
    <w:rsid w:val="0032121E"/>
    <w:rsid w:val="00321369"/>
    <w:rsid w:val="003214C7"/>
    <w:rsid w:val="00321589"/>
    <w:rsid w:val="00321A96"/>
    <w:rsid w:val="00321CC9"/>
    <w:rsid w:val="003221B9"/>
    <w:rsid w:val="00322798"/>
    <w:rsid w:val="003228B9"/>
    <w:rsid w:val="00322AB4"/>
    <w:rsid w:val="00322FD9"/>
    <w:rsid w:val="00323229"/>
    <w:rsid w:val="00323AF4"/>
    <w:rsid w:val="00323BC6"/>
    <w:rsid w:val="00323EB9"/>
    <w:rsid w:val="00324B16"/>
    <w:rsid w:val="003256F4"/>
    <w:rsid w:val="003266D3"/>
    <w:rsid w:val="00326708"/>
    <w:rsid w:val="00326E70"/>
    <w:rsid w:val="003270D9"/>
    <w:rsid w:val="00327974"/>
    <w:rsid w:val="00327A2A"/>
    <w:rsid w:val="00327DAE"/>
    <w:rsid w:val="00327E9C"/>
    <w:rsid w:val="00330031"/>
    <w:rsid w:val="0033063A"/>
    <w:rsid w:val="00330A4D"/>
    <w:rsid w:val="003314EA"/>
    <w:rsid w:val="0033175D"/>
    <w:rsid w:val="00331774"/>
    <w:rsid w:val="003320AE"/>
    <w:rsid w:val="003332A7"/>
    <w:rsid w:val="00333B61"/>
    <w:rsid w:val="003342BD"/>
    <w:rsid w:val="00334EFA"/>
    <w:rsid w:val="0033513E"/>
    <w:rsid w:val="003351F0"/>
    <w:rsid w:val="00335E9C"/>
    <w:rsid w:val="0033667E"/>
    <w:rsid w:val="0033678C"/>
    <w:rsid w:val="003368C8"/>
    <w:rsid w:val="00336B14"/>
    <w:rsid w:val="00336B89"/>
    <w:rsid w:val="00336CCD"/>
    <w:rsid w:val="00336D2B"/>
    <w:rsid w:val="00336E6E"/>
    <w:rsid w:val="00336FAF"/>
    <w:rsid w:val="003370AA"/>
    <w:rsid w:val="003370EB"/>
    <w:rsid w:val="00337253"/>
    <w:rsid w:val="003375C6"/>
    <w:rsid w:val="0033798F"/>
    <w:rsid w:val="00337A30"/>
    <w:rsid w:val="00340A08"/>
    <w:rsid w:val="00340D33"/>
    <w:rsid w:val="00341173"/>
    <w:rsid w:val="00341455"/>
    <w:rsid w:val="00341A3D"/>
    <w:rsid w:val="00341E43"/>
    <w:rsid w:val="003420E3"/>
    <w:rsid w:val="003422C2"/>
    <w:rsid w:val="00342758"/>
    <w:rsid w:val="00342CEB"/>
    <w:rsid w:val="003443FE"/>
    <w:rsid w:val="003444EF"/>
    <w:rsid w:val="00344707"/>
    <w:rsid w:val="00344719"/>
    <w:rsid w:val="00344ABB"/>
    <w:rsid w:val="00344CC4"/>
    <w:rsid w:val="00344F42"/>
    <w:rsid w:val="00345211"/>
    <w:rsid w:val="00345E62"/>
    <w:rsid w:val="00346108"/>
    <w:rsid w:val="00346405"/>
    <w:rsid w:val="00346876"/>
    <w:rsid w:val="00346E5B"/>
    <w:rsid w:val="0034790D"/>
    <w:rsid w:val="00350328"/>
    <w:rsid w:val="0035097F"/>
    <w:rsid w:val="00350D18"/>
    <w:rsid w:val="00350D22"/>
    <w:rsid w:val="00350F6E"/>
    <w:rsid w:val="003512F6"/>
    <w:rsid w:val="00351FF2"/>
    <w:rsid w:val="00352307"/>
    <w:rsid w:val="00352391"/>
    <w:rsid w:val="003524CA"/>
    <w:rsid w:val="00352CC7"/>
    <w:rsid w:val="00352D10"/>
    <w:rsid w:val="003530A7"/>
    <w:rsid w:val="003534AD"/>
    <w:rsid w:val="003539C1"/>
    <w:rsid w:val="00353C51"/>
    <w:rsid w:val="00353E06"/>
    <w:rsid w:val="00354228"/>
    <w:rsid w:val="00354298"/>
    <w:rsid w:val="0035440B"/>
    <w:rsid w:val="00354C96"/>
    <w:rsid w:val="00354FCE"/>
    <w:rsid w:val="003552C4"/>
    <w:rsid w:val="0035564D"/>
    <w:rsid w:val="00356375"/>
    <w:rsid w:val="003564A2"/>
    <w:rsid w:val="003565FD"/>
    <w:rsid w:val="00356B2A"/>
    <w:rsid w:val="00356E35"/>
    <w:rsid w:val="00357782"/>
    <w:rsid w:val="00357AF2"/>
    <w:rsid w:val="00357B46"/>
    <w:rsid w:val="00357EA4"/>
    <w:rsid w:val="00361210"/>
    <w:rsid w:val="0036171E"/>
    <w:rsid w:val="00361908"/>
    <w:rsid w:val="00361A8F"/>
    <w:rsid w:val="00361C5D"/>
    <w:rsid w:val="003623B1"/>
    <w:rsid w:val="0036253A"/>
    <w:rsid w:val="003626C6"/>
    <w:rsid w:val="00362A86"/>
    <w:rsid w:val="00362AA7"/>
    <w:rsid w:val="00363116"/>
    <w:rsid w:val="00363812"/>
    <w:rsid w:val="003640B0"/>
    <w:rsid w:val="003647F6"/>
    <w:rsid w:val="00364856"/>
    <w:rsid w:val="00365510"/>
    <w:rsid w:val="00367465"/>
    <w:rsid w:val="00367D19"/>
    <w:rsid w:val="00367FD2"/>
    <w:rsid w:val="0037052A"/>
    <w:rsid w:val="003705DD"/>
    <w:rsid w:val="00370CBB"/>
    <w:rsid w:val="00370F17"/>
    <w:rsid w:val="00371858"/>
    <w:rsid w:val="003719A2"/>
    <w:rsid w:val="00371E62"/>
    <w:rsid w:val="003734DA"/>
    <w:rsid w:val="0037414D"/>
    <w:rsid w:val="0037436B"/>
    <w:rsid w:val="003746E2"/>
    <w:rsid w:val="00374B3D"/>
    <w:rsid w:val="00375296"/>
    <w:rsid w:val="003758DD"/>
    <w:rsid w:val="00375BBB"/>
    <w:rsid w:val="00376CF8"/>
    <w:rsid w:val="00377798"/>
    <w:rsid w:val="003777CE"/>
    <w:rsid w:val="00381468"/>
    <w:rsid w:val="003814C0"/>
    <w:rsid w:val="003819C4"/>
    <w:rsid w:val="00381BF9"/>
    <w:rsid w:val="00382163"/>
    <w:rsid w:val="0038260C"/>
    <w:rsid w:val="0038282C"/>
    <w:rsid w:val="003829B5"/>
    <w:rsid w:val="00382DA7"/>
    <w:rsid w:val="0038355A"/>
    <w:rsid w:val="00383D3E"/>
    <w:rsid w:val="00384AF8"/>
    <w:rsid w:val="00385ED0"/>
    <w:rsid w:val="00386EE0"/>
    <w:rsid w:val="00387566"/>
    <w:rsid w:val="00387E1D"/>
    <w:rsid w:val="00387E67"/>
    <w:rsid w:val="00390361"/>
    <w:rsid w:val="00390A6F"/>
    <w:rsid w:val="00390EAA"/>
    <w:rsid w:val="0039185A"/>
    <w:rsid w:val="00391A5D"/>
    <w:rsid w:val="00391C8B"/>
    <w:rsid w:val="00392D31"/>
    <w:rsid w:val="00393324"/>
    <w:rsid w:val="003934E4"/>
    <w:rsid w:val="0039428D"/>
    <w:rsid w:val="00394337"/>
    <w:rsid w:val="00394552"/>
    <w:rsid w:val="00394A89"/>
    <w:rsid w:val="00394F2A"/>
    <w:rsid w:val="00395B21"/>
    <w:rsid w:val="00395EA4"/>
    <w:rsid w:val="00395EF3"/>
    <w:rsid w:val="003966F6"/>
    <w:rsid w:val="00396947"/>
    <w:rsid w:val="00396B7D"/>
    <w:rsid w:val="00396F46"/>
    <w:rsid w:val="003970FF"/>
    <w:rsid w:val="003974F9"/>
    <w:rsid w:val="003979FB"/>
    <w:rsid w:val="00397CC6"/>
    <w:rsid w:val="003A02DF"/>
    <w:rsid w:val="003A0C3D"/>
    <w:rsid w:val="003A1ECE"/>
    <w:rsid w:val="003A24DB"/>
    <w:rsid w:val="003A2696"/>
    <w:rsid w:val="003A27EB"/>
    <w:rsid w:val="003A2A27"/>
    <w:rsid w:val="003A31D1"/>
    <w:rsid w:val="003A359C"/>
    <w:rsid w:val="003A3E48"/>
    <w:rsid w:val="003A3F10"/>
    <w:rsid w:val="003A3F88"/>
    <w:rsid w:val="003A4A5B"/>
    <w:rsid w:val="003A4C50"/>
    <w:rsid w:val="003A4E64"/>
    <w:rsid w:val="003A5A23"/>
    <w:rsid w:val="003A642B"/>
    <w:rsid w:val="003A65B6"/>
    <w:rsid w:val="003A6895"/>
    <w:rsid w:val="003A7199"/>
    <w:rsid w:val="003A7454"/>
    <w:rsid w:val="003A7758"/>
    <w:rsid w:val="003A7910"/>
    <w:rsid w:val="003A7B34"/>
    <w:rsid w:val="003A7C9F"/>
    <w:rsid w:val="003A7F78"/>
    <w:rsid w:val="003B000D"/>
    <w:rsid w:val="003B0034"/>
    <w:rsid w:val="003B077B"/>
    <w:rsid w:val="003B12AC"/>
    <w:rsid w:val="003B1AF7"/>
    <w:rsid w:val="003B1D23"/>
    <w:rsid w:val="003B20FB"/>
    <w:rsid w:val="003B22DF"/>
    <w:rsid w:val="003B2407"/>
    <w:rsid w:val="003B25BD"/>
    <w:rsid w:val="003B2AC3"/>
    <w:rsid w:val="003B406F"/>
    <w:rsid w:val="003B537E"/>
    <w:rsid w:val="003B5504"/>
    <w:rsid w:val="003B60CD"/>
    <w:rsid w:val="003B615B"/>
    <w:rsid w:val="003B6CA3"/>
    <w:rsid w:val="003B6D17"/>
    <w:rsid w:val="003B6DF5"/>
    <w:rsid w:val="003B7DCC"/>
    <w:rsid w:val="003C0D67"/>
    <w:rsid w:val="003C0D82"/>
    <w:rsid w:val="003C182B"/>
    <w:rsid w:val="003C1B7A"/>
    <w:rsid w:val="003C1C21"/>
    <w:rsid w:val="003C1D88"/>
    <w:rsid w:val="003C2804"/>
    <w:rsid w:val="003C3181"/>
    <w:rsid w:val="003C3472"/>
    <w:rsid w:val="003C3A87"/>
    <w:rsid w:val="003C3B89"/>
    <w:rsid w:val="003C3CB9"/>
    <w:rsid w:val="003C3DCE"/>
    <w:rsid w:val="003C40C7"/>
    <w:rsid w:val="003C4D10"/>
    <w:rsid w:val="003C4F48"/>
    <w:rsid w:val="003C5377"/>
    <w:rsid w:val="003C6368"/>
    <w:rsid w:val="003C6F02"/>
    <w:rsid w:val="003C7122"/>
    <w:rsid w:val="003C76D9"/>
    <w:rsid w:val="003D05C0"/>
    <w:rsid w:val="003D0A85"/>
    <w:rsid w:val="003D0CB1"/>
    <w:rsid w:val="003D0CE5"/>
    <w:rsid w:val="003D0D1D"/>
    <w:rsid w:val="003D1066"/>
    <w:rsid w:val="003D19BC"/>
    <w:rsid w:val="003D2DEB"/>
    <w:rsid w:val="003D34E3"/>
    <w:rsid w:val="003D37B2"/>
    <w:rsid w:val="003D3ECA"/>
    <w:rsid w:val="003D4C6A"/>
    <w:rsid w:val="003D56CF"/>
    <w:rsid w:val="003D6AB9"/>
    <w:rsid w:val="003D6FB2"/>
    <w:rsid w:val="003D72C1"/>
    <w:rsid w:val="003E099D"/>
    <w:rsid w:val="003E0AED"/>
    <w:rsid w:val="003E0B53"/>
    <w:rsid w:val="003E0C8F"/>
    <w:rsid w:val="003E0E90"/>
    <w:rsid w:val="003E152D"/>
    <w:rsid w:val="003E16D9"/>
    <w:rsid w:val="003E1804"/>
    <w:rsid w:val="003E1E42"/>
    <w:rsid w:val="003E1E6B"/>
    <w:rsid w:val="003E28E6"/>
    <w:rsid w:val="003E2F24"/>
    <w:rsid w:val="003E3296"/>
    <w:rsid w:val="003E384D"/>
    <w:rsid w:val="003E4034"/>
    <w:rsid w:val="003E4074"/>
    <w:rsid w:val="003E43BF"/>
    <w:rsid w:val="003E4ADD"/>
    <w:rsid w:val="003E4B3A"/>
    <w:rsid w:val="003E505F"/>
    <w:rsid w:val="003E54EE"/>
    <w:rsid w:val="003E5568"/>
    <w:rsid w:val="003E57D7"/>
    <w:rsid w:val="003E633A"/>
    <w:rsid w:val="003E7371"/>
    <w:rsid w:val="003E73EC"/>
    <w:rsid w:val="003E74B4"/>
    <w:rsid w:val="003E794E"/>
    <w:rsid w:val="003E796F"/>
    <w:rsid w:val="003E7C45"/>
    <w:rsid w:val="003E7FB2"/>
    <w:rsid w:val="003F000C"/>
    <w:rsid w:val="003F0619"/>
    <w:rsid w:val="003F0A8A"/>
    <w:rsid w:val="003F0AAE"/>
    <w:rsid w:val="003F0C0B"/>
    <w:rsid w:val="003F0D5A"/>
    <w:rsid w:val="003F17C4"/>
    <w:rsid w:val="003F1F84"/>
    <w:rsid w:val="003F1FCF"/>
    <w:rsid w:val="003F2495"/>
    <w:rsid w:val="003F2B0A"/>
    <w:rsid w:val="003F2B4F"/>
    <w:rsid w:val="003F2DED"/>
    <w:rsid w:val="003F3631"/>
    <w:rsid w:val="003F3D51"/>
    <w:rsid w:val="003F4229"/>
    <w:rsid w:val="003F5408"/>
    <w:rsid w:val="003F61DE"/>
    <w:rsid w:val="003F6435"/>
    <w:rsid w:val="003F6847"/>
    <w:rsid w:val="003F6C28"/>
    <w:rsid w:val="003F6DBA"/>
    <w:rsid w:val="003F7D49"/>
    <w:rsid w:val="003F7D83"/>
    <w:rsid w:val="003F7E25"/>
    <w:rsid w:val="003F7F94"/>
    <w:rsid w:val="004003C6"/>
    <w:rsid w:val="004006E8"/>
    <w:rsid w:val="00400714"/>
    <w:rsid w:val="00400BAC"/>
    <w:rsid w:val="004016FA"/>
    <w:rsid w:val="00401AF8"/>
    <w:rsid w:val="00401F27"/>
    <w:rsid w:val="00401F7B"/>
    <w:rsid w:val="00401FCF"/>
    <w:rsid w:val="00402242"/>
    <w:rsid w:val="0040288C"/>
    <w:rsid w:val="00402A61"/>
    <w:rsid w:val="004036D0"/>
    <w:rsid w:val="00403DB3"/>
    <w:rsid w:val="00403E96"/>
    <w:rsid w:val="0040484C"/>
    <w:rsid w:val="004054C4"/>
    <w:rsid w:val="0040551E"/>
    <w:rsid w:val="0040578F"/>
    <w:rsid w:val="004058CD"/>
    <w:rsid w:val="00405F1F"/>
    <w:rsid w:val="00406024"/>
    <w:rsid w:val="004067BB"/>
    <w:rsid w:val="004068F2"/>
    <w:rsid w:val="00406C2C"/>
    <w:rsid w:val="00406F24"/>
    <w:rsid w:val="004072C0"/>
    <w:rsid w:val="0040777A"/>
    <w:rsid w:val="00407A7C"/>
    <w:rsid w:val="00407BD7"/>
    <w:rsid w:val="004109CF"/>
    <w:rsid w:val="00411224"/>
    <w:rsid w:val="0041164E"/>
    <w:rsid w:val="00411D2C"/>
    <w:rsid w:val="00412254"/>
    <w:rsid w:val="0041291F"/>
    <w:rsid w:val="00412A22"/>
    <w:rsid w:val="00412B4A"/>
    <w:rsid w:val="00413BC7"/>
    <w:rsid w:val="00413CB4"/>
    <w:rsid w:val="00413D9E"/>
    <w:rsid w:val="00414029"/>
    <w:rsid w:val="0041426B"/>
    <w:rsid w:val="00414DC0"/>
    <w:rsid w:val="00414F9B"/>
    <w:rsid w:val="00414FE9"/>
    <w:rsid w:val="00415017"/>
    <w:rsid w:val="00416B3D"/>
    <w:rsid w:val="004170B2"/>
    <w:rsid w:val="004174ED"/>
    <w:rsid w:val="00417B50"/>
    <w:rsid w:val="004200A3"/>
    <w:rsid w:val="004200B2"/>
    <w:rsid w:val="00420F28"/>
    <w:rsid w:val="00421686"/>
    <w:rsid w:val="004218B5"/>
    <w:rsid w:val="00422035"/>
    <w:rsid w:val="00423215"/>
    <w:rsid w:val="004237AB"/>
    <w:rsid w:val="00423859"/>
    <w:rsid w:val="00423D2F"/>
    <w:rsid w:val="00423DDF"/>
    <w:rsid w:val="004240AA"/>
    <w:rsid w:val="00424287"/>
    <w:rsid w:val="004247CB"/>
    <w:rsid w:val="00424B1C"/>
    <w:rsid w:val="00424CE8"/>
    <w:rsid w:val="00424E1E"/>
    <w:rsid w:val="00425424"/>
    <w:rsid w:val="004255ED"/>
    <w:rsid w:val="00425A9B"/>
    <w:rsid w:val="00425F46"/>
    <w:rsid w:val="00426088"/>
    <w:rsid w:val="0042635D"/>
    <w:rsid w:val="00426C7A"/>
    <w:rsid w:val="00426CFC"/>
    <w:rsid w:val="00426D0C"/>
    <w:rsid w:val="00426FED"/>
    <w:rsid w:val="00427252"/>
    <w:rsid w:val="00430333"/>
    <w:rsid w:val="00430A24"/>
    <w:rsid w:val="00430DEE"/>
    <w:rsid w:val="00430E77"/>
    <w:rsid w:val="00430F4A"/>
    <w:rsid w:val="00431207"/>
    <w:rsid w:val="004315A1"/>
    <w:rsid w:val="004324B6"/>
    <w:rsid w:val="004328D8"/>
    <w:rsid w:val="00432DDC"/>
    <w:rsid w:val="00433188"/>
    <w:rsid w:val="004333C3"/>
    <w:rsid w:val="00433B62"/>
    <w:rsid w:val="00433F0C"/>
    <w:rsid w:val="004342A3"/>
    <w:rsid w:val="00434522"/>
    <w:rsid w:val="00434EAF"/>
    <w:rsid w:val="004353BC"/>
    <w:rsid w:val="00435411"/>
    <w:rsid w:val="00435A02"/>
    <w:rsid w:val="00435C69"/>
    <w:rsid w:val="00435E0F"/>
    <w:rsid w:val="00435E9E"/>
    <w:rsid w:val="00436328"/>
    <w:rsid w:val="00436673"/>
    <w:rsid w:val="00436ED1"/>
    <w:rsid w:val="00437072"/>
    <w:rsid w:val="004374AF"/>
    <w:rsid w:val="0043755C"/>
    <w:rsid w:val="004375CC"/>
    <w:rsid w:val="00440744"/>
    <w:rsid w:val="004410D7"/>
    <w:rsid w:val="00441168"/>
    <w:rsid w:val="00441415"/>
    <w:rsid w:val="004417A3"/>
    <w:rsid w:val="00441B4A"/>
    <w:rsid w:val="004429B8"/>
    <w:rsid w:val="004429EE"/>
    <w:rsid w:val="00442AC4"/>
    <w:rsid w:val="00442C06"/>
    <w:rsid w:val="0044369F"/>
    <w:rsid w:val="00443F94"/>
    <w:rsid w:val="004442EF"/>
    <w:rsid w:val="0044484C"/>
    <w:rsid w:val="00444B2E"/>
    <w:rsid w:val="004453AC"/>
    <w:rsid w:val="004455B0"/>
    <w:rsid w:val="00445CD6"/>
    <w:rsid w:val="00445CFF"/>
    <w:rsid w:val="00446196"/>
    <w:rsid w:val="00447181"/>
    <w:rsid w:val="004476F1"/>
    <w:rsid w:val="00447BB6"/>
    <w:rsid w:val="004508F8"/>
    <w:rsid w:val="00450B15"/>
    <w:rsid w:val="00450B58"/>
    <w:rsid w:val="00450C03"/>
    <w:rsid w:val="00451DDD"/>
    <w:rsid w:val="0045260F"/>
    <w:rsid w:val="00452D9E"/>
    <w:rsid w:val="00453127"/>
    <w:rsid w:val="00453FC1"/>
    <w:rsid w:val="0045493B"/>
    <w:rsid w:val="0045493F"/>
    <w:rsid w:val="0045550E"/>
    <w:rsid w:val="00456468"/>
    <w:rsid w:val="00456CAE"/>
    <w:rsid w:val="00457727"/>
    <w:rsid w:val="00457A80"/>
    <w:rsid w:val="00457E76"/>
    <w:rsid w:val="00457F3E"/>
    <w:rsid w:val="00460335"/>
    <w:rsid w:val="00460A85"/>
    <w:rsid w:val="00460DAE"/>
    <w:rsid w:val="00461646"/>
    <w:rsid w:val="00461909"/>
    <w:rsid w:val="00462103"/>
    <w:rsid w:val="00462209"/>
    <w:rsid w:val="004622D3"/>
    <w:rsid w:val="004627B6"/>
    <w:rsid w:val="00462DE3"/>
    <w:rsid w:val="0046413F"/>
    <w:rsid w:val="004645A1"/>
    <w:rsid w:val="004645AC"/>
    <w:rsid w:val="004649EA"/>
    <w:rsid w:val="00464AE0"/>
    <w:rsid w:val="00464C26"/>
    <w:rsid w:val="00464F17"/>
    <w:rsid w:val="00465AB0"/>
    <w:rsid w:val="00466315"/>
    <w:rsid w:val="00466551"/>
    <w:rsid w:val="0046674E"/>
    <w:rsid w:val="00466B9B"/>
    <w:rsid w:val="00466C56"/>
    <w:rsid w:val="00467417"/>
    <w:rsid w:val="00467B90"/>
    <w:rsid w:val="00467E1A"/>
    <w:rsid w:val="0047052C"/>
    <w:rsid w:val="0047059C"/>
    <w:rsid w:val="004715B8"/>
    <w:rsid w:val="0047184E"/>
    <w:rsid w:val="00471DEB"/>
    <w:rsid w:val="00472138"/>
    <w:rsid w:val="00472A65"/>
    <w:rsid w:val="004730A1"/>
    <w:rsid w:val="00473188"/>
    <w:rsid w:val="004731DA"/>
    <w:rsid w:val="00473F40"/>
    <w:rsid w:val="004745A1"/>
    <w:rsid w:val="00474816"/>
    <w:rsid w:val="00474F81"/>
    <w:rsid w:val="004750E4"/>
    <w:rsid w:val="004752A0"/>
    <w:rsid w:val="00475B0D"/>
    <w:rsid w:val="00475BD9"/>
    <w:rsid w:val="00475C95"/>
    <w:rsid w:val="00475F47"/>
    <w:rsid w:val="00476698"/>
    <w:rsid w:val="00476958"/>
    <w:rsid w:val="00476ED0"/>
    <w:rsid w:val="004773F5"/>
    <w:rsid w:val="00477E64"/>
    <w:rsid w:val="00480EF2"/>
    <w:rsid w:val="00481094"/>
    <w:rsid w:val="004816B3"/>
    <w:rsid w:val="004818C9"/>
    <w:rsid w:val="00481918"/>
    <w:rsid w:val="00481DCA"/>
    <w:rsid w:val="00481F82"/>
    <w:rsid w:val="00482895"/>
    <w:rsid w:val="0048351C"/>
    <w:rsid w:val="004835E2"/>
    <w:rsid w:val="004838CF"/>
    <w:rsid w:val="00484E31"/>
    <w:rsid w:val="004853C7"/>
    <w:rsid w:val="004853E4"/>
    <w:rsid w:val="0048557F"/>
    <w:rsid w:val="004855AE"/>
    <w:rsid w:val="00485F62"/>
    <w:rsid w:val="004866C5"/>
    <w:rsid w:val="00486B30"/>
    <w:rsid w:val="00486F24"/>
    <w:rsid w:val="00487000"/>
    <w:rsid w:val="00487037"/>
    <w:rsid w:val="004873C3"/>
    <w:rsid w:val="00487C1A"/>
    <w:rsid w:val="00487FCA"/>
    <w:rsid w:val="004904EF"/>
    <w:rsid w:val="004907EA"/>
    <w:rsid w:val="00490A72"/>
    <w:rsid w:val="00490C1A"/>
    <w:rsid w:val="00490D24"/>
    <w:rsid w:val="00490DE4"/>
    <w:rsid w:val="00490F10"/>
    <w:rsid w:val="00491152"/>
    <w:rsid w:val="00491413"/>
    <w:rsid w:val="00491452"/>
    <w:rsid w:val="0049217A"/>
    <w:rsid w:val="004927E9"/>
    <w:rsid w:val="00492D20"/>
    <w:rsid w:val="004935DC"/>
    <w:rsid w:val="00493C33"/>
    <w:rsid w:val="00494AF2"/>
    <w:rsid w:val="00494C45"/>
    <w:rsid w:val="00495F29"/>
    <w:rsid w:val="00496981"/>
    <w:rsid w:val="004972B4"/>
    <w:rsid w:val="00497325"/>
    <w:rsid w:val="004977A9"/>
    <w:rsid w:val="0049793C"/>
    <w:rsid w:val="004A0368"/>
    <w:rsid w:val="004A0588"/>
    <w:rsid w:val="004A05C3"/>
    <w:rsid w:val="004A08AB"/>
    <w:rsid w:val="004A0BA8"/>
    <w:rsid w:val="004A0CF9"/>
    <w:rsid w:val="004A0E2C"/>
    <w:rsid w:val="004A0F14"/>
    <w:rsid w:val="004A16E1"/>
    <w:rsid w:val="004A1BAF"/>
    <w:rsid w:val="004A1E68"/>
    <w:rsid w:val="004A2218"/>
    <w:rsid w:val="004A2445"/>
    <w:rsid w:val="004A2482"/>
    <w:rsid w:val="004A25E3"/>
    <w:rsid w:val="004A33DB"/>
    <w:rsid w:val="004A3A75"/>
    <w:rsid w:val="004A3B99"/>
    <w:rsid w:val="004A4A97"/>
    <w:rsid w:val="004A4DD9"/>
    <w:rsid w:val="004A4DE9"/>
    <w:rsid w:val="004A524A"/>
    <w:rsid w:val="004A583A"/>
    <w:rsid w:val="004A58F6"/>
    <w:rsid w:val="004A5B3F"/>
    <w:rsid w:val="004A5FD3"/>
    <w:rsid w:val="004A6511"/>
    <w:rsid w:val="004A6675"/>
    <w:rsid w:val="004A77B2"/>
    <w:rsid w:val="004A7A4D"/>
    <w:rsid w:val="004B090F"/>
    <w:rsid w:val="004B0B87"/>
    <w:rsid w:val="004B0C1E"/>
    <w:rsid w:val="004B1268"/>
    <w:rsid w:val="004B12EF"/>
    <w:rsid w:val="004B1AAC"/>
    <w:rsid w:val="004B2B95"/>
    <w:rsid w:val="004B33FF"/>
    <w:rsid w:val="004B36B8"/>
    <w:rsid w:val="004B3935"/>
    <w:rsid w:val="004B3973"/>
    <w:rsid w:val="004B45BF"/>
    <w:rsid w:val="004B4C40"/>
    <w:rsid w:val="004B5207"/>
    <w:rsid w:val="004B5332"/>
    <w:rsid w:val="004B55AD"/>
    <w:rsid w:val="004B5604"/>
    <w:rsid w:val="004B61CF"/>
    <w:rsid w:val="004B6DDE"/>
    <w:rsid w:val="004B72C5"/>
    <w:rsid w:val="004B72E1"/>
    <w:rsid w:val="004C0398"/>
    <w:rsid w:val="004C0E52"/>
    <w:rsid w:val="004C1629"/>
    <w:rsid w:val="004C18F2"/>
    <w:rsid w:val="004C1B72"/>
    <w:rsid w:val="004C1BD6"/>
    <w:rsid w:val="004C1C8F"/>
    <w:rsid w:val="004C22E3"/>
    <w:rsid w:val="004C24F4"/>
    <w:rsid w:val="004C2994"/>
    <w:rsid w:val="004C2F00"/>
    <w:rsid w:val="004C341D"/>
    <w:rsid w:val="004C3474"/>
    <w:rsid w:val="004C3635"/>
    <w:rsid w:val="004C3AFD"/>
    <w:rsid w:val="004C3BE2"/>
    <w:rsid w:val="004C3EC4"/>
    <w:rsid w:val="004C40CD"/>
    <w:rsid w:val="004C42EE"/>
    <w:rsid w:val="004C4A1B"/>
    <w:rsid w:val="004C4ABF"/>
    <w:rsid w:val="004C4C01"/>
    <w:rsid w:val="004C4CBD"/>
    <w:rsid w:val="004C503A"/>
    <w:rsid w:val="004C5053"/>
    <w:rsid w:val="004C5761"/>
    <w:rsid w:val="004C62D2"/>
    <w:rsid w:val="004C65F1"/>
    <w:rsid w:val="004C6F4C"/>
    <w:rsid w:val="004D08BD"/>
    <w:rsid w:val="004D0ED6"/>
    <w:rsid w:val="004D0EEE"/>
    <w:rsid w:val="004D0F1F"/>
    <w:rsid w:val="004D1833"/>
    <w:rsid w:val="004D1A23"/>
    <w:rsid w:val="004D1CA0"/>
    <w:rsid w:val="004D1E7E"/>
    <w:rsid w:val="004D2381"/>
    <w:rsid w:val="004D2939"/>
    <w:rsid w:val="004D2D4E"/>
    <w:rsid w:val="004D348C"/>
    <w:rsid w:val="004D4464"/>
    <w:rsid w:val="004D45DC"/>
    <w:rsid w:val="004D479C"/>
    <w:rsid w:val="004D4C4E"/>
    <w:rsid w:val="004D543B"/>
    <w:rsid w:val="004D6F15"/>
    <w:rsid w:val="004D7222"/>
    <w:rsid w:val="004D7562"/>
    <w:rsid w:val="004D7658"/>
    <w:rsid w:val="004D7B47"/>
    <w:rsid w:val="004D7BFF"/>
    <w:rsid w:val="004D7D5B"/>
    <w:rsid w:val="004E00D4"/>
    <w:rsid w:val="004E0762"/>
    <w:rsid w:val="004E0C9A"/>
    <w:rsid w:val="004E1357"/>
    <w:rsid w:val="004E19D9"/>
    <w:rsid w:val="004E1F28"/>
    <w:rsid w:val="004E2088"/>
    <w:rsid w:val="004E25B9"/>
    <w:rsid w:val="004E2783"/>
    <w:rsid w:val="004E32BC"/>
    <w:rsid w:val="004E386E"/>
    <w:rsid w:val="004E49AC"/>
    <w:rsid w:val="004E49CE"/>
    <w:rsid w:val="004E4C76"/>
    <w:rsid w:val="004E4D72"/>
    <w:rsid w:val="004E4EA4"/>
    <w:rsid w:val="004E5152"/>
    <w:rsid w:val="004E5322"/>
    <w:rsid w:val="004E534B"/>
    <w:rsid w:val="004E5D8B"/>
    <w:rsid w:val="004E646F"/>
    <w:rsid w:val="004F050D"/>
    <w:rsid w:val="004F0631"/>
    <w:rsid w:val="004F0681"/>
    <w:rsid w:val="004F0A97"/>
    <w:rsid w:val="004F0B4A"/>
    <w:rsid w:val="004F0EA3"/>
    <w:rsid w:val="004F1894"/>
    <w:rsid w:val="004F20F1"/>
    <w:rsid w:val="004F2499"/>
    <w:rsid w:val="004F2714"/>
    <w:rsid w:val="004F3057"/>
    <w:rsid w:val="004F3784"/>
    <w:rsid w:val="004F453D"/>
    <w:rsid w:val="004F4591"/>
    <w:rsid w:val="004F4879"/>
    <w:rsid w:val="004F4B69"/>
    <w:rsid w:val="004F58F5"/>
    <w:rsid w:val="004F5D52"/>
    <w:rsid w:val="004F66AD"/>
    <w:rsid w:val="004F6768"/>
    <w:rsid w:val="004F6B51"/>
    <w:rsid w:val="004F7061"/>
    <w:rsid w:val="004F753A"/>
    <w:rsid w:val="004F79D1"/>
    <w:rsid w:val="004F7AE4"/>
    <w:rsid w:val="005001DF"/>
    <w:rsid w:val="00500617"/>
    <w:rsid w:val="00500C2B"/>
    <w:rsid w:val="00500CAE"/>
    <w:rsid w:val="00500DD4"/>
    <w:rsid w:val="00501066"/>
    <w:rsid w:val="00501F04"/>
    <w:rsid w:val="00502E5B"/>
    <w:rsid w:val="0050483B"/>
    <w:rsid w:val="00505359"/>
    <w:rsid w:val="0050591B"/>
    <w:rsid w:val="00505C4A"/>
    <w:rsid w:val="00505DB0"/>
    <w:rsid w:val="005060B7"/>
    <w:rsid w:val="005062CA"/>
    <w:rsid w:val="00506BDF"/>
    <w:rsid w:val="00506DF0"/>
    <w:rsid w:val="00506EEA"/>
    <w:rsid w:val="00506F74"/>
    <w:rsid w:val="005074AB"/>
    <w:rsid w:val="00507562"/>
    <w:rsid w:val="00507A2A"/>
    <w:rsid w:val="00507D6E"/>
    <w:rsid w:val="00510252"/>
    <w:rsid w:val="00510382"/>
    <w:rsid w:val="005120C1"/>
    <w:rsid w:val="00512138"/>
    <w:rsid w:val="00512340"/>
    <w:rsid w:val="00512620"/>
    <w:rsid w:val="00512FF2"/>
    <w:rsid w:val="005130E2"/>
    <w:rsid w:val="0051347C"/>
    <w:rsid w:val="00513510"/>
    <w:rsid w:val="005137A9"/>
    <w:rsid w:val="0051425D"/>
    <w:rsid w:val="0051445A"/>
    <w:rsid w:val="00514C21"/>
    <w:rsid w:val="00514DE3"/>
    <w:rsid w:val="00514EBC"/>
    <w:rsid w:val="00514ED3"/>
    <w:rsid w:val="0051509B"/>
    <w:rsid w:val="00515222"/>
    <w:rsid w:val="00515350"/>
    <w:rsid w:val="0051561A"/>
    <w:rsid w:val="00515963"/>
    <w:rsid w:val="005165FB"/>
    <w:rsid w:val="00516FD2"/>
    <w:rsid w:val="00517176"/>
    <w:rsid w:val="00517179"/>
    <w:rsid w:val="00517192"/>
    <w:rsid w:val="005172B7"/>
    <w:rsid w:val="00517856"/>
    <w:rsid w:val="005207BB"/>
    <w:rsid w:val="00520FFA"/>
    <w:rsid w:val="00521333"/>
    <w:rsid w:val="005216BE"/>
    <w:rsid w:val="00521909"/>
    <w:rsid w:val="00521DC2"/>
    <w:rsid w:val="005227F0"/>
    <w:rsid w:val="005229DF"/>
    <w:rsid w:val="00522BD9"/>
    <w:rsid w:val="00522C3E"/>
    <w:rsid w:val="005240C9"/>
    <w:rsid w:val="0052513A"/>
    <w:rsid w:val="005253BD"/>
    <w:rsid w:val="005253D0"/>
    <w:rsid w:val="00525D20"/>
    <w:rsid w:val="00526746"/>
    <w:rsid w:val="0052696C"/>
    <w:rsid w:val="00526E9A"/>
    <w:rsid w:val="005272DC"/>
    <w:rsid w:val="00527873"/>
    <w:rsid w:val="005278BC"/>
    <w:rsid w:val="005305BA"/>
    <w:rsid w:val="00530AAD"/>
    <w:rsid w:val="00530D89"/>
    <w:rsid w:val="00531406"/>
    <w:rsid w:val="0053196D"/>
    <w:rsid w:val="0053258D"/>
    <w:rsid w:val="005325AC"/>
    <w:rsid w:val="0053267D"/>
    <w:rsid w:val="00532A1F"/>
    <w:rsid w:val="005333AD"/>
    <w:rsid w:val="005336B1"/>
    <w:rsid w:val="00533BB3"/>
    <w:rsid w:val="005345FC"/>
    <w:rsid w:val="005349ED"/>
    <w:rsid w:val="0053580C"/>
    <w:rsid w:val="00535DE6"/>
    <w:rsid w:val="00536154"/>
    <w:rsid w:val="00536566"/>
    <w:rsid w:val="005369E3"/>
    <w:rsid w:val="00536C83"/>
    <w:rsid w:val="00537663"/>
    <w:rsid w:val="00537A94"/>
    <w:rsid w:val="00537E44"/>
    <w:rsid w:val="00540162"/>
    <w:rsid w:val="0054299D"/>
    <w:rsid w:val="00542BF6"/>
    <w:rsid w:val="005434D8"/>
    <w:rsid w:val="00543F9A"/>
    <w:rsid w:val="00544049"/>
    <w:rsid w:val="005446A3"/>
    <w:rsid w:val="00544904"/>
    <w:rsid w:val="00545D58"/>
    <w:rsid w:val="00545EC9"/>
    <w:rsid w:val="00545ED3"/>
    <w:rsid w:val="00546291"/>
    <w:rsid w:val="005467C7"/>
    <w:rsid w:val="00546A2E"/>
    <w:rsid w:val="00546F43"/>
    <w:rsid w:val="0054702E"/>
    <w:rsid w:val="00547372"/>
    <w:rsid w:val="00547600"/>
    <w:rsid w:val="00551539"/>
    <w:rsid w:val="0055158A"/>
    <w:rsid w:val="005518D8"/>
    <w:rsid w:val="00551907"/>
    <w:rsid w:val="00551B0C"/>
    <w:rsid w:val="00551B4F"/>
    <w:rsid w:val="00551E92"/>
    <w:rsid w:val="00551F93"/>
    <w:rsid w:val="0055255A"/>
    <w:rsid w:val="00552A73"/>
    <w:rsid w:val="00553A11"/>
    <w:rsid w:val="00553E07"/>
    <w:rsid w:val="00554585"/>
    <w:rsid w:val="00554BAA"/>
    <w:rsid w:val="00554D1E"/>
    <w:rsid w:val="00554EDE"/>
    <w:rsid w:val="005550EC"/>
    <w:rsid w:val="00555E9E"/>
    <w:rsid w:val="0055685A"/>
    <w:rsid w:val="00556B76"/>
    <w:rsid w:val="00556F24"/>
    <w:rsid w:val="005571F1"/>
    <w:rsid w:val="005572DD"/>
    <w:rsid w:val="005576B5"/>
    <w:rsid w:val="00557D9A"/>
    <w:rsid w:val="0056030C"/>
    <w:rsid w:val="00560462"/>
    <w:rsid w:val="0056077F"/>
    <w:rsid w:val="00560ED9"/>
    <w:rsid w:val="00561226"/>
    <w:rsid w:val="00561285"/>
    <w:rsid w:val="00561388"/>
    <w:rsid w:val="00561849"/>
    <w:rsid w:val="00563210"/>
    <w:rsid w:val="00563AF1"/>
    <w:rsid w:val="00563E54"/>
    <w:rsid w:val="00564D04"/>
    <w:rsid w:val="005655C5"/>
    <w:rsid w:val="00565B7D"/>
    <w:rsid w:val="00566BAF"/>
    <w:rsid w:val="0056728F"/>
    <w:rsid w:val="00567341"/>
    <w:rsid w:val="005676FD"/>
    <w:rsid w:val="0056771E"/>
    <w:rsid w:val="00567E17"/>
    <w:rsid w:val="005701AD"/>
    <w:rsid w:val="0057046C"/>
    <w:rsid w:val="0057056C"/>
    <w:rsid w:val="00570DC5"/>
    <w:rsid w:val="00571219"/>
    <w:rsid w:val="00571221"/>
    <w:rsid w:val="005712DC"/>
    <w:rsid w:val="00571C95"/>
    <w:rsid w:val="00572288"/>
    <w:rsid w:val="0057309A"/>
    <w:rsid w:val="005740BF"/>
    <w:rsid w:val="00574A87"/>
    <w:rsid w:val="00574D75"/>
    <w:rsid w:val="00574E18"/>
    <w:rsid w:val="00574E1C"/>
    <w:rsid w:val="005759CC"/>
    <w:rsid w:val="005761BB"/>
    <w:rsid w:val="005769E8"/>
    <w:rsid w:val="00577554"/>
    <w:rsid w:val="005775C0"/>
    <w:rsid w:val="00577787"/>
    <w:rsid w:val="00580218"/>
    <w:rsid w:val="00580824"/>
    <w:rsid w:val="00580F24"/>
    <w:rsid w:val="0058135C"/>
    <w:rsid w:val="00581560"/>
    <w:rsid w:val="0058196C"/>
    <w:rsid w:val="005820E4"/>
    <w:rsid w:val="0058230C"/>
    <w:rsid w:val="005825D5"/>
    <w:rsid w:val="005825EF"/>
    <w:rsid w:val="00582883"/>
    <w:rsid w:val="00582C65"/>
    <w:rsid w:val="005833F5"/>
    <w:rsid w:val="00583592"/>
    <w:rsid w:val="005840A3"/>
    <w:rsid w:val="00584CC7"/>
    <w:rsid w:val="00584CD5"/>
    <w:rsid w:val="00585247"/>
    <w:rsid w:val="00585A69"/>
    <w:rsid w:val="005860D8"/>
    <w:rsid w:val="00586FC2"/>
    <w:rsid w:val="0058721B"/>
    <w:rsid w:val="00587482"/>
    <w:rsid w:val="005877DB"/>
    <w:rsid w:val="00587C55"/>
    <w:rsid w:val="00590557"/>
    <w:rsid w:val="005916DE"/>
    <w:rsid w:val="005918B5"/>
    <w:rsid w:val="00591F39"/>
    <w:rsid w:val="00592631"/>
    <w:rsid w:val="0059279E"/>
    <w:rsid w:val="00592814"/>
    <w:rsid w:val="005930F9"/>
    <w:rsid w:val="00593126"/>
    <w:rsid w:val="005932BE"/>
    <w:rsid w:val="00593530"/>
    <w:rsid w:val="00593BD7"/>
    <w:rsid w:val="0059401B"/>
    <w:rsid w:val="00594AF5"/>
    <w:rsid w:val="00596154"/>
    <w:rsid w:val="005969BE"/>
    <w:rsid w:val="00596BB8"/>
    <w:rsid w:val="00596D93"/>
    <w:rsid w:val="005970B2"/>
    <w:rsid w:val="00597A72"/>
    <w:rsid w:val="00597A9E"/>
    <w:rsid w:val="00597C6B"/>
    <w:rsid w:val="005A009D"/>
    <w:rsid w:val="005A0376"/>
    <w:rsid w:val="005A07A7"/>
    <w:rsid w:val="005A153D"/>
    <w:rsid w:val="005A1CDF"/>
    <w:rsid w:val="005A1E19"/>
    <w:rsid w:val="005A21FC"/>
    <w:rsid w:val="005A226E"/>
    <w:rsid w:val="005A2400"/>
    <w:rsid w:val="005A2588"/>
    <w:rsid w:val="005A2E2A"/>
    <w:rsid w:val="005A2FAF"/>
    <w:rsid w:val="005A36E6"/>
    <w:rsid w:val="005A3999"/>
    <w:rsid w:val="005A44F2"/>
    <w:rsid w:val="005A4F68"/>
    <w:rsid w:val="005A503E"/>
    <w:rsid w:val="005A6188"/>
    <w:rsid w:val="005A6421"/>
    <w:rsid w:val="005A6691"/>
    <w:rsid w:val="005A6835"/>
    <w:rsid w:val="005A6B8A"/>
    <w:rsid w:val="005A6E7C"/>
    <w:rsid w:val="005A6EE7"/>
    <w:rsid w:val="005A6F27"/>
    <w:rsid w:val="005A70D9"/>
    <w:rsid w:val="005A7961"/>
    <w:rsid w:val="005A7EB9"/>
    <w:rsid w:val="005B0133"/>
    <w:rsid w:val="005B1292"/>
    <w:rsid w:val="005B1335"/>
    <w:rsid w:val="005B1DB2"/>
    <w:rsid w:val="005B1E9A"/>
    <w:rsid w:val="005B22C3"/>
    <w:rsid w:val="005B2B00"/>
    <w:rsid w:val="005B2C77"/>
    <w:rsid w:val="005B371D"/>
    <w:rsid w:val="005B39A3"/>
    <w:rsid w:val="005B3D87"/>
    <w:rsid w:val="005B4171"/>
    <w:rsid w:val="005B44E2"/>
    <w:rsid w:val="005B49C1"/>
    <w:rsid w:val="005B584C"/>
    <w:rsid w:val="005B63EA"/>
    <w:rsid w:val="005B68F0"/>
    <w:rsid w:val="005B6A5D"/>
    <w:rsid w:val="005B6D62"/>
    <w:rsid w:val="005B7514"/>
    <w:rsid w:val="005C008B"/>
    <w:rsid w:val="005C06D9"/>
    <w:rsid w:val="005C0C7A"/>
    <w:rsid w:val="005C1CFA"/>
    <w:rsid w:val="005C1F1A"/>
    <w:rsid w:val="005C2594"/>
    <w:rsid w:val="005C2A62"/>
    <w:rsid w:val="005C30E8"/>
    <w:rsid w:val="005C3610"/>
    <w:rsid w:val="005C3CA9"/>
    <w:rsid w:val="005C45B4"/>
    <w:rsid w:val="005C45D9"/>
    <w:rsid w:val="005C48DA"/>
    <w:rsid w:val="005C4CDA"/>
    <w:rsid w:val="005C4FE9"/>
    <w:rsid w:val="005C525C"/>
    <w:rsid w:val="005C52AC"/>
    <w:rsid w:val="005C53B2"/>
    <w:rsid w:val="005C5521"/>
    <w:rsid w:val="005C56F7"/>
    <w:rsid w:val="005C5A31"/>
    <w:rsid w:val="005C5DC0"/>
    <w:rsid w:val="005C60D2"/>
    <w:rsid w:val="005C63B0"/>
    <w:rsid w:val="005C63E2"/>
    <w:rsid w:val="005C69B4"/>
    <w:rsid w:val="005C6A96"/>
    <w:rsid w:val="005C72BD"/>
    <w:rsid w:val="005C7398"/>
    <w:rsid w:val="005D0094"/>
    <w:rsid w:val="005D02B2"/>
    <w:rsid w:val="005D0928"/>
    <w:rsid w:val="005D0BA2"/>
    <w:rsid w:val="005D0DC5"/>
    <w:rsid w:val="005D0E26"/>
    <w:rsid w:val="005D1082"/>
    <w:rsid w:val="005D12F2"/>
    <w:rsid w:val="005D15C7"/>
    <w:rsid w:val="005D1982"/>
    <w:rsid w:val="005D1A0B"/>
    <w:rsid w:val="005D2651"/>
    <w:rsid w:val="005D2887"/>
    <w:rsid w:val="005D3826"/>
    <w:rsid w:val="005D3EAD"/>
    <w:rsid w:val="005D4179"/>
    <w:rsid w:val="005D47BB"/>
    <w:rsid w:val="005D4863"/>
    <w:rsid w:val="005D48F6"/>
    <w:rsid w:val="005D50D6"/>
    <w:rsid w:val="005D5263"/>
    <w:rsid w:val="005D54BD"/>
    <w:rsid w:val="005D5736"/>
    <w:rsid w:val="005D5CF8"/>
    <w:rsid w:val="005D5EED"/>
    <w:rsid w:val="005D6FAD"/>
    <w:rsid w:val="005D7D8C"/>
    <w:rsid w:val="005E0E57"/>
    <w:rsid w:val="005E1136"/>
    <w:rsid w:val="005E11E9"/>
    <w:rsid w:val="005E147D"/>
    <w:rsid w:val="005E1DF9"/>
    <w:rsid w:val="005E1EB9"/>
    <w:rsid w:val="005E2FB3"/>
    <w:rsid w:val="005E30CE"/>
    <w:rsid w:val="005E36AA"/>
    <w:rsid w:val="005E3CE6"/>
    <w:rsid w:val="005E3D30"/>
    <w:rsid w:val="005E3EB2"/>
    <w:rsid w:val="005E3F85"/>
    <w:rsid w:val="005E404B"/>
    <w:rsid w:val="005E4C0C"/>
    <w:rsid w:val="005E5934"/>
    <w:rsid w:val="005E5AAE"/>
    <w:rsid w:val="005E63DF"/>
    <w:rsid w:val="005E68A1"/>
    <w:rsid w:val="005E6A10"/>
    <w:rsid w:val="005E6A5B"/>
    <w:rsid w:val="005E6E80"/>
    <w:rsid w:val="005E6F85"/>
    <w:rsid w:val="005E6FAC"/>
    <w:rsid w:val="005E6FFF"/>
    <w:rsid w:val="005E72CF"/>
    <w:rsid w:val="005E7C05"/>
    <w:rsid w:val="005E7FA9"/>
    <w:rsid w:val="005F0657"/>
    <w:rsid w:val="005F0676"/>
    <w:rsid w:val="005F09A6"/>
    <w:rsid w:val="005F0CA3"/>
    <w:rsid w:val="005F0F23"/>
    <w:rsid w:val="005F12FA"/>
    <w:rsid w:val="005F1578"/>
    <w:rsid w:val="005F1785"/>
    <w:rsid w:val="005F290B"/>
    <w:rsid w:val="005F2E6A"/>
    <w:rsid w:val="005F3077"/>
    <w:rsid w:val="005F393C"/>
    <w:rsid w:val="005F3B53"/>
    <w:rsid w:val="005F3C07"/>
    <w:rsid w:val="005F481D"/>
    <w:rsid w:val="005F498D"/>
    <w:rsid w:val="005F553A"/>
    <w:rsid w:val="005F55D4"/>
    <w:rsid w:val="005F70B9"/>
    <w:rsid w:val="005F74FD"/>
    <w:rsid w:val="005F75F3"/>
    <w:rsid w:val="005F7627"/>
    <w:rsid w:val="005F7A1D"/>
    <w:rsid w:val="005F7B87"/>
    <w:rsid w:val="00600B2F"/>
    <w:rsid w:val="00601494"/>
    <w:rsid w:val="00601888"/>
    <w:rsid w:val="00601B08"/>
    <w:rsid w:val="006028AC"/>
    <w:rsid w:val="00602907"/>
    <w:rsid w:val="00602A8E"/>
    <w:rsid w:val="00604081"/>
    <w:rsid w:val="00604261"/>
    <w:rsid w:val="006048F8"/>
    <w:rsid w:val="00604B6C"/>
    <w:rsid w:val="00604BA2"/>
    <w:rsid w:val="00604CB7"/>
    <w:rsid w:val="00604EB4"/>
    <w:rsid w:val="006052F4"/>
    <w:rsid w:val="00605790"/>
    <w:rsid w:val="00606479"/>
    <w:rsid w:val="00606524"/>
    <w:rsid w:val="00606CB9"/>
    <w:rsid w:val="00606CEB"/>
    <w:rsid w:val="00607E1F"/>
    <w:rsid w:val="006100CD"/>
    <w:rsid w:val="0061017B"/>
    <w:rsid w:val="0061098E"/>
    <w:rsid w:val="00610A4E"/>
    <w:rsid w:val="00610EB8"/>
    <w:rsid w:val="0061117E"/>
    <w:rsid w:val="0061135F"/>
    <w:rsid w:val="00611522"/>
    <w:rsid w:val="006115D8"/>
    <w:rsid w:val="00611651"/>
    <w:rsid w:val="006116BE"/>
    <w:rsid w:val="00611F00"/>
    <w:rsid w:val="006131D5"/>
    <w:rsid w:val="0061381F"/>
    <w:rsid w:val="00614210"/>
    <w:rsid w:val="0061441A"/>
    <w:rsid w:val="00614DA4"/>
    <w:rsid w:val="00614ECF"/>
    <w:rsid w:val="00614F8E"/>
    <w:rsid w:val="0061587E"/>
    <w:rsid w:val="00615B07"/>
    <w:rsid w:val="00617289"/>
    <w:rsid w:val="006173B1"/>
    <w:rsid w:val="00617558"/>
    <w:rsid w:val="006179D8"/>
    <w:rsid w:val="00620B64"/>
    <w:rsid w:val="00620FE0"/>
    <w:rsid w:val="00621126"/>
    <w:rsid w:val="0062131C"/>
    <w:rsid w:val="0062155C"/>
    <w:rsid w:val="00621628"/>
    <w:rsid w:val="00621BF2"/>
    <w:rsid w:val="00621D39"/>
    <w:rsid w:val="00621F52"/>
    <w:rsid w:val="00622329"/>
    <w:rsid w:val="00622601"/>
    <w:rsid w:val="0062280C"/>
    <w:rsid w:val="006238E4"/>
    <w:rsid w:val="00623A5B"/>
    <w:rsid w:val="00623A92"/>
    <w:rsid w:val="00624305"/>
    <w:rsid w:val="00624450"/>
    <w:rsid w:val="00624456"/>
    <w:rsid w:val="00624688"/>
    <w:rsid w:val="00624E6C"/>
    <w:rsid w:val="006254A8"/>
    <w:rsid w:val="00625670"/>
    <w:rsid w:val="0062593D"/>
    <w:rsid w:val="00626451"/>
    <w:rsid w:val="00626926"/>
    <w:rsid w:val="00626A0F"/>
    <w:rsid w:val="00626C77"/>
    <w:rsid w:val="00626FE1"/>
    <w:rsid w:val="00627070"/>
    <w:rsid w:val="006272DD"/>
    <w:rsid w:val="0062740D"/>
    <w:rsid w:val="00627683"/>
    <w:rsid w:val="00627D30"/>
    <w:rsid w:val="00627E6C"/>
    <w:rsid w:val="00630522"/>
    <w:rsid w:val="00630594"/>
    <w:rsid w:val="00630753"/>
    <w:rsid w:val="00630A60"/>
    <w:rsid w:val="00630A70"/>
    <w:rsid w:val="0063128B"/>
    <w:rsid w:val="006316DD"/>
    <w:rsid w:val="0063179E"/>
    <w:rsid w:val="00631850"/>
    <w:rsid w:val="006318FA"/>
    <w:rsid w:val="00631A11"/>
    <w:rsid w:val="00631AF0"/>
    <w:rsid w:val="00631B5E"/>
    <w:rsid w:val="00631BD7"/>
    <w:rsid w:val="0063228B"/>
    <w:rsid w:val="006334D8"/>
    <w:rsid w:val="006334E3"/>
    <w:rsid w:val="00633548"/>
    <w:rsid w:val="006335DD"/>
    <w:rsid w:val="00633B05"/>
    <w:rsid w:val="00634034"/>
    <w:rsid w:val="00634207"/>
    <w:rsid w:val="00634275"/>
    <w:rsid w:val="006347EB"/>
    <w:rsid w:val="00634843"/>
    <w:rsid w:val="00634B4A"/>
    <w:rsid w:val="00634C0A"/>
    <w:rsid w:val="00636170"/>
    <w:rsid w:val="00636232"/>
    <w:rsid w:val="00636442"/>
    <w:rsid w:val="00636A75"/>
    <w:rsid w:val="00636F81"/>
    <w:rsid w:val="00637019"/>
    <w:rsid w:val="0063739E"/>
    <w:rsid w:val="00637E94"/>
    <w:rsid w:val="00637ED8"/>
    <w:rsid w:val="00640103"/>
    <w:rsid w:val="0064022C"/>
    <w:rsid w:val="0064031C"/>
    <w:rsid w:val="00640601"/>
    <w:rsid w:val="00640F17"/>
    <w:rsid w:val="0064254A"/>
    <w:rsid w:val="006429F1"/>
    <w:rsid w:val="00643013"/>
    <w:rsid w:val="006434C2"/>
    <w:rsid w:val="006435F0"/>
    <w:rsid w:val="006435FB"/>
    <w:rsid w:val="0064376C"/>
    <w:rsid w:val="00643F29"/>
    <w:rsid w:val="006443F3"/>
    <w:rsid w:val="00644F42"/>
    <w:rsid w:val="0064500C"/>
    <w:rsid w:val="00645116"/>
    <w:rsid w:val="0064574A"/>
    <w:rsid w:val="00645B30"/>
    <w:rsid w:val="0064680E"/>
    <w:rsid w:val="00646A42"/>
    <w:rsid w:val="006472A6"/>
    <w:rsid w:val="00650980"/>
    <w:rsid w:val="00650B56"/>
    <w:rsid w:val="00650C5D"/>
    <w:rsid w:val="00651A53"/>
    <w:rsid w:val="006522CC"/>
    <w:rsid w:val="006523F7"/>
    <w:rsid w:val="00652F23"/>
    <w:rsid w:val="00653042"/>
    <w:rsid w:val="00653223"/>
    <w:rsid w:val="006538CC"/>
    <w:rsid w:val="006539E4"/>
    <w:rsid w:val="00653B1D"/>
    <w:rsid w:val="006540F1"/>
    <w:rsid w:val="006547BE"/>
    <w:rsid w:val="00654836"/>
    <w:rsid w:val="006548E1"/>
    <w:rsid w:val="00655149"/>
    <w:rsid w:val="00655573"/>
    <w:rsid w:val="00655CCE"/>
    <w:rsid w:val="006565EF"/>
    <w:rsid w:val="00656DCC"/>
    <w:rsid w:val="006573BE"/>
    <w:rsid w:val="00657DCE"/>
    <w:rsid w:val="00657F63"/>
    <w:rsid w:val="006608B2"/>
    <w:rsid w:val="006616F5"/>
    <w:rsid w:val="006619E0"/>
    <w:rsid w:val="00661A93"/>
    <w:rsid w:val="00661EDF"/>
    <w:rsid w:val="0066226D"/>
    <w:rsid w:val="00662EA8"/>
    <w:rsid w:val="00662F38"/>
    <w:rsid w:val="00662F5B"/>
    <w:rsid w:val="006635FD"/>
    <w:rsid w:val="00663F00"/>
    <w:rsid w:val="00665050"/>
    <w:rsid w:val="006650A2"/>
    <w:rsid w:val="00665649"/>
    <w:rsid w:val="00666A29"/>
    <w:rsid w:val="00666A76"/>
    <w:rsid w:val="00666B3A"/>
    <w:rsid w:val="00666DAB"/>
    <w:rsid w:val="006671FB"/>
    <w:rsid w:val="006676A2"/>
    <w:rsid w:val="006707ED"/>
    <w:rsid w:val="00670DCA"/>
    <w:rsid w:val="006719D9"/>
    <w:rsid w:val="00672A9B"/>
    <w:rsid w:val="00672CD0"/>
    <w:rsid w:val="006736E5"/>
    <w:rsid w:val="00673B07"/>
    <w:rsid w:val="00673B0C"/>
    <w:rsid w:val="00673CC3"/>
    <w:rsid w:val="00674920"/>
    <w:rsid w:val="00674E4A"/>
    <w:rsid w:val="00675392"/>
    <w:rsid w:val="00677245"/>
    <w:rsid w:val="00677629"/>
    <w:rsid w:val="006777C7"/>
    <w:rsid w:val="00680AEB"/>
    <w:rsid w:val="00680BE6"/>
    <w:rsid w:val="00680FD8"/>
    <w:rsid w:val="0068130B"/>
    <w:rsid w:val="00681318"/>
    <w:rsid w:val="00681938"/>
    <w:rsid w:val="00681942"/>
    <w:rsid w:val="00681A1C"/>
    <w:rsid w:val="00681C60"/>
    <w:rsid w:val="006823C5"/>
    <w:rsid w:val="00682CE1"/>
    <w:rsid w:val="00682F7F"/>
    <w:rsid w:val="006830CA"/>
    <w:rsid w:val="006831BB"/>
    <w:rsid w:val="006833B2"/>
    <w:rsid w:val="006835B8"/>
    <w:rsid w:val="00683702"/>
    <w:rsid w:val="00683F1E"/>
    <w:rsid w:val="00684075"/>
    <w:rsid w:val="00684500"/>
    <w:rsid w:val="00684771"/>
    <w:rsid w:val="0068498B"/>
    <w:rsid w:val="00684FF1"/>
    <w:rsid w:val="00685553"/>
    <w:rsid w:val="00686012"/>
    <w:rsid w:val="00686548"/>
    <w:rsid w:val="00686849"/>
    <w:rsid w:val="0068693F"/>
    <w:rsid w:val="00686A1E"/>
    <w:rsid w:val="00686B81"/>
    <w:rsid w:val="00686CB5"/>
    <w:rsid w:val="0068701D"/>
    <w:rsid w:val="0068707D"/>
    <w:rsid w:val="00687176"/>
    <w:rsid w:val="00687406"/>
    <w:rsid w:val="00690023"/>
    <w:rsid w:val="00690993"/>
    <w:rsid w:val="006909D0"/>
    <w:rsid w:val="00690AFA"/>
    <w:rsid w:val="00690C25"/>
    <w:rsid w:val="00690C8E"/>
    <w:rsid w:val="00690D25"/>
    <w:rsid w:val="00690FA6"/>
    <w:rsid w:val="00691E2B"/>
    <w:rsid w:val="00692707"/>
    <w:rsid w:val="00693725"/>
    <w:rsid w:val="0069414B"/>
    <w:rsid w:val="00695580"/>
    <w:rsid w:val="00695ACE"/>
    <w:rsid w:val="00695BBF"/>
    <w:rsid w:val="00695CE4"/>
    <w:rsid w:val="0069666C"/>
    <w:rsid w:val="00696AB2"/>
    <w:rsid w:val="00696B9C"/>
    <w:rsid w:val="0069712D"/>
    <w:rsid w:val="0069745F"/>
    <w:rsid w:val="00697855"/>
    <w:rsid w:val="00697D52"/>
    <w:rsid w:val="00697DE0"/>
    <w:rsid w:val="006A03AD"/>
    <w:rsid w:val="006A0C53"/>
    <w:rsid w:val="006A0D1D"/>
    <w:rsid w:val="006A116E"/>
    <w:rsid w:val="006A1844"/>
    <w:rsid w:val="006A1987"/>
    <w:rsid w:val="006A1DB5"/>
    <w:rsid w:val="006A2032"/>
    <w:rsid w:val="006A2247"/>
    <w:rsid w:val="006A23BF"/>
    <w:rsid w:val="006A2610"/>
    <w:rsid w:val="006A281F"/>
    <w:rsid w:val="006A2EB2"/>
    <w:rsid w:val="006A2FD4"/>
    <w:rsid w:val="006A3306"/>
    <w:rsid w:val="006A3837"/>
    <w:rsid w:val="006A4158"/>
    <w:rsid w:val="006A41CB"/>
    <w:rsid w:val="006A4AAD"/>
    <w:rsid w:val="006A4D03"/>
    <w:rsid w:val="006A4D5B"/>
    <w:rsid w:val="006A5274"/>
    <w:rsid w:val="006A5867"/>
    <w:rsid w:val="006A5BF4"/>
    <w:rsid w:val="006A5ED1"/>
    <w:rsid w:val="006A5FDF"/>
    <w:rsid w:val="006A64A5"/>
    <w:rsid w:val="006A6A9F"/>
    <w:rsid w:val="006A752A"/>
    <w:rsid w:val="006B03A7"/>
    <w:rsid w:val="006B0477"/>
    <w:rsid w:val="006B0684"/>
    <w:rsid w:val="006B0A92"/>
    <w:rsid w:val="006B13C2"/>
    <w:rsid w:val="006B15A3"/>
    <w:rsid w:val="006B1D74"/>
    <w:rsid w:val="006B1EAC"/>
    <w:rsid w:val="006B2470"/>
    <w:rsid w:val="006B4463"/>
    <w:rsid w:val="006B4D9E"/>
    <w:rsid w:val="006B54A7"/>
    <w:rsid w:val="006B595C"/>
    <w:rsid w:val="006B5D62"/>
    <w:rsid w:val="006B60EA"/>
    <w:rsid w:val="006B6623"/>
    <w:rsid w:val="006B67BA"/>
    <w:rsid w:val="006B6C80"/>
    <w:rsid w:val="006B6FAB"/>
    <w:rsid w:val="006B6FC8"/>
    <w:rsid w:val="006B73F9"/>
    <w:rsid w:val="006B7754"/>
    <w:rsid w:val="006B7923"/>
    <w:rsid w:val="006B7A69"/>
    <w:rsid w:val="006C0748"/>
    <w:rsid w:val="006C0757"/>
    <w:rsid w:val="006C148F"/>
    <w:rsid w:val="006C221B"/>
    <w:rsid w:val="006C2833"/>
    <w:rsid w:val="006C2D29"/>
    <w:rsid w:val="006C3D97"/>
    <w:rsid w:val="006C3E7C"/>
    <w:rsid w:val="006C4A23"/>
    <w:rsid w:val="006C4C2F"/>
    <w:rsid w:val="006C4D3C"/>
    <w:rsid w:val="006C4FDC"/>
    <w:rsid w:val="006C507C"/>
    <w:rsid w:val="006C5953"/>
    <w:rsid w:val="006C59DD"/>
    <w:rsid w:val="006C5B9B"/>
    <w:rsid w:val="006C5C4F"/>
    <w:rsid w:val="006C5E0D"/>
    <w:rsid w:val="006C6566"/>
    <w:rsid w:val="006C67CF"/>
    <w:rsid w:val="006C71A9"/>
    <w:rsid w:val="006C7500"/>
    <w:rsid w:val="006C7C0F"/>
    <w:rsid w:val="006C7CE5"/>
    <w:rsid w:val="006C7FEA"/>
    <w:rsid w:val="006D03DC"/>
    <w:rsid w:val="006D0965"/>
    <w:rsid w:val="006D0A42"/>
    <w:rsid w:val="006D0B2C"/>
    <w:rsid w:val="006D0EF6"/>
    <w:rsid w:val="006D1784"/>
    <w:rsid w:val="006D1C9D"/>
    <w:rsid w:val="006D28EF"/>
    <w:rsid w:val="006D2B7B"/>
    <w:rsid w:val="006D2BB6"/>
    <w:rsid w:val="006D39E0"/>
    <w:rsid w:val="006D39FF"/>
    <w:rsid w:val="006D3CCC"/>
    <w:rsid w:val="006D47BD"/>
    <w:rsid w:val="006D488D"/>
    <w:rsid w:val="006D4F24"/>
    <w:rsid w:val="006D536D"/>
    <w:rsid w:val="006D557E"/>
    <w:rsid w:val="006D5B0A"/>
    <w:rsid w:val="006D731E"/>
    <w:rsid w:val="006D7684"/>
    <w:rsid w:val="006D76C0"/>
    <w:rsid w:val="006D7715"/>
    <w:rsid w:val="006E0167"/>
    <w:rsid w:val="006E0383"/>
    <w:rsid w:val="006E0699"/>
    <w:rsid w:val="006E22FF"/>
    <w:rsid w:val="006E2851"/>
    <w:rsid w:val="006E2DE7"/>
    <w:rsid w:val="006E30A2"/>
    <w:rsid w:val="006E37F0"/>
    <w:rsid w:val="006E405C"/>
    <w:rsid w:val="006E4266"/>
    <w:rsid w:val="006E4B38"/>
    <w:rsid w:val="006E4BB3"/>
    <w:rsid w:val="006E4EE3"/>
    <w:rsid w:val="006E52E6"/>
    <w:rsid w:val="006E5455"/>
    <w:rsid w:val="006E5625"/>
    <w:rsid w:val="006E5751"/>
    <w:rsid w:val="006E5A11"/>
    <w:rsid w:val="006E5B20"/>
    <w:rsid w:val="006E6680"/>
    <w:rsid w:val="006E7277"/>
    <w:rsid w:val="006E72B3"/>
    <w:rsid w:val="006E7963"/>
    <w:rsid w:val="006E7D4B"/>
    <w:rsid w:val="006F059C"/>
    <w:rsid w:val="006F09CD"/>
    <w:rsid w:val="006F0AE8"/>
    <w:rsid w:val="006F0C80"/>
    <w:rsid w:val="006F15AD"/>
    <w:rsid w:val="006F17DD"/>
    <w:rsid w:val="006F1986"/>
    <w:rsid w:val="006F1DC1"/>
    <w:rsid w:val="006F2086"/>
    <w:rsid w:val="006F29B5"/>
    <w:rsid w:val="006F29B6"/>
    <w:rsid w:val="006F2CBF"/>
    <w:rsid w:val="006F2D76"/>
    <w:rsid w:val="006F2DB1"/>
    <w:rsid w:val="006F331B"/>
    <w:rsid w:val="006F35E1"/>
    <w:rsid w:val="006F370E"/>
    <w:rsid w:val="006F3D6E"/>
    <w:rsid w:val="006F401B"/>
    <w:rsid w:val="006F443F"/>
    <w:rsid w:val="006F4D6F"/>
    <w:rsid w:val="006F54E8"/>
    <w:rsid w:val="006F5612"/>
    <w:rsid w:val="006F5A8C"/>
    <w:rsid w:val="006F6067"/>
    <w:rsid w:val="006F63DD"/>
    <w:rsid w:val="006F7D8E"/>
    <w:rsid w:val="00700500"/>
    <w:rsid w:val="00700A28"/>
    <w:rsid w:val="00700AFF"/>
    <w:rsid w:val="00700DA5"/>
    <w:rsid w:val="00701473"/>
    <w:rsid w:val="00702356"/>
    <w:rsid w:val="00702614"/>
    <w:rsid w:val="00702741"/>
    <w:rsid w:val="00702964"/>
    <w:rsid w:val="00702E0C"/>
    <w:rsid w:val="00702EB3"/>
    <w:rsid w:val="007041A6"/>
    <w:rsid w:val="00704278"/>
    <w:rsid w:val="00704774"/>
    <w:rsid w:val="007047C6"/>
    <w:rsid w:val="007047DB"/>
    <w:rsid w:val="00705210"/>
    <w:rsid w:val="007054BC"/>
    <w:rsid w:val="007056B0"/>
    <w:rsid w:val="00705A11"/>
    <w:rsid w:val="00705D3A"/>
    <w:rsid w:val="00705E2F"/>
    <w:rsid w:val="007066C0"/>
    <w:rsid w:val="007070C7"/>
    <w:rsid w:val="00707245"/>
    <w:rsid w:val="0071049B"/>
    <w:rsid w:val="00710621"/>
    <w:rsid w:val="00710777"/>
    <w:rsid w:val="007115B5"/>
    <w:rsid w:val="00711877"/>
    <w:rsid w:val="00711AF5"/>
    <w:rsid w:val="00711EA6"/>
    <w:rsid w:val="00712146"/>
    <w:rsid w:val="007129D6"/>
    <w:rsid w:val="00712CF2"/>
    <w:rsid w:val="00712EB0"/>
    <w:rsid w:val="00713332"/>
    <w:rsid w:val="00713A50"/>
    <w:rsid w:val="00713B13"/>
    <w:rsid w:val="00713C1C"/>
    <w:rsid w:val="00715298"/>
    <w:rsid w:val="007153D0"/>
    <w:rsid w:val="007156AC"/>
    <w:rsid w:val="00715CFB"/>
    <w:rsid w:val="00715F5F"/>
    <w:rsid w:val="00716110"/>
    <w:rsid w:val="007165A1"/>
    <w:rsid w:val="0071702F"/>
    <w:rsid w:val="007177EE"/>
    <w:rsid w:val="00717940"/>
    <w:rsid w:val="00717A67"/>
    <w:rsid w:val="00717BD7"/>
    <w:rsid w:val="00717D27"/>
    <w:rsid w:val="007204BD"/>
    <w:rsid w:val="0072082F"/>
    <w:rsid w:val="00720A1C"/>
    <w:rsid w:val="00720D00"/>
    <w:rsid w:val="00720E54"/>
    <w:rsid w:val="0072114C"/>
    <w:rsid w:val="007214E6"/>
    <w:rsid w:val="00721D07"/>
    <w:rsid w:val="00721EE8"/>
    <w:rsid w:val="00722AB6"/>
    <w:rsid w:val="00723314"/>
    <w:rsid w:val="00723596"/>
    <w:rsid w:val="00723ED3"/>
    <w:rsid w:val="00724126"/>
    <w:rsid w:val="00724828"/>
    <w:rsid w:val="00724918"/>
    <w:rsid w:val="007249CB"/>
    <w:rsid w:val="00724B14"/>
    <w:rsid w:val="007256F7"/>
    <w:rsid w:val="007263BD"/>
    <w:rsid w:val="00726A72"/>
    <w:rsid w:val="00726C09"/>
    <w:rsid w:val="00726EC7"/>
    <w:rsid w:val="00726ECA"/>
    <w:rsid w:val="00726F02"/>
    <w:rsid w:val="00727158"/>
    <w:rsid w:val="007272AC"/>
    <w:rsid w:val="00727914"/>
    <w:rsid w:val="00730712"/>
    <w:rsid w:val="00730A86"/>
    <w:rsid w:val="00731378"/>
    <w:rsid w:val="00731C66"/>
    <w:rsid w:val="00731CAB"/>
    <w:rsid w:val="007321A4"/>
    <w:rsid w:val="00733127"/>
    <w:rsid w:val="0073324F"/>
    <w:rsid w:val="007334F2"/>
    <w:rsid w:val="0073470D"/>
    <w:rsid w:val="007348E5"/>
    <w:rsid w:val="00734B18"/>
    <w:rsid w:val="00735420"/>
    <w:rsid w:val="00735D21"/>
    <w:rsid w:val="007362C8"/>
    <w:rsid w:val="00736864"/>
    <w:rsid w:val="00737B49"/>
    <w:rsid w:val="00737E07"/>
    <w:rsid w:val="00737E96"/>
    <w:rsid w:val="00740548"/>
    <w:rsid w:val="0074097D"/>
    <w:rsid w:val="00740BD7"/>
    <w:rsid w:val="00741943"/>
    <w:rsid w:val="00741C1B"/>
    <w:rsid w:val="00741F5F"/>
    <w:rsid w:val="007425E6"/>
    <w:rsid w:val="00742CFF"/>
    <w:rsid w:val="00742DBC"/>
    <w:rsid w:val="0074352C"/>
    <w:rsid w:val="00743B9C"/>
    <w:rsid w:val="007443F3"/>
    <w:rsid w:val="007450E5"/>
    <w:rsid w:val="00745412"/>
    <w:rsid w:val="00745A18"/>
    <w:rsid w:val="007460DE"/>
    <w:rsid w:val="00746225"/>
    <w:rsid w:val="00746396"/>
    <w:rsid w:val="0074647F"/>
    <w:rsid w:val="00746543"/>
    <w:rsid w:val="00746AFF"/>
    <w:rsid w:val="00746D30"/>
    <w:rsid w:val="0074733D"/>
    <w:rsid w:val="007474ED"/>
    <w:rsid w:val="00750221"/>
    <w:rsid w:val="0075072B"/>
    <w:rsid w:val="00750A2F"/>
    <w:rsid w:val="00750AF7"/>
    <w:rsid w:val="00750FFD"/>
    <w:rsid w:val="007517E6"/>
    <w:rsid w:val="00751EAC"/>
    <w:rsid w:val="0075220D"/>
    <w:rsid w:val="00752615"/>
    <w:rsid w:val="0075296B"/>
    <w:rsid w:val="00752E9A"/>
    <w:rsid w:val="00752FB3"/>
    <w:rsid w:val="007533CA"/>
    <w:rsid w:val="00753BB0"/>
    <w:rsid w:val="00753FE2"/>
    <w:rsid w:val="00754F85"/>
    <w:rsid w:val="007552E8"/>
    <w:rsid w:val="00755329"/>
    <w:rsid w:val="007559A6"/>
    <w:rsid w:val="00755F7D"/>
    <w:rsid w:val="007562C7"/>
    <w:rsid w:val="0075646A"/>
    <w:rsid w:val="00757048"/>
    <w:rsid w:val="007574F8"/>
    <w:rsid w:val="00757902"/>
    <w:rsid w:val="007612E0"/>
    <w:rsid w:val="00761CDA"/>
    <w:rsid w:val="007627A0"/>
    <w:rsid w:val="007630AB"/>
    <w:rsid w:val="0076369A"/>
    <w:rsid w:val="0076373C"/>
    <w:rsid w:val="0076376F"/>
    <w:rsid w:val="00764A41"/>
    <w:rsid w:val="00764F9D"/>
    <w:rsid w:val="00765234"/>
    <w:rsid w:val="00765384"/>
    <w:rsid w:val="0076551B"/>
    <w:rsid w:val="00765663"/>
    <w:rsid w:val="00765A57"/>
    <w:rsid w:val="00765E00"/>
    <w:rsid w:val="00765F16"/>
    <w:rsid w:val="00766144"/>
    <w:rsid w:val="0076666A"/>
    <w:rsid w:val="00767157"/>
    <w:rsid w:val="00767625"/>
    <w:rsid w:val="00767B87"/>
    <w:rsid w:val="00767E28"/>
    <w:rsid w:val="007700E3"/>
    <w:rsid w:val="00770194"/>
    <w:rsid w:val="00770B46"/>
    <w:rsid w:val="00771372"/>
    <w:rsid w:val="0077186B"/>
    <w:rsid w:val="00771B43"/>
    <w:rsid w:val="00771D87"/>
    <w:rsid w:val="00771E02"/>
    <w:rsid w:val="00772549"/>
    <w:rsid w:val="00772603"/>
    <w:rsid w:val="00772968"/>
    <w:rsid w:val="0077323F"/>
    <w:rsid w:val="007738D0"/>
    <w:rsid w:val="00773EEA"/>
    <w:rsid w:val="007741FC"/>
    <w:rsid w:val="007742AF"/>
    <w:rsid w:val="00774992"/>
    <w:rsid w:val="00774AD7"/>
    <w:rsid w:val="00775787"/>
    <w:rsid w:val="00775AC2"/>
    <w:rsid w:val="00776431"/>
    <w:rsid w:val="007765DA"/>
    <w:rsid w:val="00777015"/>
    <w:rsid w:val="00777245"/>
    <w:rsid w:val="007773EE"/>
    <w:rsid w:val="00777B93"/>
    <w:rsid w:val="00777F30"/>
    <w:rsid w:val="00780293"/>
    <w:rsid w:val="00780500"/>
    <w:rsid w:val="007807F8"/>
    <w:rsid w:val="00780F85"/>
    <w:rsid w:val="00781678"/>
    <w:rsid w:val="007822EC"/>
    <w:rsid w:val="0078238F"/>
    <w:rsid w:val="007827A3"/>
    <w:rsid w:val="00783321"/>
    <w:rsid w:val="00783C78"/>
    <w:rsid w:val="00783D97"/>
    <w:rsid w:val="00784112"/>
    <w:rsid w:val="0078424B"/>
    <w:rsid w:val="00784814"/>
    <w:rsid w:val="00785199"/>
    <w:rsid w:val="00785773"/>
    <w:rsid w:val="00786E9D"/>
    <w:rsid w:val="00786EA0"/>
    <w:rsid w:val="007871EC"/>
    <w:rsid w:val="007872A6"/>
    <w:rsid w:val="00787584"/>
    <w:rsid w:val="0078766B"/>
    <w:rsid w:val="0079014C"/>
    <w:rsid w:val="00790947"/>
    <w:rsid w:val="00790CF1"/>
    <w:rsid w:val="00790D24"/>
    <w:rsid w:val="00791A03"/>
    <w:rsid w:val="007924ED"/>
    <w:rsid w:val="00792A87"/>
    <w:rsid w:val="00792F99"/>
    <w:rsid w:val="00792FE4"/>
    <w:rsid w:val="0079304A"/>
    <w:rsid w:val="0079323C"/>
    <w:rsid w:val="00793A0D"/>
    <w:rsid w:val="00793DDE"/>
    <w:rsid w:val="00794A9B"/>
    <w:rsid w:val="00794B73"/>
    <w:rsid w:val="00794BA9"/>
    <w:rsid w:val="00794DAD"/>
    <w:rsid w:val="007955C2"/>
    <w:rsid w:val="007956FD"/>
    <w:rsid w:val="0079583D"/>
    <w:rsid w:val="00796536"/>
    <w:rsid w:val="00796C18"/>
    <w:rsid w:val="00796FD2"/>
    <w:rsid w:val="007972C7"/>
    <w:rsid w:val="00797DED"/>
    <w:rsid w:val="007A02FD"/>
    <w:rsid w:val="007A09E5"/>
    <w:rsid w:val="007A0EEB"/>
    <w:rsid w:val="007A1253"/>
    <w:rsid w:val="007A1A67"/>
    <w:rsid w:val="007A3792"/>
    <w:rsid w:val="007A5841"/>
    <w:rsid w:val="007A5A2B"/>
    <w:rsid w:val="007A627C"/>
    <w:rsid w:val="007A6483"/>
    <w:rsid w:val="007A6CB0"/>
    <w:rsid w:val="007A6D71"/>
    <w:rsid w:val="007A700F"/>
    <w:rsid w:val="007A7208"/>
    <w:rsid w:val="007A7337"/>
    <w:rsid w:val="007A79C8"/>
    <w:rsid w:val="007A7DA9"/>
    <w:rsid w:val="007A7ED7"/>
    <w:rsid w:val="007B0047"/>
    <w:rsid w:val="007B0105"/>
    <w:rsid w:val="007B1278"/>
    <w:rsid w:val="007B1384"/>
    <w:rsid w:val="007B14E8"/>
    <w:rsid w:val="007B1D28"/>
    <w:rsid w:val="007B1F06"/>
    <w:rsid w:val="007B340D"/>
    <w:rsid w:val="007B3941"/>
    <w:rsid w:val="007B39CF"/>
    <w:rsid w:val="007B3A51"/>
    <w:rsid w:val="007B3B7D"/>
    <w:rsid w:val="007B4636"/>
    <w:rsid w:val="007B4CE3"/>
    <w:rsid w:val="007B4D29"/>
    <w:rsid w:val="007B505A"/>
    <w:rsid w:val="007B54AB"/>
    <w:rsid w:val="007B5714"/>
    <w:rsid w:val="007B5763"/>
    <w:rsid w:val="007B59E3"/>
    <w:rsid w:val="007B5BA7"/>
    <w:rsid w:val="007B5E69"/>
    <w:rsid w:val="007B6A08"/>
    <w:rsid w:val="007B6B06"/>
    <w:rsid w:val="007B6B3B"/>
    <w:rsid w:val="007B6D5E"/>
    <w:rsid w:val="007B7110"/>
    <w:rsid w:val="007B72AF"/>
    <w:rsid w:val="007B7E45"/>
    <w:rsid w:val="007C05C1"/>
    <w:rsid w:val="007C1294"/>
    <w:rsid w:val="007C157C"/>
    <w:rsid w:val="007C1D16"/>
    <w:rsid w:val="007C20B1"/>
    <w:rsid w:val="007C255D"/>
    <w:rsid w:val="007C25CF"/>
    <w:rsid w:val="007C2759"/>
    <w:rsid w:val="007C2885"/>
    <w:rsid w:val="007C2E7A"/>
    <w:rsid w:val="007C36D0"/>
    <w:rsid w:val="007C4113"/>
    <w:rsid w:val="007C4128"/>
    <w:rsid w:val="007C42E8"/>
    <w:rsid w:val="007C43CF"/>
    <w:rsid w:val="007C4524"/>
    <w:rsid w:val="007C4BE5"/>
    <w:rsid w:val="007C5134"/>
    <w:rsid w:val="007C557C"/>
    <w:rsid w:val="007C5646"/>
    <w:rsid w:val="007C593A"/>
    <w:rsid w:val="007C6183"/>
    <w:rsid w:val="007C6334"/>
    <w:rsid w:val="007C6416"/>
    <w:rsid w:val="007C6494"/>
    <w:rsid w:val="007C64BE"/>
    <w:rsid w:val="007C6896"/>
    <w:rsid w:val="007C6936"/>
    <w:rsid w:val="007C6A54"/>
    <w:rsid w:val="007C6AB5"/>
    <w:rsid w:val="007C6E94"/>
    <w:rsid w:val="007C7744"/>
    <w:rsid w:val="007C7E9B"/>
    <w:rsid w:val="007D0F8C"/>
    <w:rsid w:val="007D0FEB"/>
    <w:rsid w:val="007D1638"/>
    <w:rsid w:val="007D1B29"/>
    <w:rsid w:val="007D201A"/>
    <w:rsid w:val="007D2752"/>
    <w:rsid w:val="007D2848"/>
    <w:rsid w:val="007D33A6"/>
    <w:rsid w:val="007D3B24"/>
    <w:rsid w:val="007D3E0C"/>
    <w:rsid w:val="007D4360"/>
    <w:rsid w:val="007D4447"/>
    <w:rsid w:val="007D472D"/>
    <w:rsid w:val="007D4AAC"/>
    <w:rsid w:val="007D4E47"/>
    <w:rsid w:val="007D4EEB"/>
    <w:rsid w:val="007D584C"/>
    <w:rsid w:val="007D5B34"/>
    <w:rsid w:val="007D5BE7"/>
    <w:rsid w:val="007D5C9B"/>
    <w:rsid w:val="007D5CB6"/>
    <w:rsid w:val="007D60F5"/>
    <w:rsid w:val="007D6556"/>
    <w:rsid w:val="007D661D"/>
    <w:rsid w:val="007D68B4"/>
    <w:rsid w:val="007D7341"/>
    <w:rsid w:val="007D7738"/>
    <w:rsid w:val="007D78BC"/>
    <w:rsid w:val="007D79C3"/>
    <w:rsid w:val="007D7C94"/>
    <w:rsid w:val="007E0607"/>
    <w:rsid w:val="007E09E3"/>
    <w:rsid w:val="007E0E17"/>
    <w:rsid w:val="007E1A5A"/>
    <w:rsid w:val="007E2059"/>
    <w:rsid w:val="007E2911"/>
    <w:rsid w:val="007E36EA"/>
    <w:rsid w:val="007E457A"/>
    <w:rsid w:val="007E50EB"/>
    <w:rsid w:val="007E5796"/>
    <w:rsid w:val="007E5F32"/>
    <w:rsid w:val="007E667F"/>
    <w:rsid w:val="007E6694"/>
    <w:rsid w:val="007E6977"/>
    <w:rsid w:val="007E6B39"/>
    <w:rsid w:val="007E7A5B"/>
    <w:rsid w:val="007E7B9D"/>
    <w:rsid w:val="007E7E56"/>
    <w:rsid w:val="007E7FC3"/>
    <w:rsid w:val="007F0014"/>
    <w:rsid w:val="007F01E1"/>
    <w:rsid w:val="007F0D06"/>
    <w:rsid w:val="007F107E"/>
    <w:rsid w:val="007F11E1"/>
    <w:rsid w:val="007F1684"/>
    <w:rsid w:val="007F1700"/>
    <w:rsid w:val="007F2301"/>
    <w:rsid w:val="007F269D"/>
    <w:rsid w:val="007F31B8"/>
    <w:rsid w:val="007F3EBB"/>
    <w:rsid w:val="007F4235"/>
    <w:rsid w:val="007F4942"/>
    <w:rsid w:val="007F4AA1"/>
    <w:rsid w:val="007F4CD3"/>
    <w:rsid w:val="007F53A1"/>
    <w:rsid w:val="007F5443"/>
    <w:rsid w:val="007F5BC1"/>
    <w:rsid w:val="007F5CD8"/>
    <w:rsid w:val="007F5EDE"/>
    <w:rsid w:val="007F61F5"/>
    <w:rsid w:val="007F65CF"/>
    <w:rsid w:val="007F6C30"/>
    <w:rsid w:val="007F6F45"/>
    <w:rsid w:val="007F733A"/>
    <w:rsid w:val="007F736E"/>
    <w:rsid w:val="00800229"/>
    <w:rsid w:val="00800786"/>
    <w:rsid w:val="00800823"/>
    <w:rsid w:val="00801FE2"/>
    <w:rsid w:val="00802233"/>
    <w:rsid w:val="00802557"/>
    <w:rsid w:val="00802574"/>
    <w:rsid w:val="00802686"/>
    <w:rsid w:val="00802A39"/>
    <w:rsid w:val="00802BC6"/>
    <w:rsid w:val="00802DFF"/>
    <w:rsid w:val="00802FB0"/>
    <w:rsid w:val="00803084"/>
    <w:rsid w:val="00803518"/>
    <w:rsid w:val="008039F8"/>
    <w:rsid w:val="00803A19"/>
    <w:rsid w:val="00804A6E"/>
    <w:rsid w:val="00806095"/>
    <w:rsid w:val="008063F6"/>
    <w:rsid w:val="00806A28"/>
    <w:rsid w:val="00806DAE"/>
    <w:rsid w:val="00806EC8"/>
    <w:rsid w:val="008075EE"/>
    <w:rsid w:val="00807828"/>
    <w:rsid w:val="0080786E"/>
    <w:rsid w:val="0080788B"/>
    <w:rsid w:val="008100B2"/>
    <w:rsid w:val="00810165"/>
    <w:rsid w:val="00811086"/>
    <w:rsid w:val="00811640"/>
    <w:rsid w:val="00811895"/>
    <w:rsid w:val="00811AAB"/>
    <w:rsid w:val="008122B6"/>
    <w:rsid w:val="00812C69"/>
    <w:rsid w:val="00813630"/>
    <w:rsid w:val="008138A4"/>
    <w:rsid w:val="00813CCD"/>
    <w:rsid w:val="00813D06"/>
    <w:rsid w:val="00814208"/>
    <w:rsid w:val="00815050"/>
    <w:rsid w:val="00815203"/>
    <w:rsid w:val="0081555B"/>
    <w:rsid w:val="008155AD"/>
    <w:rsid w:val="00816F0F"/>
    <w:rsid w:val="00817B02"/>
    <w:rsid w:val="00817B69"/>
    <w:rsid w:val="00817DAB"/>
    <w:rsid w:val="0082010A"/>
    <w:rsid w:val="00820459"/>
    <w:rsid w:val="00820569"/>
    <w:rsid w:val="00821331"/>
    <w:rsid w:val="00821512"/>
    <w:rsid w:val="00821FA8"/>
    <w:rsid w:val="00822037"/>
    <w:rsid w:val="008223D4"/>
    <w:rsid w:val="008224A3"/>
    <w:rsid w:val="00822C5F"/>
    <w:rsid w:val="0082301B"/>
    <w:rsid w:val="00823345"/>
    <w:rsid w:val="00823AFC"/>
    <w:rsid w:val="00823C36"/>
    <w:rsid w:val="00824375"/>
    <w:rsid w:val="00824679"/>
    <w:rsid w:val="00825419"/>
    <w:rsid w:val="008258C4"/>
    <w:rsid w:val="008259EE"/>
    <w:rsid w:val="0082659F"/>
    <w:rsid w:val="00826C06"/>
    <w:rsid w:val="00826F1E"/>
    <w:rsid w:val="00827715"/>
    <w:rsid w:val="00827AAB"/>
    <w:rsid w:val="00827B6C"/>
    <w:rsid w:val="00830785"/>
    <w:rsid w:val="00830AAC"/>
    <w:rsid w:val="00830ABC"/>
    <w:rsid w:val="00830D64"/>
    <w:rsid w:val="008315F9"/>
    <w:rsid w:val="00831A23"/>
    <w:rsid w:val="00831A82"/>
    <w:rsid w:val="00831D2D"/>
    <w:rsid w:val="00832C2C"/>
    <w:rsid w:val="008332A1"/>
    <w:rsid w:val="008336FF"/>
    <w:rsid w:val="008337BC"/>
    <w:rsid w:val="008339DE"/>
    <w:rsid w:val="0083437A"/>
    <w:rsid w:val="0083507C"/>
    <w:rsid w:val="008358A5"/>
    <w:rsid w:val="00835977"/>
    <w:rsid w:val="00835B75"/>
    <w:rsid w:val="00836D5D"/>
    <w:rsid w:val="00836E70"/>
    <w:rsid w:val="0083755A"/>
    <w:rsid w:val="008378E4"/>
    <w:rsid w:val="00837B9B"/>
    <w:rsid w:val="00837BDB"/>
    <w:rsid w:val="00837D26"/>
    <w:rsid w:val="00837E3B"/>
    <w:rsid w:val="00837EF4"/>
    <w:rsid w:val="008400CC"/>
    <w:rsid w:val="008406AF"/>
    <w:rsid w:val="00840A86"/>
    <w:rsid w:val="00840EF0"/>
    <w:rsid w:val="00841349"/>
    <w:rsid w:val="00841928"/>
    <w:rsid w:val="00842364"/>
    <w:rsid w:val="00842506"/>
    <w:rsid w:val="008428C6"/>
    <w:rsid w:val="00842B4C"/>
    <w:rsid w:val="0084325A"/>
    <w:rsid w:val="00844571"/>
    <w:rsid w:val="00844811"/>
    <w:rsid w:val="00844FA7"/>
    <w:rsid w:val="0084525D"/>
    <w:rsid w:val="008455EA"/>
    <w:rsid w:val="00845BA5"/>
    <w:rsid w:val="00845C2E"/>
    <w:rsid w:val="00845CC5"/>
    <w:rsid w:val="00845DAD"/>
    <w:rsid w:val="008460ED"/>
    <w:rsid w:val="0084724F"/>
    <w:rsid w:val="00847400"/>
    <w:rsid w:val="00850353"/>
    <w:rsid w:val="00850407"/>
    <w:rsid w:val="00850A68"/>
    <w:rsid w:val="00850B93"/>
    <w:rsid w:val="00850EB0"/>
    <w:rsid w:val="00850F64"/>
    <w:rsid w:val="008513B1"/>
    <w:rsid w:val="00851741"/>
    <w:rsid w:val="008517ED"/>
    <w:rsid w:val="00851A93"/>
    <w:rsid w:val="00851DE4"/>
    <w:rsid w:val="0085207D"/>
    <w:rsid w:val="0085289D"/>
    <w:rsid w:val="00852B44"/>
    <w:rsid w:val="00853AD4"/>
    <w:rsid w:val="00853B71"/>
    <w:rsid w:val="00853EE1"/>
    <w:rsid w:val="008542B8"/>
    <w:rsid w:val="0085475D"/>
    <w:rsid w:val="0085507D"/>
    <w:rsid w:val="00855736"/>
    <w:rsid w:val="00856723"/>
    <w:rsid w:val="0085714A"/>
    <w:rsid w:val="008571EC"/>
    <w:rsid w:val="0085749F"/>
    <w:rsid w:val="00860143"/>
    <w:rsid w:val="008602BA"/>
    <w:rsid w:val="0086032C"/>
    <w:rsid w:val="0086038D"/>
    <w:rsid w:val="00860F8C"/>
    <w:rsid w:val="0086135E"/>
    <w:rsid w:val="008625E1"/>
    <w:rsid w:val="00862A2E"/>
    <w:rsid w:val="00862D88"/>
    <w:rsid w:val="008631D7"/>
    <w:rsid w:val="0086330A"/>
    <w:rsid w:val="008633C2"/>
    <w:rsid w:val="008634D9"/>
    <w:rsid w:val="00863A7B"/>
    <w:rsid w:val="00863EA8"/>
    <w:rsid w:val="0086417E"/>
    <w:rsid w:val="008659FF"/>
    <w:rsid w:val="00865B4C"/>
    <w:rsid w:val="00865DF7"/>
    <w:rsid w:val="00865F34"/>
    <w:rsid w:val="00866279"/>
    <w:rsid w:val="00867980"/>
    <w:rsid w:val="00867D24"/>
    <w:rsid w:val="00870208"/>
    <w:rsid w:val="00870558"/>
    <w:rsid w:val="00870EB5"/>
    <w:rsid w:val="008721BB"/>
    <w:rsid w:val="008726DB"/>
    <w:rsid w:val="008726ED"/>
    <w:rsid w:val="008726EF"/>
    <w:rsid w:val="00872C2E"/>
    <w:rsid w:val="0087335A"/>
    <w:rsid w:val="008734DA"/>
    <w:rsid w:val="00873D1B"/>
    <w:rsid w:val="00873F64"/>
    <w:rsid w:val="008744C1"/>
    <w:rsid w:val="00874879"/>
    <w:rsid w:val="00874A1D"/>
    <w:rsid w:val="00874B26"/>
    <w:rsid w:val="00874F5E"/>
    <w:rsid w:val="00874F8C"/>
    <w:rsid w:val="008752F9"/>
    <w:rsid w:val="00875E11"/>
    <w:rsid w:val="0087619E"/>
    <w:rsid w:val="00876498"/>
    <w:rsid w:val="00876528"/>
    <w:rsid w:val="00876B60"/>
    <w:rsid w:val="00876BA4"/>
    <w:rsid w:val="00876D1E"/>
    <w:rsid w:val="008803C1"/>
    <w:rsid w:val="0088055C"/>
    <w:rsid w:val="00880725"/>
    <w:rsid w:val="00880A38"/>
    <w:rsid w:val="00880CBE"/>
    <w:rsid w:val="00880D1F"/>
    <w:rsid w:val="00880F30"/>
    <w:rsid w:val="00881032"/>
    <w:rsid w:val="008816CB"/>
    <w:rsid w:val="00881CB2"/>
    <w:rsid w:val="00882253"/>
    <w:rsid w:val="00882EFC"/>
    <w:rsid w:val="008834D0"/>
    <w:rsid w:val="00883FED"/>
    <w:rsid w:val="00884413"/>
    <w:rsid w:val="00884568"/>
    <w:rsid w:val="00884A7F"/>
    <w:rsid w:val="00884C51"/>
    <w:rsid w:val="008850BC"/>
    <w:rsid w:val="00885861"/>
    <w:rsid w:val="0088594B"/>
    <w:rsid w:val="00886900"/>
    <w:rsid w:val="00886DD9"/>
    <w:rsid w:val="00886F9C"/>
    <w:rsid w:val="0088793E"/>
    <w:rsid w:val="00887B25"/>
    <w:rsid w:val="008900B1"/>
    <w:rsid w:val="0089020F"/>
    <w:rsid w:val="00890A38"/>
    <w:rsid w:val="00890D30"/>
    <w:rsid w:val="0089111D"/>
    <w:rsid w:val="00891750"/>
    <w:rsid w:val="008922EB"/>
    <w:rsid w:val="00892405"/>
    <w:rsid w:val="00892C54"/>
    <w:rsid w:val="00893925"/>
    <w:rsid w:val="00893ADB"/>
    <w:rsid w:val="0089420C"/>
    <w:rsid w:val="0089508D"/>
    <w:rsid w:val="00895AEE"/>
    <w:rsid w:val="00896919"/>
    <w:rsid w:val="00896FC6"/>
    <w:rsid w:val="00897057"/>
    <w:rsid w:val="008970F1"/>
    <w:rsid w:val="00897229"/>
    <w:rsid w:val="00897A80"/>
    <w:rsid w:val="00897D16"/>
    <w:rsid w:val="008A0781"/>
    <w:rsid w:val="008A0FE0"/>
    <w:rsid w:val="008A202E"/>
    <w:rsid w:val="008A265C"/>
    <w:rsid w:val="008A2CEF"/>
    <w:rsid w:val="008A2E3E"/>
    <w:rsid w:val="008A3F75"/>
    <w:rsid w:val="008A4328"/>
    <w:rsid w:val="008A46B5"/>
    <w:rsid w:val="008A4ADD"/>
    <w:rsid w:val="008A5859"/>
    <w:rsid w:val="008A607A"/>
    <w:rsid w:val="008A60AF"/>
    <w:rsid w:val="008A7481"/>
    <w:rsid w:val="008A74D9"/>
    <w:rsid w:val="008B0021"/>
    <w:rsid w:val="008B119D"/>
    <w:rsid w:val="008B131C"/>
    <w:rsid w:val="008B1CAA"/>
    <w:rsid w:val="008B1E31"/>
    <w:rsid w:val="008B2007"/>
    <w:rsid w:val="008B28A5"/>
    <w:rsid w:val="008B2B4A"/>
    <w:rsid w:val="008B30A7"/>
    <w:rsid w:val="008B4463"/>
    <w:rsid w:val="008B4F05"/>
    <w:rsid w:val="008B4FCC"/>
    <w:rsid w:val="008B50B9"/>
    <w:rsid w:val="008B5228"/>
    <w:rsid w:val="008B53C5"/>
    <w:rsid w:val="008B6140"/>
    <w:rsid w:val="008B61FB"/>
    <w:rsid w:val="008B626D"/>
    <w:rsid w:val="008B679D"/>
    <w:rsid w:val="008B6878"/>
    <w:rsid w:val="008B6C97"/>
    <w:rsid w:val="008B7535"/>
    <w:rsid w:val="008B7ECE"/>
    <w:rsid w:val="008C121C"/>
    <w:rsid w:val="008C1866"/>
    <w:rsid w:val="008C19A8"/>
    <w:rsid w:val="008C1A23"/>
    <w:rsid w:val="008C24B7"/>
    <w:rsid w:val="008C2545"/>
    <w:rsid w:val="008C27C5"/>
    <w:rsid w:val="008C2A5A"/>
    <w:rsid w:val="008C2AC5"/>
    <w:rsid w:val="008C2CC2"/>
    <w:rsid w:val="008C2E00"/>
    <w:rsid w:val="008C38B7"/>
    <w:rsid w:val="008C3D86"/>
    <w:rsid w:val="008C46AB"/>
    <w:rsid w:val="008C4F9E"/>
    <w:rsid w:val="008C51FD"/>
    <w:rsid w:val="008C52DB"/>
    <w:rsid w:val="008C579C"/>
    <w:rsid w:val="008C587A"/>
    <w:rsid w:val="008C5FC4"/>
    <w:rsid w:val="008C6D92"/>
    <w:rsid w:val="008C774F"/>
    <w:rsid w:val="008C7D31"/>
    <w:rsid w:val="008D0581"/>
    <w:rsid w:val="008D08DB"/>
    <w:rsid w:val="008D0A35"/>
    <w:rsid w:val="008D1891"/>
    <w:rsid w:val="008D1AB7"/>
    <w:rsid w:val="008D1C2C"/>
    <w:rsid w:val="008D2946"/>
    <w:rsid w:val="008D2BDC"/>
    <w:rsid w:val="008D2FB0"/>
    <w:rsid w:val="008D3084"/>
    <w:rsid w:val="008D31E0"/>
    <w:rsid w:val="008D38FA"/>
    <w:rsid w:val="008D3FCC"/>
    <w:rsid w:val="008D4733"/>
    <w:rsid w:val="008D4DC4"/>
    <w:rsid w:val="008D4FFB"/>
    <w:rsid w:val="008D60B3"/>
    <w:rsid w:val="008D6DBA"/>
    <w:rsid w:val="008D7E71"/>
    <w:rsid w:val="008E09D3"/>
    <w:rsid w:val="008E1037"/>
    <w:rsid w:val="008E1340"/>
    <w:rsid w:val="008E15EF"/>
    <w:rsid w:val="008E2215"/>
    <w:rsid w:val="008E231D"/>
    <w:rsid w:val="008E294F"/>
    <w:rsid w:val="008E3A67"/>
    <w:rsid w:val="008E426C"/>
    <w:rsid w:val="008E43CE"/>
    <w:rsid w:val="008E4538"/>
    <w:rsid w:val="008E5E9B"/>
    <w:rsid w:val="008E6FE9"/>
    <w:rsid w:val="008E7762"/>
    <w:rsid w:val="008F083F"/>
    <w:rsid w:val="008F08CE"/>
    <w:rsid w:val="008F0B10"/>
    <w:rsid w:val="008F1167"/>
    <w:rsid w:val="008F141E"/>
    <w:rsid w:val="008F1548"/>
    <w:rsid w:val="008F1555"/>
    <w:rsid w:val="008F23EA"/>
    <w:rsid w:val="008F2636"/>
    <w:rsid w:val="008F2EA0"/>
    <w:rsid w:val="008F3546"/>
    <w:rsid w:val="008F39DC"/>
    <w:rsid w:val="008F3D24"/>
    <w:rsid w:val="008F3D54"/>
    <w:rsid w:val="008F426A"/>
    <w:rsid w:val="008F4970"/>
    <w:rsid w:val="008F4997"/>
    <w:rsid w:val="008F5286"/>
    <w:rsid w:val="008F5309"/>
    <w:rsid w:val="008F5DE5"/>
    <w:rsid w:val="008F601C"/>
    <w:rsid w:val="008F60F8"/>
    <w:rsid w:val="008F61E0"/>
    <w:rsid w:val="008F6369"/>
    <w:rsid w:val="008F6699"/>
    <w:rsid w:val="008F7477"/>
    <w:rsid w:val="008F7CBF"/>
    <w:rsid w:val="008F7E99"/>
    <w:rsid w:val="00900046"/>
    <w:rsid w:val="0090010D"/>
    <w:rsid w:val="00900628"/>
    <w:rsid w:val="00900D0C"/>
    <w:rsid w:val="009023CE"/>
    <w:rsid w:val="00902FD3"/>
    <w:rsid w:val="0090324F"/>
    <w:rsid w:val="00903E77"/>
    <w:rsid w:val="009046F4"/>
    <w:rsid w:val="00904AFB"/>
    <w:rsid w:val="00905394"/>
    <w:rsid w:val="00905F5A"/>
    <w:rsid w:val="00906008"/>
    <w:rsid w:val="009061B0"/>
    <w:rsid w:val="00906A17"/>
    <w:rsid w:val="00906B20"/>
    <w:rsid w:val="00906E04"/>
    <w:rsid w:val="00906FBF"/>
    <w:rsid w:val="00907313"/>
    <w:rsid w:val="0090753E"/>
    <w:rsid w:val="0090797B"/>
    <w:rsid w:val="00907B3C"/>
    <w:rsid w:val="00910145"/>
    <w:rsid w:val="00910238"/>
    <w:rsid w:val="00910A11"/>
    <w:rsid w:val="00910E6A"/>
    <w:rsid w:val="009112C2"/>
    <w:rsid w:val="00911934"/>
    <w:rsid w:val="00912ABF"/>
    <w:rsid w:val="00912CD3"/>
    <w:rsid w:val="00913417"/>
    <w:rsid w:val="00914427"/>
    <w:rsid w:val="00914626"/>
    <w:rsid w:val="00914C78"/>
    <w:rsid w:val="00914D2A"/>
    <w:rsid w:val="00914EDB"/>
    <w:rsid w:val="00915CBC"/>
    <w:rsid w:val="00916A2B"/>
    <w:rsid w:val="00916EB5"/>
    <w:rsid w:val="009177D9"/>
    <w:rsid w:val="00917840"/>
    <w:rsid w:val="00917BFA"/>
    <w:rsid w:val="00917EC4"/>
    <w:rsid w:val="00917F1E"/>
    <w:rsid w:val="00920C3E"/>
    <w:rsid w:val="00920FAB"/>
    <w:rsid w:val="00921F75"/>
    <w:rsid w:val="00922124"/>
    <w:rsid w:val="00922A18"/>
    <w:rsid w:val="00922DA2"/>
    <w:rsid w:val="009231BE"/>
    <w:rsid w:val="00923677"/>
    <w:rsid w:val="00923F5F"/>
    <w:rsid w:val="00924508"/>
    <w:rsid w:val="00924653"/>
    <w:rsid w:val="00924E26"/>
    <w:rsid w:val="00925BB8"/>
    <w:rsid w:val="00925C96"/>
    <w:rsid w:val="00926586"/>
    <w:rsid w:val="009265CB"/>
    <w:rsid w:val="0092675F"/>
    <w:rsid w:val="00926EC2"/>
    <w:rsid w:val="009270D3"/>
    <w:rsid w:val="009271BA"/>
    <w:rsid w:val="009271DF"/>
    <w:rsid w:val="009275D2"/>
    <w:rsid w:val="009278F7"/>
    <w:rsid w:val="0092793D"/>
    <w:rsid w:val="00927A40"/>
    <w:rsid w:val="00930AB1"/>
    <w:rsid w:val="00930BEB"/>
    <w:rsid w:val="00931392"/>
    <w:rsid w:val="0093160B"/>
    <w:rsid w:val="0093165F"/>
    <w:rsid w:val="0093181F"/>
    <w:rsid w:val="00932A91"/>
    <w:rsid w:val="00933343"/>
    <w:rsid w:val="009339A1"/>
    <w:rsid w:val="009340C5"/>
    <w:rsid w:val="009340DB"/>
    <w:rsid w:val="0093458E"/>
    <w:rsid w:val="00934653"/>
    <w:rsid w:val="00934BA4"/>
    <w:rsid w:val="00935809"/>
    <w:rsid w:val="00935992"/>
    <w:rsid w:val="00935F96"/>
    <w:rsid w:val="00936250"/>
    <w:rsid w:val="009368B6"/>
    <w:rsid w:val="00936F27"/>
    <w:rsid w:val="00937950"/>
    <w:rsid w:val="00937F86"/>
    <w:rsid w:val="009408D6"/>
    <w:rsid w:val="00940FBC"/>
    <w:rsid w:val="009412D6"/>
    <w:rsid w:val="009413DD"/>
    <w:rsid w:val="009414D2"/>
    <w:rsid w:val="0094171C"/>
    <w:rsid w:val="00941EB1"/>
    <w:rsid w:val="00942091"/>
    <w:rsid w:val="0094242D"/>
    <w:rsid w:val="009429D0"/>
    <w:rsid w:val="00943056"/>
    <w:rsid w:val="009433B2"/>
    <w:rsid w:val="00943456"/>
    <w:rsid w:val="009435E3"/>
    <w:rsid w:val="009438A7"/>
    <w:rsid w:val="00943E44"/>
    <w:rsid w:val="00944CD8"/>
    <w:rsid w:val="00944F18"/>
    <w:rsid w:val="00945011"/>
    <w:rsid w:val="00946769"/>
    <w:rsid w:val="00946A3A"/>
    <w:rsid w:val="00946B5A"/>
    <w:rsid w:val="00946C0C"/>
    <w:rsid w:val="00947814"/>
    <w:rsid w:val="00947CC5"/>
    <w:rsid w:val="00947E2C"/>
    <w:rsid w:val="00947E5D"/>
    <w:rsid w:val="009502C9"/>
    <w:rsid w:val="0095075B"/>
    <w:rsid w:val="00950923"/>
    <w:rsid w:val="00950A9D"/>
    <w:rsid w:val="00950D2A"/>
    <w:rsid w:val="0095112E"/>
    <w:rsid w:val="00951256"/>
    <w:rsid w:val="00951486"/>
    <w:rsid w:val="0095193C"/>
    <w:rsid w:val="00951C5F"/>
    <w:rsid w:val="00951D58"/>
    <w:rsid w:val="00951F74"/>
    <w:rsid w:val="00952364"/>
    <w:rsid w:val="0095378A"/>
    <w:rsid w:val="009542C6"/>
    <w:rsid w:val="00954D27"/>
    <w:rsid w:val="009552C3"/>
    <w:rsid w:val="009553B3"/>
    <w:rsid w:val="009553D6"/>
    <w:rsid w:val="0095564F"/>
    <w:rsid w:val="009559C0"/>
    <w:rsid w:val="00955E01"/>
    <w:rsid w:val="009569BB"/>
    <w:rsid w:val="00956A96"/>
    <w:rsid w:val="00956C73"/>
    <w:rsid w:val="009570E9"/>
    <w:rsid w:val="009575CE"/>
    <w:rsid w:val="00957D02"/>
    <w:rsid w:val="009609AE"/>
    <w:rsid w:val="00960FEB"/>
    <w:rsid w:val="00961436"/>
    <w:rsid w:val="009614E6"/>
    <w:rsid w:val="00961684"/>
    <w:rsid w:val="009619E3"/>
    <w:rsid w:val="00961F82"/>
    <w:rsid w:val="009620CF"/>
    <w:rsid w:val="0096295B"/>
    <w:rsid w:val="00962B33"/>
    <w:rsid w:val="00962EDA"/>
    <w:rsid w:val="00962FA6"/>
    <w:rsid w:val="00963C59"/>
    <w:rsid w:val="009642BF"/>
    <w:rsid w:val="0096430B"/>
    <w:rsid w:val="00965199"/>
    <w:rsid w:val="00965EBA"/>
    <w:rsid w:val="0096661C"/>
    <w:rsid w:val="0096669D"/>
    <w:rsid w:val="00966B84"/>
    <w:rsid w:val="00966C25"/>
    <w:rsid w:val="00966E3A"/>
    <w:rsid w:val="009671D3"/>
    <w:rsid w:val="00967C48"/>
    <w:rsid w:val="009704C1"/>
    <w:rsid w:val="00970685"/>
    <w:rsid w:val="009707EC"/>
    <w:rsid w:val="009710BC"/>
    <w:rsid w:val="00972721"/>
    <w:rsid w:val="0097297D"/>
    <w:rsid w:val="00972A91"/>
    <w:rsid w:val="00973116"/>
    <w:rsid w:val="009731DB"/>
    <w:rsid w:val="0097353D"/>
    <w:rsid w:val="009736C9"/>
    <w:rsid w:val="00973ED6"/>
    <w:rsid w:val="00973FBF"/>
    <w:rsid w:val="009740B8"/>
    <w:rsid w:val="009745B3"/>
    <w:rsid w:val="00974A47"/>
    <w:rsid w:val="0097581B"/>
    <w:rsid w:val="0097607C"/>
    <w:rsid w:val="00976234"/>
    <w:rsid w:val="00976625"/>
    <w:rsid w:val="00976C7C"/>
    <w:rsid w:val="009775CA"/>
    <w:rsid w:val="00977651"/>
    <w:rsid w:val="00977B52"/>
    <w:rsid w:val="00980025"/>
    <w:rsid w:val="009805AB"/>
    <w:rsid w:val="0098061F"/>
    <w:rsid w:val="009808FA"/>
    <w:rsid w:val="0098091A"/>
    <w:rsid w:val="009814D2"/>
    <w:rsid w:val="009819A3"/>
    <w:rsid w:val="00981ACE"/>
    <w:rsid w:val="00982090"/>
    <w:rsid w:val="00982484"/>
    <w:rsid w:val="00982D94"/>
    <w:rsid w:val="00982E57"/>
    <w:rsid w:val="00983A7A"/>
    <w:rsid w:val="00983F0F"/>
    <w:rsid w:val="00983F20"/>
    <w:rsid w:val="00983F63"/>
    <w:rsid w:val="009848A8"/>
    <w:rsid w:val="00984911"/>
    <w:rsid w:val="00984BE5"/>
    <w:rsid w:val="00985201"/>
    <w:rsid w:val="00985272"/>
    <w:rsid w:val="00985490"/>
    <w:rsid w:val="0098596C"/>
    <w:rsid w:val="00986034"/>
    <w:rsid w:val="0098635B"/>
    <w:rsid w:val="00986E5A"/>
    <w:rsid w:val="00987B0B"/>
    <w:rsid w:val="00987F2E"/>
    <w:rsid w:val="009905B8"/>
    <w:rsid w:val="009907E6"/>
    <w:rsid w:val="00990BB2"/>
    <w:rsid w:val="009913C8"/>
    <w:rsid w:val="00991C14"/>
    <w:rsid w:val="00991CD5"/>
    <w:rsid w:val="0099218D"/>
    <w:rsid w:val="0099277B"/>
    <w:rsid w:val="009933C1"/>
    <w:rsid w:val="0099360D"/>
    <w:rsid w:val="00993948"/>
    <w:rsid w:val="00993F5A"/>
    <w:rsid w:val="0099471E"/>
    <w:rsid w:val="00994801"/>
    <w:rsid w:val="00994F60"/>
    <w:rsid w:val="009954B1"/>
    <w:rsid w:val="009955EA"/>
    <w:rsid w:val="0099690C"/>
    <w:rsid w:val="00996D6B"/>
    <w:rsid w:val="009A0623"/>
    <w:rsid w:val="009A1132"/>
    <w:rsid w:val="009A129C"/>
    <w:rsid w:val="009A141C"/>
    <w:rsid w:val="009A1515"/>
    <w:rsid w:val="009A16B9"/>
    <w:rsid w:val="009A1BDF"/>
    <w:rsid w:val="009A28E6"/>
    <w:rsid w:val="009A2A58"/>
    <w:rsid w:val="009A2B2B"/>
    <w:rsid w:val="009A2D99"/>
    <w:rsid w:val="009A2F52"/>
    <w:rsid w:val="009A31BF"/>
    <w:rsid w:val="009A5108"/>
    <w:rsid w:val="009A581E"/>
    <w:rsid w:val="009A5F8F"/>
    <w:rsid w:val="009A638A"/>
    <w:rsid w:val="009A659B"/>
    <w:rsid w:val="009A6FEF"/>
    <w:rsid w:val="009B01D2"/>
    <w:rsid w:val="009B0DB9"/>
    <w:rsid w:val="009B0DF1"/>
    <w:rsid w:val="009B15A8"/>
    <w:rsid w:val="009B1882"/>
    <w:rsid w:val="009B1BBB"/>
    <w:rsid w:val="009B1D83"/>
    <w:rsid w:val="009B1F70"/>
    <w:rsid w:val="009B1FF3"/>
    <w:rsid w:val="009B204C"/>
    <w:rsid w:val="009B22AF"/>
    <w:rsid w:val="009B3306"/>
    <w:rsid w:val="009B3521"/>
    <w:rsid w:val="009B3531"/>
    <w:rsid w:val="009B37A3"/>
    <w:rsid w:val="009B3D69"/>
    <w:rsid w:val="009B4087"/>
    <w:rsid w:val="009B4B69"/>
    <w:rsid w:val="009B4CAA"/>
    <w:rsid w:val="009B5CD8"/>
    <w:rsid w:val="009B5DDC"/>
    <w:rsid w:val="009B61F3"/>
    <w:rsid w:val="009B6984"/>
    <w:rsid w:val="009B6DA9"/>
    <w:rsid w:val="009B739D"/>
    <w:rsid w:val="009B749F"/>
    <w:rsid w:val="009B76AD"/>
    <w:rsid w:val="009B76DD"/>
    <w:rsid w:val="009B7BAA"/>
    <w:rsid w:val="009B7DE3"/>
    <w:rsid w:val="009B7EFA"/>
    <w:rsid w:val="009C0089"/>
    <w:rsid w:val="009C024B"/>
    <w:rsid w:val="009C0D24"/>
    <w:rsid w:val="009C1525"/>
    <w:rsid w:val="009C19C2"/>
    <w:rsid w:val="009C1A55"/>
    <w:rsid w:val="009C2BD6"/>
    <w:rsid w:val="009C3AC2"/>
    <w:rsid w:val="009C4BD1"/>
    <w:rsid w:val="009C4BE7"/>
    <w:rsid w:val="009C4FF4"/>
    <w:rsid w:val="009C5046"/>
    <w:rsid w:val="009C657C"/>
    <w:rsid w:val="009C6B58"/>
    <w:rsid w:val="009C6DB7"/>
    <w:rsid w:val="009C6E45"/>
    <w:rsid w:val="009C726D"/>
    <w:rsid w:val="009C7D64"/>
    <w:rsid w:val="009C7E89"/>
    <w:rsid w:val="009D00FA"/>
    <w:rsid w:val="009D0485"/>
    <w:rsid w:val="009D0694"/>
    <w:rsid w:val="009D0E54"/>
    <w:rsid w:val="009D2494"/>
    <w:rsid w:val="009D3023"/>
    <w:rsid w:val="009D312D"/>
    <w:rsid w:val="009D3398"/>
    <w:rsid w:val="009D35ED"/>
    <w:rsid w:val="009D3763"/>
    <w:rsid w:val="009D44D2"/>
    <w:rsid w:val="009D4894"/>
    <w:rsid w:val="009D491F"/>
    <w:rsid w:val="009D4BEE"/>
    <w:rsid w:val="009D5285"/>
    <w:rsid w:val="009D5488"/>
    <w:rsid w:val="009D6077"/>
    <w:rsid w:val="009D61F6"/>
    <w:rsid w:val="009D6F5B"/>
    <w:rsid w:val="009D7456"/>
    <w:rsid w:val="009D77A2"/>
    <w:rsid w:val="009D7D78"/>
    <w:rsid w:val="009E08AD"/>
    <w:rsid w:val="009E10BA"/>
    <w:rsid w:val="009E11E7"/>
    <w:rsid w:val="009E17D0"/>
    <w:rsid w:val="009E1AC5"/>
    <w:rsid w:val="009E1BAF"/>
    <w:rsid w:val="009E1E7C"/>
    <w:rsid w:val="009E3279"/>
    <w:rsid w:val="009E39EF"/>
    <w:rsid w:val="009E4109"/>
    <w:rsid w:val="009E4226"/>
    <w:rsid w:val="009E4735"/>
    <w:rsid w:val="009E4C73"/>
    <w:rsid w:val="009E4ED3"/>
    <w:rsid w:val="009E5321"/>
    <w:rsid w:val="009E609F"/>
    <w:rsid w:val="009E679B"/>
    <w:rsid w:val="009E68CB"/>
    <w:rsid w:val="009E6A0E"/>
    <w:rsid w:val="009E758A"/>
    <w:rsid w:val="009E781C"/>
    <w:rsid w:val="009E7A43"/>
    <w:rsid w:val="009E7D4B"/>
    <w:rsid w:val="009F076E"/>
    <w:rsid w:val="009F0817"/>
    <w:rsid w:val="009F0BAF"/>
    <w:rsid w:val="009F0C3A"/>
    <w:rsid w:val="009F0C50"/>
    <w:rsid w:val="009F0FC5"/>
    <w:rsid w:val="009F114D"/>
    <w:rsid w:val="009F143F"/>
    <w:rsid w:val="009F1758"/>
    <w:rsid w:val="009F196C"/>
    <w:rsid w:val="009F1D0F"/>
    <w:rsid w:val="009F1D8D"/>
    <w:rsid w:val="009F24F0"/>
    <w:rsid w:val="009F28AC"/>
    <w:rsid w:val="009F2B48"/>
    <w:rsid w:val="009F2F51"/>
    <w:rsid w:val="009F30D8"/>
    <w:rsid w:val="009F3471"/>
    <w:rsid w:val="009F3C04"/>
    <w:rsid w:val="009F3DB1"/>
    <w:rsid w:val="009F47E2"/>
    <w:rsid w:val="009F4816"/>
    <w:rsid w:val="009F4DCF"/>
    <w:rsid w:val="009F51E3"/>
    <w:rsid w:val="009F5999"/>
    <w:rsid w:val="009F5E1E"/>
    <w:rsid w:val="009F6E37"/>
    <w:rsid w:val="009F71FD"/>
    <w:rsid w:val="009F7DB9"/>
    <w:rsid w:val="00A0009F"/>
    <w:rsid w:val="00A00159"/>
    <w:rsid w:val="00A0065D"/>
    <w:rsid w:val="00A0076C"/>
    <w:rsid w:val="00A01081"/>
    <w:rsid w:val="00A02027"/>
    <w:rsid w:val="00A02CB0"/>
    <w:rsid w:val="00A02FBD"/>
    <w:rsid w:val="00A031F4"/>
    <w:rsid w:val="00A03698"/>
    <w:rsid w:val="00A039E4"/>
    <w:rsid w:val="00A03A3F"/>
    <w:rsid w:val="00A03B2C"/>
    <w:rsid w:val="00A040C4"/>
    <w:rsid w:val="00A043F1"/>
    <w:rsid w:val="00A049F2"/>
    <w:rsid w:val="00A04C99"/>
    <w:rsid w:val="00A05640"/>
    <w:rsid w:val="00A056C8"/>
    <w:rsid w:val="00A05BD0"/>
    <w:rsid w:val="00A05F0F"/>
    <w:rsid w:val="00A05FAF"/>
    <w:rsid w:val="00A065F5"/>
    <w:rsid w:val="00A06B54"/>
    <w:rsid w:val="00A06C7F"/>
    <w:rsid w:val="00A06E2B"/>
    <w:rsid w:val="00A07787"/>
    <w:rsid w:val="00A07DC7"/>
    <w:rsid w:val="00A101BC"/>
    <w:rsid w:val="00A105FF"/>
    <w:rsid w:val="00A1088D"/>
    <w:rsid w:val="00A10CE3"/>
    <w:rsid w:val="00A1136C"/>
    <w:rsid w:val="00A11478"/>
    <w:rsid w:val="00A13370"/>
    <w:rsid w:val="00A134CB"/>
    <w:rsid w:val="00A138B8"/>
    <w:rsid w:val="00A13D4F"/>
    <w:rsid w:val="00A13E48"/>
    <w:rsid w:val="00A1432D"/>
    <w:rsid w:val="00A143FF"/>
    <w:rsid w:val="00A14530"/>
    <w:rsid w:val="00A146A0"/>
    <w:rsid w:val="00A14813"/>
    <w:rsid w:val="00A14A40"/>
    <w:rsid w:val="00A1573A"/>
    <w:rsid w:val="00A16EB5"/>
    <w:rsid w:val="00A17545"/>
    <w:rsid w:val="00A176E2"/>
    <w:rsid w:val="00A17A20"/>
    <w:rsid w:val="00A17C78"/>
    <w:rsid w:val="00A20CAF"/>
    <w:rsid w:val="00A212B5"/>
    <w:rsid w:val="00A219CD"/>
    <w:rsid w:val="00A21AD7"/>
    <w:rsid w:val="00A21F60"/>
    <w:rsid w:val="00A224C0"/>
    <w:rsid w:val="00A22C4A"/>
    <w:rsid w:val="00A22E11"/>
    <w:rsid w:val="00A23B08"/>
    <w:rsid w:val="00A23BBF"/>
    <w:rsid w:val="00A23F4C"/>
    <w:rsid w:val="00A2454C"/>
    <w:rsid w:val="00A24678"/>
    <w:rsid w:val="00A246D3"/>
    <w:rsid w:val="00A246FF"/>
    <w:rsid w:val="00A24961"/>
    <w:rsid w:val="00A24CAB"/>
    <w:rsid w:val="00A24F74"/>
    <w:rsid w:val="00A257D6"/>
    <w:rsid w:val="00A257DA"/>
    <w:rsid w:val="00A26645"/>
    <w:rsid w:val="00A26871"/>
    <w:rsid w:val="00A26A9E"/>
    <w:rsid w:val="00A27177"/>
    <w:rsid w:val="00A2752D"/>
    <w:rsid w:val="00A30157"/>
    <w:rsid w:val="00A301E8"/>
    <w:rsid w:val="00A3070D"/>
    <w:rsid w:val="00A30CB0"/>
    <w:rsid w:val="00A31233"/>
    <w:rsid w:val="00A319EE"/>
    <w:rsid w:val="00A31E27"/>
    <w:rsid w:val="00A325BB"/>
    <w:rsid w:val="00A3297C"/>
    <w:rsid w:val="00A32EA4"/>
    <w:rsid w:val="00A34622"/>
    <w:rsid w:val="00A346B5"/>
    <w:rsid w:val="00A3483A"/>
    <w:rsid w:val="00A34AD8"/>
    <w:rsid w:val="00A357CC"/>
    <w:rsid w:val="00A35B0B"/>
    <w:rsid w:val="00A35C6D"/>
    <w:rsid w:val="00A36123"/>
    <w:rsid w:val="00A3620A"/>
    <w:rsid w:val="00A368EB"/>
    <w:rsid w:val="00A36D75"/>
    <w:rsid w:val="00A373E6"/>
    <w:rsid w:val="00A375A6"/>
    <w:rsid w:val="00A40337"/>
    <w:rsid w:val="00A40577"/>
    <w:rsid w:val="00A40B65"/>
    <w:rsid w:val="00A41137"/>
    <w:rsid w:val="00A41403"/>
    <w:rsid w:val="00A41415"/>
    <w:rsid w:val="00A41AC3"/>
    <w:rsid w:val="00A41B60"/>
    <w:rsid w:val="00A41D19"/>
    <w:rsid w:val="00A423FD"/>
    <w:rsid w:val="00A42545"/>
    <w:rsid w:val="00A42CA7"/>
    <w:rsid w:val="00A42D9A"/>
    <w:rsid w:val="00A430F6"/>
    <w:rsid w:val="00A43544"/>
    <w:rsid w:val="00A4367F"/>
    <w:rsid w:val="00A43841"/>
    <w:rsid w:val="00A43990"/>
    <w:rsid w:val="00A43BEF"/>
    <w:rsid w:val="00A43E79"/>
    <w:rsid w:val="00A445AB"/>
    <w:rsid w:val="00A445C0"/>
    <w:rsid w:val="00A4495C"/>
    <w:rsid w:val="00A4571F"/>
    <w:rsid w:val="00A46851"/>
    <w:rsid w:val="00A46A8D"/>
    <w:rsid w:val="00A4796B"/>
    <w:rsid w:val="00A51BF0"/>
    <w:rsid w:val="00A5246A"/>
    <w:rsid w:val="00A52FC0"/>
    <w:rsid w:val="00A530F5"/>
    <w:rsid w:val="00A5319E"/>
    <w:rsid w:val="00A538FD"/>
    <w:rsid w:val="00A540E4"/>
    <w:rsid w:val="00A54280"/>
    <w:rsid w:val="00A55762"/>
    <w:rsid w:val="00A5596D"/>
    <w:rsid w:val="00A55A5C"/>
    <w:rsid w:val="00A55DA6"/>
    <w:rsid w:val="00A55E98"/>
    <w:rsid w:val="00A566F3"/>
    <w:rsid w:val="00A56E05"/>
    <w:rsid w:val="00A570DB"/>
    <w:rsid w:val="00A57990"/>
    <w:rsid w:val="00A57BA1"/>
    <w:rsid w:val="00A57E16"/>
    <w:rsid w:val="00A601B7"/>
    <w:rsid w:val="00A60B2B"/>
    <w:rsid w:val="00A60E37"/>
    <w:rsid w:val="00A61E38"/>
    <w:rsid w:val="00A61EFE"/>
    <w:rsid w:val="00A6259F"/>
    <w:rsid w:val="00A62F37"/>
    <w:rsid w:val="00A633FF"/>
    <w:rsid w:val="00A63CA7"/>
    <w:rsid w:val="00A64AF0"/>
    <w:rsid w:val="00A64C3E"/>
    <w:rsid w:val="00A64C84"/>
    <w:rsid w:val="00A6509F"/>
    <w:rsid w:val="00A65831"/>
    <w:rsid w:val="00A659A1"/>
    <w:rsid w:val="00A65F5A"/>
    <w:rsid w:val="00A66045"/>
    <w:rsid w:val="00A66115"/>
    <w:rsid w:val="00A66197"/>
    <w:rsid w:val="00A66434"/>
    <w:rsid w:val="00A6672D"/>
    <w:rsid w:val="00A67380"/>
    <w:rsid w:val="00A67765"/>
    <w:rsid w:val="00A677E2"/>
    <w:rsid w:val="00A678FB"/>
    <w:rsid w:val="00A67E2B"/>
    <w:rsid w:val="00A70540"/>
    <w:rsid w:val="00A70D84"/>
    <w:rsid w:val="00A71180"/>
    <w:rsid w:val="00A716A8"/>
    <w:rsid w:val="00A71F53"/>
    <w:rsid w:val="00A7279D"/>
    <w:rsid w:val="00A72DFB"/>
    <w:rsid w:val="00A7344A"/>
    <w:rsid w:val="00A73F83"/>
    <w:rsid w:val="00A742CC"/>
    <w:rsid w:val="00A74D92"/>
    <w:rsid w:val="00A753DC"/>
    <w:rsid w:val="00A75944"/>
    <w:rsid w:val="00A774AF"/>
    <w:rsid w:val="00A774D3"/>
    <w:rsid w:val="00A775E7"/>
    <w:rsid w:val="00A778E0"/>
    <w:rsid w:val="00A77D6A"/>
    <w:rsid w:val="00A80640"/>
    <w:rsid w:val="00A80990"/>
    <w:rsid w:val="00A809B2"/>
    <w:rsid w:val="00A80B2E"/>
    <w:rsid w:val="00A80D7C"/>
    <w:rsid w:val="00A814C9"/>
    <w:rsid w:val="00A81565"/>
    <w:rsid w:val="00A816E5"/>
    <w:rsid w:val="00A81E27"/>
    <w:rsid w:val="00A824DE"/>
    <w:rsid w:val="00A82F1F"/>
    <w:rsid w:val="00A82F29"/>
    <w:rsid w:val="00A82FAA"/>
    <w:rsid w:val="00A835D7"/>
    <w:rsid w:val="00A836D0"/>
    <w:rsid w:val="00A83AB3"/>
    <w:rsid w:val="00A841C6"/>
    <w:rsid w:val="00A84970"/>
    <w:rsid w:val="00A84F1F"/>
    <w:rsid w:val="00A85718"/>
    <w:rsid w:val="00A857DB"/>
    <w:rsid w:val="00A85E20"/>
    <w:rsid w:val="00A85EB7"/>
    <w:rsid w:val="00A861BE"/>
    <w:rsid w:val="00A86889"/>
    <w:rsid w:val="00A870A8"/>
    <w:rsid w:val="00A87B4A"/>
    <w:rsid w:val="00A87D2C"/>
    <w:rsid w:val="00A90A1F"/>
    <w:rsid w:val="00A90D50"/>
    <w:rsid w:val="00A90DB8"/>
    <w:rsid w:val="00A920B7"/>
    <w:rsid w:val="00A92AA0"/>
    <w:rsid w:val="00A92B11"/>
    <w:rsid w:val="00A935D1"/>
    <w:rsid w:val="00A93C2D"/>
    <w:rsid w:val="00A93DBE"/>
    <w:rsid w:val="00A94156"/>
    <w:rsid w:val="00A9475D"/>
    <w:rsid w:val="00A94DF9"/>
    <w:rsid w:val="00A9691F"/>
    <w:rsid w:val="00A978AA"/>
    <w:rsid w:val="00AA034B"/>
    <w:rsid w:val="00AA05B2"/>
    <w:rsid w:val="00AA0822"/>
    <w:rsid w:val="00AA0947"/>
    <w:rsid w:val="00AA09D7"/>
    <w:rsid w:val="00AA0C64"/>
    <w:rsid w:val="00AA23E5"/>
    <w:rsid w:val="00AA266B"/>
    <w:rsid w:val="00AA29A4"/>
    <w:rsid w:val="00AA36E2"/>
    <w:rsid w:val="00AA4133"/>
    <w:rsid w:val="00AA4A6E"/>
    <w:rsid w:val="00AA51D4"/>
    <w:rsid w:val="00AA5359"/>
    <w:rsid w:val="00AA53EE"/>
    <w:rsid w:val="00AA5E40"/>
    <w:rsid w:val="00AA6129"/>
    <w:rsid w:val="00AA614E"/>
    <w:rsid w:val="00AA64B9"/>
    <w:rsid w:val="00AA662E"/>
    <w:rsid w:val="00AA7BC2"/>
    <w:rsid w:val="00AB017D"/>
    <w:rsid w:val="00AB0BC9"/>
    <w:rsid w:val="00AB148A"/>
    <w:rsid w:val="00AB1B55"/>
    <w:rsid w:val="00AB1C4D"/>
    <w:rsid w:val="00AB1EA9"/>
    <w:rsid w:val="00AB1EC7"/>
    <w:rsid w:val="00AB22FE"/>
    <w:rsid w:val="00AB27EB"/>
    <w:rsid w:val="00AB29AA"/>
    <w:rsid w:val="00AB31A0"/>
    <w:rsid w:val="00AB32BE"/>
    <w:rsid w:val="00AB3383"/>
    <w:rsid w:val="00AB366F"/>
    <w:rsid w:val="00AB3977"/>
    <w:rsid w:val="00AB3D3C"/>
    <w:rsid w:val="00AB3EAF"/>
    <w:rsid w:val="00AB514A"/>
    <w:rsid w:val="00AB5232"/>
    <w:rsid w:val="00AB525A"/>
    <w:rsid w:val="00AB53E5"/>
    <w:rsid w:val="00AB5402"/>
    <w:rsid w:val="00AB5632"/>
    <w:rsid w:val="00AB697C"/>
    <w:rsid w:val="00AB6AAC"/>
    <w:rsid w:val="00AB6CA9"/>
    <w:rsid w:val="00AB6D6C"/>
    <w:rsid w:val="00AB6FE7"/>
    <w:rsid w:val="00AB70CE"/>
    <w:rsid w:val="00AB73A4"/>
    <w:rsid w:val="00AB745F"/>
    <w:rsid w:val="00AB750B"/>
    <w:rsid w:val="00AB7F5D"/>
    <w:rsid w:val="00AC028E"/>
    <w:rsid w:val="00AC0B15"/>
    <w:rsid w:val="00AC0B3B"/>
    <w:rsid w:val="00AC0EEA"/>
    <w:rsid w:val="00AC0F3F"/>
    <w:rsid w:val="00AC10F2"/>
    <w:rsid w:val="00AC16F4"/>
    <w:rsid w:val="00AC2450"/>
    <w:rsid w:val="00AC25D2"/>
    <w:rsid w:val="00AC3199"/>
    <w:rsid w:val="00AC32BD"/>
    <w:rsid w:val="00AC35E3"/>
    <w:rsid w:val="00AC42D2"/>
    <w:rsid w:val="00AC44CD"/>
    <w:rsid w:val="00AC44DE"/>
    <w:rsid w:val="00AC46C1"/>
    <w:rsid w:val="00AC46DC"/>
    <w:rsid w:val="00AC47D0"/>
    <w:rsid w:val="00AC51AC"/>
    <w:rsid w:val="00AC55B0"/>
    <w:rsid w:val="00AC693D"/>
    <w:rsid w:val="00AC6C44"/>
    <w:rsid w:val="00AC712B"/>
    <w:rsid w:val="00AC720F"/>
    <w:rsid w:val="00AC75DB"/>
    <w:rsid w:val="00AC7E0F"/>
    <w:rsid w:val="00AC7E8E"/>
    <w:rsid w:val="00AD054F"/>
    <w:rsid w:val="00AD0A1B"/>
    <w:rsid w:val="00AD0A69"/>
    <w:rsid w:val="00AD0FDA"/>
    <w:rsid w:val="00AD1251"/>
    <w:rsid w:val="00AD15B2"/>
    <w:rsid w:val="00AD18A6"/>
    <w:rsid w:val="00AD1926"/>
    <w:rsid w:val="00AD1C51"/>
    <w:rsid w:val="00AD273E"/>
    <w:rsid w:val="00AD3517"/>
    <w:rsid w:val="00AD3530"/>
    <w:rsid w:val="00AD3B9A"/>
    <w:rsid w:val="00AD3BF4"/>
    <w:rsid w:val="00AD3E0D"/>
    <w:rsid w:val="00AD3F51"/>
    <w:rsid w:val="00AD4046"/>
    <w:rsid w:val="00AD4A85"/>
    <w:rsid w:val="00AD4ED3"/>
    <w:rsid w:val="00AD4F4A"/>
    <w:rsid w:val="00AD4F68"/>
    <w:rsid w:val="00AD5144"/>
    <w:rsid w:val="00AD54CD"/>
    <w:rsid w:val="00AD5719"/>
    <w:rsid w:val="00AD58A8"/>
    <w:rsid w:val="00AD5E5A"/>
    <w:rsid w:val="00AD64FB"/>
    <w:rsid w:val="00AD6DD2"/>
    <w:rsid w:val="00AD6EEA"/>
    <w:rsid w:val="00AD72FE"/>
    <w:rsid w:val="00AD749A"/>
    <w:rsid w:val="00AD7DE8"/>
    <w:rsid w:val="00AD7F0A"/>
    <w:rsid w:val="00AE02F5"/>
    <w:rsid w:val="00AE07E9"/>
    <w:rsid w:val="00AE0E55"/>
    <w:rsid w:val="00AE17A5"/>
    <w:rsid w:val="00AE19A7"/>
    <w:rsid w:val="00AE2072"/>
    <w:rsid w:val="00AE2810"/>
    <w:rsid w:val="00AE2CE6"/>
    <w:rsid w:val="00AE3035"/>
    <w:rsid w:val="00AE37D4"/>
    <w:rsid w:val="00AE3B23"/>
    <w:rsid w:val="00AE3F63"/>
    <w:rsid w:val="00AE41BD"/>
    <w:rsid w:val="00AE479D"/>
    <w:rsid w:val="00AE5074"/>
    <w:rsid w:val="00AE5EE8"/>
    <w:rsid w:val="00AE63C3"/>
    <w:rsid w:val="00AE63CA"/>
    <w:rsid w:val="00AE6A3B"/>
    <w:rsid w:val="00AE6AE0"/>
    <w:rsid w:val="00AE75ED"/>
    <w:rsid w:val="00AE7C1E"/>
    <w:rsid w:val="00AE7D64"/>
    <w:rsid w:val="00AF0462"/>
    <w:rsid w:val="00AF0B64"/>
    <w:rsid w:val="00AF0D18"/>
    <w:rsid w:val="00AF1771"/>
    <w:rsid w:val="00AF2179"/>
    <w:rsid w:val="00AF2889"/>
    <w:rsid w:val="00AF2F85"/>
    <w:rsid w:val="00AF361B"/>
    <w:rsid w:val="00AF3B6A"/>
    <w:rsid w:val="00AF4D85"/>
    <w:rsid w:val="00AF57C1"/>
    <w:rsid w:val="00AF603E"/>
    <w:rsid w:val="00AF6164"/>
    <w:rsid w:val="00AF6371"/>
    <w:rsid w:val="00AF682A"/>
    <w:rsid w:val="00AF7494"/>
    <w:rsid w:val="00AF74D7"/>
    <w:rsid w:val="00AF7B4F"/>
    <w:rsid w:val="00B001BE"/>
    <w:rsid w:val="00B001E1"/>
    <w:rsid w:val="00B005C4"/>
    <w:rsid w:val="00B006BD"/>
    <w:rsid w:val="00B00D7C"/>
    <w:rsid w:val="00B010F8"/>
    <w:rsid w:val="00B0141A"/>
    <w:rsid w:val="00B01EDC"/>
    <w:rsid w:val="00B01FA6"/>
    <w:rsid w:val="00B02329"/>
    <w:rsid w:val="00B02B1F"/>
    <w:rsid w:val="00B02E5C"/>
    <w:rsid w:val="00B03130"/>
    <w:rsid w:val="00B032FF"/>
    <w:rsid w:val="00B03608"/>
    <w:rsid w:val="00B03657"/>
    <w:rsid w:val="00B03C16"/>
    <w:rsid w:val="00B04527"/>
    <w:rsid w:val="00B0453D"/>
    <w:rsid w:val="00B046C3"/>
    <w:rsid w:val="00B04989"/>
    <w:rsid w:val="00B04A18"/>
    <w:rsid w:val="00B04CEA"/>
    <w:rsid w:val="00B04D63"/>
    <w:rsid w:val="00B05365"/>
    <w:rsid w:val="00B05A2A"/>
    <w:rsid w:val="00B06007"/>
    <w:rsid w:val="00B064F7"/>
    <w:rsid w:val="00B06A3A"/>
    <w:rsid w:val="00B07C96"/>
    <w:rsid w:val="00B10951"/>
    <w:rsid w:val="00B10C90"/>
    <w:rsid w:val="00B10CAA"/>
    <w:rsid w:val="00B10DFA"/>
    <w:rsid w:val="00B11A23"/>
    <w:rsid w:val="00B11B00"/>
    <w:rsid w:val="00B120E7"/>
    <w:rsid w:val="00B126F4"/>
    <w:rsid w:val="00B130E9"/>
    <w:rsid w:val="00B1369D"/>
    <w:rsid w:val="00B1399A"/>
    <w:rsid w:val="00B14C0B"/>
    <w:rsid w:val="00B14F87"/>
    <w:rsid w:val="00B15635"/>
    <w:rsid w:val="00B15EBB"/>
    <w:rsid w:val="00B16278"/>
    <w:rsid w:val="00B16921"/>
    <w:rsid w:val="00B1693D"/>
    <w:rsid w:val="00B16B46"/>
    <w:rsid w:val="00B16B5F"/>
    <w:rsid w:val="00B16FED"/>
    <w:rsid w:val="00B17666"/>
    <w:rsid w:val="00B17A7A"/>
    <w:rsid w:val="00B17EBE"/>
    <w:rsid w:val="00B20030"/>
    <w:rsid w:val="00B207C5"/>
    <w:rsid w:val="00B214CE"/>
    <w:rsid w:val="00B218D2"/>
    <w:rsid w:val="00B21AB5"/>
    <w:rsid w:val="00B2254B"/>
    <w:rsid w:val="00B228E6"/>
    <w:rsid w:val="00B23776"/>
    <w:rsid w:val="00B23A6C"/>
    <w:rsid w:val="00B23D33"/>
    <w:rsid w:val="00B244B9"/>
    <w:rsid w:val="00B247A0"/>
    <w:rsid w:val="00B24C3F"/>
    <w:rsid w:val="00B24ED2"/>
    <w:rsid w:val="00B25342"/>
    <w:rsid w:val="00B25C47"/>
    <w:rsid w:val="00B262E6"/>
    <w:rsid w:val="00B26D35"/>
    <w:rsid w:val="00B270B2"/>
    <w:rsid w:val="00B27115"/>
    <w:rsid w:val="00B27427"/>
    <w:rsid w:val="00B2754A"/>
    <w:rsid w:val="00B302D5"/>
    <w:rsid w:val="00B30BE7"/>
    <w:rsid w:val="00B30BEE"/>
    <w:rsid w:val="00B30C9A"/>
    <w:rsid w:val="00B3106A"/>
    <w:rsid w:val="00B312BD"/>
    <w:rsid w:val="00B313A4"/>
    <w:rsid w:val="00B31582"/>
    <w:rsid w:val="00B319B1"/>
    <w:rsid w:val="00B32623"/>
    <w:rsid w:val="00B334E2"/>
    <w:rsid w:val="00B337E1"/>
    <w:rsid w:val="00B33A71"/>
    <w:rsid w:val="00B34802"/>
    <w:rsid w:val="00B34B2D"/>
    <w:rsid w:val="00B34B8E"/>
    <w:rsid w:val="00B3521D"/>
    <w:rsid w:val="00B353FE"/>
    <w:rsid w:val="00B35C1A"/>
    <w:rsid w:val="00B361B0"/>
    <w:rsid w:val="00B362CE"/>
    <w:rsid w:val="00B36398"/>
    <w:rsid w:val="00B36BCB"/>
    <w:rsid w:val="00B36EFA"/>
    <w:rsid w:val="00B37437"/>
    <w:rsid w:val="00B37640"/>
    <w:rsid w:val="00B37D9D"/>
    <w:rsid w:val="00B37DC3"/>
    <w:rsid w:val="00B40177"/>
    <w:rsid w:val="00B40467"/>
    <w:rsid w:val="00B40960"/>
    <w:rsid w:val="00B413E4"/>
    <w:rsid w:val="00B4180E"/>
    <w:rsid w:val="00B41E60"/>
    <w:rsid w:val="00B423A1"/>
    <w:rsid w:val="00B423A8"/>
    <w:rsid w:val="00B428FF"/>
    <w:rsid w:val="00B42A2D"/>
    <w:rsid w:val="00B43023"/>
    <w:rsid w:val="00B43114"/>
    <w:rsid w:val="00B4375E"/>
    <w:rsid w:val="00B43770"/>
    <w:rsid w:val="00B43F29"/>
    <w:rsid w:val="00B442E0"/>
    <w:rsid w:val="00B44537"/>
    <w:rsid w:val="00B445A6"/>
    <w:rsid w:val="00B4499D"/>
    <w:rsid w:val="00B452E6"/>
    <w:rsid w:val="00B45354"/>
    <w:rsid w:val="00B453BE"/>
    <w:rsid w:val="00B4547A"/>
    <w:rsid w:val="00B455AE"/>
    <w:rsid w:val="00B45C9F"/>
    <w:rsid w:val="00B45FFD"/>
    <w:rsid w:val="00B4601E"/>
    <w:rsid w:val="00B461C7"/>
    <w:rsid w:val="00B4655A"/>
    <w:rsid w:val="00B468A1"/>
    <w:rsid w:val="00B46B1B"/>
    <w:rsid w:val="00B46C92"/>
    <w:rsid w:val="00B47006"/>
    <w:rsid w:val="00B472C3"/>
    <w:rsid w:val="00B478CE"/>
    <w:rsid w:val="00B47C87"/>
    <w:rsid w:val="00B47D83"/>
    <w:rsid w:val="00B50377"/>
    <w:rsid w:val="00B506A6"/>
    <w:rsid w:val="00B5075D"/>
    <w:rsid w:val="00B5112D"/>
    <w:rsid w:val="00B5148F"/>
    <w:rsid w:val="00B51EDC"/>
    <w:rsid w:val="00B51FE7"/>
    <w:rsid w:val="00B521F3"/>
    <w:rsid w:val="00B52C0A"/>
    <w:rsid w:val="00B53529"/>
    <w:rsid w:val="00B539F0"/>
    <w:rsid w:val="00B53D9B"/>
    <w:rsid w:val="00B5443C"/>
    <w:rsid w:val="00B545CE"/>
    <w:rsid w:val="00B5464D"/>
    <w:rsid w:val="00B54793"/>
    <w:rsid w:val="00B54DC1"/>
    <w:rsid w:val="00B54EDB"/>
    <w:rsid w:val="00B55214"/>
    <w:rsid w:val="00B56D5E"/>
    <w:rsid w:val="00B56FD6"/>
    <w:rsid w:val="00B57265"/>
    <w:rsid w:val="00B572AD"/>
    <w:rsid w:val="00B574DB"/>
    <w:rsid w:val="00B575D6"/>
    <w:rsid w:val="00B57D8B"/>
    <w:rsid w:val="00B57FF9"/>
    <w:rsid w:val="00B609CA"/>
    <w:rsid w:val="00B609F0"/>
    <w:rsid w:val="00B6150E"/>
    <w:rsid w:val="00B62626"/>
    <w:rsid w:val="00B627FD"/>
    <w:rsid w:val="00B6354D"/>
    <w:rsid w:val="00B63FB2"/>
    <w:rsid w:val="00B64349"/>
    <w:rsid w:val="00B64A33"/>
    <w:rsid w:val="00B6575E"/>
    <w:rsid w:val="00B65CC4"/>
    <w:rsid w:val="00B660D1"/>
    <w:rsid w:val="00B66B66"/>
    <w:rsid w:val="00B67302"/>
    <w:rsid w:val="00B67D66"/>
    <w:rsid w:val="00B700CE"/>
    <w:rsid w:val="00B704CE"/>
    <w:rsid w:val="00B706DD"/>
    <w:rsid w:val="00B7098E"/>
    <w:rsid w:val="00B70CF2"/>
    <w:rsid w:val="00B70E85"/>
    <w:rsid w:val="00B71123"/>
    <w:rsid w:val="00B713C0"/>
    <w:rsid w:val="00B7173F"/>
    <w:rsid w:val="00B71D26"/>
    <w:rsid w:val="00B72282"/>
    <w:rsid w:val="00B72717"/>
    <w:rsid w:val="00B7284F"/>
    <w:rsid w:val="00B72E7D"/>
    <w:rsid w:val="00B73895"/>
    <w:rsid w:val="00B744BB"/>
    <w:rsid w:val="00B750E2"/>
    <w:rsid w:val="00B75160"/>
    <w:rsid w:val="00B75230"/>
    <w:rsid w:val="00B75B0A"/>
    <w:rsid w:val="00B75FFC"/>
    <w:rsid w:val="00B7602B"/>
    <w:rsid w:val="00B8169C"/>
    <w:rsid w:val="00B819BD"/>
    <w:rsid w:val="00B81EE3"/>
    <w:rsid w:val="00B82108"/>
    <w:rsid w:val="00B824AB"/>
    <w:rsid w:val="00B84082"/>
    <w:rsid w:val="00B8429D"/>
    <w:rsid w:val="00B84320"/>
    <w:rsid w:val="00B845BE"/>
    <w:rsid w:val="00B84734"/>
    <w:rsid w:val="00B848BD"/>
    <w:rsid w:val="00B84928"/>
    <w:rsid w:val="00B84DF9"/>
    <w:rsid w:val="00B86030"/>
    <w:rsid w:val="00B86AC9"/>
    <w:rsid w:val="00B86B9F"/>
    <w:rsid w:val="00B8759A"/>
    <w:rsid w:val="00B87744"/>
    <w:rsid w:val="00B90EAA"/>
    <w:rsid w:val="00B91438"/>
    <w:rsid w:val="00B9144A"/>
    <w:rsid w:val="00B915FF"/>
    <w:rsid w:val="00B91793"/>
    <w:rsid w:val="00B92121"/>
    <w:rsid w:val="00B924AA"/>
    <w:rsid w:val="00B93368"/>
    <w:rsid w:val="00B93627"/>
    <w:rsid w:val="00B93DE5"/>
    <w:rsid w:val="00B9405D"/>
    <w:rsid w:val="00B9420E"/>
    <w:rsid w:val="00B942D2"/>
    <w:rsid w:val="00B9445A"/>
    <w:rsid w:val="00B94735"/>
    <w:rsid w:val="00B95D24"/>
    <w:rsid w:val="00B961F1"/>
    <w:rsid w:val="00B962CD"/>
    <w:rsid w:val="00B97742"/>
    <w:rsid w:val="00B977F1"/>
    <w:rsid w:val="00B97B5B"/>
    <w:rsid w:val="00BA02D8"/>
    <w:rsid w:val="00BA04D1"/>
    <w:rsid w:val="00BA05CC"/>
    <w:rsid w:val="00BA063F"/>
    <w:rsid w:val="00BA06D7"/>
    <w:rsid w:val="00BA09FF"/>
    <w:rsid w:val="00BA191A"/>
    <w:rsid w:val="00BA1BCF"/>
    <w:rsid w:val="00BA20B9"/>
    <w:rsid w:val="00BA2EEE"/>
    <w:rsid w:val="00BA30DE"/>
    <w:rsid w:val="00BA34E8"/>
    <w:rsid w:val="00BA3A05"/>
    <w:rsid w:val="00BA3A62"/>
    <w:rsid w:val="00BA3E4F"/>
    <w:rsid w:val="00BA4A57"/>
    <w:rsid w:val="00BA5B57"/>
    <w:rsid w:val="00BA60F6"/>
    <w:rsid w:val="00BA6179"/>
    <w:rsid w:val="00BA69D4"/>
    <w:rsid w:val="00BA6B3F"/>
    <w:rsid w:val="00BA766A"/>
    <w:rsid w:val="00BA788B"/>
    <w:rsid w:val="00BA7D40"/>
    <w:rsid w:val="00BB01DB"/>
    <w:rsid w:val="00BB0FF3"/>
    <w:rsid w:val="00BB118E"/>
    <w:rsid w:val="00BB1304"/>
    <w:rsid w:val="00BB16FA"/>
    <w:rsid w:val="00BB2652"/>
    <w:rsid w:val="00BB29C1"/>
    <w:rsid w:val="00BB2F7E"/>
    <w:rsid w:val="00BB3124"/>
    <w:rsid w:val="00BB39E4"/>
    <w:rsid w:val="00BB3CF1"/>
    <w:rsid w:val="00BB55EE"/>
    <w:rsid w:val="00BB55EF"/>
    <w:rsid w:val="00BB6CC2"/>
    <w:rsid w:val="00BB731C"/>
    <w:rsid w:val="00BB753F"/>
    <w:rsid w:val="00BB758D"/>
    <w:rsid w:val="00BB7AEE"/>
    <w:rsid w:val="00BC09DE"/>
    <w:rsid w:val="00BC0DC1"/>
    <w:rsid w:val="00BC0F79"/>
    <w:rsid w:val="00BC11B0"/>
    <w:rsid w:val="00BC176D"/>
    <w:rsid w:val="00BC213D"/>
    <w:rsid w:val="00BC21A6"/>
    <w:rsid w:val="00BC290B"/>
    <w:rsid w:val="00BC2C3D"/>
    <w:rsid w:val="00BC3247"/>
    <w:rsid w:val="00BC3A9B"/>
    <w:rsid w:val="00BC3DC6"/>
    <w:rsid w:val="00BC41CC"/>
    <w:rsid w:val="00BC4505"/>
    <w:rsid w:val="00BC474C"/>
    <w:rsid w:val="00BC4AF4"/>
    <w:rsid w:val="00BC4F92"/>
    <w:rsid w:val="00BC5470"/>
    <w:rsid w:val="00BC5829"/>
    <w:rsid w:val="00BC5A8A"/>
    <w:rsid w:val="00BC621D"/>
    <w:rsid w:val="00BC6741"/>
    <w:rsid w:val="00BC7287"/>
    <w:rsid w:val="00BC77CB"/>
    <w:rsid w:val="00BC78CB"/>
    <w:rsid w:val="00BC7903"/>
    <w:rsid w:val="00BC7A32"/>
    <w:rsid w:val="00BD07BC"/>
    <w:rsid w:val="00BD08F5"/>
    <w:rsid w:val="00BD0C8F"/>
    <w:rsid w:val="00BD119C"/>
    <w:rsid w:val="00BD12F6"/>
    <w:rsid w:val="00BD1423"/>
    <w:rsid w:val="00BD1642"/>
    <w:rsid w:val="00BD19DF"/>
    <w:rsid w:val="00BD2424"/>
    <w:rsid w:val="00BD2E16"/>
    <w:rsid w:val="00BD3DE2"/>
    <w:rsid w:val="00BD43C1"/>
    <w:rsid w:val="00BD44BF"/>
    <w:rsid w:val="00BD4A5C"/>
    <w:rsid w:val="00BD502B"/>
    <w:rsid w:val="00BD6427"/>
    <w:rsid w:val="00BD6644"/>
    <w:rsid w:val="00BD68FF"/>
    <w:rsid w:val="00BD7C2D"/>
    <w:rsid w:val="00BD7DA0"/>
    <w:rsid w:val="00BD7EC0"/>
    <w:rsid w:val="00BE03F4"/>
    <w:rsid w:val="00BE08FF"/>
    <w:rsid w:val="00BE0CD6"/>
    <w:rsid w:val="00BE1439"/>
    <w:rsid w:val="00BE195E"/>
    <w:rsid w:val="00BE19D0"/>
    <w:rsid w:val="00BE1A33"/>
    <w:rsid w:val="00BE20B0"/>
    <w:rsid w:val="00BE242C"/>
    <w:rsid w:val="00BE251A"/>
    <w:rsid w:val="00BE28F4"/>
    <w:rsid w:val="00BE2A6F"/>
    <w:rsid w:val="00BE2AE3"/>
    <w:rsid w:val="00BE2DB2"/>
    <w:rsid w:val="00BE3966"/>
    <w:rsid w:val="00BE3AB1"/>
    <w:rsid w:val="00BE3BC5"/>
    <w:rsid w:val="00BE3E3A"/>
    <w:rsid w:val="00BE4416"/>
    <w:rsid w:val="00BE4552"/>
    <w:rsid w:val="00BE4B9D"/>
    <w:rsid w:val="00BE4C8D"/>
    <w:rsid w:val="00BE500D"/>
    <w:rsid w:val="00BE5303"/>
    <w:rsid w:val="00BE5678"/>
    <w:rsid w:val="00BE575B"/>
    <w:rsid w:val="00BE58D7"/>
    <w:rsid w:val="00BE5ABB"/>
    <w:rsid w:val="00BE5E9F"/>
    <w:rsid w:val="00BE6FF6"/>
    <w:rsid w:val="00BE74C8"/>
    <w:rsid w:val="00BE7787"/>
    <w:rsid w:val="00BF0734"/>
    <w:rsid w:val="00BF0B79"/>
    <w:rsid w:val="00BF159F"/>
    <w:rsid w:val="00BF18D9"/>
    <w:rsid w:val="00BF3361"/>
    <w:rsid w:val="00BF3832"/>
    <w:rsid w:val="00BF3A1C"/>
    <w:rsid w:val="00BF416F"/>
    <w:rsid w:val="00BF4B70"/>
    <w:rsid w:val="00BF4F07"/>
    <w:rsid w:val="00BF56F5"/>
    <w:rsid w:val="00BF5E43"/>
    <w:rsid w:val="00BF6C8E"/>
    <w:rsid w:val="00BF7033"/>
    <w:rsid w:val="00BF7733"/>
    <w:rsid w:val="00BF7CBA"/>
    <w:rsid w:val="00C000C2"/>
    <w:rsid w:val="00C002F1"/>
    <w:rsid w:val="00C0041D"/>
    <w:rsid w:val="00C00531"/>
    <w:rsid w:val="00C016C5"/>
    <w:rsid w:val="00C018AC"/>
    <w:rsid w:val="00C01A16"/>
    <w:rsid w:val="00C01EAE"/>
    <w:rsid w:val="00C02525"/>
    <w:rsid w:val="00C02BEF"/>
    <w:rsid w:val="00C02D1C"/>
    <w:rsid w:val="00C02E4A"/>
    <w:rsid w:val="00C0401C"/>
    <w:rsid w:val="00C05095"/>
    <w:rsid w:val="00C06492"/>
    <w:rsid w:val="00C070CF"/>
    <w:rsid w:val="00C07ADE"/>
    <w:rsid w:val="00C07E38"/>
    <w:rsid w:val="00C07EF0"/>
    <w:rsid w:val="00C1014E"/>
    <w:rsid w:val="00C10764"/>
    <w:rsid w:val="00C11628"/>
    <w:rsid w:val="00C11D5B"/>
    <w:rsid w:val="00C12355"/>
    <w:rsid w:val="00C127E7"/>
    <w:rsid w:val="00C1360F"/>
    <w:rsid w:val="00C1378B"/>
    <w:rsid w:val="00C14770"/>
    <w:rsid w:val="00C147ED"/>
    <w:rsid w:val="00C15053"/>
    <w:rsid w:val="00C1532C"/>
    <w:rsid w:val="00C1551F"/>
    <w:rsid w:val="00C15923"/>
    <w:rsid w:val="00C15B38"/>
    <w:rsid w:val="00C16437"/>
    <w:rsid w:val="00C1654A"/>
    <w:rsid w:val="00C16C1A"/>
    <w:rsid w:val="00C16E7A"/>
    <w:rsid w:val="00C17321"/>
    <w:rsid w:val="00C17460"/>
    <w:rsid w:val="00C17D6E"/>
    <w:rsid w:val="00C17EB3"/>
    <w:rsid w:val="00C20EB5"/>
    <w:rsid w:val="00C20FEF"/>
    <w:rsid w:val="00C211CE"/>
    <w:rsid w:val="00C22321"/>
    <w:rsid w:val="00C2286E"/>
    <w:rsid w:val="00C22C94"/>
    <w:rsid w:val="00C23057"/>
    <w:rsid w:val="00C237DD"/>
    <w:rsid w:val="00C23A2E"/>
    <w:rsid w:val="00C23CEC"/>
    <w:rsid w:val="00C24641"/>
    <w:rsid w:val="00C24956"/>
    <w:rsid w:val="00C24F7E"/>
    <w:rsid w:val="00C250F4"/>
    <w:rsid w:val="00C251C3"/>
    <w:rsid w:val="00C257C3"/>
    <w:rsid w:val="00C25D5E"/>
    <w:rsid w:val="00C2643A"/>
    <w:rsid w:val="00C26851"/>
    <w:rsid w:val="00C269A9"/>
    <w:rsid w:val="00C26F4E"/>
    <w:rsid w:val="00C27521"/>
    <w:rsid w:val="00C30CA6"/>
    <w:rsid w:val="00C31743"/>
    <w:rsid w:val="00C31AC3"/>
    <w:rsid w:val="00C32456"/>
    <w:rsid w:val="00C326F7"/>
    <w:rsid w:val="00C32788"/>
    <w:rsid w:val="00C32CCE"/>
    <w:rsid w:val="00C3400C"/>
    <w:rsid w:val="00C34010"/>
    <w:rsid w:val="00C34427"/>
    <w:rsid w:val="00C34598"/>
    <w:rsid w:val="00C3464E"/>
    <w:rsid w:val="00C3484C"/>
    <w:rsid w:val="00C34CD8"/>
    <w:rsid w:val="00C34EE4"/>
    <w:rsid w:val="00C34FE1"/>
    <w:rsid w:val="00C352E7"/>
    <w:rsid w:val="00C367FC"/>
    <w:rsid w:val="00C368CA"/>
    <w:rsid w:val="00C36E6A"/>
    <w:rsid w:val="00C36E6E"/>
    <w:rsid w:val="00C36F09"/>
    <w:rsid w:val="00C370F3"/>
    <w:rsid w:val="00C3754B"/>
    <w:rsid w:val="00C37688"/>
    <w:rsid w:val="00C376A9"/>
    <w:rsid w:val="00C402E5"/>
    <w:rsid w:val="00C40373"/>
    <w:rsid w:val="00C408FE"/>
    <w:rsid w:val="00C40FF5"/>
    <w:rsid w:val="00C4481C"/>
    <w:rsid w:val="00C45564"/>
    <w:rsid w:val="00C457A3"/>
    <w:rsid w:val="00C45E8D"/>
    <w:rsid w:val="00C46E36"/>
    <w:rsid w:val="00C47085"/>
    <w:rsid w:val="00C47BB2"/>
    <w:rsid w:val="00C47C8C"/>
    <w:rsid w:val="00C50D9C"/>
    <w:rsid w:val="00C51085"/>
    <w:rsid w:val="00C51699"/>
    <w:rsid w:val="00C51F5F"/>
    <w:rsid w:val="00C525C7"/>
    <w:rsid w:val="00C52C77"/>
    <w:rsid w:val="00C52CE3"/>
    <w:rsid w:val="00C531DA"/>
    <w:rsid w:val="00C532E4"/>
    <w:rsid w:val="00C53582"/>
    <w:rsid w:val="00C540AE"/>
    <w:rsid w:val="00C548DE"/>
    <w:rsid w:val="00C54908"/>
    <w:rsid w:val="00C54E72"/>
    <w:rsid w:val="00C54F30"/>
    <w:rsid w:val="00C553E3"/>
    <w:rsid w:val="00C5585C"/>
    <w:rsid w:val="00C55940"/>
    <w:rsid w:val="00C559A9"/>
    <w:rsid w:val="00C5605F"/>
    <w:rsid w:val="00C56AD6"/>
    <w:rsid w:val="00C5735F"/>
    <w:rsid w:val="00C57C08"/>
    <w:rsid w:val="00C604E8"/>
    <w:rsid w:val="00C60598"/>
    <w:rsid w:val="00C60746"/>
    <w:rsid w:val="00C60A29"/>
    <w:rsid w:val="00C60BB0"/>
    <w:rsid w:val="00C61015"/>
    <w:rsid w:val="00C611AB"/>
    <w:rsid w:val="00C615AA"/>
    <w:rsid w:val="00C62655"/>
    <w:rsid w:val="00C62C5A"/>
    <w:rsid w:val="00C630D5"/>
    <w:rsid w:val="00C64542"/>
    <w:rsid w:val="00C64ED5"/>
    <w:rsid w:val="00C65887"/>
    <w:rsid w:val="00C65B49"/>
    <w:rsid w:val="00C65DD7"/>
    <w:rsid w:val="00C66551"/>
    <w:rsid w:val="00C6706C"/>
    <w:rsid w:val="00C67E7F"/>
    <w:rsid w:val="00C70111"/>
    <w:rsid w:val="00C7025D"/>
    <w:rsid w:val="00C7034C"/>
    <w:rsid w:val="00C703A3"/>
    <w:rsid w:val="00C70844"/>
    <w:rsid w:val="00C70C9E"/>
    <w:rsid w:val="00C70D33"/>
    <w:rsid w:val="00C70D37"/>
    <w:rsid w:val="00C711BC"/>
    <w:rsid w:val="00C720AC"/>
    <w:rsid w:val="00C72268"/>
    <w:rsid w:val="00C7232F"/>
    <w:rsid w:val="00C724D8"/>
    <w:rsid w:val="00C729E5"/>
    <w:rsid w:val="00C72F59"/>
    <w:rsid w:val="00C73233"/>
    <w:rsid w:val="00C73C47"/>
    <w:rsid w:val="00C74277"/>
    <w:rsid w:val="00C74865"/>
    <w:rsid w:val="00C74B57"/>
    <w:rsid w:val="00C75004"/>
    <w:rsid w:val="00C75357"/>
    <w:rsid w:val="00C759DE"/>
    <w:rsid w:val="00C760A5"/>
    <w:rsid w:val="00C76195"/>
    <w:rsid w:val="00C76AF4"/>
    <w:rsid w:val="00C76C9D"/>
    <w:rsid w:val="00C7733B"/>
    <w:rsid w:val="00C776CA"/>
    <w:rsid w:val="00C803EF"/>
    <w:rsid w:val="00C807B4"/>
    <w:rsid w:val="00C80AE9"/>
    <w:rsid w:val="00C80B72"/>
    <w:rsid w:val="00C81644"/>
    <w:rsid w:val="00C81925"/>
    <w:rsid w:val="00C81BCB"/>
    <w:rsid w:val="00C81D4A"/>
    <w:rsid w:val="00C81D8F"/>
    <w:rsid w:val="00C828D2"/>
    <w:rsid w:val="00C82A71"/>
    <w:rsid w:val="00C82D71"/>
    <w:rsid w:val="00C832E3"/>
    <w:rsid w:val="00C83773"/>
    <w:rsid w:val="00C83788"/>
    <w:rsid w:val="00C837D0"/>
    <w:rsid w:val="00C837FE"/>
    <w:rsid w:val="00C842C9"/>
    <w:rsid w:val="00C845E6"/>
    <w:rsid w:val="00C8587D"/>
    <w:rsid w:val="00C85975"/>
    <w:rsid w:val="00C87898"/>
    <w:rsid w:val="00C87B99"/>
    <w:rsid w:val="00C90060"/>
    <w:rsid w:val="00C90303"/>
    <w:rsid w:val="00C90364"/>
    <w:rsid w:val="00C90526"/>
    <w:rsid w:val="00C90A54"/>
    <w:rsid w:val="00C90C2C"/>
    <w:rsid w:val="00C90D1F"/>
    <w:rsid w:val="00C90D90"/>
    <w:rsid w:val="00C910DB"/>
    <w:rsid w:val="00C91317"/>
    <w:rsid w:val="00C9138B"/>
    <w:rsid w:val="00C915CF"/>
    <w:rsid w:val="00C9168D"/>
    <w:rsid w:val="00C91883"/>
    <w:rsid w:val="00C92EDE"/>
    <w:rsid w:val="00C93035"/>
    <w:rsid w:val="00C93DD3"/>
    <w:rsid w:val="00C941F8"/>
    <w:rsid w:val="00C94719"/>
    <w:rsid w:val="00C950FC"/>
    <w:rsid w:val="00C9533B"/>
    <w:rsid w:val="00C954A6"/>
    <w:rsid w:val="00C957F3"/>
    <w:rsid w:val="00C95C5F"/>
    <w:rsid w:val="00C95DDC"/>
    <w:rsid w:val="00C96B02"/>
    <w:rsid w:val="00C96C87"/>
    <w:rsid w:val="00C96EF0"/>
    <w:rsid w:val="00C973BE"/>
    <w:rsid w:val="00C976B6"/>
    <w:rsid w:val="00CA07C3"/>
    <w:rsid w:val="00CA082E"/>
    <w:rsid w:val="00CA0E8D"/>
    <w:rsid w:val="00CA13E9"/>
    <w:rsid w:val="00CA1B93"/>
    <w:rsid w:val="00CA1EDF"/>
    <w:rsid w:val="00CA2A09"/>
    <w:rsid w:val="00CA2CB8"/>
    <w:rsid w:val="00CA320C"/>
    <w:rsid w:val="00CA33DB"/>
    <w:rsid w:val="00CA3AF4"/>
    <w:rsid w:val="00CA3E2D"/>
    <w:rsid w:val="00CA404F"/>
    <w:rsid w:val="00CA41C3"/>
    <w:rsid w:val="00CA4873"/>
    <w:rsid w:val="00CA4C3B"/>
    <w:rsid w:val="00CA4D5A"/>
    <w:rsid w:val="00CA540C"/>
    <w:rsid w:val="00CA56F3"/>
    <w:rsid w:val="00CA5B5A"/>
    <w:rsid w:val="00CA6040"/>
    <w:rsid w:val="00CA65FE"/>
    <w:rsid w:val="00CA66DC"/>
    <w:rsid w:val="00CA6BC0"/>
    <w:rsid w:val="00CA76C6"/>
    <w:rsid w:val="00CB0529"/>
    <w:rsid w:val="00CB0E5B"/>
    <w:rsid w:val="00CB118A"/>
    <w:rsid w:val="00CB13A5"/>
    <w:rsid w:val="00CB1E10"/>
    <w:rsid w:val="00CB1E49"/>
    <w:rsid w:val="00CB2FEC"/>
    <w:rsid w:val="00CB3210"/>
    <w:rsid w:val="00CB3784"/>
    <w:rsid w:val="00CB37D9"/>
    <w:rsid w:val="00CB39DE"/>
    <w:rsid w:val="00CB3E73"/>
    <w:rsid w:val="00CB4285"/>
    <w:rsid w:val="00CB4BDE"/>
    <w:rsid w:val="00CB578E"/>
    <w:rsid w:val="00CB63A8"/>
    <w:rsid w:val="00CB6F36"/>
    <w:rsid w:val="00CB7A0D"/>
    <w:rsid w:val="00CC00D1"/>
    <w:rsid w:val="00CC018D"/>
    <w:rsid w:val="00CC055F"/>
    <w:rsid w:val="00CC065E"/>
    <w:rsid w:val="00CC0709"/>
    <w:rsid w:val="00CC080B"/>
    <w:rsid w:val="00CC0BED"/>
    <w:rsid w:val="00CC0C26"/>
    <w:rsid w:val="00CC0DDA"/>
    <w:rsid w:val="00CC1232"/>
    <w:rsid w:val="00CC1A89"/>
    <w:rsid w:val="00CC1B59"/>
    <w:rsid w:val="00CC30E9"/>
    <w:rsid w:val="00CC343C"/>
    <w:rsid w:val="00CC34F6"/>
    <w:rsid w:val="00CC3606"/>
    <w:rsid w:val="00CC3DED"/>
    <w:rsid w:val="00CC579E"/>
    <w:rsid w:val="00CC5C25"/>
    <w:rsid w:val="00CC6990"/>
    <w:rsid w:val="00CC70F3"/>
    <w:rsid w:val="00CC7DFB"/>
    <w:rsid w:val="00CD0997"/>
    <w:rsid w:val="00CD0B08"/>
    <w:rsid w:val="00CD100C"/>
    <w:rsid w:val="00CD137B"/>
    <w:rsid w:val="00CD153A"/>
    <w:rsid w:val="00CD1FD5"/>
    <w:rsid w:val="00CD2A74"/>
    <w:rsid w:val="00CD2ABF"/>
    <w:rsid w:val="00CD305C"/>
    <w:rsid w:val="00CD3168"/>
    <w:rsid w:val="00CD386B"/>
    <w:rsid w:val="00CD3EA0"/>
    <w:rsid w:val="00CD46D5"/>
    <w:rsid w:val="00CD4808"/>
    <w:rsid w:val="00CD50A3"/>
    <w:rsid w:val="00CD50EE"/>
    <w:rsid w:val="00CD5976"/>
    <w:rsid w:val="00CD60A5"/>
    <w:rsid w:val="00CD676F"/>
    <w:rsid w:val="00CD6F4A"/>
    <w:rsid w:val="00CD7006"/>
    <w:rsid w:val="00CD71F5"/>
    <w:rsid w:val="00CD7826"/>
    <w:rsid w:val="00CD7F49"/>
    <w:rsid w:val="00CE0023"/>
    <w:rsid w:val="00CE0178"/>
    <w:rsid w:val="00CE02F0"/>
    <w:rsid w:val="00CE1247"/>
    <w:rsid w:val="00CE175F"/>
    <w:rsid w:val="00CE1D2E"/>
    <w:rsid w:val="00CE20D0"/>
    <w:rsid w:val="00CE2165"/>
    <w:rsid w:val="00CE23FC"/>
    <w:rsid w:val="00CE2533"/>
    <w:rsid w:val="00CE283F"/>
    <w:rsid w:val="00CE2A4C"/>
    <w:rsid w:val="00CE2B9E"/>
    <w:rsid w:val="00CE3097"/>
    <w:rsid w:val="00CE392F"/>
    <w:rsid w:val="00CE3BC8"/>
    <w:rsid w:val="00CE44F9"/>
    <w:rsid w:val="00CE4B78"/>
    <w:rsid w:val="00CE4F75"/>
    <w:rsid w:val="00CE5089"/>
    <w:rsid w:val="00CE6BC3"/>
    <w:rsid w:val="00CE7091"/>
    <w:rsid w:val="00CE7189"/>
    <w:rsid w:val="00CE71B6"/>
    <w:rsid w:val="00CE7423"/>
    <w:rsid w:val="00CE7BE0"/>
    <w:rsid w:val="00CE7F01"/>
    <w:rsid w:val="00CF0083"/>
    <w:rsid w:val="00CF012A"/>
    <w:rsid w:val="00CF0B08"/>
    <w:rsid w:val="00CF0F82"/>
    <w:rsid w:val="00CF12B8"/>
    <w:rsid w:val="00CF1587"/>
    <w:rsid w:val="00CF27F4"/>
    <w:rsid w:val="00CF2AA1"/>
    <w:rsid w:val="00CF34F4"/>
    <w:rsid w:val="00CF3993"/>
    <w:rsid w:val="00CF3A77"/>
    <w:rsid w:val="00CF3CCB"/>
    <w:rsid w:val="00CF4504"/>
    <w:rsid w:val="00CF56A2"/>
    <w:rsid w:val="00CF6447"/>
    <w:rsid w:val="00CF674A"/>
    <w:rsid w:val="00CF69A8"/>
    <w:rsid w:val="00CF736B"/>
    <w:rsid w:val="00CF74F7"/>
    <w:rsid w:val="00CF769D"/>
    <w:rsid w:val="00CF77BB"/>
    <w:rsid w:val="00D01254"/>
    <w:rsid w:val="00D017E4"/>
    <w:rsid w:val="00D01BD4"/>
    <w:rsid w:val="00D02061"/>
    <w:rsid w:val="00D029C5"/>
    <w:rsid w:val="00D02D59"/>
    <w:rsid w:val="00D03128"/>
    <w:rsid w:val="00D034A3"/>
    <w:rsid w:val="00D03C87"/>
    <w:rsid w:val="00D03E5F"/>
    <w:rsid w:val="00D04884"/>
    <w:rsid w:val="00D05542"/>
    <w:rsid w:val="00D05AAB"/>
    <w:rsid w:val="00D05C3D"/>
    <w:rsid w:val="00D05C73"/>
    <w:rsid w:val="00D06C2A"/>
    <w:rsid w:val="00D07FE0"/>
    <w:rsid w:val="00D101F2"/>
    <w:rsid w:val="00D10DE1"/>
    <w:rsid w:val="00D110FE"/>
    <w:rsid w:val="00D11229"/>
    <w:rsid w:val="00D120CA"/>
    <w:rsid w:val="00D12510"/>
    <w:rsid w:val="00D12ACE"/>
    <w:rsid w:val="00D12B09"/>
    <w:rsid w:val="00D135E7"/>
    <w:rsid w:val="00D1376D"/>
    <w:rsid w:val="00D1396C"/>
    <w:rsid w:val="00D14215"/>
    <w:rsid w:val="00D1441A"/>
    <w:rsid w:val="00D146C5"/>
    <w:rsid w:val="00D15556"/>
    <w:rsid w:val="00D15AA3"/>
    <w:rsid w:val="00D165AA"/>
    <w:rsid w:val="00D1696C"/>
    <w:rsid w:val="00D1741F"/>
    <w:rsid w:val="00D2036F"/>
    <w:rsid w:val="00D21B51"/>
    <w:rsid w:val="00D21F13"/>
    <w:rsid w:val="00D21FFA"/>
    <w:rsid w:val="00D220E1"/>
    <w:rsid w:val="00D22147"/>
    <w:rsid w:val="00D23891"/>
    <w:rsid w:val="00D23BF5"/>
    <w:rsid w:val="00D2430B"/>
    <w:rsid w:val="00D24C75"/>
    <w:rsid w:val="00D255EE"/>
    <w:rsid w:val="00D2575B"/>
    <w:rsid w:val="00D2586E"/>
    <w:rsid w:val="00D25889"/>
    <w:rsid w:val="00D2594A"/>
    <w:rsid w:val="00D25B6B"/>
    <w:rsid w:val="00D267FC"/>
    <w:rsid w:val="00D26C98"/>
    <w:rsid w:val="00D26DE1"/>
    <w:rsid w:val="00D2708A"/>
    <w:rsid w:val="00D305AC"/>
    <w:rsid w:val="00D3144E"/>
    <w:rsid w:val="00D31922"/>
    <w:rsid w:val="00D32D70"/>
    <w:rsid w:val="00D32DC8"/>
    <w:rsid w:val="00D32EA6"/>
    <w:rsid w:val="00D33340"/>
    <w:rsid w:val="00D3443F"/>
    <w:rsid w:val="00D34507"/>
    <w:rsid w:val="00D34F05"/>
    <w:rsid w:val="00D356F2"/>
    <w:rsid w:val="00D3578D"/>
    <w:rsid w:val="00D35B0E"/>
    <w:rsid w:val="00D363F4"/>
    <w:rsid w:val="00D364C8"/>
    <w:rsid w:val="00D36548"/>
    <w:rsid w:val="00D36581"/>
    <w:rsid w:val="00D3679A"/>
    <w:rsid w:val="00D3697A"/>
    <w:rsid w:val="00D36C71"/>
    <w:rsid w:val="00D37202"/>
    <w:rsid w:val="00D3749E"/>
    <w:rsid w:val="00D401F0"/>
    <w:rsid w:val="00D4030F"/>
    <w:rsid w:val="00D40B01"/>
    <w:rsid w:val="00D4100A"/>
    <w:rsid w:val="00D415EB"/>
    <w:rsid w:val="00D416F3"/>
    <w:rsid w:val="00D41E8B"/>
    <w:rsid w:val="00D423AA"/>
    <w:rsid w:val="00D42487"/>
    <w:rsid w:val="00D43CD1"/>
    <w:rsid w:val="00D44098"/>
    <w:rsid w:val="00D441F4"/>
    <w:rsid w:val="00D44214"/>
    <w:rsid w:val="00D443A7"/>
    <w:rsid w:val="00D44AD6"/>
    <w:rsid w:val="00D44B50"/>
    <w:rsid w:val="00D44CB7"/>
    <w:rsid w:val="00D44E0B"/>
    <w:rsid w:val="00D4551F"/>
    <w:rsid w:val="00D46F25"/>
    <w:rsid w:val="00D475F6"/>
    <w:rsid w:val="00D477C6"/>
    <w:rsid w:val="00D5004F"/>
    <w:rsid w:val="00D5079F"/>
    <w:rsid w:val="00D50AAD"/>
    <w:rsid w:val="00D50FEF"/>
    <w:rsid w:val="00D514AD"/>
    <w:rsid w:val="00D51610"/>
    <w:rsid w:val="00D51653"/>
    <w:rsid w:val="00D51E4C"/>
    <w:rsid w:val="00D5233A"/>
    <w:rsid w:val="00D52885"/>
    <w:rsid w:val="00D53C2B"/>
    <w:rsid w:val="00D543B8"/>
    <w:rsid w:val="00D54C8A"/>
    <w:rsid w:val="00D55274"/>
    <w:rsid w:val="00D55705"/>
    <w:rsid w:val="00D55B62"/>
    <w:rsid w:val="00D56171"/>
    <w:rsid w:val="00D56220"/>
    <w:rsid w:val="00D5689C"/>
    <w:rsid w:val="00D56F34"/>
    <w:rsid w:val="00D572CD"/>
    <w:rsid w:val="00D573D5"/>
    <w:rsid w:val="00D57FE0"/>
    <w:rsid w:val="00D6032C"/>
    <w:rsid w:val="00D603DB"/>
    <w:rsid w:val="00D60712"/>
    <w:rsid w:val="00D609A2"/>
    <w:rsid w:val="00D60B8E"/>
    <w:rsid w:val="00D60DA0"/>
    <w:rsid w:val="00D60DB8"/>
    <w:rsid w:val="00D613EF"/>
    <w:rsid w:val="00D6151F"/>
    <w:rsid w:val="00D615CD"/>
    <w:rsid w:val="00D622CF"/>
    <w:rsid w:val="00D62897"/>
    <w:rsid w:val="00D62AC0"/>
    <w:rsid w:val="00D62CB1"/>
    <w:rsid w:val="00D62DF4"/>
    <w:rsid w:val="00D6310B"/>
    <w:rsid w:val="00D639B3"/>
    <w:rsid w:val="00D63D3E"/>
    <w:rsid w:val="00D63DE7"/>
    <w:rsid w:val="00D63F77"/>
    <w:rsid w:val="00D647BA"/>
    <w:rsid w:val="00D649D7"/>
    <w:rsid w:val="00D64ACE"/>
    <w:rsid w:val="00D65108"/>
    <w:rsid w:val="00D654AD"/>
    <w:rsid w:val="00D65E97"/>
    <w:rsid w:val="00D65E9C"/>
    <w:rsid w:val="00D660A6"/>
    <w:rsid w:val="00D67236"/>
    <w:rsid w:val="00D672B2"/>
    <w:rsid w:val="00D67468"/>
    <w:rsid w:val="00D700E3"/>
    <w:rsid w:val="00D70FB1"/>
    <w:rsid w:val="00D712A7"/>
    <w:rsid w:val="00D7161A"/>
    <w:rsid w:val="00D71C7C"/>
    <w:rsid w:val="00D7244D"/>
    <w:rsid w:val="00D7254F"/>
    <w:rsid w:val="00D727E1"/>
    <w:rsid w:val="00D72B46"/>
    <w:rsid w:val="00D72D48"/>
    <w:rsid w:val="00D7301D"/>
    <w:rsid w:val="00D73080"/>
    <w:rsid w:val="00D73890"/>
    <w:rsid w:val="00D738F6"/>
    <w:rsid w:val="00D7445D"/>
    <w:rsid w:val="00D74F53"/>
    <w:rsid w:val="00D75242"/>
    <w:rsid w:val="00D7548D"/>
    <w:rsid w:val="00D759B7"/>
    <w:rsid w:val="00D75ACF"/>
    <w:rsid w:val="00D75CFA"/>
    <w:rsid w:val="00D76797"/>
    <w:rsid w:val="00D77824"/>
    <w:rsid w:val="00D778B9"/>
    <w:rsid w:val="00D77907"/>
    <w:rsid w:val="00D80686"/>
    <w:rsid w:val="00D8081B"/>
    <w:rsid w:val="00D80B20"/>
    <w:rsid w:val="00D81539"/>
    <w:rsid w:val="00D8178A"/>
    <w:rsid w:val="00D81A44"/>
    <w:rsid w:val="00D82387"/>
    <w:rsid w:val="00D82B0D"/>
    <w:rsid w:val="00D82C5E"/>
    <w:rsid w:val="00D82F13"/>
    <w:rsid w:val="00D83163"/>
    <w:rsid w:val="00D8456B"/>
    <w:rsid w:val="00D847FA"/>
    <w:rsid w:val="00D84975"/>
    <w:rsid w:val="00D85161"/>
    <w:rsid w:val="00D85299"/>
    <w:rsid w:val="00D85512"/>
    <w:rsid w:val="00D85656"/>
    <w:rsid w:val="00D85EF6"/>
    <w:rsid w:val="00D8670B"/>
    <w:rsid w:val="00D873F7"/>
    <w:rsid w:val="00D87941"/>
    <w:rsid w:val="00D87C48"/>
    <w:rsid w:val="00D905CD"/>
    <w:rsid w:val="00D9094B"/>
    <w:rsid w:val="00D910DA"/>
    <w:rsid w:val="00D91E02"/>
    <w:rsid w:val="00D92276"/>
    <w:rsid w:val="00D9249D"/>
    <w:rsid w:val="00D92B24"/>
    <w:rsid w:val="00D92F12"/>
    <w:rsid w:val="00D93183"/>
    <w:rsid w:val="00D94618"/>
    <w:rsid w:val="00D9468A"/>
    <w:rsid w:val="00D94AC9"/>
    <w:rsid w:val="00D950FC"/>
    <w:rsid w:val="00D95D73"/>
    <w:rsid w:val="00D95F8D"/>
    <w:rsid w:val="00D965AB"/>
    <w:rsid w:val="00D96D01"/>
    <w:rsid w:val="00D96D8C"/>
    <w:rsid w:val="00D96E5F"/>
    <w:rsid w:val="00D96F6A"/>
    <w:rsid w:val="00D97CBE"/>
    <w:rsid w:val="00D97E77"/>
    <w:rsid w:val="00D97E88"/>
    <w:rsid w:val="00DA01D5"/>
    <w:rsid w:val="00DA074D"/>
    <w:rsid w:val="00DA0AA7"/>
    <w:rsid w:val="00DA0CA4"/>
    <w:rsid w:val="00DA0F5E"/>
    <w:rsid w:val="00DA0FE2"/>
    <w:rsid w:val="00DA24E9"/>
    <w:rsid w:val="00DA2690"/>
    <w:rsid w:val="00DA2EC5"/>
    <w:rsid w:val="00DA31C6"/>
    <w:rsid w:val="00DA322D"/>
    <w:rsid w:val="00DA324B"/>
    <w:rsid w:val="00DA33C0"/>
    <w:rsid w:val="00DA4402"/>
    <w:rsid w:val="00DA49DE"/>
    <w:rsid w:val="00DA5B6D"/>
    <w:rsid w:val="00DA6225"/>
    <w:rsid w:val="00DA6F84"/>
    <w:rsid w:val="00DA7D21"/>
    <w:rsid w:val="00DB0077"/>
    <w:rsid w:val="00DB0227"/>
    <w:rsid w:val="00DB07F0"/>
    <w:rsid w:val="00DB0B98"/>
    <w:rsid w:val="00DB0C3B"/>
    <w:rsid w:val="00DB1114"/>
    <w:rsid w:val="00DB1570"/>
    <w:rsid w:val="00DB175E"/>
    <w:rsid w:val="00DB1B80"/>
    <w:rsid w:val="00DB1F86"/>
    <w:rsid w:val="00DB25CA"/>
    <w:rsid w:val="00DB2D6A"/>
    <w:rsid w:val="00DB2F4D"/>
    <w:rsid w:val="00DB309C"/>
    <w:rsid w:val="00DB32DE"/>
    <w:rsid w:val="00DB3D73"/>
    <w:rsid w:val="00DB463B"/>
    <w:rsid w:val="00DB4B2D"/>
    <w:rsid w:val="00DB4F92"/>
    <w:rsid w:val="00DB52F8"/>
    <w:rsid w:val="00DB5657"/>
    <w:rsid w:val="00DB5FCB"/>
    <w:rsid w:val="00DB6910"/>
    <w:rsid w:val="00DB69C1"/>
    <w:rsid w:val="00DB6D1D"/>
    <w:rsid w:val="00DB7D8B"/>
    <w:rsid w:val="00DC064D"/>
    <w:rsid w:val="00DC0DEF"/>
    <w:rsid w:val="00DC1265"/>
    <w:rsid w:val="00DC1374"/>
    <w:rsid w:val="00DC165A"/>
    <w:rsid w:val="00DC210C"/>
    <w:rsid w:val="00DC27A7"/>
    <w:rsid w:val="00DC282B"/>
    <w:rsid w:val="00DC2830"/>
    <w:rsid w:val="00DC2C73"/>
    <w:rsid w:val="00DC3A12"/>
    <w:rsid w:val="00DC4289"/>
    <w:rsid w:val="00DC4F9D"/>
    <w:rsid w:val="00DC5AB7"/>
    <w:rsid w:val="00DC6422"/>
    <w:rsid w:val="00DC65C1"/>
    <w:rsid w:val="00DC686C"/>
    <w:rsid w:val="00DC68AE"/>
    <w:rsid w:val="00DC6D86"/>
    <w:rsid w:val="00DC7F9F"/>
    <w:rsid w:val="00DD0325"/>
    <w:rsid w:val="00DD0426"/>
    <w:rsid w:val="00DD0D17"/>
    <w:rsid w:val="00DD1B1D"/>
    <w:rsid w:val="00DD1EE4"/>
    <w:rsid w:val="00DD31FF"/>
    <w:rsid w:val="00DD3368"/>
    <w:rsid w:val="00DD34AE"/>
    <w:rsid w:val="00DD398F"/>
    <w:rsid w:val="00DD3D7B"/>
    <w:rsid w:val="00DD5252"/>
    <w:rsid w:val="00DD552A"/>
    <w:rsid w:val="00DD57D2"/>
    <w:rsid w:val="00DD5806"/>
    <w:rsid w:val="00DD5F49"/>
    <w:rsid w:val="00DD6753"/>
    <w:rsid w:val="00DD703F"/>
    <w:rsid w:val="00DE0780"/>
    <w:rsid w:val="00DE0B55"/>
    <w:rsid w:val="00DE0F99"/>
    <w:rsid w:val="00DE0FC7"/>
    <w:rsid w:val="00DE1046"/>
    <w:rsid w:val="00DE11A8"/>
    <w:rsid w:val="00DE15CB"/>
    <w:rsid w:val="00DE1A28"/>
    <w:rsid w:val="00DE2D1B"/>
    <w:rsid w:val="00DE2F74"/>
    <w:rsid w:val="00DE338C"/>
    <w:rsid w:val="00DE364E"/>
    <w:rsid w:val="00DE388B"/>
    <w:rsid w:val="00DE39FE"/>
    <w:rsid w:val="00DE3BA0"/>
    <w:rsid w:val="00DE3E2B"/>
    <w:rsid w:val="00DE3EFC"/>
    <w:rsid w:val="00DE6F4B"/>
    <w:rsid w:val="00DE7A92"/>
    <w:rsid w:val="00DE7FBC"/>
    <w:rsid w:val="00DF0359"/>
    <w:rsid w:val="00DF05C9"/>
    <w:rsid w:val="00DF0E9E"/>
    <w:rsid w:val="00DF18B9"/>
    <w:rsid w:val="00DF32BA"/>
    <w:rsid w:val="00DF3B46"/>
    <w:rsid w:val="00DF3B9C"/>
    <w:rsid w:val="00DF3EAA"/>
    <w:rsid w:val="00DF406B"/>
    <w:rsid w:val="00DF483B"/>
    <w:rsid w:val="00DF4B67"/>
    <w:rsid w:val="00DF4D5F"/>
    <w:rsid w:val="00DF5C9F"/>
    <w:rsid w:val="00DF6F71"/>
    <w:rsid w:val="00DF7254"/>
    <w:rsid w:val="00DF78DC"/>
    <w:rsid w:val="00DF7FC5"/>
    <w:rsid w:val="00E003B5"/>
    <w:rsid w:val="00E006B8"/>
    <w:rsid w:val="00E00A04"/>
    <w:rsid w:val="00E00ADE"/>
    <w:rsid w:val="00E015E5"/>
    <w:rsid w:val="00E01DDC"/>
    <w:rsid w:val="00E0205F"/>
    <w:rsid w:val="00E0250A"/>
    <w:rsid w:val="00E02DA8"/>
    <w:rsid w:val="00E02EBB"/>
    <w:rsid w:val="00E0313E"/>
    <w:rsid w:val="00E040B8"/>
    <w:rsid w:val="00E047B2"/>
    <w:rsid w:val="00E04A35"/>
    <w:rsid w:val="00E04D8D"/>
    <w:rsid w:val="00E051E5"/>
    <w:rsid w:val="00E0550B"/>
    <w:rsid w:val="00E05980"/>
    <w:rsid w:val="00E0598D"/>
    <w:rsid w:val="00E05C77"/>
    <w:rsid w:val="00E06096"/>
    <w:rsid w:val="00E07205"/>
    <w:rsid w:val="00E07657"/>
    <w:rsid w:val="00E07831"/>
    <w:rsid w:val="00E07C8B"/>
    <w:rsid w:val="00E100B7"/>
    <w:rsid w:val="00E10602"/>
    <w:rsid w:val="00E108B9"/>
    <w:rsid w:val="00E10C88"/>
    <w:rsid w:val="00E10DAD"/>
    <w:rsid w:val="00E10E08"/>
    <w:rsid w:val="00E111E2"/>
    <w:rsid w:val="00E11224"/>
    <w:rsid w:val="00E1143A"/>
    <w:rsid w:val="00E119A7"/>
    <w:rsid w:val="00E119F5"/>
    <w:rsid w:val="00E11F9A"/>
    <w:rsid w:val="00E123A1"/>
    <w:rsid w:val="00E12830"/>
    <w:rsid w:val="00E12FAF"/>
    <w:rsid w:val="00E137C6"/>
    <w:rsid w:val="00E13CCD"/>
    <w:rsid w:val="00E1467D"/>
    <w:rsid w:val="00E14ECF"/>
    <w:rsid w:val="00E1525A"/>
    <w:rsid w:val="00E15587"/>
    <w:rsid w:val="00E15A7A"/>
    <w:rsid w:val="00E15EB5"/>
    <w:rsid w:val="00E16F33"/>
    <w:rsid w:val="00E171C9"/>
    <w:rsid w:val="00E17267"/>
    <w:rsid w:val="00E177B2"/>
    <w:rsid w:val="00E202B0"/>
    <w:rsid w:val="00E20910"/>
    <w:rsid w:val="00E21A61"/>
    <w:rsid w:val="00E21EE0"/>
    <w:rsid w:val="00E234D6"/>
    <w:rsid w:val="00E23982"/>
    <w:rsid w:val="00E239C5"/>
    <w:rsid w:val="00E24142"/>
    <w:rsid w:val="00E24357"/>
    <w:rsid w:val="00E243EA"/>
    <w:rsid w:val="00E2442B"/>
    <w:rsid w:val="00E24570"/>
    <w:rsid w:val="00E24737"/>
    <w:rsid w:val="00E24F2C"/>
    <w:rsid w:val="00E25199"/>
    <w:rsid w:val="00E2570F"/>
    <w:rsid w:val="00E25A0F"/>
    <w:rsid w:val="00E2617B"/>
    <w:rsid w:val="00E265D7"/>
    <w:rsid w:val="00E26F16"/>
    <w:rsid w:val="00E27008"/>
    <w:rsid w:val="00E2728E"/>
    <w:rsid w:val="00E27FBB"/>
    <w:rsid w:val="00E30122"/>
    <w:rsid w:val="00E30686"/>
    <w:rsid w:val="00E30B2A"/>
    <w:rsid w:val="00E30BA9"/>
    <w:rsid w:val="00E30ED7"/>
    <w:rsid w:val="00E316D2"/>
    <w:rsid w:val="00E320FE"/>
    <w:rsid w:val="00E32C3E"/>
    <w:rsid w:val="00E32F84"/>
    <w:rsid w:val="00E33184"/>
    <w:rsid w:val="00E332C6"/>
    <w:rsid w:val="00E34078"/>
    <w:rsid w:val="00E3435B"/>
    <w:rsid w:val="00E34802"/>
    <w:rsid w:val="00E348BF"/>
    <w:rsid w:val="00E34BF3"/>
    <w:rsid w:val="00E34E55"/>
    <w:rsid w:val="00E34F78"/>
    <w:rsid w:val="00E352A5"/>
    <w:rsid w:val="00E35769"/>
    <w:rsid w:val="00E368E3"/>
    <w:rsid w:val="00E36F15"/>
    <w:rsid w:val="00E371F3"/>
    <w:rsid w:val="00E3748C"/>
    <w:rsid w:val="00E374B0"/>
    <w:rsid w:val="00E3758F"/>
    <w:rsid w:val="00E40346"/>
    <w:rsid w:val="00E40FC7"/>
    <w:rsid w:val="00E410B0"/>
    <w:rsid w:val="00E41128"/>
    <w:rsid w:val="00E417F3"/>
    <w:rsid w:val="00E41AC4"/>
    <w:rsid w:val="00E41BBD"/>
    <w:rsid w:val="00E422EA"/>
    <w:rsid w:val="00E42C96"/>
    <w:rsid w:val="00E440AD"/>
    <w:rsid w:val="00E44555"/>
    <w:rsid w:val="00E4549E"/>
    <w:rsid w:val="00E45D50"/>
    <w:rsid w:val="00E45E63"/>
    <w:rsid w:val="00E46074"/>
    <w:rsid w:val="00E46232"/>
    <w:rsid w:val="00E4635A"/>
    <w:rsid w:val="00E4698F"/>
    <w:rsid w:val="00E46D8F"/>
    <w:rsid w:val="00E473C6"/>
    <w:rsid w:val="00E47448"/>
    <w:rsid w:val="00E47B59"/>
    <w:rsid w:val="00E47D48"/>
    <w:rsid w:val="00E50993"/>
    <w:rsid w:val="00E50EFC"/>
    <w:rsid w:val="00E51064"/>
    <w:rsid w:val="00E510CE"/>
    <w:rsid w:val="00E51369"/>
    <w:rsid w:val="00E51748"/>
    <w:rsid w:val="00E51EDA"/>
    <w:rsid w:val="00E520A3"/>
    <w:rsid w:val="00E523F2"/>
    <w:rsid w:val="00E52410"/>
    <w:rsid w:val="00E52A88"/>
    <w:rsid w:val="00E5433E"/>
    <w:rsid w:val="00E543D4"/>
    <w:rsid w:val="00E54B5B"/>
    <w:rsid w:val="00E54DDF"/>
    <w:rsid w:val="00E54F81"/>
    <w:rsid w:val="00E550D2"/>
    <w:rsid w:val="00E55D5E"/>
    <w:rsid w:val="00E55E03"/>
    <w:rsid w:val="00E55E9B"/>
    <w:rsid w:val="00E56A84"/>
    <w:rsid w:val="00E56EC7"/>
    <w:rsid w:val="00E5745A"/>
    <w:rsid w:val="00E57719"/>
    <w:rsid w:val="00E577A2"/>
    <w:rsid w:val="00E578CB"/>
    <w:rsid w:val="00E5793C"/>
    <w:rsid w:val="00E57B4B"/>
    <w:rsid w:val="00E57DD0"/>
    <w:rsid w:val="00E602E1"/>
    <w:rsid w:val="00E60316"/>
    <w:rsid w:val="00E60422"/>
    <w:rsid w:val="00E6091F"/>
    <w:rsid w:val="00E613DC"/>
    <w:rsid w:val="00E6147C"/>
    <w:rsid w:val="00E61635"/>
    <w:rsid w:val="00E619D0"/>
    <w:rsid w:val="00E61F90"/>
    <w:rsid w:val="00E625A9"/>
    <w:rsid w:val="00E63630"/>
    <w:rsid w:val="00E6375E"/>
    <w:rsid w:val="00E637B1"/>
    <w:rsid w:val="00E63A6F"/>
    <w:rsid w:val="00E63EF3"/>
    <w:rsid w:val="00E6411B"/>
    <w:rsid w:val="00E65407"/>
    <w:rsid w:val="00E65A2F"/>
    <w:rsid w:val="00E65C61"/>
    <w:rsid w:val="00E66114"/>
    <w:rsid w:val="00E667CF"/>
    <w:rsid w:val="00E6688A"/>
    <w:rsid w:val="00E66CD6"/>
    <w:rsid w:val="00E66F6F"/>
    <w:rsid w:val="00E67189"/>
    <w:rsid w:val="00E6721E"/>
    <w:rsid w:val="00E678DD"/>
    <w:rsid w:val="00E67E73"/>
    <w:rsid w:val="00E702C4"/>
    <w:rsid w:val="00E70404"/>
    <w:rsid w:val="00E7053E"/>
    <w:rsid w:val="00E70AE0"/>
    <w:rsid w:val="00E70D7A"/>
    <w:rsid w:val="00E710F0"/>
    <w:rsid w:val="00E7159A"/>
    <w:rsid w:val="00E71791"/>
    <w:rsid w:val="00E71B7A"/>
    <w:rsid w:val="00E72506"/>
    <w:rsid w:val="00E72613"/>
    <w:rsid w:val="00E72F50"/>
    <w:rsid w:val="00E73035"/>
    <w:rsid w:val="00E732D3"/>
    <w:rsid w:val="00E735B9"/>
    <w:rsid w:val="00E735FA"/>
    <w:rsid w:val="00E73F4D"/>
    <w:rsid w:val="00E743ED"/>
    <w:rsid w:val="00E749C8"/>
    <w:rsid w:val="00E74B03"/>
    <w:rsid w:val="00E74D51"/>
    <w:rsid w:val="00E74D94"/>
    <w:rsid w:val="00E74EA7"/>
    <w:rsid w:val="00E74FCB"/>
    <w:rsid w:val="00E7502F"/>
    <w:rsid w:val="00E754F7"/>
    <w:rsid w:val="00E75648"/>
    <w:rsid w:val="00E756D2"/>
    <w:rsid w:val="00E76A91"/>
    <w:rsid w:val="00E771BE"/>
    <w:rsid w:val="00E773C2"/>
    <w:rsid w:val="00E774A4"/>
    <w:rsid w:val="00E7779A"/>
    <w:rsid w:val="00E77EA3"/>
    <w:rsid w:val="00E803C3"/>
    <w:rsid w:val="00E8074D"/>
    <w:rsid w:val="00E80DCF"/>
    <w:rsid w:val="00E80F19"/>
    <w:rsid w:val="00E81056"/>
    <w:rsid w:val="00E815B5"/>
    <w:rsid w:val="00E81928"/>
    <w:rsid w:val="00E8253C"/>
    <w:rsid w:val="00E829A1"/>
    <w:rsid w:val="00E82A0D"/>
    <w:rsid w:val="00E84279"/>
    <w:rsid w:val="00E849F3"/>
    <w:rsid w:val="00E85094"/>
    <w:rsid w:val="00E85BE4"/>
    <w:rsid w:val="00E8622C"/>
    <w:rsid w:val="00E8635C"/>
    <w:rsid w:val="00E86400"/>
    <w:rsid w:val="00E86490"/>
    <w:rsid w:val="00E871EC"/>
    <w:rsid w:val="00E871EE"/>
    <w:rsid w:val="00E872B3"/>
    <w:rsid w:val="00E8734B"/>
    <w:rsid w:val="00E87BA2"/>
    <w:rsid w:val="00E900B1"/>
    <w:rsid w:val="00E9046C"/>
    <w:rsid w:val="00E905A8"/>
    <w:rsid w:val="00E90677"/>
    <w:rsid w:val="00E90CCB"/>
    <w:rsid w:val="00E910BC"/>
    <w:rsid w:val="00E91792"/>
    <w:rsid w:val="00E91B2E"/>
    <w:rsid w:val="00E92077"/>
    <w:rsid w:val="00E92953"/>
    <w:rsid w:val="00E92CB8"/>
    <w:rsid w:val="00E93D6A"/>
    <w:rsid w:val="00E9400C"/>
    <w:rsid w:val="00E94173"/>
    <w:rsid w:val="00E94232"/>
    <w:rsid w:val="00E94EEF"/>
    <w:rsid w:val="00E953C6"/>
    <w:rsid w:val="00E95603"/>
    <w:rsid w:val="00E9637A"/>
    <w:rsid w:val="00E964E2"/>
    <w:rsid w:val="00E96581"/>
    <w:rsid w:val="00E9668D"/>
    <w:rsid w:val="00E96BAC"/>
    <w:rsid w:val="00E96C1C"/>
    <w:rsid w:val="00E9713B"/>
    <w:rsid w:val="00E971CC"/>
    <w:rsid w:val="00E97D54"/>
    <w:rsid w:val="00E97F2C"/>
    <w:rsid w:val="00EA0E6C"/>
    <w:rsid w:val="00EA157E"/>
    <w:rsid w:val="00EA185B"/>
    <w:rsid w:val="00EA198A"/>
    <w:rsid w:val="00EA204D"/>
    <w:rsid w:val="00EA2D61"/>
    <w:rsid w:val="00EA2E79"/>
    <w:rsid w:val="00EA3146"/>
    <w:rsid w:val="00EA36ED"/>
    <w:rsid w:val="00EA3AE1"/>
    <w:rsid w:val="00EA3E8D"/>
    <w:rsid w:val="00EA4141"/>
    <w:rsid w:val="00EA417E"/>
    <w:rsid w:val="00EA4763"/>
    <w:rsid w:val="00EA646D"/>
    <w:rsid w:val="00EA6A86"/>
    <w:rsid w:val="00EA6C8F"/>
    <w:rsid w:val="00EA6ED8"/>
    <w:rsid w:val="00EA773D"/>
    <w:rsid w:val="00EB0243"/>
    <w:rsid w:val="00EB0431"/>
    <w:rsid w:val="00EB1247"/>
    <w:rsid w:val="00EB155E"/>
    <w:rsid w:val="00EB15DA"/>
    <w:rsid w:val="00EB18DF"/>
    <w:rsid w:val="00EB1BFE"/>
    <w:rsid w:val="00EB1FC1"/>
    <w:rsid w:val="00EB20A6"/>
    <w:rsid w:val="00EB2547"/>
    <w:rsid w:val="00EB26EC"/>
    <w:rsid w:val="00EB39A6"/>
    <w:rsid w:val="00EB4385"/>
    <w:rsid w:val="00EB4561"/>
    <w:rsid w:val="00EB46C8"/>
    <w:rsid w:val="00EB4B0F"/>
    <w:rsid w:val="00EB4B24"/>
    <w:rsid w:val="00EB4C4C"/>
    <w:rsid w:val="00EB4C93"/>
    <w:rsid w:val="00EB4FFB"/>
    <w:rsid w:val="00EB527A"/>
    <w:rsid w:val="00EB58E5"/>
    <w:rsid w:val="00EB5D0F"/>
    <w:rsid w:val="00EB640F"/>
    <w:rsid w:val="00EB7014"/>
    <w:rsid w:val="00EB75EC"/>
    <w:rsid w:val="00EB77AA"/>
    <w:rsid w:val="00EB7BAD"/>
    <w:rsid w:val="00EC02A3"/>
    <w:rsid w:val="00EC02E4"/>
    <w:rsid w:val="00EC04CB"/>
    <w:rsid w:val="00EC0C19"/>
    <w:rsid w:val="00EC15E7"/>
    <w:rsid w:val="00EC1B7F"/>
    <w:rsid w:val="00EC1C07"/>
    <w:rsid w:val="00EC1CB1"/>
    <w:rsid w:val="00EC211B"/>
    <w:rsid w:val="00EC2230"/>
    <w:rsid w:val="00EC2B05"/>
    <w:rsid w:val="00EC3490"/>
    <w:rsid w:val="00EC3E5A"/>
    <w:rsid w:val="00EC3E5D"/>
    <w:rsid w:val="00EC420E"/>
    <w:rsid w:val="00EC4349"/>
    <w:rsid w:val="00EC44AA"/>
    <w:rsid w:val="00EC4E02"/>
    <w:rsid w:val="00EC4E67"/>
    <w:rsid w:val="00EC6689"/>
    <w:rsid w:val="00EC6FE2"/>
    <w:rsid w:val="00EC77D8"/>
    <w:rsid w:val="00EC789C"/>
    <w:rsid w:val="00ED0FAE"/>
    <w:rsid w:val="00ED104F"/>
    <w:rsid w:val="00ED1539"/>
    <w:rsid w:val="00ED1D6D"/>
    <w:rsid w:val="00ED1ED1"/>
    <w:rsid w:val="00ED20AC"/>
    <w:rsid w:val="00ED22C0"/>
    <w:rsid w:val="00ED3973"/>
    <w:rsid w:val="00ED4198"/>
    <w:rsid w:val="00ED45AF"/>
    <w:rsid w:val="00ED4BCE"/>
    <w:rsid w:val="00ED503D"/>
    <w:rsid w:val="00ED5551"/>
    <w:rsid w:val="00ED5DAE"/>
    <w:rsid w:val="00ED6320"/>
    <w:rsid w:val="00ED6475"/>
    <w:rsid w:val="00ED7154"/>
    <w:rsid w:val="00ED7414"/>
    <w:rsid w:val="00EE07BE"/>
    <w:rsid w:val="00EE07D5"/>
    <w:rsid w:val="00EE0B8F"/>
    <w:rsid w:val="00EE0C15"/>
    <w:rsid w:val="00EE182C"/>
    <w:rsid w:val="00EE198F"/>
    <w:rsid w:val="00EE1C21"/>
    <w:rsid w:val="00EE1CB0"/>
    <w:rsid w:val="00EE2100"/>
    <w:rsid w:val="00EE2305"/>
    <w:rsid w:val="00EE2D3D"/>
    <w:rsid w:val="00EE2D84"/>
    <w:rsid w:val="00EE2DCE"/>
    <w:rsid w:val="00EE2EFF"/>
    <w:rsid w:val="00EE35C9"/>
    <w:rsid w:val="00EE4E6E"/>
    <w:rsid w:val="00EE4F7D"/>
    <w:rsid w:val="00EE50D6"/>
    <w:rsid w:val="00EE545A"/>
    <w:rsid w:val="00EE5AE9"/>
    <w:rsid w:val="00EE5D7F"/>
    <w:rsid w:val="00EE74B6"/>
    <w:rsid w:val="00EE75CB"/>
    <w:rsid w:val="00EE76AB"/>
    <w:rsid w:val="00EE7B02"/>
    <w:rsid w:val="00EE7D92"/>
    <w:rsid w:val="00EF016A"/>
    <w:rsid w:val="00EF0ABD"/>
    <w:rsid w:val="00EF0E59"/>
    <w:rsid w:val="00EF111C"/>
    <w:rsid w:val="00EF1F3B"/>
    <w:rsid w:val="00EF1F51"/>
    <w:rsid w:val="00EF1FD5"/>
    <w:rsid w:val="00EF22BC"/>
    <w:rsid w:val="00EF22D6"/>
    <w:rsid w:val="00EF23C3"/>
    <w:rsid w:val="00EF2474"/>
    <w:rsid w:val="00EF29DA"/>
    <w:rsid w:val="00EF3348"/>
    <w:rsid w:val="00EF346C"/>
    <w:rsid w:val="00EF3614"/>
    <w:rsid w:val="00EF3A55"/>
    <w:rsid w:val="00EF3F4A"/>
    <w:rsid w:val="00EF433C"/>
    <w:rsid w:val="00EF455F"/>
    <w:rsid w:val="00EF4FC3"/>
    <w:rsid w:val="00EF5354"/>
    <w:rsid w:val="00EF5703"/>
    <w:rsid w:val="00EF61D7"/>
    <w:rsid w:val="00EF6646"/>
    <w:rsid w:val="00EF6FF6"/>
    <w:rsid w:val="00EF728C"/>
    <w:rsid w:val="00F00D5E"/>
    <w:rsid w:val="00F00D73"/>
    <w:rsid w:val="00F01401"/>
    <w:rsid w:val="00F01EF6"/>
    <w:rsid w:val="00F020E9"/>
    <w:rsid w:val="00F02F27"/>
    <w:rsid w:val="00F03C8C"/>
    <w:rsid w:val="00F03CAC"/>
    <w:rsid w:val="00F03E9E"/>
    <w:rsid w:val="00F04512"/>
    <w:rsid w:val="00F04B66"/>
    <w:rsid w:val="00F04D41"/>
    <w:rsid w:val="00F0514B"/>
    <w:rsid w:val="00F057A9"/>
    <w:rsid w:val="00F05B25"/>
    <w:rsid w:val="00F05BCD"/>
    <w:rsid w:val="00F0655D"/>
    <w:rsid w:val="00F06913"/>
    <w:rsid w:val="00F06F30"/>
    <w:rsid w:val="00F07169"/>
    <w:rsid w:val="00F0719B"/>
    <w:rsid w:val="00F07417"/>
    <w:rsid w:val="00F07572"/>
    <w:rsid w:val="00F1088E"/>
    <w:rsid w:val="00F10C5A"/>
    <w:rsid w:val="00F115EA"/>
    <w:rsid w:val="00F11652"/>
    <w:rsid w:val="00F117DF"/>
    <w:rsid w:val="00F11ABF"/>
    <w:rsid w:val="00F11EDF"/>
    <w:rsid w:val="00F122CB"/>
    <w:rsid w:val="00F12555"/>
    <w:rsid w:val="00F12777"/>
    <w:rsid w:val="00F12B0F"/>
    <w:rsid w:val="00F13013"/>
    <w:rsid w:val="00F131DE"/>
    <w:rsid w:val="00F13CD2"/>
    <w:rsid w:val="00F13E6B"/>
    <w:rsid w:val="00F140CF"/>
    <w:rsid w:val="00F14920"/>
    <w:rsid w:val="00F14CE0"/>
    <w:rsid w:val="00F15540"/>
    <w:rsid w:val="00F15700"/>
    <w:rsid w:val="00F1587A"/>
    <w:rsid w:val="00F15E29"/>
    <w:rsid w:val="00F1629E"/>
    <w:rsid w:val="00F162D7"/>
    <w:rsid w:val="00F16CB9"/>
    <w:rsid w:val="00F171F4"/>
    <w:rsid w:val="00F1729A"/>
    <w:rsid w:val="00F17434"/>
    <w:rsid w:val="00F2026A"/>
    <w:rsid w:val="00F20A06"/>
    <w:rsid w:val="00F20CCA"/>
    <w:rsid w:val="00F20E44"/>
    <w:rsid w:val="00F20E98"/>
    <w:rsid w:val="00F2111A"/>
    <w:rsid w:val="00F212F0"/>
    <w:rsid w:val="00F21765"/>
    <w:rsid w:val="00F217AF"/>
    <w:rsid w:val="00F21F59"/>
    <w:rsid w:val="00F2243F"/>
    <w:rsid w:val="00F225B6"/>
    <w:rsid w:val="00F22B08"/>
    <w:rsid w:val="00F22BBD"/>
    <w:rsid w:val="00F23669"/>
    <w:rsid w:val="00F237D7"/>
    <w:rsid w:val="00F2419D"/>
    <w:rsid w:val="00F24389"/>
    <w:rsid w:val="00F2445F"/>
    <w:rsid w:val="00F24465"/>
    <w:rsid w:val="00F249A4"/>
    <w:rsid w:val="00F253C4"/>
    <w:rsid w:val="00F27511"/>
    <w:rsid w:val="00F2756E"/>
    <w:rsid w:val="00F27AB1"/>
    <w:rsid w:val="00F27FDA"/>
    <w:rsid w:val="00F3000A"/>
    <w:rsid w:val="00F30330"/>
    <w:rsid w:val="00F30D25"/>
    <w:rsid w:val="00F31381"/>
    <w:rsid w:val="00F3237B"/>
    <w:rsid w:val="00F33008"/>
    <w:rsid w:val="00F33364"/>
    <w:rsid w:val="00F33742"/>
    <w:rsid w:val="00F33CA3"/>
    <w:rsid w:val="00F33CAD"/>
    <w:rsid w:val="00F33E42"/>
    <w:rsid w:val="00F344CF"/>
    <w:rsid w:val="00F34702"/>
    <w:rsid w:val="00F34841"/>
    <w:rsid w:val="00F35419"/>
    <w:rsid w:val="00F35DD8"/>
    <w:rsid w:val="00F36CED"/>
    <w:rsid w:val="00F377F0"/>
    <w:rsid w:val="00F37DE3"/>
    <w:rsid w:val="00F37E1A"/>
    <w:rsid w:val="00F37E1E"/>
    <w:rsid w:val="00F40091"/>
    <w:rsid w:val="00F40422"/>
    <w:rsid w:val="00F4054F"/>
    <w:rsid w:val="00F410CA"/>
    <w:rsid w:val="00F411F4"/>
    <w:rsid w:val="00F4132A"/>
    <w:rsid w:val="00F41552"/>
    <w:rsid w:val="00F4220C"/>
    <w:rsid w:val="00F424C8"/>
    <w:rsid w:val="00F4317C"/>
    <w:rsid w:val="00F437CC"/>
    <w:rsid w:val="00F43E1D"/>
    <w:rsid w:val="00F44036"/>
    <w:rsid w:val="00F442D9"/>
    <w:rsid w:val="00F44FA4"/>
    <w:rsid w:val="00F45E3B"/>
    <w:rsid w:val="00F4649E"/>
    <w:rsid w:val="00F46DCB"/>
    <w:rsid w:val="00F46F84"/>
    <w:rsid w:val="00F47531"/>
    <w:rsid w:val="00F47560"/>
    <w:rsid w:val="00F47766"/>
    <w:rsid w:val="00F479A0"/>
    <w:rsid w:val="00F47BD1"/>
    <w:rsid w:val="00F47DC3"/>
    <w:rsid w:val="00F5048F"/>
    <w:rsid w:val="00F50547"/>
    <w:rsid w:val="00F50711"/>
    <w:rsid w:val="00F52022"/>
    <w:rsid w:val="00F524D7"/>
    <w:rsid w:val="00F52D84"/>
    <w:rsid w:val="00F52E1C"/>
    <w:rsid w:val="00F53336"/>
    <w:rsid w:val="00F53993"/>
    <w:rsid w:val="00F53E49"/>
    <w:rsid w:val="00F53EBD"/>
    <w:rsid w:val="00F53F2E"/>
    <w:rsid w:val="00F543F7"/>
    <w:rsid w:val="00F54CCA"/>
    <w:rsid w:val="00F55541"/>
    <w:rsid w:val="00F55765"/>
    <w:rsid w:val="00F557B6"/>
    <w:rsid w:val="00F55AAB"/>
    <w:rsid w:val="00F55ECB"/>
    <w:rsid w:val="00F56528"/>
    <w:rsid w:val="00F56887"/>
    <w:rsid w:val="00F56E41"/>
    <w:rsid w:val="00F608C3"/>
    <w:rsid w:val="00F60E40"/>
    <w:rsid w:val="00F61941"/>
    <w:rsid w:val="00F61BAB"/>
    <w:rsid w:val="00F61CFA"/>
    <w:rsid w:val="00F620CE"/>
    <w:rsid w:val="00F620DD"/>
    <w:rsid w:val="00F622DF"/>
    <w:rsid w:val="00F625CA"/>
    <w:rsid w:val="00F62D32"/>
    <w:rsid w:val="00F64060"/>
    <w:rsid w:val="00F64CBD"/>
    <w:rsid w:val="00F65528"/>
    <w:rsid w:val="00F65AA1"/>
    <w:rsid w:val="00F6655E"/>
    <w:rsid w:val="00F665FC"/>
    <w:rsid w:val="00F66D36"/>
    <w:rsid w:val="00F66E32"/>
    <w:rsid w:val="00F675FF"/>
    <w:rsid w:val="00F67E80"/>
    <w:rsid w:val="00F701F8"/>
    <w:rsid w:val="00F7029B"/>
    <w:rsid w:val="00F71708"/>
    <w:rsid w:val="00F717F0"/>
    <w:rsid w:val="00F72258"/>
    <w:rsid w:val="00F723E4"/>
    <w:rsid w:val="00F727A5"/>
    <w:rsid w:val="00F7289B"/>
    <w:rsid w:val="00F72A66"/>
    <w:rsid w:val="00F73086"/>
    <w:rsid w:val="00F7315A"/>
    <w:rsid w:val="00F73337"/>
    <w:rsid w:val="00F759C6"/>
    <w:rsid w:val="00F76406"/>
    <w:rsid w:val="00F76856"/>
    <w:rsid w:val="00F77010"/>
    <w:rsid w:val="00F77091"/>
    <w:rsid w:val="00F7711D"/>
    <w:rsid w:val="00F77258"/>
    <w:rsid w:val="00F772B2"/>
    <w:rsid w:val="00F77494"/>
    <w:rsid w:val="00F774A5"/>
    <w:rsid w:val="00F77730"/>
    <w:rsid w:val="00F80023"/>
    <w:rsid w:val="00F80993"/>
    <w:rsid w:val="00F81205"/>
    <w:rsid w:val="00F8170E"/>
    <w:rsid w:val="00F81B74"/>
    <w:rsid w:val="00F821AD"/>
    <w:rsid w:val="00F823F4"/>
    <w:rsid w:val="00F82A8A"/>
    <w:rsid w:val="00F832D6"/>
    <w:rsid w:val="00F8353E"/>
    <w:rsid w:val="00F83757"/>
    <w:rsid w:val="00F8458A"/>
    <w:rsid w:val="00F8558D"/>
    <w:rsid w:val="00F86597"/>
    <w:rsid w:val="00F86776"/>
    <w:rsid w:val="00F86B48"/>
    <w:rsid w:val="00F86BED"/>
    <w:rsid w:val="00F86E1E"/>
    <w:rsid w:val="00F87FBB"/>
    <w:rsid w:val="00F9030F"/>
    <w:rsid w:val="00F90531"/>
    <w:rsid w:val="00F906F9"/>
    <w:rsid w:val="00F90856"/>
    <w:rsid w:val="00F90B48"/>
    <w:rsid w:val="00F90BA5"/>
    <w:rsid w:val="00F9101A"/>
    <w:rsid w:val="00F918B9"/>
    <w:rsid w:val="00F91AB8"/>
    <w:rsid w:val="00F927D5"/>
    <w:rsid w:val="00F9288C"/>
    <w:rsid w:val="00F92AF1"/>
    <w:rsid w:val="00F93177"/>
    <w:rsid w:val="00F93640"/>
    <w:rsid w:val="00F93E19"/>
    <w:rsid w:val="00F9402C"/>
    <w:rsid w:val="00F94143"/>
    <w:rsid w:val="00F950A1"/>
    <w:rsid w:val="00F95FBA"/>
    <w:rsid w:val="00F962FE"/>
    <w:rsid w:val="00F97050"/>
    <w:rsid w:val="00F97D0A"/>
    <w:rsid w:val="00F97E1E"/>
    <w:rsid w:val="00FA07A1"/>
    <w:rsid w:val="00FA0E7A"/>
    <w:rsid w:val="00FA0F75"/>
    <w:rsid w:val="00FA13EA"/>
    <w:rsid w:val="00FA1708"/>
    <w:rsid w:val="00FA19EB"/>
    <w:rsid w:val="00FA1A83"/>
    <w:rsid w:val="00FA1B10"/>
    <w:rsid w:val="00FA23D6"/>
    <w:rsid w:val="00FA2732"/>
    <w:rsid w:val="00FA2A46"/>
    <w:rsid w:val="00FA305A"/>
    <w:rsid w:val="00FA3226"/>
    <w:rsid w:val="00FA322D"/>
    <w:rsid w:val="00FA37C9"/>
    <w:rsid w:val="00FA3C4D"/>
    <w:rsid w:val="00FA4DEC"/>
    <w:rsid w:val="00FA51AA"/>
    <w:rsid w:val="00FA5A92"/>
    <w:rsid w:val="00FA62BA"/>
    <w:rsid w:val="00FA653A"/>
    <w:rsid w:val="00FA6DCE"/>
    <w:rsid w:val="00FA72F7"/>
    <w:rsid w:val="00FA7A2C"/>
    <w:rsid w:val="00FA7E22"/>
    <w:rsid w:val="00FA7E26"/>
    <w:rsid w:val="00FA7F9C"/>
    <w:rsid w:val="00FB05CC"/>
    <w:rsid w:val="00FB0B50"/>
    <w:rsid w:val="00FB15E2"/>
    <w:rsid w:val="00FB17A3"/>
    <w:rsid w:val="00FB1BFB"/>
    <w:rsid w:val="00FB1EBF"/>
    <w:rsid w:val="00FB1EFB"/>
    <w:rsid w:val="00FB20A7"/>
    <w:rsid w:val="00FB2A2B"/>
    <w:rsid w:val="00FB2D62"/>
    <w:rsid w:val="00FB2D87"/>
    <w:rsid w:val="00FB37C7"/>
    <w:rsid w:val="00FB3C6E"/>
    <w:rsid w:val="00FB4122"/>
    <w:rsid w:val="00FB4772"/>
    <w:rsid w:val="00FB49B7"/>
    <w:rsid w:val="00FB4BF4"/>
    <w:rsid w:val="00FB4EAE"/>
    <w:rsid w:val="00FB51C7"/>
    <w:rsid w:val="00FB7687"/>
    <w:rsid w:val="00FB7C66"/>
    <w:rsid w:val="00FC0039"/>
    <w:rsid w:val="00FC0294"/>
    <w:rsid w:val="00FC02D9"/>
    <w:rsid w:val="00FC04A0"/>
    <w:rsid w:val="00FC09DE"/>
    <w:rsid w:val="00FC0DA7"/>
    <w:rsid w:val="00FC186C"/>
    <w:rsid w:val="00FC1CB3"/>
    <w:rsid w:val="00FC1CFF"/>
    <w:rsid w:val="00FC1FF4"/>
    <w:rsid w:val="00FC35D0"/>
    <w:rsid w:val="00FC3A4C"/>
    <w:rsid w:val="00FC3E72"/>
    <w:rsid w:val="00FC5239"/>
    <w:rsid w:val="00FC5843"/>
    <w:rsid w:val="00FC5BFF"/>
    <w:rsid w:val="00FC644D"/>
    <w:rsid w:val="00FC695B"/>
    <w:rsid w:val="00FC6982"/>
    <w:rsid w:val="00FC6EC3"/>
    <w:rsid w:val="00FC7DBD"/>
    <w:rsid w:val="00FD006F"/>
    <w:rsid w:val="00FD02F3"/>
    <w:rsid w:val="00FD05D7"/>
    <w:rsid w:val="00FD13DA"/>
    <w:rsid w:val="00FD14A0"/>
    <w:rsid w:val="00FD1CEA"/>
    <w:rsid w:val="00FD1F59"/>
    <w:rsid w:val="00FD2213"/>
    <w:rsid w:val="00FD2A68"/>
    <w:rsid w:val="00FD2C7D"/>
    <w:rsid w:val="00FD30CA"/>
    <w:rsid w:val="00FD376D"/>
    <w:rsid w:val="00FD37D1"/>
    <w:rsid w:val="00FD3A6C"/>
    <w:rsid w:val="00FD3C8B"/>
    <w:rsid w:val="00FD42E5"/>
    <w:rsid w:val="00FD4591"/>
    <w:rsid w:val="00FD467A"/>
    <w:rsid w:val="00FD5854"/>
    <w:rsid w:val="00FD6011"/>
    <w:rsid w:val="00FD6421"/>
    <w:rsid w:val="00FD6434"/>
    <w:rsid w:val="00FD68B7"/>
    <w:rsid w:val="00FD738A"/>
    <w:rsid w:val="00FE0822"/>
    <w:rsid w:val="00FE0CBA"/>
    <w:rsid w:val="00FE1072"/>
    <w:rsid w:val="00FE170F"/>
    <w:rsid w:val="00FE2266"/>
    <w:rsid w:val="00FE29E1"/>
    <w:rsid w:val="00FE35C9"/>
    <w:rsid w:val="00FE4201"/>
    <w:rsid w:val="00FE428E"/>
    <w:rsid w:val="00FE42EA"/>
    <w:rsid w:val="00FE533D"/>
    <w:rsid w:val="00FE5829"/>
    <w:rsid w:val="00FE5C87"/>
    <w:rsid w:val="00FE5E90"/>
    <w:rsid w:val="00FE605E"/>
    <w:rsid w:val="00FE6240"/>
    <w:rsid w:val="00FE6549"/>
    <w:rsid w:val="00FE66D9"/>
    <w:rsid w:val="00FE6A54"/>
    <w:rsid w:val="00FE72F4"/>
    <w:rsid w:val="00FE7A12"/>
    <w:rsid w:val="00FE7C44"/>
    <w:rsid w:val="00FE7D2C"/>
    <w:rsid w:val="00FF0000"/>
    <w:rsid w:val="00FF00B6"/>
    <w:rsid w:val="00FF02A4"/>
    <w:rsid w:val="00FF02CF"/>
    <w:rsid w:val="00FF0F43"/>
    <w:rsid w:val="00FF1229"/>
    <w:rsid w:val="00FF1377"/>
    <w:rsid w:val="00FF137E"/>
    <w:rsid w:val="00FF1548"/>
    <w:rsid w:val="00FF1B7F"/>
    <w:rsid w:val="00FF1EBF"/>
    <w:rsid w:val="00FF254C"/>
    <w:rsid w:val="00FF256B"/>
    <w:rsid w:val="00FF25B6"/>
    <w:rsid w:val="00FF28F1"/>
    <w:rsid w:val="00FF345A"/>
    <w:rsid w:val="00FF3E1E"/>
    <w:rsid w:val="00FF4067"/>
    <w:rsid w:val="00FF45FF"/>
    <w:rsid w:val="00FF547F"/>
    <w:rsid w:val="00FF5586"/>
    <w:rsid w:val="00FF56E0"/>
    <w:rsid w:val="00FF5F90"/>
    <w:rsid w:val="00FF615B"/>
    <w:rsid w:val="00FF643D"/>
    <w:rsid w:val="00FF6AF3"/>
    <w:rsid w:val="00FF6DDE"/>
    <w:rsid w:val="00FF6E25"/>
    <w:rsid w:val="00FF7605"/>
    <w:rsid w:val="00FF761A"/>
    <w:rsid w:val="00FF7BE8"/>
    <w:rsid w:val="65FAAC93"/>
    <w:rsid w:val="7C2F6B61"/>
    <w:rsid w:val="7C8ED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68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6D6E71" w:themeColor="text2"/>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B9"/>
    <w:rPr>
      <w:color w:val="auto"/>
      <w:szCs w:val="18"/>
      <w:lang w:eastAsia="en-US"/>
    </w:rPr>
  </w:style>
  <w:style w:type="paragraph" w:styleId="Heading1">
    <w:name w:val="heading 1"/>
    <w:basedOn w:val="Normal"/>
    <w:next w:val="Normal"/>
    <w:link w:val="Heading1Char"/>
    <w:uiPriority w:val="9"/>
    <w:qFormat/>
    <w:rsid w:val="00167307"/>
    <w:pPr>
      <w:pageBreakBefore/>
      <w:pBdr>
        <w:left w:val="single" w:sz="48" w:space="4" w:color="EBC132" w:themeColor="accent1"/>
      </w:pBdr>
      <w:spacing w:before="120" w:line="228" w:lineRule="auto"/>
      <w:ind w:left="170"/>
      <w:outlineLvl w:val="0"/>
    </w:pPr>
    <w:rPr>
      <w:rFonts w:ascii="Georgia" w:hAnsi="Georgia" w:cstheme="majorHAnsi"/>
      <w:color w:val="000000" w:themeColor="text1"/>
      <w:sz w:val="56"/>
      <w:szCs w:val="56"/>
    </w:rPr>
  </w:style>
  <w:style w:type="paragraph" w:styleId="Heading2">
    <w:name w:val="heading 2"/>
    <w:basedOn w:val="Normal"/>
    <w:next w:val="Normal"/>
    <w:link w:val="Heading2Char"/>
    <w:uiPriority w:val="9"/>
    <w:qFormat/>
    <w:rsid w:val="00C65B49"/>
    <w:pPr>
      <w:keepNext/>
      <w:spacing w:before="240" w:after="60"/>
      <w:outlineLvl w:val="1"/>
    </w:pPr>
    <w:rPr>
      <w:rFonts w:ascii="Georgia" w:hAnsi="Georgia" w:cs="Arial"/>
      <w:bCs/>
      <w:iCs/>
      <w:sz w:val="32"/>
      <w:szCs w:val="32"/>
    </w:rPr>
  </w:style>
  <w:style w:type="paragraph" w:styleId="Heading3">
    <w:name w:val="heading 3"/>
    <w:basedOn w:val="Normal"/>
    <w:next w:val="Normal"/>
    <w:link w:val="Heading3Char"/>
    <w:uiPriority w:val="9"/>
    <w:qFormat/>
    <w:rsid w:val="00C65B49"/>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C65B49"/>
    <w:pPr>
      <w:widowControl w:val="0"/>
      <w:spacing w:before="200" w:after="0"/>
      <w:outlineLvl w:val="3"/>
    </w:pPr>
    <w:rPr>
      <w:rFonts w:eastAsia="MS Gothic"/>
      <w:b/>
      <w:bCs/>
      <w:iCs/>
      <w:sz w:val="24"/>
      <w:szCs w:val="24"/>
    </w:rPr>
  </w:style>
  <w:style w:type="paragraph" w:styleId="Heading5">
    <w:name w:val="heading 5"/>
    <w:basedOn w:val="Normal"/>
    <w:next w:val="Normal"/>
    <w:link w:val="Heading5Char"/>
    <w:uiPriority w:val="9"/>
    <w:rsid w:val="00E63A6F"/>
    <w:pPr>
      <w:keepNext/>
      <w:spacing w:before="60"/>
      <w:jc w:val="both"/>
      <w:outlineLvl w:val="4"/>
    </w:pPr>
    <w:rPr>
      <w:rFonts w:asciiTheme="minorHAnsi" w:hAnsiTheme="minorHAnsi" w:cstheme="minorHAnsi"/>
      <w:b/>
      <w:lang w:val="en-AU"/>
    </w:rPr>
  </w:style>
  <w:style w:type="paragraph" w:styleId="Heading6">
    <w:name w:val="heading 6"/>
    <w:basedOn w:val="Normal"/>
    <w:next w:val="Normal"/>
    <w:link w:val="Heading6Char"/>
    <w:uiPriority w:val="9"/>
    <w:unhideWhenUsed/>
    <w:rsid w:val="00382163"/>
    <w:pPr>
      <w:keepNext/>
      <w:keepLines/>
      <w:spacing w:before="200"/>
      <w:outlineLvl w:val="5"/>
    </w:pPr>
    <w:rPr>
      <w:rFonts w:asciiTheme="majorHAnsi" w:eastAsiaTheme="majorEastAsia" w:hAnsiTheme="majorHAnsi" w:cstheme="majorBidi"/>
      <w:i/>
      <w:iCs/>
      <w:color w:val="81660C" w:themeColor="accent1" w:themeShade="7F"/>
    </w:rPr>
  </w:style>
  <w:style w:type="paragraph" w:styleId="Heading7">
    <w:name w:val="heading 7"/>
    <w:basedOn w:val="Normal"/>
    <w:next w:val="Normal"/>
    <w:link w:val="Heading7Char"/>
    <w:uiPriority w:val="9"/>
    <w:rsid w:val="00D82C5E"/>
    <w:pPr>
      <w:keepNext/>
      <w:keepLines/>
      <w:spacing w:before="200" w:after="0" w:line="240" w:lineRule="auto"/>
      <w:ind w:left="1296" w:hanging="842"/>
      <w:outlineLvl w:val="6"/>
    </w:pPr>
    <w:rPr>
      <w:rFonts w:eastAsia="MS Gothic"/>
      <w:i/>
      <w:iCs/>
      <w:color w:val="404040"/>
      <w:sz w:val="22"/>
      <w:szCs w:val="20"/>
    </w:rPr>
  </w:style>
  <w:style w:type="paragraph" w:styleId="Heading8">
    <w:name w:val="heading 8"/>
    <w:basedOn w:val="Normal"/>
    <w:next w:val="Normal"/>
    <w:link w:val="Heading8Char"/>
    <w:uiPriority w:val="9"/>
    <w:rsid w:val="00D82C5E"/>
    <w:pPr>
      <w:keepNext/>
      <w:keepLines/>
      <w:tabs>
        <w:tab w:val="num" w:pos="4536"/>
      </w:tabs>
      <w:spacing w:before="200" w:after="0" w:line="240" w:lineRule="auto"/>
      <w:ind w:left="1440" w:hanging="986"/>
      <w:outlineLvl w:val="7"/>
    </w:pPr>
    <w:rPr>
      <w:rFonts w:eastAsia="MS Gothic"/>
      <w:color w:val="404040"/>
      <w:sz w:val="22"/>
      <w:szCs w:val="20"/>
    </w:rPr>
  </w:style>
  <w:style w:type="paragraph" w:styleId="Heading9">
    <w:name w:val="heading 9"/>
    <w:basedOn w:val="Normal"/>
    <w:next w:val="Normal"/>
    <w:link w:val="Heading9Char"/>
    <w:uiPriority w:val="9"/>
    <w:rsid w:val="00D82C5E"/>
    <w:pPr>
      <w:keepNext/>
      <w:keepLines/>
      <w:spacing w:before="200" w:after="0" w:line="240" w:lineRule="auto"/>
      <w:ind w:left="1584" w:hanging="1130"/>
      <w:outlineLvl w:val="8"/>
    </w:pPr>
    <w:rPr>
      <w:rFonts w:eastAsia="MS Gothic"/>
      <w:i/>
      <w:iCs/>
      <w:color w:val="40404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07"/>
    <w:rPr>
      <w:rFonts w:ascii="Georgia" w:hAnsi="Georgia" w:cstheme="majorHAnsi"/>
      <w:color w:val="000000" w:themeColor="text1"/>
      <w:sz w:val="56"/>
      <w:szCs w:val="56"/>
      <w:lang w:eastAsia="en-US"/>
    </w:rPr>
  </w:style>
  <w:style w:type="character" w:customStyle="1" w:styleId="Heading2Char">
    <w:name w:val="Heading 2 Char"/>
    <w:basedOn w:val="DefaultParagraphFont"/>
    <w:link w:val="Heading2"/>
    <w:uiPriority w:val="9"/>
    <w:rsid w:val="00C65B49"/>
    <w:rPr>
      <w:rFonts w:ascii="Georgia" w:hAnsi="Georgia" w:cs="Arial"/>
      <w:bCs/>
      <w:iCs/>
      <w:color w:val="auto"/>
      <w:sz w:val="32"/>
      <w:szCs w:val="32"/>
      <w:lang w:eastAsia="en-US"/>
    </w:rPr>
  </w:style>
  <w:style w:type="character" w:customStyle="1" w:styleId="Heading3Char">
    <w:name w:val="Heading 3 Char"/>
    <w:basedOn w:val="DefaultParagraphFont"/>
    <w:link w:val="Heading3"/>
    <w:uiPriority w:val="9"/>
    <w:rsid w:val="00C65B49"/>
    <w:rPr>
      <w:rFonts w:cs="Arial"/>
      <w:b/>
      <w:bCs/>
      <w:color w:val="auto"/>
      <w:sz w:val="26"/>
      <w:szCs w:val="26"/>
      <w:lang w:eastAsia="en-US"/>
    </w:rPr>
  </w:style>
  <w:style w:type="character" w:customStyle="1" w:styleId="Heading5Char">
    <w:name w:val="Heading 5 Char"/>
    <w:basedOn w:val="DefaultParagraphFont"/>
    <w:link w:val="Heading5"/>
    <w:uiPriority w:val="9"/>
    <w:rsid w:val="00E63A6F"/>
    <w:rPr>
      <w:rFonts w:asciiTheme="minorHAnsi" w:hAnsiTheme="minorHAnsi" w:cstheme="minorHAnsi"/>
      <w:b/>
      <w:color w:val="auto"/>
      <w:sz w:val="18"/>
      <w:szCs w:val="18"/>
      <w:lang w:val="en-AU"/>
    </w:rPr>
  </w:style>
  <w:style w:type="paragraph" w:styleId="NoSpacing">
    <w:name w:val="No Spacing"/>
    <w:uiPriority w:val="1"/>
    <w:qFormat/>
    <w:rsid w:val="001C5E13"/>
    <w:pPr>
      <w:spacing w:after="0" w:line="240" w:lineRule="auto"/>
    </w:pPr>
    <w:rPr>
      <w:color w:val="auto"/>
      <w:sz w:val="18"/>
      <w:szCs w:val="18"/>
    </w:rPr>
  </w:style>
  <w:style w:type="paragraph" w:styleId="Title">
    <w:name w:val="Title"/>
    <w:basedOn w:val="Normal"/>
    <w:next w:val="Normal"/>
    <w:link w:val="TitleChar"/>
    <w:uiPriority w:val="10"/>
    <w:qFormat/>
    <w:rsid w:val="00282CAB"/>
    <w:pPr>
      <w:spacing w:after="0" w:line="240" w:lineRule="auto"/>
      <w:contextualSpacing/>
    </w:pPr>
    <w:rPr>
      <w:rFonts w:ascii="Georgia" w:eastAsiaTheme="majorEastAsia" w:hAnsi="Georgia"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282CAB"/>
    <w:rPr>
      <w:rFonts w:ascii="Georgia" w:eastAsiaTheme="majorEastAsia" w:hAnsi="Georgia" w:cstheme="majorBidi"/>
      <w:color w:val="FFFFFF" w:themeColor="background1"/>
      <w:spacing w:val="-10"/>
      <w:kern w:val="28"/>
      <w:sz w:val="72"/>
      <w:szCs w:val="72"/>
      <w:lang w:eastAsia="en-US"/>
    </w:rPr>
  </w:style>
  <w:style w:type="character" w:styleId="IntenseEmphasis">
    <w:name w:val="Intense Emphasis"/>
    <w:basedOn w:val="DefaultParagraphFont"/>
    <w:uiPriority w:val="21"/>
    <w:qFormat/>
    <w:rsid w:val="000B2678"/>
    <w:rPr>
      <w:rFonts w:asciiTheme="minorHAnsi" w:hAnsiTheme="minorHAnsi"/>
      <w:i/>
      <w:iCs/>
      <w:color w:val="EBC132" w:themeColor="accent1"/>
      <w:sz w:val="18"/>
    </w:rPr>
  </w:style>
  <w:style w:type="paragraph" w:styleId="FootnoteText">
    <w:name w:val="footnote text"/>
    <w:aliases w:val="fn,ADB,single space,footnote text Char,fn Char,ADB Char,single space Char Char,Fußnotentextf,F,Style 25,FOOTNOTES,Footnote Text Char Char,Footnote Text Char Char1,FOOTNOTES Char Char,FOOTNOTES Char1,Footnote Text Char1 Char Char,ft"/>
    <w:basedOn w:val="Normal"/>
    <w:link w:val="FootnoteTextChar"/>
    <w:uiPriority w:val="99"/>
    <w:qFormat/>
    <w:rsid w:val="00A80990"/>
    <w:rPr>
      <w:sz w:val="16"/>
      <w:szCs w:val="16"/>
    </w:rPr>
  </w:style>
  <w:style w:type="character" w:customStyle="1" w:styleId="FootnoteTextChar">
    <w:name w:val="Footnote Text Char"/>
    <w:aliases w:val="fn Char1,ADB Char1,single space Char,footnote text Char Char,fn Char Char,ADB Char Char,single space Char Char Char,Fußnotentextf Char,F Char,Style 25 Char,FOOTNOTES Char,Footnote Text Char Char Char,Footnote Text Char Char1 Char"/>
    <w:basedOn w:val="DefaultParagraphFont"/>
    <w:link w:val="FootnoteText"/>
    <w:uiPriority w:val="99"/>
    <w:rsid w:val="00A80990"/>
    <w:rPr>
      <w:color w:val="auto"/>
      <w:sz w:val="16"/>
      <w:szCs w:val="16"/>
    </w:rPr>
  </w:style>
  <w:style w:type="character" w:styleId="FootnoteReference">
    <w:name w:val="footnote reference"/>
    <w:aliases w:val="ASI Footer,Style 24,Style 21,Ref,de nota al pie,16 Point,Superscript 6 Point,ftref,BVI fnr"/>
    <w:link w:val="Char2"/>
    <w:uiPriority w:val="99"/>
    <w:qFormat/>
    <w:rsid w:val="00B675BF"/>
    <w:rPr>
      <w:rFonts w:ascii="Euphemia UCAS" w:hAnsi="Euphemia UCAS"/>
      <w:i/>
      <w:color w:val="000000"/>
      <w:sz w:val="14"/>
      <w:vertAlign w:val="superscript"/>
    </w:rPr>
  </w:style>
  <w:style w:type="character" w:styleId="IntenseReference">
    <w:name w:val="Intense Reference"/>
    <w:basedOn w:val="DefaultParagraphFont"/>
    <w:uiPriority w:val="32"/>
    <w:rsid w:val="000B2678"/>
    <w:rPr>
      <w:rFonts w:asciiTheme="minorHAnsi" w:hAnsiTheme="minorHAnsi"/>
      <w:b/>
      <w:bCs/>
      <w:caps w:val="0"/>
      <w:smallCaps w:val="0"/>
      <w:color w:val="EBC132" w:themeColor="accent1"/>
      <w:spacing w:val="5"/>
      <w:sz w:val="18"/>
    </w:rPr>
  </w:style>
  <w:style w:type="paragraph" w:styleId="ListParagraph">
    <w:name w:val="List Paragraph"/>
    <w:aliases w:val="Citation List,Bullet Styles para,Figure_name,Equipment,Numbered Indented Text,List Paragraph Char Char,lp1,List Paragraph11,kepala,Graphic,Table of contents numbered,Bullet 1 List,3,List bullets,List Paragraph 1,Numbered List Paragraph,L"/>
    <w:basedOn w:val="Normal"/>
    <w:link w:val="ListParagraphChar"/>
    <w:uiPriority w:val="34"/>
    <w:qFormat/>
    <w:rsid w:val="001C5E13"/>
    <w:pPr>
      <w:ind w:left="720"/>
      <w:contextualSpacing/>
    </w:pPr>
  </w:style>
  <w:style w:type="paragraph" w:styleId="Header">
    <w:name w:val="header"/>
    <w:basedOn w:val="Normal"/>
    <w:link w:val="HeaderChar"/>
    <w:uiPriority w:val="99"/>
    <w:unhideWhenUsed/>
    <w:rsid w:val="0032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08"/>
    <w:rPr>
      <w:color w:val="auto"/>
      <w:sz w:val="18"/>
      <w:szCs w:val="18"/>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bottom w:w="57" w:type="dxa"/>
      </w:tblCellMar>
    </w:tblPr>
    <w:tcPr>
      <w:shd w:val="clear" w:color="auto" w:fill="auto"/>
    </w:tcPr>
    <w:tblStylePr w:type="firstRow">
      <w:pPr>
        <w:jc w:val="left"/>
      </w:pPr>
      <w:rPr>
        <w:rFonts w:ascii="@Yu Gothic UI" w:hAnsi="@Yu Gothic UI"/>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1A94C4" w:themeFill="accent3"/>
      </w:tcPr>
    </w:tblStylePr>
    <w:tblStylePr w:type="firstCol">
      <w:rPr>
        <w:b/>
      </w:rPr>
    </w:tblStylePr>
  </w:style>
  <w:style w:type="character" w:styleId="Hyperlink">
    <w:name w:val="Hyperlink"/>
    <w:uiPriority w:val="99"/>
    <w:rsid w:val="001C5E13"/>
    <w:rPr>
      <w:rFonts w:ascii="Georgia" w:hAnsi="Georgia"/>
      <w:b/>
      <w:color w:val="EA5153" w:themeColor="accent5"/>
      <w:sz w:val="18"/>
      <w:u w:val="single"/>
    </w:rPr>
  </w:style>
  <w:style w:type="table" w:styleId="TableGrid">
    <w:name w:val="Table Grid"/>
    <w:basedOn w:val="TableNormal"/>
    <w:uiPriority w:val="39"/>
    <w:qFormat/>
    <w:rsid w:val="00C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08"/>
    <w:rPr>
      <w:color w:val="auto"/>
      <w:sz w:val="18"/>
      <w:szCs w:val="18"/>
    </w:rPr>
  </w:style>
  <w:style w:type="character" w:customStyle="1" w:styleId="UnresolvedMention1">
    <w:name w:val="Unresolved Mention1"/>
    <w:basedOn w:val="DefaultParagraphFont"/>
    <w:uiPriority w:val="99"/>
    <w:semiHidden/>
    <w:unhideWhenUsed/>
    <w:rsid w:val="00500CAE"/>
    <w:rPr>
      <w:color w:val="808080"/>
      <w:shd w:val="clear" w:color="auto" w:fill="E6E6E6"/>
    </w:rPr>
  </w:style>
  <w:style w:type="character" w:styleId="PlaceholderText">
    <w:name w:val="Placeholder Text"/>
    <w:basedOn w:val="DefaultParagraphFont"/>
    <w:uiPriority w:val="99"/>
    <w:semiHidden/>
    <w:rsid w:val="009D0485"/>
    <w:rPr>
      <w:color w:val="808080"/>
    </w:rPr>
  </w:style>
  <w:style w:type="paragraph" w:customStyle="1" w:styleId="Bodycall-out">
    <w:name w:val="Body call-out"/>
    <w:basedOn w:val="Normal"/>
    <w:link w:val="Bodycall-outChar"/>
    <w:rsid w:val="001F1941"/>
    <w:pPr>
      <w:pBdr>
        <w:left w:val="single" w:sz="24" w:space="4" w:color="EBC132" w:themeColor="accent1"/>
        <w:right w:val="single" w:sz="24" w:space="4" w:color="F1F1F2" w:themeColor="background2"/>
        <w:between w:val="single" w:sz="24" w:space="1" w:color="F1F1F2" w:themeColor="background2"/>
        <w:bar w:val="single" w:sz="24" w:color="F1F1F2" w:themeColor="background2"/>
      </w:pBdr>
      <w:shd w:val="clear" w:color="auto" w:fill="F1F1F2" w:themeFill="background2"/>
      <w:ind w:left="170"/>
    </w:pPr>
  </w:style>
  <w:style w:type="paragraph" w:customStyle="1" w:styleId="BodyCall-outheading">
    <w:name w:val="Body Call-out heading"/>
    <w:basedOn w:val="Bodycall-out"/>
    <w:link w:val="BodyCall-outheadingChar"/>
    <w:rsid w:val="00767157"/>
    <w:pPr>
      <w:spacing w:after="0"/>
    </w:pPr>
    <w:rPr>
      <w:b/>
      <w:sz w:val="24"/>
      <w:szCs w:val="24"/>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D2191B" w:themeColor="accent5" w:themeShade="BF"/>
      <w:sz w:val="22"/>
      <w:szCs w:val="28"/>
      <w:lang w:val="en-US" w:eastAsia="en-US" w:bidi="th-TH"/>
    </w:rPr>
    <w:tblPr>
      <w:tblStyleRowBandSize w:val="1"/>
      <w:tblStyleColBandSize w:val="1"/>
      <w:tblBorders>
        <w:top w:val="single" w:sz="8" w:space="0" w:color="EA5153" w:themeColor="accent5"/>
        <w:bottom w:val="single" w:sz="8" w:space="0" w:color="EA5153" w:themeColor="accent5"/>
      </w:tblBorders>
    </w:tblPr>
    <w:tblStylePr w:type="firstRow">
      <w:pPr>
        <w:spacing w:before="0" w:after="0" w:line="240" w:lineRule="auto"/>
      </w:pPr>
      <w:rPr>
        <w:b/>
        <w:bCs/>
      </w:rPr>
      <w:tblPr/>
      <w:tcPr>
        <w:tcBorders>
          <w:top w:val="single" w:sz="8" w:space="0" w:color="EA5153" w:themeColor="accent5"/>
          <w:left w:val="nil"/>
          <w:bottom w:val="single" w:sz="8" w:space="0" w:color="EA5153" w:themeColor="accent5"/>
          <w:right w:val="nil"/>
          <w:insideH w:val="nil"/>
          <w:insideV w:val="nil"/>
        </w:tcBorders>
      </w:tcPr>
    </w:tblStylePr>
    <w:tblStylePr w:type="lastRow">
      <w:pPr>
        <w:spacing w:before="0" w:after="0" w:line="240" w:lineRule="auto"/>
      </w:pPr>
      <w:rPr>
        <w:b/>
        <w:bCs/>
      </w:rPr>
      <w:tblPr/>
      <w:tcPr>
        <w:tcBorders>
          <w:top w:val="single" w:sz="8" w:space="0" w:color="EA5153" w:themeColor="accent5"/>
          <w:left w:val="nil"/>
          <w:bottom w:val="single" w:sz="8" w:space="0" w:color="EA51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4" w:themeFill="accent5" w:themeFillTint="3F"/>
      </w:tcPr>
    </w:tblStylePr>
    <w:tblStylePr w:type="band1Horz">
      <w:tblPr/>
      <w:tcPr>
        <w:tcBorders>
          <w:left w:val="nil"/>
          <w:right w:val="nil"/>
          <w:insideH w:val="nil"/>
          <w:insideV w:val="nil"/>
        </w:tcBorders>
        <w:shd w:val="clear" w:color="auto" w:fill="F9D3D4"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C29A13" w:themeColor="accent1" w:themeShade="BF"/>
      <w:sz w:val="22"/>
      <w:szCs w:val="28"/>
      <w:lang w:val="en-US" w:eastAsia="en-US" w:bidi="th-TH"/>
    </w:rPr>
    <w:tblPr>
      <w:tblStyleRowBandSize w:val="1"/>
      <w:tblStyleColBandSize w:val="1"/>
      <w:tblBorders>
        <w:top w:val="single" w:sz="8" w:space="0" w:color="EBC132" w:themeColor="accent1"/>
        <w:bottom w:val="single" w:sz="8" w:space="0" w:color="EBC132" w:themeColor="accent1"/>
      </w:tblBorders>
    </w:tblPr>
    <w:tblStylePr w:type="firstRow">
      <w:pPr>
        <w:spacing w:before="0" w:after="0" w:line="240" w:lineRule="auto"/>
      </w:pPr>
      <w:rPr>
        <w:b/>
        <w:bCs/>
      </w:rPr>
      <w:tblPr/>
      <w:tcPr>
        <w:tcBorders>
          <w:top w:val="single" w:sz="8" w:space="0" w:color="EBC132" w:themeColor="accent1"/>
          <w:left w:val="nil"/>
          <w:bottom w:val="single" w:sz="8" w:space="0" w:color="EBC132" w:themeColor="accent1"/>
          <w:right w:val="nil"/>
          <w:insideH w:val="nil"/>
          <w:insideV w:val="nil"/>
        </w:tcBorders>
      </w:tcPr>
    </w:tblStylePr>
    <w:tblStylePr w:type="lastRow">
      <w:pPr>
        <w:spacing w:before="0" w:after="0" w:line="240" w:lineRule="auto"/>
      </w:pPr>
      <w:rPr>
        <w:b/>
        <w:bCs/>
      </w:rPr>
      <w:tblPr/>
      <w:tcPr>
        <w:tcBorders>
          <w:top w:val="single" w:sz="8" w:space="0" w:color="EBC132" w:themeColor="accent1"/>
          <w:left w:val="nil"/>
          <w:bottom w:val="single" w:sz="8" w:space="0" w:color="EBC1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FCC" w:themeFill="accent1" w:themeFillTint="3F"/>
      </w:tcPr>
    </w:tblStylePr>
    <w:tblStylePr w:type="band1Horz">
      <w:tblPr/>
      <w:tcPr>
        <w:tcBorders>
          <w:left w:val="nil"/>
          <w:right w:val="nil"/>
          <w:insideH w:val="nil"/>
          <w:insideV w:val="nil"/>
        </w:tcBorders>
        <w:shd w:val="clear" w:color="auto" w:fill="FAEFCC" w:themeFill="accent1" w:themeFillTint="3F"/>
      </w:tcPr>
    </w:tblStyle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character" w:customStyle="1" w:styleId="Bodycall-outChar">
    <w:name w:val="Body call-out Char"/>
    <w:basedOn w:val="DefaultParagraphFont"/>
    <w:link w:val="Bodycall-out"/>
    <w:rsid w:val="001F1941"/>
    <w:rPr>
      <w:color w:val="auto"/>
      <w:sz w:val="18"/>
      <w:szCs w:val="18"/>
      <w:shd w:val="clear" w:color="auto" w:fill="F1F1F2" w:themeFill="background2"/>
      <w:lang w:eastAsia="en-US"/>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semiHidden/>
    <w:rsid w:val="00382163"/>
    <w:rPr>
      <w:rFonts w:asciiTheme="majorHAnsi" w:eastAsiaTheme="majorEastAsia" w:hAnsiTheme="majorHAnsi" w:cstheme="majorBidi"/>
      <w:i/>
      <w:iCs/>
      <w:color w:val="81660C" w:themeColor="accent1" w:themeShade="7F"/>
      <w:szCs w:val="24"/>
      <w:lang w:eastAsia="en-US"/>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rsid w:val="000B2678"/>
    <w:pPr>
      <w:pBdr>
        <w:top w:val="single" w:sz="4" w:space="10" w:color="EBC132" w:themeColor="accent1"/>
        <w:bottom w:val="single" w:sz="4" w:space="10" w:color="EBC132" w:themeColor="accent1"/>
      </w:pBdr>
      <w:spacing w:before="360" w:after="360"/>
      <w:ind w:left="284" w:right="284"/>
      <w:jc w:val="center"/>
    </w:pPr>
    <w:rPr>
      <w:rFonts w:ascii="Georgia" w:hAnsi="Georgia"/>
      <w:i/>
      <w:iCs/>
      <w:color w:val="EBC132" w:themeColor="accent1"/>
      <w:sz w:val="24"/>
      <w:szCs w:val="24"/>
    </w:rPr>
  </w:style>
  <w:style w:type="character" w:customStyle="1" w:styleId="IntenseQuoteChar">
    <w:name w:val="Intense Quote Char"/>
    <w:basedOn w:val="DefaultParagraphFont"/>
    <w:link w:val="IntenseQuote"/>
    <w:uiPriority w:val="30"/>
    <w:rsid w:val="000B2678"/>
    <w:rPr>
      <w:rFonts w:ascii="Georgia" w:hAnsi="Georgia"/>
      <w:i/>
      <w:iCs/>
      <w:color w:val="EBC132" w:themeColor="accent1"/>
      <w:sz w:val="24"/>
      <w:szCs w:val="24"/>
    </w:rPr>
  </w:style>
  <w:style w:type="table" w:styleId="GridTable4-Accent5">
    <w:name w:val="Grid Table 4 Accent 5"/>
    <w:basedOn w:val="TableNormal"/>
    <w:uiPriority w:val="49"/>
    <w:rsid w:val="00F927D5"/>
    <w:pPr>
      <w:spacing w:after="0" w:line="240" w:lineRule="auto"/>
    </w:pPr>
    <w:tblPr>
      <w:tblStyleRowBandSize w:val="1"/>
      <w:tblStyleColBandSize w:val="1"/>
      <w:tblBorders>
        <w:top w:val="single" w:sz="4" w:space="0" w:color="F29697" w:themeColor="accent5" w:themeTint="99"/>
        <w:left w:val="single" w:sz="4" w:space="0" w:color="F29697" w:themeColor="accent5" w:themeTint="99"/>
        <w:bottom w:val="single" w:sz="4" w:space="0" w:color="F29697" w:themeColor="accent5" w:themeTint="99"/>
        <w:right w:val="single" w:sz="4" w:space="0" w:color="F29697" w:themeColor="accent5" w:themeTint="99"/>
        <w:insideH w:val="single" w:sz="4" w:space="0" w:color="F29697" w:themeColor="accent5" w:themeTint="99"/>
        <w:insideV w:val="single" w:sz="4" w:space="0" w:color="F29697" w:themeColor="accent5" w:themeTint="99"/>
      </w:tblBorders>
    </w:tblPr>
    <w:tblStylePr w:type="firstRow">
      <w:rPr>
        <w:b/>
        <w:bCs/>
        <w:color w:val="FFFFFF" w:themeColor="background1"/>
      </w:rPr>
      <w:tblPr/>
      <w:tcPr>
        <w:tcBorders>
          <w:top w:val="single" w:sz="4" w:space="0" w:color="EA5153" w:themeColor="accent5"/>
          <w:left w:val="single" w:sz="4" w:space="0" w:color="EA5153" w:themeColor="accent5"/>
          <w:bottom w:val="single" w:sz="4" w:space="0" w:color="EA5153" w:themeColor="accent5"/>
          <w:right w:val="single" w:sz="4" w:space="0" w:color="EA5153" w:themeColor="accent5"/>
          <w:insideH w:val="nil"/>
          <w:insideV w:val="nil"/>
        </w:tcBorders>
        <w:shd w:val="clear" w:color="auto" w:fill="EA5153" w:themeFill="accent5"/>
      </w:tcPr>
    </w:tblStylePr>
    <w:tblStylePr w:type="lastRow">
      <w:rPr>
        <w:b/>
        <w:bCs/>
      </w:rPr>
      <w:tblPr/>
      <w:tcPr>
        <w:tcBorders>
          <w:top w:val="double" w:sz="4" w:space="0" w:color="EA5153" w:themeColor="accent5"/>
        </w:tcBorders>
      </w:tcPr>
    </w:tblStylePr>
    <w:tblStylePr w:type="firstCol">
      <w:rPr>
        <w:b/>
        <w:bCs/>
      </w:rPr>
    </w:tblStylePr>
    <w:tblStylePr w:type="lastCol">
      <w:rPr>
        <w:b/>
        <w:bCs/>
      </w:rPr>
    </w:tblStylePr>
    <w:tblStylePr w:type="band1Vert">
      <w:tblPr/>
      <w:tcPr>
        <w:shd w:val="clear" w:color="auto" w:fill="FADCDC" w:themeFill="accent5" w:themeFillTint="33"/>
      </w:tcPr>
    </w:tblStylePr>
    <w:tblStylePr w:type="band1Horz">
      <w:tblPr/>
      <w:tcPr>
        <w:shd w:val="clear" w:color="auto" w:fill="FADCDC" w:themeFill="accent5" w:themeFillTint="33"/>
      </w:tcPr>
    </w:tblStylePr>
  </w:style>
  <w:style w:type="character" w:customStyle="1" w:styleId="BodyCall-outheadingChar">
    <w:name w:val="Body Call-out heading Char"/>
    <w:basedOn w:val="Bodycall-outChar"/>
    <w:link w:val="BodyCall-outheading"/>
    <w:rsid w:val="00767157"/>
    <w:rPr>
      <w:b/>
      <w:color w:val="auto"/>
      <w:sz w:val="24"/>
      <w:szCs w:val="24"/>
      <w:shd w:val="clear" w:color="auto" w:fill="F1F1F2" w:themeFill="background2"/>
      <w:lang w:eastAsia="en-US"/>
    </w:rPr>
  </w:style>
  <w:style w:type="paragraph" w:customStyle="1" w:styleId="Style1">
    <w:name w:val="Style1"/>
    <w:basedOn w:val="Normal"/>
    <w:rsid w:val="00040D7C"/>
  </w:style>
  <w:style w:type="table" w:styleId="GridTable4-Accent1">
    <w:name w:val="Grid Table 4 Accent 1"/>
    <w:basedOn w:val="TableNormal"/>
    <w:uiPriority w:val="49"/>
    <w:rsid w:val="001F1941"/>
    <w:pPr>
      <w:spacing w:after="0" w:line="240" w:lineRule="auto"/>
    </w:pPr>
    <w:tblPr>
      <w:tblStyleRowBandSize w:val="1"/>
      <w:tblStyleColBandSize w:val="1"/>
      <w:tblBorders>
        <w:top w:val="single" w:sz="4" w:space="0" w:color="F3D984" w:themeColor="accent1" w:themeTint="99"/>
        <w:left w:val="single" w:sz="4" w:space="0" w:color="F3D984" w:themeColor="accent1" w:themeTint="99"/>
        <w:bottom w:val="single" w:sz="4" w:space="0" w:color="F3D984" w:themeColor="accent1" w:themeTint="99"/>
        <w:right w:val="single" w:sz="4" w:space="0" w:color="F3D984" w:themeColor="accent1" w:themeTint="99"/>
        <w:insideH w:val="single" w:sz="4" w:space="0" w:color="F3D984" w:themeColor="accent1" w:themeTint="99"/>
        <w:insideV w:val="single" w:sz="4" w:space="0" w:color="F3D984" w:themeColor="accent1" w:themeTint="99"/>
      </w:tblBorders>
    </w:tblPr>
    <w:tblStylePr w:type="firstRow">
      <w:rPr>
        <w:b/>
        <w:bCs/>
        <w:color w:val="FFFFFF" w:themeColor="background1"/>
      </w:rPr>
      <w:tblPr/>
      <w:tcPr>
        <w:tcBorders>
          <w:top w:val="single" w:sz="4" w:space="0" w:color="EBC132" w:themeColor="accent1"/>
          <w:left w:val="single" w:sz="4" w:space="0" w:color="EBC132" w:themeColor="accent1"/>
          <w:bottom w:val="single" w:sz="4" w:space="0" w:color="EBC132" w:themeColor="accent1"/>
          <w:right w:val="single" w:sz="4" w:space="0" w:color="EBC132" w:themeColor="accent1"/>
          <w:insideH w:val="nil"/>
          <w:insideV w:val="nil"/>
        </w:tcBorders>
        <w:shd w:val="clear" w:color="auto" w:fill="EBC132" w:themeFill="accent1"/>
      </w:tcPr>
    </w:tblStylePr>
    <w:tblStylePr w:type="lastRow">
      <w:rPr>
        <w:b/>
        <w:bCs/>
      </w:rPr>
      <w:tblPr/>
      <w:tcPr>
        <w:tcBorders>
          <w:top w:val="double" w:sz="4" w:space="0" w:color="EBC132" w:themeColor="accent1"/>
        </w:tcBorders>
      </w:tcPr>
    </w:tblStylePr>
    <w:tblStylePr w:type="firstCol">
      <w:rPr>
        <w:b/>
        <w:bCs/>
      </w:rPr>
    </w:tblStylePr>
    <w:tblStylePr w:type="lastCol">
      <w:rPr>
        <w:b/>
        <w:bCs/>
      </w:rPr>
    </w:tblStylePr>
    <w:tblStylePr w:type="band1Vert">
      <w:tblPr/>
      <w:tcPr>
        <w:shd w:val="clear" w:color="auto" w:fill="FBF2D6" w:themeFill="accent1" w:themeFillTint="33"/>
      </w:tcPr>
    </w:tblStylePr>
    <w:tblStylePr w:type="band1Horz">
      <w:tblPr/>
      <w:tcPr>
        <w:shd w:val="clear" w:color="auto" w:fill="FBF2D6" w:themeFill="accent1" w:themeFillTint="33"/>
      </w:tcPr>
    </w:tblStylePr>
  </w:style>
  <w:style w:type="paragraph" w:styleId="TOC1">
    <w:name w:val="toc 1"/>
    <w:basedOn w:val="Heading5"/>
    <w:next w:val="Normal"/>
    <w:autoRedefine/>
    <w:uiPriority w:val="39"/>
    <w:unhideWhenUsed/>
    <w:rsid w:val="00E510CE"/>
    <w:pPr>
      <w:tabs>
        <w:tab w:val="right" w:leader="dot" w:pos="10456"/>
      </w:tabs>
      <w:spacing w:before="120"/>
    </w:pPr>
    <w:rPr>
      <w:rFonts w:asciiTheme="majorHAnsi" w:hAnsiTheme="majorHAnsi"/>
      <w:bCs/>
      <w:szCs w:val="20"/>
    </w:rPr>
  </w:style>
  <w:style w:type="paragraph" w:customStyle="1" w:styleId="Figure">
    <w:name w:val="Figure"/>
    <w:basedOn w:val="Heading5"/>
    <w:link w:val="FigureChar"/>
    <w:rsid w:val="00424287"/>
    <w:pPr>
      <w:numPr>
        <w:numId w:val="4"/>
      </w:numPr>
      <w:ind w:left="0" w:firstLine="0"/>
    </w:pPr>
  </w:style>
  <w:style w:type="table" w:styleId="PlainTable4">
    <w:name w:val="Plain Table 4"/>
    <w:basedOn w:val="TableNormal"/>
    <w:uiPriority w:val="44"/>
    <w:rsid w:val="000B26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Char">
    <w:name w:val="Figure Char"/>
    <w:basedOn w:val="Heading5Char"/>
    <w:link w:val="Figure"/>
    <w:rsid w:val="00424287"/>
    <w:rPr>
      <w:rFonts w:asciiTheme="minorHAnsi" w:hAnsiTheme="minorHAnsi" w:cstheme="minorHAnsi"/>
      <w:b/>
      <w:color w:val="auto"/>
      <w:sz w:val="18"/>
      <w:szCs w:val="18"/>
      <w:lang w:val="en-AU" w:eastAsia="en-US"/>
    </w:rPr>
  </w:style>
  <w:style w:type="character" w:customStyle="1" w:styleId="ListParagraphChar">
    <w:name w:val="List Paragraph Char"/>
    <w:aliases w:val="Citation List Char,Bullet Styles para Char,Figure_name Char,Equipment Char,Numbered Indented Text Char,List Paragraph Char Char Char,lp1 Char,List Paragraph11 Char,kepala Char,Graphic Char,Table of contents numbered Char,3 Char"/>
    <w:link w:val="ListParagraph"/>
    <w:uiPriority w:val="34"/>
    <w:qFormat/>
    <w:locked/>
    <w:rsid w:val="000B2678"/>
    <w:rPr>
      <w:color w:val="auto"/>
      <w:sz w:val="18"/>
      <w:szCs w:val="18"/>
    </w:rPr>
  </w:style>
  <w:style w:type="paragraph" w:customStyle="1" w:styleId="Simplebulletlist">
    <w:name w:val="Simple bullet list"/>
    <w:basedOn w:val="ListParagraph"/>
    <w:uiPriority w:val="8"/>
    <w:qFormat/>
    <w:rsid w:val="000B2678"/>
    <w:pPr>
      <w:numPr>
        <w:numId w:val="2"/>
      </w:numPr>
      <w:spacing w:before="100" w:beforeAutospacing="1" w:after="0" w:line="360" w:lineRule="auto"/>
      <w:ind w:right="567"/>
      <w:contextualSpacing w:val="0"/>
      <w:jc w:val="both"/>
    </w:pPr>
    <w:rPr>
      <w:rFonts w:cs="Arial"/>
      <w:sz w:val="22"/>
      <w:szCs w:val="22"/>
    </w:rPr>
  </w:style>
  <w:style w:type="paragraph" w:styleId="Caption">
    <w:name w:val="caption"/>
    <w:basedOn w:val="Normal"/>
    <w:next w:val="Normal"/>
    <w:uiPriority w:val="35"/>
    <w:qFormat/>
    <w:rsid w:val="00C17321"/>
    <w:pPr>
      <w:spacing w:before="120" w:after="60" w:line="240" w:lineRule="auto"/>
      <w:ind w:firstLine="142"/>
    </w:pPr>
    <w:rPr>
      <w:b/>
      <w:bCs/>
      <w:color w:val="C29A13" w:themeColor="accent1" w:themeShade="BF"/>
    </w:rPr>
  </w:style>
  <w:style w:type="character" w:styleId="CommentReference">
    <w:name w:val="annotation reference"/>
    <w:uiPriority w:val="99"/>
    <w:semiHidden/>
    <w:unhideWhenUsed/>
    <w:rsid w:val="00B81EE3"/>
    <w:rPr>
      <w:sz w:val="16"/>
      <w:szCs w:val="16"/>
    </w:rPr>
  </w:style>
  <w:style w:type="paragraph" w:styleId="CommentText">
    <w:name w:val="annotation text"/>
    <w:basedOn w:val="Normal"/>
    <w:link w:val="CommentTextChar"/>
    <w:uiPriority w:val="99"/>
    <w:unhideWhenUsed/>
    <w:rsid w:val="00B81EE3"/>
    <w:pPr>
      <w:spacing w:after="0" w:line="240" w:lineRule="auto"/>
    </w:pPr>
    <w:rPr>
      <w:sz w:val="22"/>
      <w:szCs w:val="20"/>
    </w:rPr>
  </w:style>
  <w:style w:type="character" w:customStyle="1" w:styleId="CommentTextChar">
    <w:name w:val="Comment Text Char"/>
    <w:basedOn w:val="DefaultParagraphFont"/>
    <w:link w:val="CommentText"/>
    <w:uiPriority w:val="99"/>
    <w:rsid w:val="00B81EE3"/>
    <w:rPr>
      <w:color w:val="auto"/>
      <w:sz w:val="22"/>
    </w:rPr>
  </w:style>
  <w:style w:type="paragraph" w:customStyle="1" w:styleId="BulletCall-out">
    <w:name w:val="Bullet Call-out"/>
    <w:basedOn w:val="Bodycall-out"/>
    <w:link w:val="BulletCall-outChar"/>
    <w:rsid w:val="00116640"/>
    <w:pPr>
      <w:numPr>
        <w:numId w:val="3"/>
      </w:numPr>
    </w:pPr>
  </w:style>
  <w:style w:type="character" w:customStyle="1" w:styleId="Heading4Char">
    <w:name w:val="Heading 4 Char"/>
    <w:basedOn w:val="DefaultParagraphFont"/>
    <w:link w:val="Heading4"/>
    <w:uiPriority w:val="9"/>
    <w:rsid w:val="00C65B49"/>
    <w:rPr>
      <w:rFonts w:eastAsia="MS Gothic"/>
      <w:b/>
      <w:bCs/>
      <w:iCs/>
      <w:color w:val="auto"/>
      <w:sz w:val="24"/>
      <w:szCs w:val="24"/>
      <w:lang w:eastAsia="en-US"/>
    </w:rPr>
  </w:style>
  <w:style w:type="character" w:customStyle="1" w:styleId="BulletCall-outChar">
    <w:name w:val="Bullet Call-out Char"/>
    <w:basedOn w:val="Bodycall-outChar"/>
    <w:link w:val="BulletCall-out"/>
    <w:rsid w:val="00116640"/>
    <w:rPr>
      <w:color w:val="auto"/>
      <w:sz w:val="18"/>
      <w:szCs w:val="18"/>
      <w:shd w:val="clear" w:color="auto" w:fill="F1F1F2" w:themeFill="background2"/>
      <w:lang w:eastAsia="en-US"/>
    </w:rPr>
  </w:style>
  <w:style w:type="character" w:customStyle="1" w:styleId="Heading7Char">
    <w:name w:val="Heading 7 Char"/>
    <w:basedOn w:val="DefaultParagraphFont"/>
    <w:link w:val="Heading7"/>
    <w:uiPriority w:val="9"/>
    <w:rsid w:val="00D82C5E"/>
    <w:rPr>
      <w:rFonts w:eastAsia="MS Gothic"/>
      <w:i/>
      <w:iCs/>
      <w:color w:val="404040"/>
      <w:sz w:val="22"/>
    </w:rPr>
  </w:style>
  <w:style w:type="character" w:customStyle="1" w:styleId="Heading8Char">
    <w:name w:val="Heading 8 Char"/>
    <w:basedOn w:val="DefaultParagraphFont"/>
    <w:link w:val="Heading8"/>
    <w:uiPriority w:val="9"/>
    <w:rsid w:val="00D82C5E"/>
    <w:rPr>
      <w:rFonts w:eastAsia="MS Gothic"/>
      <w:color w:val="404040"/>
      <w:sz w:val="22"/>
    </w:rPr>
  </w:style>
  <w:style w:type="character" w:customStyle="1" w:styleId="Heading9Char">
    <w:name w:val="Heading 9 Char"/>
    <w:basedOn w:val="DefaultParagraphFont"/>
    <w:link w:val="Heading9"/>
    <w:uiPriority w:val="9"/>
    <w:rsid w:val="00D82C5E"/>
    <w:rPr>
      <w:rFonts w:eastAsia="MS Gothic"/>
      <w:i/>
      <w:iCs/>
      <w:color w:val="404040"/>
      <w:sz w:val="22"/>
    </w:rPr>
  </w:style>
  <w:style w:type="paragraph" w:styleId="TOC2">
    <w:name w:val="toc 2"/>
    <w:basedOn w:val="Normal"/>
    <w:next w:val="Normal"/>
    <w:autoRedefine/>
    <w:uiPriority w:val="39"/>
    <w:unhideWhenUsed/>
    <w:rsid w:val="007056B0"/>
    <w:pPr>
      <w:tabs>
        <w:tab w:val="left" w:pos="720"/>
        <w:tab w:val="right" w:leader="dot" w:pos="10456"/>
      </w:tabs>
      <w:spacing w:after="0"/>
      <w:ind w:left="180"/>
    </w:pPr>
    <w:rPr>
      <w:rFonts w:asciiTheme="majorHAnsi" w:hAnsiTheme="majorHAnsi" w:cstheme="minorHAnsi"/>
      <w:b/>
      <w:noProof/>
      <w:szCs w:val="20"/>
    </w:rPr>
  </w:style>
  <w:style w:type="paragraph" w:styleId="TOC3">
    <w:name w:val="toc 3"/>
    <w:basedOn w:val="Normal"/>
    <w:next w:val="Normal"/>
    <w:autoRedefine/>
    <w:uiPriority w:val="39"/>
    <w:unhideWhenUsed/>
    <w:rsid w:val="00FC0039"/>
    <w:pPr>
      <w:spacing w:after="0"/>
      <w:ind w:left="360"/>
    </w:pPr>
    <w:rPr>
      <w:rFonts w:asciiTheme="minorHAnsi" w:hAnsiTheme="minorHAnsi" w:cstheme="minorHAnsi"/>
      <w:iCs/>
      <w:szCs w:val="20"/>
    </w:rPr>
  </w:style>
  <w:style w:type="paragraph" w:styleId="TableofFigures">
    <w:name w:val="table of figures"/>
    <w:basedOn w:val="Normal"/>
    <w:next w:val="Normal"/>
    <w:uiPriority w:val="99"/>
    <w:unhideWhenUsed/>
    <w:rsid w:val="003C3DCE"/>
    <w:pPr>
      <w:spacing w:after="0"/>
      <w:ind w:left="360" w:hanging="360"/>
    </w:pPr>
    <w:rPr>
      <w:rFonts w:asciiTheme="minorHAnsi" w:hAnsiTheme="minorHAnsi" w:cstheme="minorHAnsi"/>
      <w:b/>
      <w:bCs/>
      <w:szCs w:val="20"/>
    </w:rPr>
  </w:style>
  <w:style w:type="table" w:styleId="GridTable1Light">
    <w:name w:val="Grid Table 1 Light"/>
    <w:basedOn w:val="TableNormal"/>
    <w:uiPriority w:val="46"/>
    <w:rsid w:val="00192BEF"/>
    <w:pPr>
      <w:spacing w:after="0" w:line="240" w:lineRule="auto"/>
    </w:pPr>
    <w:rPr>
      <w:rFonts w:asciiTheme="minorHAnsi" w:eastAsiaTheme="minorHAnsi" w:hAnsiTheme="minorHAnsi" w:cstheme="minorBidi"/>
      <w:color w:val="auto"/>
      <w:sz w:val="22"/>
      <w:szCs w:val="22"/>
      <w:lang w:val="en-I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192B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92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90A54"/>
    <w:pPr>
      <w:autoSpaceDE w:val="0"/>
      <w:autoSpaceDN w:val="0"/>
      <w:adjustRightInd w:val="0"/>
      <w:spacing w:after="0" w:line="240" w:lineRule="auto"/>
    </w:pPr>
    <w:rPr>
      <w:rFonts w:ascii="Calibri" w:hAnsi="Calibri" w:cs="Calibri"/>
      <w:color w:val="000000"/>
      <w:sz w:val="24"/>
      <w:szCs w:val="24"/>
      <w:lang w:val="en-ZA"/>
    </w:rPr>
  </w:style>
  <w:style w:type="table" w:styleId="TableGridLight">
    <w:name w:val="Grid Table Light"/>
    <w:basedOn w:val="TableNormal"/>
    <w:uiPriority w:val="40"/>
    <w:rsid w:val="003E0B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8677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86776"/>
    <w:rPr>
      <w:rFonts w:ascii="Segoe UI" w:hAnsi="Segoe UI" w:cs="Segoe UI"/>
      <w:color w:val="auto"/>
      <w:sz w:val="18"/>
      <w:szCs w:val="18"/>
    </w:rPr>
  </w:style>
  <w:style w:type="paragraph" w:customStyle="1" w:styleId="Table">
    <w:name w:val="Table"/>
    <w:basedOn w:val="ListParagraph"/>
    <w:link w:val="TableChar"/>
    <w:rsid w:val="00423D2F"/>
    <w:pPr>
      <w:numPr>
        <w:numId w:val="5"/>
      </w:numPr>
      <w:ind w:left="1418" w:hanging="1418"/>
    </w:pPr>
    <w:rPr>
      <w:b/>
    </w:rPr>
  </w:style>
  <w:style w:type="character" w:customStyle="1" w:styleId="TableChar">
    <w:name w:val="Table Char"/>
    <w:basedOn w:val="ListParagraphChar"/>
    <w:link w:val="Table"/>
    <w:rsid w:val="00423D2F"/>
    <w:rPr>
      <w:b/>
      <w:color w:val="auto"/>
      <w:sz w:val="18"/>
      <w:szCs w:val="18"/>
      <w:lang w:eastAsia="en-US"/>
    </w:rPr>
  </w:style>
  <w:style w:type="table" w:styleId="ListTable1Light-Accent5">
    <w:name w:val="List Table 1 Light Accent 5"/>
    <w:basedOn w:val="TableNormal"/>
    <w:uiPriority w:val="46"/>
    <w:rsid w:val="00F344CF"/>
    <w:pPr>
      <w:spacing w:after="0" w:line="240" w:lineRule="auto"/>
    </w:pPr>
    <w:tblPr>
      <w:tblStyleRowBandSize w:val="1"/>
      <w:tblStyleColBandSize w:val="1"/>
    </w:tblPr>
    <w:tblStylePr w:type="firstRow">
      <w:rPr>
        <w:b/>
        <w:bCs/>
      </w:rPr>
      <w:tblPr/>
      <w:tcPr>
        <w:tcBorders>
          <w:bottom w:val="single" w:sz="4" w:space="0" w:color="F29697" w:themeColor="accent5" w:themeTint="99"/>
        </w:tcBorders>
      </w:tcPr>
    </w:tblStylePr>
    <w:tblStylePr w:type="lastRow">
      <w:rPr>
        <w:b/>
        <w:bCs/>
      </w:rPr>
      <w:tblPr/>
      <w:tcPr>
        <w:tcBorders>
          <w:top w:val="single" w:sz="4" w:space="0" w:color="F29697" w:themeColor="accent5" w:themeTint="99"/>
        </w:tcBorders>
      </w:tcPr>
    </w:tblStylePr>
    <w:tblStylePr w:type="firstCol">
      <w:rPr>
        <w:b/>
        <w:bCs/>
      </w:rPr>
    </w:tblStylePr>
    <w:tblStylePr w:type="lastCol">
      <w:rPr>
        <w:b/>
        <w:bCs/>
      </w:rPr>
    </w:tblStylePr>
    <w:tblStylePr w:type="band1Vert">
      <w:tblPr/>
      <w:tcPr>
        <w:shd w:val="clear" w:color="auto" w:fill="FADCDC" w:themeFill="accent5" w:themeFillTint="33"/>
      </w:tcPr>
    </w:tblStylePr>
    <w:tblStylePr w:type="band1Horz">
      <w:tblPr/>
      <w:tcPr>
        <w:shd w:val="clear" w:color="auto" w:fill="FADCDC" w:themeFill="accent5" w:themeFillTint="33"/>
      </w:tcPr>
    </w:tblStylePr>
  </w:style>
  <w:style w:type="table" w:styleId="ListTable2-Accent1">
    <w:name w:val="List Table 2 Accent 1"/>
    <w:basedOn w:val="TableNormal"/>
    <w:uiPriority w:val="47"/>
    <w:rsid w:val="00F344CF"/>
    <w:pPr>
      <w:spacing w:after="0" w:line="240" w:lineRule="auto"/>
    </w:pPr>
    <w:tblPr>
      <w:tblStyleRowBandSize w:val="1"/>
      <w:tblStyleColBandSize w:val="1"/>
      <w:tblBorders>
        <w:top w:val="single" w:sz="4" w:space="0" w:color="F3D984" w:themeColor="accent1" w:themeTint="99"/>
        <w:bottom w:val="single" w:sz="4" w:space="0" w:color="F3D984" w:themeColor="accent1" w:themeTint="99"/>
        <w:insideH w:val="single" w:sz="4" w:space="0" w:color="F3D9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2D6" w:themeFill="accent1" w:themeFillTint="33"/>
      </w:tcPr>
    </w:tblStylePr>
    <w:tblStylePr w:type="band1Horz">
      <w:tblPr/>
      <w:tcPr>
        <w:shd w:val="clear" w:color="auto" w:fill="FBF2D6" w:themeFill="accent1" w:themeFillTint="33"/>
      </w:tcPr>
    </w:tblStylePr>
  </w:style>
  <w:style w:type="table" w:styleId="ListTable1Light-Accent6">
    <w:name w:val="List Table 1 Light Accent 6"/>
    <w:basedOn w:val="TableNormal"/>
    <w:uiPriority w:val="46"/>
    <w:rsid w:val="00F344CF"/>
    <w:pPr>
      <w:spacing w:after="0" w:line="240" w:lineRule="auto"/>
    </w:pPr>
    <w:tblPr>
      <w:tblStyleRowBandSize w:val="1"/>
      <w:tblStyleColBandSize w:val="1"/>
    </w:tblPr>
    <w:tblStylePr w:type="firstRow">
      <w:rPr>
        <w:b/>
        <w:bCs/>
      </w:rPr>
      <w:tblPr/>
      <w:tcPr>
        <w:tcBorders>
          <w:bottom w:val="single" w:sz="4" w:space="0" w:color="BA89BA" w:themeColor="accent6" w:themeTint="99"/>
        </w:tcBorders>
      </w:tcPr>
    </w:tblStylePr>
    <w:tblStylePr w:type="lastRow">
      <w:rPr>
        <w:b/>
        <w:bCs/>
      </w:rPr>
      <w:tblPr/>
      <w:tcPr>
        <w:tcBorders>
          <w:top w:val="single" w:sz="4" w:space="0" w:color="BA89BA" w:themeColor="accent6" w:themeTint="99"/>
        </w:tcBorders>
      </w:tcPr>
    </w:tblStylePr>
    <w:tblStylePr w:type="firstCol">
      <w:rPr>
        <w:b/>
        <w:bCs/>
      </w:rPr>
    </w:tblStylePr>
    <w:tblStylePr w:type="lastCol">
      <w:rPr>
        <w:b/>
        <w:bCs/>
      </w:rPr>
    </w:tblStylePr>
    <w:tblStylePr w:type="band1Vert">
      <w:tblPr/>
      <w:tcPr>
        <w:shd w:val="clear" w:color="auto" w:fill="E8D7E8" w:themeFill="accent6" w:themeFillTint="33"/>
      </w:tcPr>
    </w:tblStylePr>
    <w:tblStylePr w:type="band1Horz">
      <w:tblPr/>
      <w:tcPr>
        <w:shd w:val="clear" w:color="auto" w:fill="E8D7E8" w:themeFill="accent6" w:themeFillTint="33"/>
      </w:tcPr>
    </w:tblStylePr>
  </w:style>
  <w:style w:type="table" w:styleId="ListTable2">
    <w:name w:val="List Table 2"/>
    <w:basedOn w:val="TableNormal"/>
    <w:uiPriority w:val="47"/>
    <w:rsid w:val="00F344C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F344CF"/>
    <w:pPr>
      <w:spacing w:after="0" w:line="240" w:lineRule="auto"/>
    </w:pPr>
    <w:tblPr>
      <w:tblStyleRowBandSize w:val="1"/>
      <w:tblStyleColBandSize w:val="1"/>
      <w:tblBorders>
        <w:top w:val="single" w:sz="2" w:space="0" w:color="BA89BA" w:themeColor="accent6" w:themeTint="99"/>
        <w:bottom w:val="single" w:sz="2" w:space="0" w:color="BA89BA" w:themeColor="accent6" w:themeTint="99"/>
        <w:insideH w:val="single" w:sz="2" w:space="0" w:color="BA89BA" w:themeColor="accent6" w:themeTint="99"/>
        <w:insideV w:val="single" w:sz="2" w:space="0" w:color="BA89BA" w:themeColor="accent6" w:themeTint="99"/>
      </w:tblBorders>
    </w:tblPr>
    <w:tblStylePr w:type="firstRow">
      <w:rPr>
        <w:b/>
        <w:bCs/>
      </w:rPr>
      <w:tblPr/>
      <w:tcPr>
        <w:tcBorders>
          <w:top w:val="nil"/>
          <w:bottom w:val="single" w:sz="12" w:space="0" w:color="BA89BA" w:themeColor="accent6" w:themeTint="99"/>
          <w:insideH w:val="nil"/>
          <w:insideV w:val="nil"/>
        </w:tcBorders>
        <w:shd w:val="clear" w:color="auto" w:fill="FFFFFF" w:themeFill="background1"/>
      </w:tcPr>
    </w:tblStylePr>
    <w:tblStylePr w:type="lastRow">
      <w:rPr>
        <w:b/>
        <w:bCs/>
      </w:rPr>
      <w:tblPr/>
      <w:tcPr>
        <w:tcBorders>
          <w:top w:val="double" w:sz="2" w:space="0" w:color="BA89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8" w:themeFill="accent6" w:themeFillTint="33"/>
      </w:tcPr>
    </w:tblStylePr>
    <w:tblStylePr w:type="band1Horz">
      <w:tblPr/>
      <w:tcPr>
        <w:shd w:val="clear" w:color="auto" w:fill="E8D7E8" w:themeFill="accent6" w:themeFillTint="33"/>
      </w:tcPr>
    </w:tblStylePr>
  </w:style>
  <w:style w:type="paragraph" w:styleId="TOC4">
    <w:name w:val="toc 4"/>
    <w:basedOn w:val="Normal"/>
    <w:next w:val="Normal"/>
    <w:autoRedefine/>
    <w:uiPriority w:val="39"/>
    <w:unhideWhenUsed/>
    <w:rsid w:val="00DB07F0"/>
    <w:pPr>
      <w:spacing w:after="0"/>
      <w:ind w:left="540"/>
    </w:pPr>
    <w:rPr>
      <w:rFonts w:asciiTheme="minorHAnsi" w:hAnsiTheme="minorHAnsi" w:cstheme="minorHAnsi"/>
    </w:rPr>
  </w:style>
  <w:style w:type="paragraph" w:styleId="TOC5">
    <w:name w:val="toc 5"/>
    <w:basedOn w:val="Normal"/>
    <w:next w:val="Normal"/>
    <w:autoRedefine/>
    <w:uiPriority w:val="39"/>
    <w:unhideWhenUsed/>
    <w:rsid w:val="00DB07F0"/>
    <w:pPr>
      <w:spacing w:after="0"/>
      <w:ind w:left="720"/>
    </w:pPr>
    <w:rPr>
      <w:rFonts w:asciiTheme="minorHAnsi" w:hAnsiTheme="minorHAnsi" w:cstheme="minorHAnsi"/>
    </w:rPr>
  </w:style>
  <w:style w:type="paragraph" w:styleId="TOC6">
    <w:name w:val="toc 6"/>
    <w:basedOn w:val="Normal"/>
    <w:next w:val="Normal"/>
    <w:autoRedefine/>
    <w:uiPriority w:val="39"/>
    <w:unhideWhenUsed/>
    <w:rsid w:val="00DB07F0"/>
    <w:pPr>
      <w:spacing w:after="0"/>
      <w:ind w:left="900"/>
    </w:pPr>
    <w:rPr>
      <w:rFonts w:asciiTheme="minorHAnsi" w:hAnsiTheme="minorHAnsi" w:cstheme="minorHAnsi"/>
    </w:rPr>
  </w:style>
  <w:style w:type="paragraph" w:styleId="TOC7">
    <w:name w:val="toc 7"/>
    <w:basedOn w:val="Normal"/>
    <w:next w:val="Normal"/>
    <w:autoRedefine/>
    <w:uiPriority w:val="39"/>
    <w:unhideWhenUsed/>
    <w:rsid w:val="00DB07F0"/>
    <w:pPr>
      <w:spacing w:after="0"/>
      <w:ind w:left="1080"/>
    </w:pPr>
    <w:rPr>
      <w:rFonts w:asciiTheme="minorHAnsi" w:hAnsiTheme="minorHAnsi" w:cstheme="minorHAnsi"/>
    </w:rPr>
  </w:style>
  <w:style w:type="paragraph" w:styleId="TOC8">
    <w:name w:val="toc 8"/>
    <w:basedOn w:val="Normal"/>
    <w:next w:val="Normal"/>
    <w:autoRedefine/>
    <w:uiPriority w:val="39"/>
    <w:unhideWhenUsed/>
    <w:rsid w:val="00DB07F0"/>
    <w:pPr>
      <w:spacing w:after="0"/>
      <w:ind w:left="1260"/>
    </w:pPr>
    <w:rPr>
      <w:rFonts w:asciiTheme="minorHAnsi" w:hAnsiTheme="minorHAnsi" w:cstheme="minorHAnsi"/>
    </w:rPr>
  </w:style>
  <w:style w:type="paragraph" w:styleId="TOC9">
    <w:name w:val="toc 9"/>
    <w:basedOn w:val="Normal"/>
    <w:next w:val="Normal"/>
    <w:autoRedefine/>
    <w:uiPriority w:val="39"/>
    <w:unhideWhenUsed/>
    <w:rsid w:val="00DB07F0"/>
    <w:pPr>
      <w:spacing w:after="0"/>
      <w:ind w:left="1440"/>
    </w:pPr>
    <w:rPr>
      <w:rFonts w:asciiTheme="minorHAnsi" w:hAnsiTheme="minorHAnsi" w:cstheme="minorHAnsi"/>
    </w:rPr>
  </w:style>
  <w:style w:type="paragraph" w:styleId="TOCHeading">
    <w:name w:val="TOC Heading"/>
    <w:basedOn w:val="Normal"/>
    <w:next w:val="Normal"/>
    <w:uiPriority w:val="39"/>
    <w:unhideWhenUsed/>
    <w:qFormat/>
    <w:rsid w:val="001267E8"/>
    <w:pPr>
      <w:spacing w:after="200" w:line="240" w:lineRule="auto"/>
      <w:jc w:val="right"/>
    </w:pPr>
    <w:rPr>
      <w:sz w:val="60"/>
      <w:szCs w:val="20"/>
    </w:rPr>
  </w:style>
  <w:style w:type="character" w:styleId="BookTitle">
    <w:name w:val="Book Title"/>
    <w:basedOn w:val="DefaultParagraphFont"/>
    <w:uiPriority w:val="33"/>
    <w:qFormat/>
    <w:rsid w:val="00ED6475"/>
    <w:rPr>
      <w:rFonts w:ascii="Arial" w:hAnsi="Arial"/>
      <w:b/>
      <w:bCs/>
      <w:i w:val="0"/>
      <w:iCs/>
      <w:color w:val="C29A13" w:themeColor="accent1" w:themeShade="BF"/>
      <w:spacing w:val="5"/>
    </w:rPr>
  </w:style>
  <w:style w:type="table" w:styleId="ListTable4-Accent4">
    <w:name w:val="List Table 4 Accent 4"/>
    <w:basedOn w:val="TableNormal"/>
    <w:uiPriority w:val="49"/>
    <w:rsid w:val="00D26C98"/>
    <w:pPr>
      <w:spacing w:after="0" w:line="240" w:lineRule="auto"/>
    </w:pPr>
    <w:rPr>
      <w:rFonts w:asciiTheme="minorHAnsi" w:eastAsiaTheme="minorHAnsi" w:hAnsiTheme="minorHAnsi" w:cstheme="minorBidi"/>
      <w:color w:val="auto"/>
      <w:sz w:val="22"/>
      <w:szCs w:val="22"/>
      <w:lang w:val="en-AU" w:eastAsia="en-US"/>
    </w:rPr>
    <w:tblPr>
      <w:tblStyleRowBandSize w:val="1"/>
      <w:tblStyleColBandSize w:val="1"/>
      <w:tblBorders>
        <w:top w:val="single" w:sz="4" w:space="0" w:color="B3CDB3" w:themeColor="accent4" w:themeTint="99"/>
        <w:left w:val="single" w:sz="4" w:space="0" w:color="B3CDB3" w:themeColor="accent4" w:themeTint="99"/>
        <w:bottom w:val="single" w:sz="4" w:space="0" w:color="B3CDB3" w:themeColor="accent4" w:themeTint="99"/>
        <w:right w:val="single" w:sz="4" w:space="0" w:color="B3CDB3" w:themeColor="accent4" w:themeTint="99"/>
        <w:insideH w:val="single" w:sz="4" w:space="0" w:color="B3CDB3" w:themeColor="accent4" w:themeTint="99"/>
      </w:tblBorders>
    </w:tblPr>
    <w:tblStylePr w:type="firstRow">
      <w:rPr>
        <w:b/>
        <w:bCs/>
        <w:color w:val="FFFFFF" w:themeColor="background1"/>
      </w:rPr>
      <w:tblPr/>
      <w:tcPr>
        <w:tcBorders>
          <w:top w:val="single" w:sz="4" w:space="0" w:color="82AC81" w:themeColor="accent4"/>
          <w:left w:val="single" w:sz="4" w:space="0" w:color="82AC81" w:themeColor="accent4"/>
          <w:bottom w:val="single" w:sz="4" w:space="0" w:color="82AC81" w:themeColor="accent4"/>
          <w:right w:val="single" w:sz="4" w:space="0" w:color="82AC81" w:themeColor="accent4"/>
          <w:insideH w:val="nil"/>
        </w:tcBorders>
        <w:shd w:val="clear" w:color="auto" w:fill="82AC81" w:themeFill="accent4"/>
      </w:tcPr>
    </w:tblStylePr>
    <w:tblStylePr w:type="lastRow">
      <w:rPr>
        <w:b/>
        <w:bCs/>
      </w:rPr>
      <w:tblPr/>
      <w:tcPr>
        <w:tcBorders>
          <w:top w:val="double" w:sz="4" w:space="0" w:color="B3CDB3" w:themeColor="accent4" w:themeTint="99"/>
        </w:tcBorders>
      </w:tcPr>
    </w:tblStylePr>
    <w:tblStylePr w:type="firstCol">
      <w:rPr>
        <w:b/>
        <w:bCs/>
      </w:rPr>
    </w:tblStylePr>
    <w:tblStylePr w:type="lastCol">
      <w:rPr>
        <w:b/>
        <w:bCs/>
      </w:rPr>
    </w:tblStylePr>
    <w:tblStylePr w:type="band1Vert">
      <w:tblPr/>
      <w:tcPr>
        <w:shd w:val="clear" w:color="auto" w:fill="E5EEE5" w:themeFill="accent4" w:themeFillTint="33"/>
      </w:tcPr>
    </w:tblStylePr>
    <w:tblStylePr w:type="band1Horz">
      <w:tblPr/>
      <w:tcPr>
        <w:shd w:val="clear" w:color="auto" w:fill="E5EEE5" w:themeFill="accent4" w:themeFillTint="33"/>
      </w:tcPr>
    </w:tblStylePr>
  </w:style>
  <w:style w:type="paragraph" w:styleId="NormalWeb">
    <w:name w:val="Normal (Web)"/>
    <w:basedOn w:val="Normal"/>
    <w:uiPriority w:val="99"/>
    <w:unhideWhenUsed/>
    <w:rsid w:val="00154CCB"/>
    <w:pPr>
      <w:spacing w:before="100" w:beforeAutospacing="1" w:after="100" w:afterAutospacing="1" w:line="240" w:lineRule="auto"/>
    </w:pPr>
    <w:rPr>
      <w:rFonts w:ascii="Times New Roman" w:hAnsi="Times New Roman"/>
      <w:sz w:val="24"/>
      <w:szCs w:val="24"/>
      <w:lang w:eastAsia="en-GB"/>
    </w:rPr>
  </w:style>
  <w:style w:type="paragraph" w:customStyle="1" w:styleId="Char2">
    <w:name w:val="Char2"/>
    <w:basedOn w:val="Normal"/>
    <w:link w:val="FootnoteReference"/>
    <w:autoRedefine/>
    <w:uiPriority w:val="99"/>
    <w:semiHidden/>
    <w:rsid w:val="00154CCB"/>
    <w:pPr>
      <w:spacing w:after="160" w:line="240" w:lineRule="exact"/>
    </w:pPr>
    <w:rPr>
      <w:rFonts w:ascii="Euphemia UCAS" w:hAnsi="Euphemia UCAS"/>
      <w:i/>
      <w:color w:val="000000"/>
      <w:sz w:val="14"/>
      <w:szCs w:val="20"/>
      <w:vertAlign w:val="superscript"/>
      <w:lang w:eastAsia="en-GB"/>
    </w:rPr>
  </w:style>
  <w:style w:type="table" w:styleId="GridTable5Dark-Accent4">
    <w:name w:val="Grid Table 5 Dark Accent 4"/>
    <w:basedOn w:val="TableNormal"/>
    <w:uiPriority w:val="50"/>
    <w:rsid w:val="00444B2E"/>
    <w:pPr>
      <w:spacing w:after="0" w:line="240" w:lineRule="auto"/>
    </w:pPr>
    <w:rPr>
      <w:rFonts w:asciiTheme="minorHAnsi" w:eastAsiaTheme="minorHAnsi" w:hAnsiTheme="minorHAnsi" w:cstheme="minorBidi"/>
      <w:color w:val="auto"/>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E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AC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AC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AC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AC81" w:themeFill="accent4"/>
      </w:tcPr>
    </w:tblStylePr>
    <w:tblStylePr w:type="band1Vert">
      <w:tblPr/>
      <w:tcPr>
        <w:shd w:val="clear" w:color="auto" w:fill="CCDDCC" w:themeFill="accent4" w:themeFillTint="66"/>
      </w:tcPr>
    </w:tblStylePr>
    <w:tblStylePr w:type="band1Horz">
      <w:tblPr/>
      <w:tcPr>
        <w:shd w:val="clear" w:color="auto" w:fill="CCDDCC" w:themeFill="accent4" w:themeFillTint="66"/>
      </w:tcPr>
    </w:tblStylePr>
  </w:style>
  <w:style w:type="paragraph" w:customStyle="1" w:styleId="NormalIndented">
    <w:name w:val="Normal Indented"/>
    <w:basedOn w:val="Normal"/>
    <w:qFormat/>
    <w:rsid w:val="00E86400"/>
    <w:pPr>
      <w:suppressAutoHyphens/>
      <w:spacing w:before="120" w:after="60" w:line="260" w:lineRule="atLeast"/>
      <w:ind w:left="284"/>
    </w:pPr>
    <w:rPr>
      <w:rFonts w:asciiTheme="minorHAnsi" w:eastAsiaTheme="minorHAnsi" w:hAnsiTheme="minorHAnsi" w:cstheme="minorBidi"/>
      <w:color w:val="6D6E71" w:themeColor="text2"/>
      <w:sz w:val="22"/>
      <w:szCs w:val="22"/>
      <w:lang w:val="en-AU"/>
    </w:rPr>
  </w:style>
  <w:style w:type="paragraph" w:customStyle="1" w:styleId="Heading1Numbered">
    <w:name w:val="Heading 1 Numbered"/>
    <w:basedOn w:val="Heading1"/>
    <w:next w:val="Normal"/>
    <w:qFormat/>
    <w:rsid w:val="00E86400"/>
    <w:pPr>
      <w:keepNext/>
      <w:keepLines/>
      <w:pageBreakBefore w:val="0"/>
      <w:numPr>
        <w:numId w:val="11"/>
      </w:numPr>
      <w:pBdr>
        <w:left w:val="none" w:sz="0" w:space="0" w:color="auto"/>
      </w:pBdr>
      <w:suppressAutoHyphens/>
      <w:spacing w:before="300" w:after="3000" w:line="240" w:lineRule="auto"/>
      <w:contextualSpacing/>
    </w:pPr>
    <w:rPr>
      <w:rFonts w:asciiTheme="majorHAnsi" w:eastAsiaTheme="majorEastAsia" w:hAnsiTheme="majorHAnsi" w:cstheme="majorBidi"/>
      <w:b/>
      <w:bCs/>
      <w:caps/>
      <w:color w:val="6D6E71" w:themeColor="text2"/>
      <w:sz w:val="38"/>
      <w:szCs w:val="28"/>
      <w:lang w:val="en-AU"/>
    </w:rPr>
  </w:style>
  <w:style w:type="paragraph" w:customStyle="1" w:styleId="Heading2Numbered">
    <w:name w:val="Heading 2 Numbered"/>
    <w:basedOn w:val="Heading2"/>
    <w:next w:val="Normal"/>
    <w:qFormat/>
    <w:rsid w:val="00E86400"/>
    <w:pPr>
      <w:keepLines/>
      <w:numPr>
        <w:ilvl w:val="1"/>
        <w:numId w:val="11"/>
      </w:numPr>
      <w:suppressAutoHyphens/>
      <w:spacing w:before="480" w:line="380" w:lineRule="exact"/>
      <w:contextualSpacing/>
    </w:pPr>
    <w:rPr>
      <w:rFonts w:asciiTheme="majorHAnsi" w:eastAsiaTheme="majorEastAsia" w:hAnsiTheme="majorHAnsi" w:cstheme="majorBidi"/>
      <w:iCs w:val="0"/>
      <w:caps/>
      <w:color w:val="6D6E71" w:themeColor="text2"/>
      <w:sz w:val="34"/>
      <w:szCs w:val="26"/>
      <w:lang w:val="en-AU"/>
    </w:rPr>
  </w:style>
  <w:style w:type="paragraph" w:customStyle="1" w:styleId="Heading3Numbered">
    <w:name w:val="Heading 3 Numbered"/>
    <w:basedOn w:val="Heading3"/>
    <w:next w:val="Normal"/>
    <w:qFormat/>
    <w:rsid w:val="00E86400"/>
    <w:pPr>
      <w:keepLines/>
      <w:numPr>
        <w:ilvl w:val="2"/>
        <w:numId w:val="11"/>
      </w:numPr>
      <w:suppressAutoHyphens/>
      <w:spacing w:before="300" w:line="360" w:lineRule="atLeast"/>
      <w:contextualSpacing/>
    </w:pPr>
    <w:rPr>
      <w:rFonts w:asciiTheme="majorHAnsi" w:eastAsiaTheme="majorEastAsia" w:hAnsiTheme="majorHAnsi" w:cstheme="majorBidi"/>
      <w:b w:val="0"/>
      <w:color w:val="6D6E71" w:themeColor="text2"/>
      <w:sz w:val="30"/>
      <w:szCs w:val="22"/>
    </w:rPr>
  </w:style>
  <w:style w:type="numbering" w:customStyle="1" w:styleId="HeadingsList">
    <w:name w:val="Headings List"/>
    <w:uiPriority w:val="99"/>
    <w:rsid w:val="00E86400"/>
    <w:pPr>
      <w:numPr>
        <w:numId w:val="11"/>
      </w:numPr>
    </w:pPr>
  </w:style>
  <w:style w:type="paragraph" w:customStyle="1" w:styleId="Heading1Numberedsmallspaceafter">
    <w:name w:val="Heading 1 Numbered small space after"/>
    <w:basedOn w:val="Heading1Numbered"/>
    <w:qFormat/>
    <w:rsid w:val="00334EFA"/>
    <w:pPr>
      <w:spacing w:after="600"/>
    </w:pPr>
  </w:style>
  <w:style w:type="table" w:styleId="GridTable4-Accent4">
    <w:name w:val="Grid Table 4 Accent 4"/>
    <w:basedOn w:val="TableNormal"/>
    <w:uiPriority w:val="49"/>
    <w:rsid w:val="00E829A1"/>
    <w:pPr>
      <w:spacing w:after="0" w:line="240" w:lineRule="auto"/>
    </w:pPr>
    <w:rPr>
      <w:rFonts w:asciiTheme="minorHAnsi" w:eastAsiaTheme="minorHAnsi" w:hAnsiTheme="minorHAnsi" w:cstheme="minorBidi"/>
      <w:color w:val="auto"/>
      <w:sz w:val="22"/>
      <w:szCs w:val="22"/>
      <w:lang w:val="en-AU" w:eastAsia="en-US"/>
    </w:rPr>
    <w:tblPr>
      <w:tblStyleRowBandSize w:val="1"/>
      <w:tblStyleColBandSize w:val="1"/>
      <w:tblBorders>
        <w:top w:val="single" w:sz="4" w:space="0" w:color="B3CDB3" w:themeColor="accent4" w:themeTint="99"/>
        <w:left w:val="single" w:sz="4" w:space="0" w:color="B3CDB3" w:themeColor="accent4" w:themeTint="99"/>
        <w:bottom w:val="single" w:sz="4" w:space="0" w:color="B3CDB3" w:themeColor="accent4" w:themeTint="99"/>
        <w:right w:val="single" w:sz="4" w:space="0" w:color="B3CDB3" w:themeColor="accent4" w:themeTint="99"/>
        <w:insideH w:val="single" w:sz="4" w:space="0" w:color="B3CDB3" w:themeColor="accent4" w:themeTint="99"/>
        <w:insideV w:val="single" w:sz="4" w:space="0" w:color="B3CDB3" w:themeColor="accent4" w:themeTint="99"/>
      </w:tblBorders>
    </w:tblPr>
    <w:tblStylePr w:type="firstRow">
      <w:rPr>
        <w:b/>
        <w:bCs/>
        <w:color w:val="FFFFFF" w:themeColor="background1"/>
      </w:rPr>
      <w:tblPr/>
      <w:tcPr>
        <w:tcBorders>
          <w:top w:val="single" w:sz="4" w:space="0" w:color="82AC81" w:themeColor="accent4"/>
          <w:left w:val="single" w:sz="4" w:space="0" w:color="82AC81" w:themeColor="accent4"/>
          <w:bottom w:val="single" w:sz="4" w:space="0" w:color="82AC81" w:themeColor="accent4"/>
          <w:right w:val="single" w:sz="4" w:space="0" w:color="82AC81" w:themeColor="accent4"/>
          <w:insideH w:val="nil"/>
          <w:insideV w:val="nil"/>
        </w:tcBorders>
        <w:shd w:val="clear" w:color="auto" w:fill="82AC81" w:themeFill="accent4"/>
      </w:tcPr>
    </w:tblStylePr>
    <w:tblStylePr w:type="lastRow">
      <w:rPr>
        <w:b/>
        <w:bCs/>
      </w:rPr>
      <w:tblPr/>
      <w:tcPr>
        <w:tcBorders>
          <w:top w:val="double" w:sz="4" w:space="0" w:color="82AC81" w:themeColor="accent4"/>
        </w:tcBorders>
      </w:tcPr>
    </w:tblStylePr>
    <w:tblStylePr w:type="firstCol">
      <w:rPr>
        <w:b/>
        <w:bCs/>
      </w:rPr>
    </w:tblStylePr>
    <w:tblStylePr w:type="lastCol">
      <w:rPr>
        <w:b/>
        <w:bCs/>
      </w:rPr>
    </w:tblStylePr>
    <w:tblStylePr w:type="band1Vert">
      <w:tblPr/>
      <w:tcPr>
        <w:shd w:val="clear" w:color="auto" w:fill="E5EEE5" w:themeFill="accent4" w:themeFillTint="33"/>
      </w:tcPr>
    </w:tblStylePr>
    <w:tblStylePr w:type="band1Horz">
      <w:tblPr/>
      <w:tcPr>
        <w:shd w:val="clear" w:color="auto" w:fill="E5EEE5" w:themeFill="accent4" w:themeFillTint="33"/>
      </w:tcPr>
    </w:tblStylePr>
  </w:style>
  <w:style w:type="paragraph" w:customStyle="1" w:styleId="Bullet1normal">
    <w:name w:val="Bullet 1 (normal)"/>
    <w:basedOn w:val="ListParagraph"/>
    <w:uiPriority w:val="1"/>
    <w:qFormat/>
    <w:rsid w:val="00EB0431"/>
    <w:pPr>
      <w:numPr>
        <w:numId w:val="12"/>
      </w:numPr>
      <w:spacing w:before="120" w:line="256" w:lineRule="auto"/>
      <w:contextualSpacing w:val="0"/>
    </w:pPr>
    <w:rPr>
      <w:rFonts w:asciiTheme="minorHAnsi" w:eastAsiaTheme="minorHAnsi" w:hAnsiTheme="minorHAnsi" w:cstheme="minorBidi"/>
      <w:sz w:val="22"/>
      <w:szCs w:val="22"/>
      <w:lang w:val="en-AU"/>
    </w:rPr>
  </w:style>
  <w:style w:type="paragraph" w:styleId="BodyText">
    <w:name w:val="Body Text"/>
    <w:basedOn w:val="Normal"/>
    <w:link w:val="BodyTextChar"/>
    <w:uiPriority w:val="99"/>
    <w:unhideWhenUsed/>
    <w:qFormat/>
    <w:rsid w:val="007E5F32"/>
  </w:style>
  <w:style w:type="character" w:customStyle="1" w:styleId="BodyTextChar">
    <w:name w:val="Body Text Char"/>
    <w:basedOn w:val="DefaultParagraphFont"/>
    <w:link w:val="BodyText"/>
    <w:uiPriority w:val="99"/>
    <w:rsid w:val="007E5F32"/>
    <w:rPr>
      <w:color w:val="auto"/>
      <w:szCs w:val="18"/>
      <w:lang w:eastAsia="en-US"/>
    </w:rPr>
  </w:style>
  <w:style w:type="paragraph" w:styleId="ListNumber">
    <w:name w:val="List Number"/>
    <w:basedOn w:val="Normal"/>
    <w:semiHidden/>
    <w:unhideWhenUsed/>
    <w:qFormat/>
    <w:rsid w:val="007E5F32"/>
    <w:pPr>
      <w:numPr>
        <w:numId w:val="19"/>
      </w:numPr>
      <w:suppressAutoHyphens/>
      <w:spacing w:before="120" w:after="60" w:line="260" w:lineRule="atLeast"/>
      <w:contextualSpacing/>
    </w:pPr>
    <w:rPr>
      <w:rFonts w:asciiTheme="minorHAnsi" w:eastAsiaTheme="minorHAnsi" w:hAnsiTheme="minorHAnsi" w:cstheme="minorBidi"/>
      <w:color w:val="6D6E71" w:themeColor="text2"/>
      <w:sz w:val="22"/>
      <w:szCs w:val="22"/>
    </w:rPr>
  </w:style>
  <w:style w:type="paragraph" w:styleId="ListNumber2">
    <w:name w:val="List Number 2"/>
    <w:basedOn w:val="ListNumber"/>
    <w:semiHidden/>
    <w:unhideWhenUsed/>
    <w:qFormat/>
    <w:rsid w:val="007E5F32"/>
    <w:pPr>
      <w:numPr>
        <w:numId w:val="20"/>
      </w:numPr>
      <w:tabs>
        <w:tab w:val="left" w:pos="284"/>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qFormat/>
    <w:rsid w:val="007E5F32"/>
  </w:style>
  <w:style w:type="paragraph" w:styleId="CommentSubject">
    <w:name w:val="annotation subject"/>
    <w:basedOn w:val="CommentText"/>
    <w:next w:val="CommentText"/>
    <w:link w:val="CommentSubjectChar"/>
    <w:uiPriority w:val="99"/>
    <w:semiHidden/>
    <w:unhideWhenUsed/>
    <w:rsid w:val="00E3435B"/>
    <w:pPr>
      <w:spacing w:after="120"/>
    </w:pPr>
    <w:rPr>
      <w:b/>
      <w:bCs/>
      <w:sz w:val="20"/>
    </w:rPr>
  </w:style>
  <w:style w:type="character" w:customStyle="1" w:styleId="CommentSubjectChar">
    <w:name w:val="Comment Subject Char"/>
    <w:basedOn w:val="CommentTextChar"/>
    <w:link w:val="CommentSubject"/>
    <w:uiPriority w:val="99"/>
    <w:semiHidden/>
    <w:rsid w:val="00E3435B"/>
    <w:rPr>
      <w:b/>
      <w:bCs/>
      <w:color w:val="auto"/>
      <w:sz w:val="22"/>
      <w:lang w:eastAsia="en-US"/>
    </w:rPr>
  </w:style>
  <w:style w:type="paragraph" w:styleId="Revision">
    <w:name w:val="Revision"/>
    <w:hidden/>
    <w:uiPriority w:val="99"/>
    <w:semiHidden/>
    <w:rsid w:val="00F22BBD"/>
    <w:pPr>
      <w:spacing w:after="0" w:line="240" w:lineRule="auto"/>
    </w:pPr>
    <w:rPr>
      <w:color w:val="auto"/>
      <w:szCs w:val="18"/>
      <w:lang w:eastAsia="en-US"/>
    </w:rPr>
  </w:style>
  <w:style w:type="paragraph" w:customStyle="1" w:styleId="Pa12">
    <w:name w:val="Pa12"/>
    <w:basedOn w:val="Normal"/>
    <w:next w:val="Normal"/>
    <w:uiPriority w:val="99"/>
    <w:rsid w:val="00A824DE"/>
    <w:pPr>
      <w:autoSpaceDE w:val="0"/>
      <w:autoSpaceDN w:val="0"/>
      <w:adjustRightInd w:val="0"/>
      <w:spacing w:after="0" w:line="201" w:lineRule="atLeast"/>
    </w:pPr>
    <w:rPr>
      <w:rFonts w:ascii="Gadugi" w:eastAsiaTheme="minorHAnsi" w:hAnsi="Gadug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1355">
      <w:bodyDiv w:val="1"/>
      <w:marLeft w:val="0"/>
      <w:marRight w:val="0"/>
      <w:marTop w:val="0"/>
      <w:marBottom w:val="0"/>
      <w:divBdr>
        <w:top w:val="none" w:sz="0" w:space="0" w:color="auto"/>
        <w:left w:val="none" w:sz="0" w:space="0" w:color="auto"/>
        <w:bottom w:val="none" w:sz="0" w:space="0" w:color="auto"/>
        <w:right w:val="none" w:sz="0" w:space="0" w:color="auto"/>
      </w:divBdr>
    </w:div>
    <w:div w:id="314260480">
      <w:bodyDiv w:val="1"/>
      <w:marLeft w:val="0"/>
      <w:marRight w:val="0"/>
      <w:marTop w:val="0"/>
      <w:marBottom w:val="0"/>
      <w:divBdr>
        <w:top w:val="none" w:sz="0" w:space="0" w:color="auto"/>
        <w:left w:val="none" w:sz="0" w:space="0" w:color="auto"/>
        <w:bottom w:val="none" w:sz="0" w:space="0" w:color="auto"/>
        <w:right w:val="none" w:sz="0" w:space="0" w:color="auto"/>
      </w:divBdr>
      <w:divsChild>
        <w:div w:id="1220359279">
          <w:marLeft w:val="0"/>
          <w:marRight w:val="0"/>
          <w:marTop w:val="0"/>
          <w:marBottom w:val="0"/>
          <w:divBdr>
            <w:top w:val="none" w:sz="0" w:space="0" w:color="auto"/>
            <w:left w:val="none" w:sz="0" w:space="0" w:color="auto"/>
            <w:bottom w:val="none" w:sz="0" w:space="0" w:color="auto"/>
            <w:right w:val="none" w:sz="0" w:space="0" w:color="auto"/>
          </w:divBdr>
          <w:divsChild>
            <w:div w:id="1853638946">
              <w:marLeft w:val="0"/>
              <w:marRight w:val="0"/>
              <w:marTop w:val="0"/>
              <w:marBottom w:val="0"/>
              <w:divBdr>
                <w:top w:val="none" w:sz="0" w:space="0" w:color="auto"/>
                <w:left w:val="none" w:sz="0" w:space="0" w:color="auto"/>
                <w:bottom w:val="none" w:sz="0" w:space="0" w:color="auto"/>
                <w:right w:val="none" w:sz="0" w:space="0" w:color="auto"/>
              </w:divBdr>
              <w:divsChild>
                <w:div w:id="459953808">
                  <w:marLeft w:val="0"/>
                  <w:marRight w:val="0"/>
                  <w:marTop w:val="0"/>
                  <w:marBottom w:val="0"/>
                  <w:divBdr>
                    <w:top w:val="none" w:sz="0" w:space="0" w:color="auto"/>
                    <w:left w:val="none" w:sz="0" w:space="0" w:color="auto"/>
                    <w:bottom w:val="none" w:sz="0" w:space="0" w:color="auto"/>
                    <w:right w:val="none" w:sz="0" w:space="0" w:color="auto"/>
                  </w:divBdr>
                  <w:divsChild>
                    <w:div w:id="15374230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34112337">
      <w:bodyDiv w:val="1"/>
      <w:marLeft w:val="0"/>
      <w:marRight w:val="0"/>
      <w:marTop w:val="0"/>
      <w:marBottom w:val="0"/>
      <w:divBdr>
        <w:top w:val="none" w:sz="0" w:space="0" w:color="auto"/>
        <w:left w:val="none" w:sz="0" w:space="0" w:color="auto"/>
        <w:bottom w:val="none" w:sz="0" w:space="0" w:color="auto"/>
        <w:right w:val="none" w:sz="0" w:space="0" w:color="auto"/>
      </w:divBdr>
    </w:div>
    <w:div w:id="617299068">
      <w:bodyDiv w:val="1"/>
      <w:marLeft w:val="0"/>
      <w:marRight w:val="0"/>
      <w:marTop w:val="0"/>
      <w:marBottom w:val="0"/>
      <w:divBdr>
        <w:top w:val="none" w:sz="0" w:space="0" w:color="auto"/>
        <w:left w:val="none" w:sz="0" w:space="0" w:color="auto"/>
        <w:bottom w:val="none" w:sz="0" w:space="0" w:color="auto"/>
        <w:right w:val="none" w:sz="0" w:space="0" w:color="auto"/>
      </w:divBdr>
    </w:div>
    <w:div w:id="703556071">
      <w:bodyDiv w:val="1"/>
      <w:marLeft w:val="0"/>
      <w:marRight w:val="0"/>
      <w:marTop w:val="0"/>
      <w:marBottom w:val="0"/>
      <w:divBdr>
        <w:top w:val="none" w:sz="0" w:space="0" w:color="auto"/>
        <w:left w:val="none" w:sz="0" w:space="0" w:color="auto"/>
        <w:bottom w:val="none" w:sz="0" w:space="0" w:color="auto"/>
        <w:right w:val="none" w:sz="0" w:space="0" w:color="auto"/>
      </w:divBdr>
    </w:div>
    <w:div w:id="1477380725">
      <w:bodyDiv w:val="1"/>
      <w:marLeft w:val="0"/>
      <w:marRight w:val="0"/>
      <w:marTop w:val="0"/>
      <w:marBottom w:val="0"/>
      <w:divBdr>
        <w:top w:val="none" w:sz="0" w:space="0" w:color="auto"/>
        <w:left w:val="none" w:sz="0" w:space="0" w:color="auto"/>
        <w:bottom w:val="none" w:sz="0" w:space="0" w:color="auto"/>
        <w:right w:val="none" w:sz="0" w:space="0" w:color="auto"/>
      </w:divBdr>
      <w:divsChild>
        <w:div w:id="1858034817">
          <w:marLeft w:val="0"/>
          <w:marRight w:val="0"/>
          <w:marTop w:val="0"/>
          <w:marBottom w:val="0"/>
          <w:divBdr>
            <w:top w:val="none" w:sz="0" w:space="0" w:color="auto"/>
            <w:left w:val="none" w:sz="0" w:space="0" w:color="auto"/>
            <w:bottom w:val="none" w:sz="0" w:space="0" w:color="auto"/>
            <w:right w:val="none" w:sz="0" w:space="0" w:color="auto"/>
          </w:divBdr>
          <w:divsChild>
            <w:div w:id="395393111">
              <w:marLeft w:val="0"/>
              <w:marRight w:val="0"/>
              <w:marTop w:val="0"/>
              <w:marBottom w:val="0"/>
              <w:divBdr>
                <w:top w:val="none" w:sz="0" w:space="0" w:color="auto"/>
                <w:left w:val="none" w:sz="0" w:space="0" w:color="auto"/>
                <w:bottom w:val="none" w:sz="0" w:space="0" w:color="auto"/>
                <w:right w:val="none" w:sz="0" w:space="0" w:color="auto"/>
              </w:divBdr>
              <w:divsChild>
                <w:div w:id="1781682853">
                  <w:marLeft w:val="0"/>
                  <w:marRight w:val="0"/>
                  <w:marTop w:val="0"/>
                  <w:marBottom w:val="0"/>
                  <w:divBdr>
                    <w:top w:val="none" w:sz="0" w:space="0" w:color="auto"/>
                    <w:left w:val="none" w:sz="0" w:space="0" w:color="auto"/>
                    <w:bottom w:val="none" w:sz="0" w:space="0" w:color="auto"/>
                    <w:right w:val="none" w:sz="0" w:space="0" w:color="auto"/>
                  </w:divBdr>
                  <w:divsChild>
                    <w:div w:id="12387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environment.asean.org/awgesc/" TargetMode="External"/><Relationship Id="rId39" Type="http://schemas.openxmlformats.org/officeDocument/2006/relationships/image" Target="media/image140.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openxmlformats.org/officeDocument/2006/relationships/image" Target="media/image11.png"/><Relationship Id="rId33" Type="http://schemas.openxmlformats.org/officeDocument/2006/relationships/image" Target="media/image12.png"/><Relationship Id="rId38" Type="http://schemas.openxmlformats.org/officeDocument/2006/relationships/image" Target="media/image13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yperlink" Target="https://environment.asean.org/awgncb/"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png"/><Relationship Id="rId32" Type="http://schemas.openxmlformats.org/officeDocument/2006/relationships/hyperlink" Target="https://www.apuf7.org/initiatives/ppsu" TargetMode="External"/><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asean.org/asean-adopts-new-disaster-management-framework-2021-2025/" TargetMode="External"/><Relationship Id="rId10" Type="http://schemas.openxmlformats.org/officeDocument/2006/relationships/diagramQuickStyle" Target="diagrams/quickStyle1.xml"/><Relationship Id="rId19" Type="http://schemas.openxmlformats.org/officeDocument/2006/relationships/footer" Target="footer2.xml"/><Relationship Id="rId31" Type="http://schemas.openxmlformats.org/officeDocument/2006/relationships/hyperlink" Target="https://imtgt.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environment.asean.org/awgcc/" TargetMode="External"/><Relationship Id="rId30" Type="http://schemas.openxmlformats.org/officeDocument/2006/relationships/hyperlink" Target="https://asean.org/asean/asean-smart-cities-network/" TargetMode="External"/><Relationship Id="rId35" Type="http://schemas.openxmlformats.org/officeDocument/2006/relationships/image" Target="media/image14.png"/><Relationship Id="rId43"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unhabitat.org/sites/default/files/2021/03/cities_and_pandemics-towards_a_more_just_green_and_healthy_future_un-habitat_2021.pdf" TargetMode="External"/><Relationship Id="rId13" Type="http://schemas.openxmlformats.org/officeDocument/2006/relationships/hyperlink" Target="https://www.mckinsey.com/~/media/McKinsey/Featured%20Insights/Asia%20Pacific/Three%20paths%20to%20sustained%20economic%20growth%20in%20Southeast%20Asia/Southeast_Asia_at_the_crossroads_Three_paths_to_prosperity_Full%20report.pdf" TargetMode="External"/><Relationship Id="rId3" Type="http://schemas.openxmlformats.org/officeDocument/2006/relationships/hyperlink" Target="https://www.un.org/development/desa/publications/world-population-prospects-2019-highlights.html" TargetMode="External"/><Relationship Id="rId7" Type="http://schemas.openxmlformats.org/officeDocument/2006/relationships/hyperlink" Target="https://www.unescap.org/sites/default/files/UNESCAP_Garrigan.pdf" TargetMode="External"/><Relationship Id="rId12" Type="http://schemas.openxmlformats.org/officeDocument/2006/relationships/hyperlink" Target="https://indd.adobe.com/view/1fe67962-dd45-4f18-8d10-eed1edaa3586" TargetMode="External"/><Relationship Id="rId2" Type="http://schemas.openxmlformats.org/officeDocument/2006/relationships/hyperlink" Target="https://www.unescap.org/sites/default/files/UNESCAP_Garrigan.pdf" TargetMode="External"/><Relationship Id="rId16" Type="http://schemas.openxmlformats.org/officeDocument/2006/relationships/hyperlink" Target="https://openjicareport.jica.go.jp/pdf/12321154_01.pdf" TargetMode="External"/><Relationship Id="rId1" Type="http://schemas.openxmlformats.org/officeDocument/2006/relationships/hyperlink" Target="https://asean.org/book/asean-sustainable-urbanisation-strategy/" TargetMode="External"/><Relationship Id="rId6" Type="http://schemas.openxmlformats.org/officeDocument/2006/relationships/hyperlink" Target="https://germanwatch.org/sites/germanwatch.org/files/20-2-01e%20Global%20Climate%20Risk%20Index%202020_14.pdf" TargetMode="External"/><Relationship Id="rId11" Type="http://schemas.openxmlformats.org/officeDocument/2006/relationships/hyperlink" Target="https://www.adb.org/documents/strategy-2030-prosperous-inclusive-resilient-sustainable-asia-pacific" TargetMode="External"/><Relationship Id="rId5" Type="http://schemas.openxmlformats.org/officeDocument/2006/relationships/hyperlink" Target="https://www.ccacoalition.org/en/resources/air-pollution-asia-and-pacific-science-based-solutions-summary-full-report" TargetMode="External"/><Relationship Id="rId15" Type="http://schemas.openxmlformats.org/officeDocument/2006/relationships/hyperlink" Target="https://www.dfat.gov.au/development/australias-development-program/partnerships-recovery-australias-covid-19-development-response" TargetMode="External"/><Relationship Id="rId10" Type="http://schemas.openxmlformats.org/officeDocument/2006/relationships/hyperlink" Target="https://asean.org/book/asean-sustainable-urbanisation-strategy/" TargetMode="External"/><Relationship Id="rId4" Type="http://schemas.openxmlformats.org/officeDocument/2006/relationships/hyperlink" Target="https://asean.org/book/asean-state-of-climate-change-report/" TargetMode="External"/><Relationship Id="rId9" Type="http://schemas.openxmlformats.org/officeDocument/2006/relationships/hyperlink" Target="https://www.youtube.com/channel/UCY-8JC5j5PgiV6XJiDByYHA" TargetMode="External"/><Relationship Id="rId14" Type="http://schemas.openxmlformats.org/officeDocument/2006/relationships/hyperlink" Target="https://www.adb.org/documents/manual-leveraging-spatial-data-pandemic-resilient-cities"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9F736F-6F7C-4314-B3BD-707AD20E2B6D}" type="doc">
      <dgm:prSet loTypeId="urn:microsoft.com/office/officeart/2009/3/layout/SpiralPicture" loCatId="picture" qsTypeId="urn:microsoft.com/office/officeart/2005/8/quickstyle/simple1" qsCatId="simple" csTypeId="urn:microsoft.com/office/officeart/2005/8/colors/accent1_2" csCatId="accent1" phldr="1"/>
      <dgm:spPr/>
      <dgm:t>
        <a:bodyPr/>
        <a:lstStyle/>
        <a:p>
          <a:endParaRPr lang="en-GB"/>
        </a:p>
      </dgm:t>
    </dgm:pt>
    <dgm:pt modelId="{3CB096A7-41BF-429E-9160-ECEFB3C213F5}">
      <dgm:prSet/>
      <dgm:spPr>
        <a:ln>
          <a:noFill/>
        </a:ln>
      </dgm:spPr>
      <dgm:t>
        <a:bodyPr/>
        <a:lstStyle/>
        <a:p>
          <a:endParaRPr lang="en-GB"/>
        </a:p>
      </dgm:t>
    </dgm:pt>
    <dgm:pt modelId="{499431F8-1DEA-40BB-BCB6-0CAE78E9A214}" type="sibTrans" cxnId="{E72F8C5F-602D-4C0A-8C8F-82A6AF055FB6}">
      <dgm:prSet/>
      <dgm:spPr>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dgm:spPr>
      <dgm:t>
        <a:bodyPr/>
        <a:lstStyle/>
        <a:p>
          <a:endParaRPr lang="en-GB"/>
        </a:p>
      </dgm:t>
      <dgm:extLst>
        <a:ext uri="{E40237B7-FDA0-4F09-8148-C483321AD2D9}">
          <dgm14:cNvPr xmlns:dgm14="http://schemas.microsoft.com/office/drawing/2010/diagram" id="0" name="" descr="Aerial image of a city">
            <a:extLst>
              <a:ext uri="{C183D7F6-B498-43B3-948B-1728B52AA6E4}">
                <adec:decorative xmlns:adec="http://schemas.microsoft.com/office/drawing/2017/decorative" val="0"/>
              </a:ext>
            </a:extLst>
          </dgm14:cNvPr>
        </a:ext>
      </dgm:extLst>
    </dgm:pt>
    <dgm:pt modelId="{1DD40AC0-9042-4850-A4F4-88713F406F02}" type="parTrans" cxnId="{E72F8C5F-602D-4C0A-8C8F-82A6AF055FB6}">
      <dgm:prSet/>
      <dgm:spPr/>
      <dgm:t>
        <a:bodyPr/>
        <a:lstStyle/>
        <a:p>
          <a:endParaRPr lang="en-GB"/>
        </a:p>
      </dgm:t>
    </dgm:pt>
    <dgm:pt modelId="{CE9A8327-E18C-4A71-B6FB-545A1BAE3A13}" type="pres">
      <dgm:prSet presAssocID="{A49F736F-6F7C-4314-B3BD-707AD20E2B6D}" presName="Name0" presStyleCnt="0">
        <dgm:presLayoutVars>
          <dgm:chMax val="5"/>
          <dgm:dir/>
        </dgm:presLayoutVars>
      </dgm:prSet>
      <dgm:spPr/>
    </dgm:pt>
    <dgm:pt modelId="{11451CA3-1E78-4A4F-975A-3CF4307B3867}" type="pres">
      <dgm:prSet presAssocID="{A49F736F-6F7C-4314-B3BD-707AD20E2B6D}" presName="picts" presStyleCnt="0"/>
      <dgm:spPr/>
    </dgm:pt>
    <dgm:pt modelId="{537852A7-27CB-4B5D-9C1E-EB6C8F8FC81F}" type="pres">
      <dgm:prSet presAssocID="{A49F736F-6F7C-4314-B3BD-707AD20E2B6D}" presName="space1" presStyleCnt="0"/>
      <dgm:spPr/>
    </dgm:pt>
    <dgm:pt modelId="{69DBB622-F0DA-4F90-9010-2A95B57B66B6}" type="pres">
      <dgm:prSet presAssocID="{A49F736F-6F7C-4314-B3BD-707AD20E2B6D}" presName="space2" presStyleCnt="0"/>
      <dgm:spPr/>
    </dgm:pt>
    <dgm:pt modelId="{A1C1ABBA-1580-4A1E-919E-A675E837701E}" type="pres">
      <dgm:prSet presAssocID="{499431F8-1DEA-40BB-BCB6-0CAE78E9A214}" presName="pictA1" presStyleCnt="0"/>
      <dgm:spPr/>
    </dgm:pt>
    <dgm:pt modelId="{1C3863E8-43F8-4DAB-B240-33B368B79CA6}" type="pres">
      <dgm:prSet presAssocID="{499431F8-1DEA-40BB-BCB6-0CAE78E9A214}" presName="imageRepeatNode" presStyleLbl="alignNode1" presStyleIdx="0" presStyleCnt="5" custScaleX="161935" custScaleY="229989" custLinFactNeighborX="16460" custLinFactNeighborY="3963"/>
      <dgm:spPr/>
    </dgm:pt>
    <dgm:pt modelId="{9B9A6387-F44B-4353-AC0C-0183A28B7046}" type="pres">
      <dgm:prSet presAssocID="{499431F8-1DEA-40BB-BCB6-0CAE78E9A214}" presName="oneDotPict" presStyleCnt="0"/>
      <dgm:spPr/>
    </dgm:pt>
    <dgm:pt modelId="{F93AB9AD-14A7-4031-9D98-9B1FEE169178}" type="pres">
      <dgm:prSet presAssocID="{499431F8-1DEA-40BB-BCB6-0CAE78E9A214}" presName="dotPict_11" presStyleLbl="solidFgAcc1" presStyleIdx="0" presStyleCnt="2"/>
      <dgm:spPr>
        <a:noFill/>
        <a:ln>
          <a:noFill/>
        </a:ln>
      </dgm:spPr>
    </dgm:pt>
    <dgm:pt modelId="{BCAA0F16-B491-460F-B140-57386452646C}" type="pres">
      <dgm:prSet presAssocID="{A49F736F-6F7C-4314-B3BD-707AD20E2B6D}" presName="pictB2" presStyleLbl="alignNode1" presStyleIdx="1" presStyleCnt="5" custScaleX="1607" custLinFactNeighborX="26361" custLinFactNeighborY="-2167"/>
      <dgm:spPr>
        <a:noFill/>
        <a:ln>
          <a:noFill/>
        </a:ln>
      </dgm:spPr>
    </dgm:pt>
    <dgm:pt modelId="{F7422193-B216-4E5C-92A1-C53A05240931}" type="pres">
      <dgm:prSet presAssocID="{A49F736F-6F7C-4314-B3BD-707AD20E2B6D}" presName="pictB3" presStyleLbl="alignNode1" presStyleIdx="2" presStyleCnt="5"/>
      <dgm:spPr>
        <a:noFill/>
        <a:ln>
          <a:noFill/>
        </a:ln>
      </dgm:spPr>
    </dgm:pt>
    <dgm:pt modelId="{FC4D0C1B-4926-48A2-A520-717840E642D3}" type="pres">
      <dgm:prSet presAssocID="{A49F736F-6F7C-4314-B3BD-707AD20E2B6D}" presName="pictB4" presStyleLbl="alignNode1" presStyleIdx="3" presStyleCnt="5"/>
      <dgm:spPr>
        <a:noFill/>
        <a:ln>
          <a:noFill/>
        </a:ln>
      </dgm:spPr>
    </dgm:pt>
    <dgm:pt modelId="{29AA57CA-48E5-4BCD-BF7A-9888B0B3828D}" type="pres">
      <dgm:prSet presAssocID="{A49F736F-6F7C-4314-B3BD-707AD20E2B6D}" presName="pictB5" presStyleLbl="alignNode1" presStyleIdx="4" presStyleCnt="5"/>
      <dgm:spPr>
        <a:noFill/>
        <a:ln>
          <a:noFill/>
        </a:ln>
      </dgm:spPr>
    </dgm:pt>
    <dgm:pt modelId="{E46CC9DB-3F73-43C2-B604-88BA95A91D57}" type="pres">
      <dgm:prSet presAssocID="{A49F736F-6F7C-4314-B3BD-707AD20E2B6D}" presName="txLine" presStyleCnt="0"/>
      <dgm:spPr/>
    </dgm:pt>
    <dgm:pt modelId="{2F27DA19-23D8-4F86-BBB1-D67D9A1F39ED}" type="pres">
      <dgm:prSet presAssocID="{3CB096A7-41BF-429E-9160-ECEFB3C213F5}" presName="oneDotTx" presStyleCnt="0"/>
      <dgm:spPr/>
    </dgm:pt>
    <dgm:pt modelId="{F61A2EE1-BBCF-4FA7-A70C-8C402A6EAC7F}" type="pres">
      <dgm:prSet presAssocID="{3CB096A7-41BF-429E-9160-ECEFB3C213F5}" presName="dotTx_11" presStyleLbl="solidFgAcc1" presStyleIdx="1" presStyleCnt="2"/>
      <dgm:spPr>
        <a:noFill/>
        <a:ln>
          <a:noFill/>
        </a:ln>
      </dgm:spPr>
    </dgm:pt>
    <dgm:pt modelId="{4ECE5ACB-E3AE-4FFB-8AB2-1A9F7FFDEB48}" type="pres">
      <dgm:prSet presAssocID="{3CB096A7-41BF-429E-9160-ECEFB3C213F5}" presName="Name37" presStyleLbl="revTx" presStyleIdx="0" presStyleCnt="1">
        <dgm:presLayoutVars>
          <dgm:bulletEnabled val="1"/>
        </dgm:presLayoutVars>
      </dgm:prSet>
      <dgm:spPr/>
    </dgm:pt>
  </dgm:ptLst>
  <dgm:cxnLst>
    <dgm:cxn modelId="{0934C60F-7047-4EDA-BE9F-342955EE9194}" type="presOf" srcId="{499431F8-1DEA-40BB-BCB6-0CAE78E9A214}" destId="{1C3863E8-43F8-4DAB-B240-33B368B79CA6}" srcOrd="0" destOrd="0" presId="urn:microsoft.com/office/officeart/2009/3/layout/SpiralPicture"/>
    <dgm:cxn modelId="{E72F8C5F-602D-4C0A-8C8F-82A6AF055FB6}" srcId="{A49F736F-6F7C-4314-B3BD-707AD20E2B6D}" destId="{3CB096A7-41BF-429E-9160-ECEFB3C213F5}" srcOrd="0" destOrd="0" parTransId="{1DD40AC0-9042-4850-A4F4-88713F406F02}" sibTransId="{499431F8-1DEA-40BB-BCB6-0CAE78E9A214}"/>
    <dgm:cxn modelId="{828666BF-1E93-4BD7-9061-77BCE5E03543}" type="presOf" srcId="{3CB096A7-41BF-429E-9160-ECEFB3C213F5}" destId="{4ECE5ACB-E3AE-4FFB-8AB2-1A9F7FFDEB48}" srcOrd="0" destOrd="0" presId="urn:microsoft.com/office/officeart/2009/3/layout/SpiralPicture"/>
    <dgm:cxn modelId="{BAF9D5FA-7F95-49E6-8392-D8FD7F5C616F}" type="presOf" srcId="{A49F736F-6F7C-4314-B3BD-707AD20E2B6D}" destId="{CE9A8327-E18C-4A71-B6FB-545A1BAE3A13}" srcOrd="0" destOrd="0" presId="urn:microsoft.com/office/officeart/2009/3/layout/SpiralPicture"/>
    <dgm:cxn modelId="{3AA2B113-37A1-468D-BE36-59979F138ED5}" type="presParOf" srcId="{CE9A8327-E18C-4A71-B6FB-545A1BAE3A13}" destId="{11451CA3-1E78-4A4F-975A-3CF4307B3867}" srcOrd="0" destOrd="0" presId="urn:microsoft.com/office/officeart/2009/3/layout/SpiralPicture"/>
    <dgm:cxn modelId="{B8501F75-7C99-4020-8DC1-18DB9F24DA4B}" type="presParOf" srcId="{11451CA3-1E78-4A4F-975A-3CF4307B3867}" destId="{537852A7-27CB-4B5D-9C1E-EB6C8F8FC81F}" srcOrd="0" destOrd="0" presId="urn:microsoft.com/office/officeart/2009/3/layout/SpiralPicture"/>
    <dgm:cxn modelId="{C6D27532-B781-409B-87D6-B06D5C456A5B}" type="presParOf" srcId="{11451CA3-1E78-4A4F-975A-3CF4307B3867}" destId="{69DBB622-F0DA-4F90-9010-2A95B57B66B6}" srcOrd="1" destOrd="0" presId="urn:microsoft.com/office/officeart/2009/3/layout/SpiralPicture"/>
    <dgm:cxn modelId="{0B98A139-8E4B-40B3-AF66-9009F745925A}" type="presParOf" srcId="{11451CA3-1E78-4A4F-975A-3CF4307B3867}" destId="{A1C1ABBA-1580-4A1E-919E-A675E837701E}" srcOrd="2" destOrd="0" presId="urn:microsoft.com/office/officeart/2009/3/layout/SpiralPicture"/>
    <dgm:cxn modelId="{B52A63E3-4EA9-457F-A3EE-56425814AFAC}" type="presParOf" srcId="{A1C1ABBA-1580-4A1E-919E-A675E837701E}" destId="{1C3863E8-43F8-4DAB-B240-33B368B79CA6}" srcOrd="0" destOrd="0" presId="urn:microsoft.com/office/officeart/2009/3/layout/SpiralPicture"/>
    <dgm:cxn modelId="{6CF548A1-8301-48D4-959C-72DF6265556B}" type="presParOf" srcId="{11451CA3-1E78-4A4F-975A-3CF4307B3867}" destId="{9B9A6387-F44B-4353-AC0C-0183A28B7046}" srcOrd="3" destOrd="0" presId="urn:microsoft.com/office/officeart/2009/3/layout/SpiralPicture"/>
    <dgm:cxn modelId="{7DC745BB-1CF0-4657-995F-A6B16E4CC84E}" type="presParOf" srcId="{9B9A6387-F44B-4353-AC0C-0183A28B7046}" destId="{F93AB9AD-14A7-4031-9D98-9B1FEE169178}" srcOrd="0" destOrd="0" presId="urn:microsoft.com/office/officeart/2009/3/layout/SpiralPicture"/>
    <dgm:cxn modelId="{9E5CF476-623A-432A-89A5-0D0AF814C3F7}" type="presParOf" srcId="{11451CA3-1E78-4A4F-975A-3CF4307B3867}" destId="{BCAA0F16-B491-460F-B140-57386452646C}" srcOrd="4" destOrd="0" presId="urn:microsoft.com/office/officeart/2009/3/layout/SpiralPicture"/>
    <dgm:cxn modelId="{D38AD033-825D-4E89-8398-3221755B49FC}" type="presParOf" srcId="{11451CA3-1E78-4A4F-975A-3CF4307B3867}" destId="{F7422193-B216-4E5C-92A1-C53A05240931}" srcOrd="5" destOrd="0" presId="urn:microsoft.com/office/officeart/2009/3/layout/SpiralPicture"/>
    <dgm:cxn modelId="{E44D93A4-77CD-4907-B267-7E603D9B3EA8}" type="presParOf" srcId="{11451CA3-1E78-4A4F-975A-3CF4307B3867}" destId="{FC4D0C1B-4926-48A2-A520-717840E642D3}" srcOrd="6" destOrd="0" presId="urn:microsoft.com/office/officeart/2009/3/layout/SpiralPicture"/>
    <dgm:cxn modelId="{0ECC0FD3-D532-4904-96D5-9C9CB9DC6308}" type="presParOf" srcId="{11451CA3-1E78-4A4F-975A-3CF4307B3867}" destId="{29AA57CA-48E5-4BCD-BF7A-9888B0B3828D}" srcOrd="7" destOrd="0" presId="urn:microsoft.com/office/officeart/2009/3/layout/SpiralPicture"/>
    <dgm:cxn modelId="{C23CC82F-3D9F-4E54-A438-858A28970683}" type="presParOf" srcId="{CE9A8327-E18C-4A71-B6FB-545A1BAE3A13}" destId="{E46CC9DB-3F73-43C2-B604-88BA95A91D57}" srcOrd="1" destOrd="0" presId="urn:microsoft.com/office/officeart/2009/3/layout/SpiralPicture"/>
    <dgm:cxn modelId="{CDD1E3AF-940F-4E7D-ABAD-7F031C68D5FA}" type="presParOf" srcId="{E46CC9DB-3F73-43C2-B604-88BA95A91D57}" destId="{2F27DA19-23D8-4F86-BBB1-D67D9A1F39ED}" srcOrd="0" destOrd="0" presId="urn:microsoft.com/office/officeart/2009/3/layout/SpiralPicture"/>
    <dgm:cxn modelId="{1ABD1519-47E0-4726-BB2E-69F12D47503D}" type="presParOf" srcId="{2F27DA19-23D8-4F86-BBB1-D67D9A1F39ED}" destId="{F61A2EE1-BBCF-4FA7-A70C-8C402A6EAC7F}" srcOrd="0" destOrd="0" presId="urn:microsoft.com/office/officeart/2009/3/layout/SpiralPicture"/>
    <dgm:cxn modelId="{12C45DB8-09BB-4BB6-84E1-536B15CFFA5F}" type="presParOf" srcId="{E46CC9DB-3F73-43C2-B604-88BA95A91D57}" destId="{4ECE5ACB-E3AE-4FFB-8AB2-1A9F7FFDEB48}" srcOrd="1" destOrd="0" presId="urn:microsoft.com/office/officeart/2009/3/layout/SpiralPicture"/>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3863E8-43F8-4DAB-B240-33B368B79CA6}">
      <dsp:nvSpPr>
        <dsp:cNvPr id="0" name=""/>
        <dsp:cNvSpPr/>
      </dsp:nvSpPr>
      <dsp:spPr>
        <a:xfrm>
          <a:off x="45308" y="370865"/>
          <a:ext cx="7577866" cy="10762502"/>
        </a:xfrm>
        <a:prstGeom prst="rect">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93AB9AD-14A7-4031-9D98-9B1FEE169178}">
      <dsp:nvSpPr>
        <dsp:cNvPr id="0" name=""/>
        <dsp:cNvSpPr/>
      </dsp:nvSpPr>
      <dsp:spPr>
        <a:xfrm>
          <a:off x="5243128" y="7745452"/>
          <a:ext cx="80508" cy="80508"/>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AA0F16-B491-460F-B140-57386452646C}">
      <dsp:nvSpPr>
        <dsp:cNvPr id="0" name=""/>
        <dsp:cNvSpPr/>
      </dsp:nvSpPr>
      <dsp:spPr>
        <a:xfrm>
          <a:off x="7577452" y="3165242"/>
          <a:ext cx="45722" cy="284518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7422193-B216-4E5C-92A1-C53A05240931}">
      <dsp:nvSpPr>
        <dsp:cNvPr id="0" name=""/>
        <dsp:cNvSpPr/>
      </dsp:nvSpPr>
      <dsp:spPr>
        <a:xfrm>
          <a:off x="6611626" y="6170348"/>
          <a:ext cx="1736121" cy="173612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C4D0C1B-4926-48A2-A520-717840E642D3}">
      <dsp:nvSpPr>
        <dsp:cNvPr id="0" name=""/>
        <dsp:cNvSpPr/>
      </dsp:nvSpPr>
      <dsp:spPr>
        <a:xfrm>
          <a:off x="5502568" y="6895682"/>
          <a:ext cx="1010787" cy="101078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9AA57CA-48E5-4BCD-BF7A-9888B0B3828D}">
      <dsp:nvSpPr>
        <dsp:cNvPr id="0" name=""/>
        <dsp:cNvSpPr/>
      </dsp:nvSpPr>
      <dsp:spPr>
        <a:xfrm>
          <a:off x="5502568" y="6170348"/>
          <a:ext cx="1010787" cy="62238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F61A2EE1-BBCF-4FA7-A70C-8C402A6EAC7F}">
      <dsp:nvSpPr>
        <dsp:cNvPr id="0" name=""/>
        <dsp:cNvSpPr/>
      </dsp:nvSpPr>
      <dsp:spPr>
        <a:xfrm>
          <a:off x="6372666" y="8042328"/>
          <a:ext cx="80508" cy="80508"/>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ECE5ACB-E3AE-4FFB-8AB2-1A9F7FFDEB48}">
      <dsp:nvSpPr>
        <dsp:cNvPr id="0" name=""/>
        <dsp:cNvSpPr/>
      </dsp:nvSpPr>
      <dsp:spPr>
        <a:xfrm>
          <a:off x="6453174" y="7906470"/>
          <a:ext cx="1170000" cy="3522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165100" rIns="462280" bIns="0"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6453174" y="7906470"/>
        <a:ext cx="1170000" cy="352225"/>
      </dsp:txXfrm>
    </dsp:sp>
  </dsp:spTree>
</dsp:drawing>
</file>

<file path=word/diagrams/layout1.xml><?xml version="1.0" encoding="utf-8"?>
<dgm:layoutDef xmlns:dgm="http://schemas.openxmlformats.org/drawingml/2006/diagram" xmlns:a="http://schemas.openxmlformats.org/drawingml/2006/main" uniqueId="urn:microsoft.com/office/officeart/2009/3/layout/SpiralPicture">
  <dgm:title val=""/>
  <dgm:desc val=""/>
  <dgm:catLst>
    <dgm:cat type="picture" pri="4000"/>
    <dgm:cat type="pictureconvert" pri="4000"/>
  </dgm:catLst>
  <dgm:sampData>
    <dgm:dataModel>
      <dgm:ptLst>
        <dgm:pt modelId="0" type="doc"/>
        <dgm:pt modelId="1"/>
        <dgm:pt modelId="2"/>
        <dgm:pt modelId="3"/>
        <dgm:pt modelId="4"/>
        <dgm:pt modelId="5"/>
      </dgm:ptLst>
      <dgm:cxnLst>
        <dgm:cxn modelId="11" srcId="0" destId="1" srcOrd="0" destOrd="0"/>
        <dgm:cxn modelId="12" srcId="0" destId="2" srcOrd="0" destOrd="0"/>
        <dgm:cxn modelId="13" srcId="0" destId="3" srcOrd="0" destOrd="0"/>
        <dgm:cxn modelId="14" srcId="0" destId="4" srcOrd="0" destOrd="0"/>
        <dgm:cxn modelId="15" srcId="0" destId="5" srcOrd="0" destOrd="0"/>
      </dgm:cxnLst>
      <dgm:bg/>
      <dgm:whole/>
    </dgm:dataModel>
  </dgm:sampData>
  <dgm:styleData useDef="1">
    <dgm:dataModel>
      <dgm:ptLst/>
      <dgm:bg/>
      <dgm:whole/>
    </dgm:dataModel>
  </dgm:styleData>
  <dgm:clrData useDef="1">
    <dgm:dataModel>
      <dgm:ptLst/>
      <dgm:bg/>
      <dgm:whole/>
    </dgm:dataModel>
  </dgm:clrData>
  <dgm:layoutNode name="Name0">
    <dgm:varLst>
      <dgm:chMax val="5"/>
      <dgm:dir/>
    </dgm:varLst>
    <dgm:alg type="composite">
      <dgm:param type="ar" val="1.515"/>
    </dgm:alg>
    <dgm:shape xmlns:r="http://schemas.openxmlformats.org/officeDocument/2006/relationships" r:blip="">
      <dgm:adjLst/>
    </dgm:shape>
    <dgm:constrLst>
      <dgm:constr type="w" for="ch" forName="picts" refType="w"/>
      <dgm:constr type="h" for="ch" forName="picts" refType="h" fact="0.93"/>
      <dgm:constr type="b" for="ch" forName="txLine" refType="h"/>
      <dgm:constr type="w" for="ch" forName="txLine" refType="w"/>
      <dgm:constr type="h" for="ch" forName="txLine" refType="h" fact="0.07"/>
      <dgm:constr type="userD" for="des" refType="h" fact="0.016"/>
    </dgm:constrLst>
    <dgm:forEach name="Name1" axis="self" ptType="parTrans">
      <dgm:forEach name="Name2" axis="self" ptType="sibTrans" st="2">
        <dgm:forEach name="imageRepeat" axis="self">
          <dgm:layoutNode name="imageRepeatNode" styleLbl="alignNode1">
            <dgm:alg type="sp"/>
            <dgm:shape xmlns:r="http://schemas.openxmlformats.org/officeDocument/2006/relationships" type="rect" r:blip="" blipPhldr="1">
              <dgm:adjLst/>
            </dgm:shape>
            <dgm:presOf axis="self"/>
          </dgm:layoutNode>
        </dgm:forEach>
      </dgm:forEach>
    </dgm:forEach>
    <dgm:layoutNode name="picts">
      <dgm:alg type="composite"/>
      <dgm:shape xmlns:r="http://schemas.openxmlformats.org/officeDocument/2006/relationships" r:blip="">
        <dgm:adjLst/>
      </dgm:shape>
      <dgm:choose name="Name3">
        <dgm:if name="Name4" func="var" arg="dir" op="equ" val="norm">
          <dgm:constrLst>
            <dgm:constr type="userD"/>
            <dgm:constr type="w" for="ch" forName="space1" refType="h"/>
            <dgm:constr type="h" for="ch" forName="space1" refType="h"/>
            <dgm:constr type="r" for="ch" forName="space2" refType="w"/>
            <dgm:constr type="w" for="ch" forName="space2" refType="h" fact="0.608"/>
            <dgm:constr type="l" for="ch" forName="pictA1"/>
            <dgm:constr type="t" for="ch" forName="pictA1"/>
            <dgm:constr type="w" for="ch" forName="pictA1" refType="h"/>
            <dgm:constr type="h" for="ch" forName="pictA1" refType="h"/>
            <dgm:constr type="l" for="ch" forName="pictB1"/>
            <dgm:constr type="t" for="ch" forName="pictB1"/>
            <dgm:constr type="w" for="ch" forName="pictB1" refType="h"/>
            <dgm:constr type="h" for="ch" forName="pictB1" refType="h"/>
            <dgm:constr type="r" for="ch" forName="oneDotPict" refType="r" refFor="ch" refForName="pictA1"/>
            <dgm:constr type="b" for="ch" forName="oneDotPict" refType="b" refFor="ch" refForName="pictA1"/>
            <dgm:constr type="rOff" for="ch" forName="oneDotPict" refType="userD" fact="-1"/>
            <dgm:constr type="bOff" for="ch" forName="oneDotPict" refType="userD" fact="-1"/>
            <dgm:constr type="w" for="ch" forName="oneDotPict" refType="userD"/>
            <dgm:constr type="h" for="ch" forName="oneDotPict" refType="userD"/>
            <dgm:constr type="r" for="ch" forName="pictA2" refType="w"/>
            <dgm:constr type="t" for="ch" forName="pictA2"/>
            <dgm:constr type="w" for="ch" forName="pictA2" refType="h" fact="0.608"/>
            <dgm:constr type="h" for="ch" forName="pictA2" refType="h" fact="0.608"/>
            <dgm:constr type="r" for="ch" forName="pictB2" refType="w"/>
            <dgm:constr type="t" for="ch" forName="pictB2"/>
            <dgm:constr type="w" for="ch" forName="pictB2" refType="h" fact="0.608"/>
            <dgm:constr type="h" for="ch" forName="pictB2" refType="h" fact="0.608"/>
            <dgm:constr type="r" for="ch" forName="twoDotsPict" refType="r" refFor="ch" refForName="pictA2"/>
            <dgm:constr type="b" for="ch" forName="twoDotsPict" refType="b" refFor="ch" refForName="pictA2"/>
            <dgm:constr type="rOff" for="ch" forName="twoDotsPict" refType="userD" fact="-1"/>
            <dgm:constr type="bOff" for="ch" forName="twoDotsPict" refType="userD" fact="-1"/>
            <dgm:constr type="w" for="ch" forName="twoDotsPict" refType="userD" fact="2.5"/>
            <dgm:constr type="h" for="ch" forName="twoDotsPict" refType="userD"/>
            <dgm:constr type="r" for="ch" forName="pictA3" refType="w"/>
            <dgm:constr type="b" for="ch" forName="pictA3" refType="h"/>
            <dgm:constr type="w" for="ch" forName="pictA3" refType="h" fact="0.371"/>
            <dgm:constr type="h" for="ch" forName="pictA3" refType="h" fact="0.371"/>
            <dgm:constr type="r" for="ch" forName="pictB3" refType="w"/>
            <dgm:constr type="b" for="ch" forName="pictB3" refType="h"/>
            <dgm:constr type="w" for="ch" forName="pictB3" refType="h" fact="0.371"/>
            <dgm:constr type="h" for="ch" forName="pictB3" refType="h" fact="0.371"/>
            <dgm:constr type="r" for="ch" forName="threeDotsPict" refType="r" refFor="ch" refForName="pictA3"/>
            <dgm:constr type="b" for="ch" forName="threeDotsPict" refType="b" refFor="ch" refForName="pictA3"/>
            <dgm:constr type="rOff" for="ch" forName="threeDotsPict" refType="userD" fact="-1"/>
            <dgm:constr type="bOff" for="ch" forName="threeDotsPict" refType="userD" fact="-1"/>
            <dgm:constr type="w" for="ch" forName="threeDotsPict" refType="userD" fact="3.25"/>
            <dgm:constr type="h" for="ch" forName="threeDotsPict" refType="userD" fact="3.25"/>
            <dgm:constr type="l" for="ch" forName="pictA4" refType="l" refFor="ch" refForName="space2"/>
            <dgm:constr type="b" for="ch" forName="pictA4" refType="h"/>
            <dgm:constr type="w" for="ch" forName="pictA4" refType="h" fact="0.216"/>
            <dgm:constr type="h" for="ch" forName="pictA4" refType="h" fact="0.216"/>
            <dgm:constr type="l" for="ch" forName="pictB4" refType="l" refFor="ch" refForName="space2"/>
            <dgm:constr type="b" for="ch" forName="pictB4" refType="h"/>
            <dgm:constr type="w" for="ch" forName="pictB4" refType="h" fact="0.216"/>
            <dgm:constr type="h" for="ch" forName="pictB4" refType="h" fact="0.216"/>
            <dgm:constr type="r" for="ch" forName="fourDotsPict" refType="r" refFor="ch" refForName="pictA4"/>
            <dgm:constr type="b" for="ch" forName="fourDotsPict" refType="b" refFor="ch" refForName="pictA4"/>
            <dgm:constr type="rOff" for="ch" forName="fourDotsPict" refType="userD" fact="-1"/>
            <dgm:constr type="bOff" for="ch" forName="fourDotsPict" refType="userD" fact="-1"/>
            <dgm:constr type="w" for="ch" forName="fourDotsPict" refType="userD" fact="2.5"/>
            <dgm:constr type="h" for="ch" forName="fourDotsPict" refType="userD" fact="2.5"/>
            <dgm:constr type="l" for="ch" forName="pictA5" refType="l" refFor="ch" refForName="space2"/>
            <dgm:constr type="t" for="ch" forName="pictA5" refType="h" fact="0.629"/>
            <dgm:constr type="w" for="ch" forName="pictA5" refType="h" fact="0.216"/>
            <dgm:constr type="h" for="ch" forName="pictA5" refType="h" fact="0.133"/>
            <dgm:constr type="l" for="ch" forName="pictB5" refType="l" refFor="ch" refForName="space2"/>
            <dgm:constr type="t" for="ch" forName="pictB5" refType="h" fact="0.629"/>
            <dgm:constr type="w" for="ch" forName="pictB5" refType="h" fact="0.216"/>
            <dgm:constr type="h" for="ch" forName="pictB5" refType="h" fact="0.133"/>
            <dgm:constr type="r" for="ch" forName="fiveDotsPict" refType="r" refFor="ch" refForName="pictA5"/>
            <dgm:constr type="b" for="ch" forName="fiveDotsPict" refType="b" refFor="ch" refForName="pictA5"/>
            <dgm:constr type="rOff" for="ch" forName="fiveDotsPict" refType="userD" fact="-1"/>
            <dgm:constr type="bOff" for="ch" forName="fiveDotsPict" refType="userD" fact="-1"/>
            <dgm:constr type="w" for="ch" forName="fiveDotsPict" refType="userD" fact="3.25"/>
            <dgm:constr type="h" for="ch" forName="fiveDotsPict" refType="userD" fact="3.25"/>
          </dgm:constrLst>
        </dgm:if>
        <dgm:else name="Name5">
          <dgm:constrLst>
            <dgm:constr type="userD"/>
            <dgm:constr type="w" for="ch" forName="space1" refType="h"/>
            <dgm:constr type="h" for="ch" forName="space1" refType="h"/>
            <dgm:constr type="l" for="ch" forName="space2"/>
            <dgm:constr type="w" for="ch" forName="space2" refType="h" fact="0.608"/>
            <dgm:constr type="r" for="ch" forName="pictA1" refType="w"/>
            <dgm:constr type="t" for="ch" forName="pictA1"/>
            <dgm:constr type="w" for="ch" forName="pictA1" refType="h"/>
            <dgm:constr type="h" for="ch" forName="pictA1" refType="h"/>
            <dgm:constr type="r" for="ch" forName="pictB1" refType="w"/>
            <dgm:constr type="t" for="ch" forName="pictB1"/>
            <dgm:constr type="w" for="ch" forName="pictB1" refType="h"/>
            <dgm:constr type="h" for="ch" forName="pictB1" refType="h"/>
            <dgm:constr type="r" for="ch" forName="oneDotPict" refType="r" refFor="ch" refForName="pictA1"/>
            <dgm:constr type="b" for="ch" forName="oneDotPict" refType="b" refFor="ch" refForName="pictA1"/>
            <dgm:constr type="rOff" for="ch" forName="oneDotPict" refType="userD" fact="-1"/>
            <dgm:constr type="bOff" for="ch" forName="oneDotPict" refType="userD" fact="-1"/>
            <dgm:constr type="w" for="ch" forName="oneDotPict" refType="userD"/>
            <dgm:constr type="h" for="ch" forName="oneDotPict" refType="userD"/>
            <dgm:constr type="l" for="ch" forName="pictA2"/>
            <dgm:constr type="t" for="ch" forName="pictA2"/>
            <dgm:constr type="w" for="ch" forName="pictA2" refType="h" fact="0.608"/>
            <dgm:constr type="h" for="ch" forName="pictA2" refType="h" fact="0.608"/>
            <dgm:constr type="l" for="ch" forName="pictB2"/>
            <dgm:constr type="t" for="ch" forName="pictB2"/>
            <dgm:constr type="w" for="ch" forName="pictB2" refType="h" fact="0.608"/>
            <dgm:constr type="h" for="ch" forName="pictB2" refType="h" fact="0.608"/>
            <dgm:constr type="r" for="ch" forName="twoDotsPict" refType="r" refFor="ch" refForName="pictA2"/>
            <dgm:constr type="b" for="ch" forName="twoDotsPict" refType="b" refFor="ch" refForName="pictA2"/>
            <dgm:constr type="rOff" for="ch" forName="twoDotsPict" refType="userD" fact="-1"/>
            <dgm:constr type="bOff" for="ch" forName="twoDotsPict" refType="userD" fact="-1"/>
            <dgm:constr type="w" for="ch" forName="twoDotsPict" refType="userD" fact="2.5"/>
            <dgm:constr type="h" for="ch" forName="twoDotsPict" refType="userD"/>
            <dgm:constr type="l" for="ch" forName="pictA3"/>
            <dgm:constr type="b" for="ch" forName="pictA3" refType="h"/>
            <dgm:constr type="w" for="ch" forName="pictA3" refType="h" fact="0.371"/>
            <dgm:constr type="h" for="ch" forName="pictA3" refType="h" fact="0.371"/>
            <dgm:constr type="l" for="ch" forName="pictB3"/>
            <dgm:constr type="b" for="ch" forName="pictB3" refType="h"/>
            <dgm:constr type="w" for="ch" forName="pictB3" refType="h" fact="0.371"/>
            <dgm:constr type="h" for="ch" forName="pictB3" refType="h" fact="0.371"/>
            <dgm:constr type="r" for="ch" forName="threeDotsPict" refType="r" refFor="ch" refForName="pictA3"/>
            <dgm:constr type="b" for="ch" forName="threeDotsPict" refType="b" refFor="ch" refForName="pictA3"/>
            <dgm:constr type="rOff" for="ch" forName="threeDotsPict" refType="userD" fact="-1"/>
            <dgm:constr type="bOff" for="ch" forName="threeDotsPict" refType="userD" fact="-1"/>
            <dgm:constr type="w" for="ch" forName="threeDotsPict" refType="userD" fact="3.25"/>
            <dgm:constr type="h" for="ch" forName="threeDotsPict" refType="userD" fact="3.25"/>
            <dgm:constr type="r" for="ch" forName="pictA4" refType="r" refFor="ch" refForName="space2"/>
            <dgm:constr type="b" for="ch" forName="pictA4" refType="h"/>
            <dgm:constr type="w" for="ch" forName="pictA4" refType="h" fact="0.216"/>
            <dgm:constr type="h" for="ch" forName="pictA4" refType="h" fact="0.216"/>
            <dgm:constr type="r" for="ch" forName="pictB4" refType="r" refFor="ch" refForName="space2"/>
            <dgm:constr type="b" for="ch" forName="pictB4" refType="h"/>
            <dgm:constr type="w" for="ch" forName="pictB4" refType="h" fact="0.216"/>
            <dgm:constr type="h" for="ch" forName="pictB4" refType="h" fact="0.216"/>
            <dgm:constr type="r" for="ch" forName="fourDotsPict" refType="r" refFor="ch" refForName="pictA4"/>
            <dgm:constr type="b" for="ch" forName="fourDotsPict" refType="b" refFor="ch" refForName="pictA4"/>
            <dgm:constr type="rOff" for="ch" forName="fourDotsPict" refType="userD" fact="-1"/>
            <dgm:constr type="bOff" for="ch" forName="fourDotsPict" refType="userD" fact="-1"/>
            <dgm:constr type="w" for="ch" forName="fourDotsPict" refType="userD" fact="2.5"/>
            <dgm:constr type="h" for="ch" forName="fourDotsPict" refType="userD" fact="2.5"/>
            <dgm:constr type="r" for="ch" forName="pictA5" refType="r" refFor="ch" refForName="space2"/>
            <dgm:constr type="t" for="ch" forName="pictA5" refType="h" fact="0.629"/>
            <dgm:constr type="w" for="ch" forName="pictA5" refType="h" fact="0.216"/>
            <dgm:constr type="h" for="ch" forName="pictA5" refType="h" fact="0.133"/>
            <dgm:constr type="r" for="ch" forName="pictB5" refType="r" refFor="ch" refForName="space2"/>
            <dgm:constr type="t" for="ch" forName="pictB5" refType="h" fact="0.629"/>
            <dgm:constr type="w" for="ch" forName="pictB5" refType="h" fact="0.216"/>
            <dgm:constr type="h" for="ch" forName="pictB5" refType="h" fact="0.133"/>
            <dgm:constr type="r" for="ch" forName="fiveDotsPict" refType="r" refFor="ch" refForName="pictA5"/>
            <dgm:constr type="b" for="ch" forName="fiveDotsPict" refType="b" refFor="ch" refForName="pictA5"/>
            <dgm:constr type="rOff" for="ch" forName="fiveDotsPict" refType="userD" fact="-1"/>
            <dgm:constr type="bOff" for="ch" forName="fiveDotsPict" refType="userD" fact="-1"/>
            <dgm:constr type="w" for="ch" forName="fiveDotsPict" refType="userD" fact="3.25"/>
            <dgm:constr type="h" for="ch" forName="fiveDotsPict" refType="userD" fact="3.25"/>
          </dgm:constrLst>
        </dgm:else>
      </dgm:choose>
      <dgm:layoutNode name="space1">
        <dgm:alg type="sp"/>
        <dgm:shape xmlns:r="http://schemas.openxmlformats.org/officeDocument/2006/relationships" r:blip="">
          <dgm:adjLst/>
        </dgm:shape>
      </dgm:layoutNode>
      <dgm:layoutNode name="space2">
        <dgm:alg type="sp"/>
        <dgm:shape xmlns:r="http://schemas.openxmlformats.org/officeDocument/2006/relationships" r:blip="">
          <dgm:adjLst/>
        </dgm:shape>
      </dgm:layoutNode>
      <dgm:choose name="Name6">
        <dgm:if name="Name7" axis="ch" ptType="node" func="cnt" op="gte" val="1">
          <dgm:forEach name="Name8" axis="ch" ptType="sibTrans" hideLastTrans="0" cnt="1">
            <dgm:layoutNode name="pictA1">
              <dgm:alg type="sp"/>
              <dgm:shape xmlns:r="http://schemas.openxmlformats.org/officeDocument/2006/relationships" r:blip="">
                <dgm:adjLst/>
              </dgm:shape>
              <dgm:presOf/>
              <dgm:forEach name="Name9" ref="imageRepeat"/>
            </dgm:layoutNode>
            <dgm:layoutNode name="oneDotPict">
              <dgm:alg type="composite"/>
              <dgm:shape xmlns:r="http://schemas.openxmlformats.org/officeDocument/2006/relationships" r:blip="">
                <dgm:adjLst/>
              </dgm:shape>
              <dgm:presOf/>
              <dgm:constrLst>
                <dgm:constr type="userD"/>
                <dgm:constr type="w" for="ch" forName="dotPict_11" refType="userD"/>
                <dgm:constr type="h" for="ch" forName="dotPict_11" refType="userD"/>
              </dgm:constrLst>
              <dgm:layoutNode name="dotPict_11" styleLbl="solidFgAcc1">
                <dgm:alg type="sp"/>
                <dgm:shape xmlns:r="http://schemas.openxmlformats.org/officeDocument/2006/relationships" type="ellipse" r:blip="">
                  <dgm:adjLst/>
                </dgm:shape>
                <dgm:presOf/>
              </dgm:layoutNode>
            </dgm:layoutNode>
          </dgm:forEach>
        </dgm:if>
        <dgm:else name="Name10">
          <dgm:layoutNode name="pictB1" styleLbl="alignNode1">
            <dgm:alg type="sp"/>
            <dgm:shape xmlns:r="http://schemas.openxmlformats.org/officeDocument/2006/relationships" type="rect" r:blip="">
              <dgm:adjLst/>
            </dgm:shape>
            <dgm:presOf/>
          </dgm:layoutNode>
        </dgm:else>
      </dgm:choose>
      <dgm:choose name="Name11">
        <dgm:if name="Name12" axis="ch" ptType="node" func="cnt" op="gte" val="2">
          <dgm:forEach name="Name13" axis="ch" ptType="sibTrans" hideLastTrans="0" st="2" cnt="1">
            <dgm:layoutNode name="pictA2">
              <dgm:alg type="sp"/>
              <dgm:shape xmlns:r="http://schemas.openxmlformats.org/officeDocument/2006/relationships" r:blip="">
                <dgm:adjLst/>
              </dgm:shape>
              <dgm:presOf/>
              <dgm:forEach name="Name14" ref="imageRepeat"/>
            </dgm:layoutNode>
            <dgm:layoutNode name="twoDotsPict">
              <dgm:alg type="composite"/>
              <dgm:shape xmlns:r="http://schemas.openxmlformats.org/officeDocument/2006/relationships" r:blip="">
                <dgm:adjLst/>
              </dgm:shape>
              <dgm:presOf/>
              <dgm:constrLst>
                <dgm:constr type="userD"/>
                <dgm:constr type="w" for="ch" forName="dotPict_21" refType="userD"/>
                <dgm:constr type="h" for="ch" forName="dotPict_21" refType="userD"/>
                <dgm:constr type="l" for="ch" forName="dotPict_22" refType="userD" fact="1.5"/>
                <dgm:constr type="w" for="ch" forName="dotPict_22" refType="userD"/>
                <dgm:constr type="h" for="ch" forName="dotPict_22" refType="userD"/>
              </dgm:constrLst>
              <dgm:layoutNode name="dotPict_21" styleLbl="solidFgAcc1">
                <dgm:alg type="sp"/>
                <dgm:shape xmlns:r="http://schemas.openxmlformats.org/officeDocument/2006/relationships" type="ellipse" r:blip="">
                  <dgm:adjLst/>
                </dgm:shape>
                <dgm:presOf/>
              </dgm:layoutNode>
              <dgm:layoutNode name="dotPict_22" styleLbl="solidFgAcc1">
                <dgm:alg type="sp"/>
                <dgm:shape xmlns:r="http://schemas.openxmlformats.org/officeDocument/2006/relationships" type="ellipse" r:blip="">
                  <dgm:adjLst/>
                </dgm:shape>
                <dgm:presOf/>
              </dgm:layoutNode>
            </dgm:layoutNode>
          </dgm:forEach>
        </dgm:if>
        <dgm:else name="Name15">
          <dgm:layoutNode name="pictB2" styleLbl="alignNode1">
            <dgm:alg type="sp"/>
            <dgm:shape xmlns:r="http://schemas.openxmlformats.org/officeDocument/2006/relationships" type="rect" r:blip="">
              <dgm:adjLst/>
            </dgm:shape>
            <dgm:presOf/>
          </dgm:layoutNode>
        </dgm:else>
      </dgm:choose>
      <dgm:choose name="Name16">
        <dgm:if name="Name17" axis="ch" ptType="node" func="cnt" op="gte" val="3">
          <dgm:forEach name="Name18" axis="ch" ptType="sibTrans" hideLastTrans="0" st="3" cnt="1">
            <dgm:layoutNode name="pictA3">
              <dgm:alg type="sp"/>
              <dgm:shape xmlns:r="http://schemas.openxmlformats.org/officeDocument/2006/relationships" r:blip="">
                <dgm:adjLst/>
              </dgm:shape>
              <dgm:presOf/>
              <dgm:forEach name="Name19" ref="imageRepeat"/>
            </dgm:layoutNode>
            <dgm:layoutNode name="threeDotsPict">
              <dgm:alg type="composite"/>
              <dgm:shape xmlns:r="http://schemas.openxmlformats.org/officeDocument/2006/relationships" r:blip="">
                <dgm:adjLst/>
              </dgm:shape>
              <dgm:presOf/>
              <dgm:constrLst>
                <dgm:constr type="userD"/>
                <dgm:constr type="l" for="ch" forName="dotPict_31"/>
                <dgm:constr type="t" for="ch" forName="dotPict_31" refType="userD" fact="2.25"/>
                <dgm:constr type="w" for="ch" forName="dotPict_31" refType="userD"/>
                <dgm:constr type="h" for="ch" forName="dotPict_31" refType="userD"/>
                <dgm:constr type="l" for="ch" forName="dotPict_32" refType="userD" fact="1.125"/>
                <dgm:constr type="t" for="ch" forName="dotPict_32" refType="userD" fact="1.125"/>
                <dgm:constr type="w" for="ch" forName="dotPict_32" refType="userD"/>
                <dgm:constr type="h" for="ch" forName="dotPict_32" refType="userD"/>
                <dgm:constr type="l" for="ch" forName="dotPict_33" refType="userD" fact="2.25"/>
                <dgm:constr type="t" for="ch" forName="dotPict_33"/>
                <dgm:constr type="w" for="ch" forName="dotPict_33" refType="userD"/>
                <dgm:constr type="h" for="ch" forName="dotPict_33" refType="userD"/>
              </dgm:constrLst>
              <dgm:layoutNode name="dotPict_31" styleLbl="solidFgAcc1">
                <dgm:alg type="sp"/>
                <dgm:shape xmlns:r="http://schemas.openxmlformats.org/officeDocument/2006/relationships" type="ellipse" r:blip="">
                  <dgm:adjLst/>
                </dgm:shape>
                <dgm:presOf/>
              </dgm:layoutNode>
              <dgm:layoutNode name="dotPict_32" styleLbl="solidFgAcc1">
                <dgm:alg type="sp"/>
                <dgm:shape xmlns:r="http://schemas.openxmlformats.org/officeDocument/2006/relationships" type="ellipse" r:blip="">
                  <dgm:adjLst/>
                </dgm:shape>
                <dgm:presOf/>
              </dgm:layoutNode>
              <dgm:layoutNode name="dotPict_33" styleLbl="solidFgAcc1">
                <dgm:alg type="sp"/>
                <dgm:shape xmlns:r="http://schemas.openxmlformats.org/officeDocument/2006/relationships" type="ellipse" r:blip="">
                  <dgm:adjLst/>
                </dgm:shape>
                <dgm:presOf/>
              </dgm:layoutNode>
            </dgm:layoutNode>
          </dgm:forEach>
        </dgm:if>
        <dgm:else name="Name20">
          <dgm:layoutNode name="pictB3" styleLbl="alignNode1">
            <dgm:alg type="sp"/>
            <dgm:shape xmlns:r="http://schemas.openxmlformats.org/officeDocument/2006/relationships" type="rect" r:blip="">
              <dgm:adjLst/>
            </dgm:shape>
            <dgm:presOf/>
          </dgm:layoutNode>
        </dgm:else>
      </dgm:choose>
      <dgm:choose name="Name21">
        <dgm:if name="Name22" axis="ch" ptType="node" func="cnt" op="gte" val="4">
          <dgm:forEach name="Name23" axis="ch" ptType="sibTrans" hideLastTrans="0" st="4" cnt="1">
            <dgm:layoutNode name="pictA4">
              <dgm:alg type="sp"/>
              <dgm:shape xmlns:r="http://schemas.openxmlformats.org/officeDocument/2006/relationships" r:blip="">
                <dgm:adjLst/>
              </dgm:shape>
              <dgm:presOf/>
              <dgm:forEach name="Name24" ref="imageRepeat"/>
            </dgm:layoutNode>
            <dgm:layoutNode name="fourDotsPict">
              <dgm:alg type="composite"/>
              <dgm:shape xmlns:r="http://schemas.openxmlformats.org/officeDocument/2006/relationships" r:blip="">
                <dgm:adjLst/>
              </dgm:shape>
              <dgm:presOf/>
              <dgm:constrLst>
                <dgm:constr type="userD"/>
                <dgm:constr type="w" for="ch" forName="dotPict_41" refType="userD"/>
                <dgm:constr type="h" for="ch" forName="dotPict_41" refType="userD"/>
                <dgm:constr type="l" for="ch" forName="dotPict_42" refType="userD" fact="1.5"/>
                <dgm:constr type="w" for="ch" forName="dotPict_42" refType="userD"/>
                <dgm:constr type="h" for="ch" forName="dotPict_42" refType="userD"/>
                <dgm:constr type="t" for="ch" forName="dotPict_43" refType="userD" fact="1.5"/>
                <dgm:constr type="w" for="ch" forName="dotPict_43" refType="userD"/>
                <dgm:constr type="h" for="ch" forName="dotPict_43" refType="userD"/>
                <dgm:constr type="l" for="ch" forName="dotPict_44" refType="userD" fact="1.5"/>
                <dgm:constr type="t" for="ch" forName="dotPict_44" refType="userD" fact="1.5"/>
                <dgm:constr type="w" for="ch" forName="dotPict_44" refType="userD"/>
                <dgm:constr type="h" for="ch" forName="dotPict_44" refType="userD"/>
              </dgm:constrLst>
              <dgm:layoutNode name="dotPict_41" styleLbl="solidFgAcc1">
                <dgm:alg type="sp"/>
                <dgm:shape xmlns:r="http://schemas.openxmlformats.org/officeDocument/2006/relationships" type="ellipse" r:blip="">
                  <dgm:adjLst/>
                </dgm:shape>
                <dgm:presOf/>
              </dgm:layoutNode>
              <dgm:layoutNode name="dotPict_42" styleLbl="solidFgAcc1">
                <dgm:alg type="sp"/>
                <dgm:shape xmlns:r="http://schemas.openxmlformats.org/officeDocument/2006/relationships" type="ellipse" r:blip="">
                  <dgm:adjLst/>
                </dgm:shape>
                <dgm:presOf/>
              </dgm:layoutNode>
              <dgm:layoutNode name="dotPict_43" styleLbl="solidFgAcc1">
                <dgm:alg type="sp"/>
                <dgm:shape xmlns:r="http://schemas.openxmlformats.org/officeDocument/2006/relationships" type="ellipse" r:blip="">
                  <dgm:adjLst/>
                </dgm:shape>
                <dgm:presOf/>
              </dgm:layoutNode>
              <dgm:layoutNode name="dotPict_44" styleLbl="solidFgAcc1">
                <dgm:alg type="sp"/>
                <dgm:shape xmlns:r="http://schemas.openxmlformats.org/officeDocument/2006/relationships" type="ellipse" r:blip="">
                  <dgm:adjLst/>
                </dgm:shape>
                <dgm:presOf/>
              </dgm:layoutNode>
            </dgm:layoutNode>
          </dgm:forEach>
        </dgm:if>
        <dgm:else name="Name25">
          <dgm:layoutNode name="pictB4" styleLbl="alignNode1">
            <dgm:alg type="sp"/>
            <dgm:shape xmlns:r="http://schemas.openxmlformats.org/officeDocument/2006/relationships" type="rect" r:blip="">
              <dgm:adjLst/>
            </dgm:shape>
            <dgm:presOf/>
          </dgm:layoutNode>
        </dgm:else>
      </dgm:choose>
      <dgm:choose name="Name26">
        <dgm:if name="Name27" axis="ch" ptType="node" func="cnt" op="gte" val="5">
          <dgm:forEach name="Name28" axis="ch" ptType="sibTrans" hideLastTrans="0" st="5" cnt="1">
            <dgm:layoutNode name="pictA5">
              <dgm:alg type="sp"/>
              <dgm:shape xmlns:r="http://schemas.openxmlformats.org/officeDocument/2006/relationships" r:blip="">
                <dgm:adjLst/>
              </dgm:shape>
              <dgm:presOf/>
              <dgm:forEach name="Name29" ref="imageRepeat"/>
            </dgm:layoutNode>
            <dgm:layoutNode name="fiveDotsPict">
              <dgm:alg type="composite"/>
              <dgm:shape xmlns:r="http://schemas.openxmlformats.org/officeDocument/2006/relationships" r:blip="">
                <dgm:adjLst/>
              </dgm:shape>
              <dgm:presOf/>
              <dgm:constrLst>
                <dgm:constr type="userD"/>
                <dgm:constr type="l" for="ch" forName="dotPict_51"/>
                <dgm:constr type="t" for="ch" forName="dotPict_51" refType="userD" fact="2.25"/>
                <dgm:constr type="w" for="ch" forName="dotPict_51" refType="userD"/>
                <dgm:constr type="h" for="ch" forName="dotPict_51" refType="userD"/>
                <dgm:constr type="l" for="ch" forName="dotPict_52" refType="userD" fact="1.125"/>
                <dgm:constr type="t" for="ch" forName="dotPict_52" refType="userD" fact="1.125"/>
                <dgm:constr type="w" for="ch" forName="dotPict_52" refType="userD"/>
                <dgm:constr type="h" for="ch" forName="dotPict_52" refType="userD"/>
                <dgm:constr type="l" for="ch" forName="dotPict_53" refType="userD" fact="2.25"/>
                <dgm:constr type="t" for="ch" forName="dotPict_53"/>
                <dgm:constr type="w" for="ch" forName="dotPict_53" refType="userD"/>
                <dgm:constr type="h" for="ch" forName="dotPict_53" refType="userD"/>
                <dgm:constr type="l" for="ch" forName="dotPict_54"/>
                <dgm:constr type="t" for="ch" forName="dotPict_54"/>
                <dgm:constr type="w" for="ch" forName="dotPict_54" refType="userD"/>
                <dgm:constr type="h" for="ch" forName="dotPict_54" refType="userD"/>
                <dgm:constr type="l" for="ch" forName="dotPict_55" refType="userD" fact="2.25"/>
                <dgm:constr type="t" for="ch" forName="dotPict_55" refType="userD" fact="2.25"/>
                <dgm:constr type="w" for="ch" forName="dotPict_55" refType="userD"/>
                <dgm:constr type="h" for="ch" forName="dotPict_55" refType="userD"/>
              </dgm:constrLst>
              <dgm:layoutNode name="dotPict_51" styleLbl="solidFgAcc1">
                <dgm:alg type="sp"/>
                <dgm:shape xmlns:r="http://schemas.openxmlformats.org/officeDocument/2006/relationships" type="ellipse" r:blip="">
                  <dgm:adjLst/>
                </dgm:shape>
                <dgm:presOf/>
              </dgm:layoutNode>
              <dgm:layoutNode name="dotPict_52" styleLbl="solidFgAcc1">
                <dgm:alg type="sp"/>
                <dgm:shape xmlns:r="http://schemas.openxmlformats.org/officeDocument/2006/relationships" type="ellipse" r:blip="">
                  <dgm:adjLst/>
                </dgm:shape>
                <dgm:presOf/>
              </dgm:layoutNode>
              <dgm:layoutNode name="dotPict_53" styleLbl="solidFgAcc1">
                <dgm:alg type="sp"/>
                <dgm:shape xmlns:r="http://schemas.openxmlformats.org/officeDocument/2006/relationships" type="ellipse" r:blip="">
                  <dgm:adjLst/>
                </dgm:shape>
                <dgm:presOf/>
              </dgm:layoutNode>
              <dgm:layoutNode name="dotPict_54" styleLbl="solidFgAcc1">
                <dgm:alg type="sp"/>
                <dgm:shape xmlns:r="http://schemas.openxmlformats.org/officeDocument/2006/relationships" type="ellipse" r:blip="">
                  <dgm:adjLst/>
                </dgm:shape>
                <dgm:presOf/>
              </dgm:layoutNode>
              <dgm:layoutNode name="dotPict_55" styleLbl="solidFgAcc1">
                <dgm:alg type="sp"/>
                <dgm:shape xmlns:r="http://schemas.openxmlformats.org/officeDocument/2006/relationships" type="ellipse" r:blip="">
                  <dgm:adjLst/>
                </dgm:shape>
                <dgm:presOf/>
              </dgm:layoutNode>
            </dgm:layoutNode>
          </dgm:forEach>
        </dgm:if>
        <dgm:else name="Name30">
          <dgm:layoutNode name="pictB5" styleLbl="alignNode1">
            <dgm:alg type="sp"/>
            <dgm:shape xmlns:r="http://schemas.openxmlformats.org/officeDocument/2006/relationships" type="rect" r:blip="">
              <dgm:adjLst/>
            </dgm:shape>
            <dgm:presOf/>
          </dgm:layoutNode>
        </dgm:else>
      </dgm:choose>
    </dgm:layoutNode>
    <dgm:layoutNode name="txLine">
      <dgm:choose name="Name31">
        <dgm:if name="Name32" func="var" arg="dir" op="equ" val="norm">
          <dgm:alg type="lin">
            <dgm:param type="horzAlign" val="r"/>
          </dgm:alg>
        </dgm:if>
        <dgm:else name="Name33">
          <dgm:alg type="lin">
            <dgm:param type="horzAlign" val="l"/>
            <dgm:param type="linDir" val="fromR"/>
          </dgm:alg>
        </dgm:else>
      </dgm:choose>
      <dgm:constrLst>
        <dgm:constr type="primFontSz" for="ch" ptType="node" op="equ" val="65"/>
        <dgm:constr type="w" for="ch" ptType="node" refType="primFontSz" refFor="ch" refPtType="node" fact="0.5"/>
        <dgm:constr type="h" for="ch" ptType="node" refType="h"/>
      </dgm:constrLst>
      <dgm:ruleLst>
        <dgm:rule type="primFontSz" for="ch" ptType="node" val="5" fact="NaN" max="NaN"/>
      </dgm:ruleLst>
      <dgm:forEach name="Name34" axis="ch" ptType="node">
        <dgm:choose name="Name35">
          <dgm:if name="Name36" axis="self" ptType="node" func="pos" op="equ" val="1">
            <dgm:layoutNode name="oneDotTx">
              <dgm:alg type="composite"/>
              <dgm:shape xmlns:r="http://schemas.openxmlformats.org/officeDocument/2006/relationships" r:blip="">
                <dgm:adjLst/>
              </dgm:shape>
              <dgm:presOf/>
              <dgm:constrLst>
                <dgm:constr type="userD"/>
                <dgm:constr type="w" for="ch" forName="dotTx_11" refType="userD"/>
                <dgm:constr type="h" for="ch" forName="dotTx_11" refType="userD"/>
              </dgm:constrLst>
              <dgm:layoutNode name="dotTx_11" styleLbl="solidFgAcc1">
                <dgm:alg type="sp"/>
                <dgm:shape xmlns:r="http://schemas.openxmlformats.org/officeDocument/2006/relationships" type="ellipse" r:blip="">
                  <dgm:adjLst/>
                </dgm:shape>
                <dgm:presOf/>
              </dgm:layoutNode>
            </dgm:layoutNode>
            <dgm:layoutNode name="Name37" styleLbl="revTx">
              <dgm:varLst>
                <dgm:bulletEnabled val="1"/>
              </dgm:varLst>
              <dgm:alg type="tx"/>
              <dgm:shape xmlns:r="http://schemas.openxmlformats.org/officeDocument/2006/relationships" type="rect" r:blip="">
                <dgm:adjLst/>
              </dgm:shape>
              <dgm:presOf axis="desOrSelf" ptType="node"/>
              <dgm:constrLst>
                <dgm:constr type="tMarg" refType="primFontSz" fact="0.2"/>
                <dgm:constr type="bMarg"/>
              </dgm:constrLst>
              <dgm:ruleLst>
                <dgm:rule type="w" val="INF" fact="NaN" max="NaN"/>
              </dgm:ruleLst>
            </dgm:layoutNode>
          </dgm:if>
          <dgm:if name="Name38" axis="self" ptType="node" func="pos" op="equ" val="2">
            <dgm:layoutNode name="twoDotsTx">
              <dgm:alg type="composite"/>
              <dgm:shape xmlns:r="http://schemas.openxmlformats.org/officeDocument/2006/relationships" r:blip="">
                <dgm:adjLst/>
              </dgm:shape>
              <dgm:presOf/>
              <dgm:constrLst>
                <dgm:constr type="userD"/>
                <dgm:constr type="w" for="ch" forName="dotTx_21" refType="userD"/>
                <dgm:constr type="h" for="ch" forName="dotTx_21" refType="userD"/>
                <dgm:constr type="l" for="ch" forName="dotTx_22" refType="userD" fact="1.5"/>
                <dgm:constr type="w" for="ch" forName="dotTx_22" refType="userD"/>
                <dgm:constr type="h" for="ch" forName="dotTx_22" refType="userD"/>
              </dgm:constrLst>
              <dgm:layoutNode name="dotTx_21" styleLbl="solidFgAcc1">
                <dgm:alg type="sp"/>
                <dgm:shape xmlns:r="http://schemas.openxmlformats.org/officeDocument/2006/relationships" type="ellipse" r:blip="">
                  <dgm:adjLst/>
                </dgm:shape>
                <dgm:presOf/>
              </dgm:layoutNode>
              <dgm:layoutNode name="dotTx_22" styleLbl="solidFgAcc1">
                <dgm:alg type="sp"/>
                <dgm:shape xmlns:r="http://schemas.openxmlformats.org/officeDocument/2006/relationships" type="ellipse" r:blip="">
                  <dgm:adjLst/>
                </dgm:shape>
                <dgm:presOf/>
              </dgm:layoutNode>
            </dgm:layoutNode>
            <dgm:layoutNode name="Name39" styleLbl="revTx">
              <dgm:varLst>
                <dgm:bulletEnabled val="1"/>
              </dgm:varLst>
              <dgm:alg type="tx"/>
              <dgm:shape xmlns:r="http://schemas.openxmlformats.org/officeDocument/2006/relationships" type="rect" r:blip="">
                <dgm:adjLst/>
              </dgm:shape>
              <dgm:presOf axis="desOrSelf" ptType="node"/>
              <dgm:constrLst>
                <dgm:constr type="tMarg" refType="primFontSz" fact="0.2"/>
                <dgm:constr type="bMarg"/>
              </dgm:constrLst>
              <dgm:ruleLst>
                <dgm:rule type="w" val="INF" fact="NaN" max="NaN"/>
              </dgm:ruleLst>
            </dgm:layoutNode>
          </dgm:if>
          <dgm:if name="Name40" axis="self" ptType="node" func="pos" op="equ" val="3">
            <dgm:layoutNode name="threeDotsTx">
              <dgm:alg type="composite"/>
              <dgm:shape xmlns:r="http://schemas.openxmlformats.org/officeDocument/2006/relationships" r:blip="">
                <dgm:adjLst/>
              </dgm:shape>
              <dgm:presOf/>
              <dgm:constrLst>
                <dgm:constr type="userD"/>
                <dgm:constr type="l" for="ch" forName="dotTx_31"/>
                <dgm:constr type="t" for="ch" forName="dotTx_31" refType="userD" fact="2.25"/>
                <dgm:constr type="w" for="ch" forName="dotTx_31" refType="userD"/>
                <dgm:constr type="h" for="ch" forName="dotTx_31" refType="userD"/>
                <dgm:constr type="l" for="ch" forName="dotTx_32" refType="userD" fact="1.125"/>
                <dgm:constr type="t" for="ch" forName="dotTx_32" refType="userD" fact="1.125"/>
                <dgm:constr type="w" for="ch" forName="dotTx_32" refType="userD"/>
                <dgm:constr type="h" for="ch" forName="dotTx_32" refType="userD"/>
                <dgm:constr type="l" for="ch" forName="dotTx_33" refType="userD" fact="2.25"/>
                <dgm:constr type="t" for="ch" forName="dotTx_33"/>
                <dgm:constr type="w" for="ch" forName="dotTx_33" refType="userD"/>
                <dgm:constr type="h" for="ch" forName="dotTx_33" refType="userD"/>
              </dgm:constrLst>
              <dgm:layoutNode name="dotTx_31" styleLbl="solidFgAcc1">
                <dgm:alg type="sp"/>
                <dgm:shape xmlns:r="http://schemas.openxmlformats.org/officeDocument/2006/relationships" type="ellipse" r:blip="">
                  <dgm:adjLst/>
                </dgm:shape>
                <dgm:presOf/>
              </dgm:layoutNode>
              <dgm:layoutNode name="dotTx_32" styleLbl="solidFgAcc1">
                <dgm:alg type="sp"/>
                <dgm:shape xmlns:r="http://schemas.openxmlformats.org/officeDocument/2006/relationships" type="ellipse" r:blip="">
                  <dgm:adjLst/>
                </dgm:shape>
                <dgm:presOf/>
              </dgm:layoutNode>
              <dgm:layoutNode name="dotTx_33" styleLbl="solidFgAcc1">
                <dgm:alg type="sp"/>
                <dgm:shape xmlns:r="http://schemas.openxmlformats.org/officeDocument/2006/relationships" type="ellipse" r:blip="">
                  <dgm:adjLst/>
                </dgm:shape>
                <dgm:presOf/>
              </dgm:layoutNode>
            </dgm:layoutNode>
            <dgm:layoutNode name="Name41" styleLbl="revTx">
              <dgm:varLst>
                <dgm:bulletEnabled val="1"/>
              </dgm:varLst>
              <dgm:alg type="tx"/>
              <dgm:shape xmlns:r="http://schemas.openxmlformats.org/officeDocument/2006/relationships" type="rect" r:blip="">
                <dgm:adjLst/>
              </dgm:shape>
              <dgm:presOf axis="desOrSelf" ptType="node"/>
              <dgm:constrLst>
                <dgm:constr type="tMarg" refType="primFontSz" fact="0.2"/>
                <dgm:constr type="bMarg"/>
              </dgm:constrLst>
              <dgm:ruleLst>
                <dgm:rule type="w" val="INF" fact="NaN" max="NaN"/>
              </dgm:ruleLst>
            </dgm:layoutNode>
          </dgm:if>
          <dgm:if name="Name42" axis="self" ptType="node" func="pos" op="equ" val="4">
            <dgm:layoutNode name="fourDotsTx">
              <dgm:alg type="composite"/>
              <dgm:shape xmlns:r="http://schemas.openxmlformats.org/officeDocument/2006/relationships" r:blip="">
                <dgm:adjLst/>
              </dgm:shape>
              <dgm:presOf/>
              <dgm:constrLst>
                <dgm:constr type="userD"/>
                <dgm:constr type="w" for="ch" forName="dotTx_41" refType="userD"/>
                <dgm:constr type="h" for="ch" forName="dotTx_41" refType="userD"/>
                <dgm:constr type="l" for="ch" forName="dotTx_42" refType="userD" fact="1.5"/>
                <dgm:constr type="w" for="ch" forName="dotTx_42" refType="userD"/>
                <dgm:constr type="h" for="ch" forName="dotTx_42" refType="userD"/>
                <dgm:constr type="t" for="ch" forName="dotTx_43" refType="userD" fact="1.5"/>
                <dgm:constr type="w" for="ch" forName="dotTx_43" refType="userD"/>
                <dgm:constr type="h" for="ch" forName="dotTx_43" refType="userD"/>
                <dgm:constr type="l" for="ch" forName="dotTx_44" refType="userD" fact="1.5"/>
                <dgm:constr type="t" for="ch" forName="dotTx_44" refType="userD" fact="1.5"/>
                <dgm:constr type="w" for="ch" forName="dotTx_44" refType="userD"/>
                <dgm:constr type="h" for="ch" forName="dotTx_44" refType="userD"/>
              </dgm:constrLst>
              <dgm:layoutNode name="dotTx_41" styleLbl="solidFgAcc1">
                <dgm:alg type="sp"/>
                <dgm:shape xmlns:r="http://schemas.openxmlformats.org/officeDocument/2006/relationships" type="ellipse" r:blip="">
                  <dgm:adjLst/>
                </dgm:shape>
                <dgm:presOf/>
              </dgm:layoutNode>
              <dgm:layoutNode name="dotTx_42" styleLbl="solidFgAcc1">
                <dgm:alg type="sp"/>
                <dgm:shape xmlns:r="http://schemas.openxmlformats.org/officeDocument/2006/relationships" type="ellipse" r:blip="">
                  <dgm:adjLst/>
                </dgm:shape>
                <dgm:presOf/>
              </dgm:layoutNode>
              <dgm:layoutNode name="dotTx_43" styleLbl="solidFgAcc1">
                <dgm:alg type="sp"/>
                <dgm:shape xmlns:r="http://schemas.openxmlformats.org/officeDocument/2006/relationships" type="ellipse" r:blip="">
                  <dgm:adjLst/>
                </dgm:shape>
                <dgm:presOf/>
              </dgm:layoutNode>
              <dgm:layoutNode name="dotTx_44" styleLbl="solidFgAcc1">
                <dgm:alg type="sp"/>
                <dgm:shape xmlns:r="http://schemas.openxmlformats.org/officeDocument/2006/relationships" type="ellipse" r:blip="">
                  <dgm:adjLst/>
                </dgm:shape>
                <dgm:presOf/>
              </dgm:layoutNode>
            </dgm:layoutNode>
            <dgm:layoutNode name="Name43" styleLbl="revTx">
              <dgm:varLst>
                <dgm:bulletEnabled val="1"/>
              </dgm:varLst>
              <dgm:alg type="tx"/>
              <dgm:shape xmlns:r="http://schemas.openxmlformats.org/officeDocument/2006/relationships" type="rect" r:blip="">
                <dgm:adjLst/>
              </dgm:shape>
              <dgm:presOf axis="desOrSelf" ptType="node"/>
              <dgm:constrLst>
                <dgm:constr type="tMarg" refType="primFontSz" fact="0.2"/>
                <dgm:constr type="bMarg"/>
              </dgm:constrLst>
              <dgm:ruleLst>
                <dgm:rule type="w" val="INF" fact="NaN" max="NaN"/>
              </dgm:ruleLst>
            </dgm:layoutNode>
          </dgm:if>
          <dgm:if name="Name44" axis="self" ptType="node" func="pos" op="equ" val="5">
            <dgm:layoutNode name="fiveDotsTx">
              <dgm:alg type="composite"/>
              <dgm:shape xmlns:r="http://schemas.openxmlformats.org/officeDocument/2006/relationships" r:blip="">
                <dgm:adjLst/>
              </dgm:shape>
              <dgm:presOf/>
              <dgm:constrLst>
                <dgm:constr type="userD"/>
                <dgm:constr type="l" for="ch" forName="dotTx_51"/>
                <dgm:constr type="t" for="ch" forName="dotTx_51" refType="userD" fact="2.25"/>
                <dgm:constr type="w" for="ch" forName="dotTx_51" refType="userD"/>
                <dgm:constr type="h" for="ch" forName="dotTx_51" refType="userD"/>
                <dgm:constr type="l" for="ch" forName="dotTx_52" refType="userD" fact="1.125"/>
                <dgm:constr type="t" for="ch" forName="dotTx_52" refType="userD" fact="1.125"/>
                <dgm:constr type="w" for="ch" forName="dotTx_52" refType="userD"/>
                <dgm:constr type="h" for="ch" forName="dotTx_52" refType="userD"/>
                <dgm:constr type="l" for="ch" forName="dotTx_53" refType="userD" fact="2.25"/>
                <dgm:constr type="t" for="ch" forName="dotTx_53"/>
                <dgm:constr type="w" for="ch" forName="dotTx_53" refType="userD"/>
                <dgm:constr type="h" for="ch" forName="dotTx_53" refType="userD"/>
                <dgm:constr type="l" for="ch" forName="dotTx_54"/>
                <dgm:constr type="t" for="ch" forName="dotTx_54"/>
                <dgm:constr type="w" for="ch" forName="dotTx_54" refType="userD"/>
                <dgm:constr type="h" for="ch" forName="dotTx_54" refType="userD"/>
                <dgm:constr type="l" for="ch" forName="dotTx_55" refType="userD" fact="2.25"/>
                <dgm:constr type="t" for="ch" forName="dotTx_55" refType="userD" fact="2.25"/>
                <dgm:constr type="w" for="ch" forName="dotTx_55" refType="userD"/>
                <dgm:constr type="h" for="ch" forName="dotTx_55" refType="userD"/>
              </dgm:constrLst>
              <dgm:layoutNode name="dotTx_51" styleLbl="solidFgAcc1">
                <dgm:alg type="sp"/>
                <dgm:shape xmlns:r="http://schemas.openxmlformats.org/officeDocument/2006/relationships" type="ellipse" r:blip="">
                  <dgm:adjLst/>
                </dgm:shape>
                <dgm:presOf/>
              </dgm:layoutNode>
              <dgm:layoutNode name="dotTx_52" styleLbl="solidFgAcc1">
                <dgm:alg type="sp"/>
                <dgm:shape xmlns:r="http://schemas.openxmlformats.org/officeDocument/2006/relationships" type="ellipse" r:blip="">
                  <dgm:adjLst/>
                </dgm:shape>
                <dgm:presOf/>
              </dgm:layoutNode>
              <dgm:layoutNode name="dotTx_53" styleLbl="solidFgAcc1">
                <dgm:alg type="sp"/>
                <dgm:shape xmlns:r="http://schemas.openxmlformats.org/officeDocument/2006/relationships" type="ellipse" r:blip="">
                  <dgm:adjLst/>
                </dgm:shape>
                <dgm:presOf/>
              </dgm:layoutNode>
              <dgm:layoutNode name="dotTx_54" styleLbl="solidFgAcc1">
                <dgm:alg type="sp"/>
                <dgm:shape xmlns:r="http://schemas.openxmlformats.org/officeDocument/2006/relationships" type="ellipse" r:blip="">
                  <dgm:adjLst/>
                </dgm:shape>
                <dgm:presOf/>
              </dgm:layoutNode>
              <dgm:layoutNode name="dotTx_55" styleLbl="solidFgAcc1">
                <dgm:alg type="sp"/>
                <dgm:shape xmlns:r="http://schemas.openxmlformats.org/officeDocument/2006/relationships" type="ellipse" r:blip="">
                  <dgm:adjLst/>
                </dgm:shape>
                <dgm:presOf/>
              </dgm:layoutNode>
            </dgm:layoutNode>
            <dgm:layoutNode name="Name45" styleLbl="revTx">
              <dgm:varLst>
                <dgm:bulletEnabled val="1"/>
              </dgm:varLst>
              <dgm:alg type="tx"/>
              <dgm:shape xmlns:r="http://schemas.openxmlformats.org/officeDocument/2006/relationships" type="rect" r:blip="">
                <dgm:adjLst/>
              </dgm:shape>
              <dgm:presOf axis="desOrSelf" ptType="node"/>
              <dgm:constrLst>
                <dgm:constr type="tMarg" refType="primFontSz" fact="0.2"/>
                <dgm:constr type="bMarg"/>
              </dgm:constrLst>
              <dgm:ruleLst>
                <dgm:rule type="w" val="INF" fact="NaN" max="NaN"/>
              </dgm:ruleLst>
            </dgm:layoutNode>
          </dgm:if>
          <dgm:else name="Name46"/>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SI 2018 Yellow">
  <a:themeElements>
    <a:clrScheme name="ASI Y">
      <a:dk1>
        <a:sysClr val="windowText" lastClr="000000"/>
      </a:dk1>
      <a:lt1>
        <a:sysClr val="window" lastClr="FFFFFF"/>
      </a:lt1>
      <a:dk2>
        <a:srgbClr val="6D6E71"/>
      </a:dk2>
      <a:lt2>
        <a:srgbClr val="F1F1F2"/>
      </a:lt2>
      <a:accent1>
        <a:srgbClr val="EBC132"/>
      </a:accent1>
      <a:accent2>
        <a:srgbClr val="188881"/>
      </a:accent2>
      <a:accent3>
        <a:srgbClr val="1A94C4"/>
      </a:accent3>
      <a:accent4>
        <a:srgbClr val="82AC81"/>
      </a:accent4>
      <a:accent5>
        <a:srgbClr val="EA5153"/>
      </a:accent5>
      <a:accent6>
        <a:srgbClr val="7E4A7E"/>
      </a:accent6>
      <a:hlink>
        <a:srgbClr val="7E4A7E"/>
      </a:hlink>
      <a:folHlink>
        <a:srgbClr val="BA89BA"/>
      </a:folHlink>
    </a:clrScheme>
    <a:fontScheme name="Custom 1">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D26F9F-1E78-4DC1-BD7A-DE42C925902A}">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FE583-F92A-4EE7-98DB-3043E9B8C766}">
  <ds:schemaRefs>
    <ds:schemaRef ds:uri="http://schemas.openxmlformats.org/officeDocument/2006/bibliography"/>
  </ds:schemaRefs>
</ds:datastoreItem>
</file>

<file path=docMetadata/LabelInfo.xml><?xml version="1.0" encoding="utf-8"?>
<clbl:labelList xmlns:clbl="http://schemas.microsoft.com/office/2020/mipLabelMetadata">
  <clbl:label id="{33f3783f-cdd2-442a-a9d2-1183fd1c4316}" enabled="0" method="" siteId="{33f3783f-cdd2-442a-a9d2-1183fd1c431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57</Pages>
  <Words>31419</Words>
  <Characters>178148</Characters>
  <Application>Microsoft Office Word</Application>
  <DocSecurity>0</DocSecurity>
  <Lines>3562</Lines>
  <Paragraphs>1922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AESAN-Australia Smart Cities Trust Fund</dc:title>
  <dc:subject/>
  <dc:creator/>
  <cp:keywords>[SEC=OFFICIAL]</cp:keywords>
  <dc:description/>
  <cp:lastModifiedBy/>
  <cp:revision>1</cp:revision>
  <dcterms:created xsi:type="dcterms:W3CDTF">2023-01-03T05:28:00Z</dcterms:created>
  <dcterms:modified xsi:type="dcterms:W3CDTF">2023-01-03T05:28:00Z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BB93590A9A71458EBB4A6E4B7D6D7BDF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2023-01-03T05:28:44Z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7E610E9EBABE604D19A881792A5CA762</vt:lpwstr>
  </property>
  <property fmtid="{D5CDD505-2E9C-101B-9397-08002B2CF9AE}" pid="21" name="PM_Hash_Salt">
    <vt:lpwstr>6054C0E90C09ADD1A2DDE96A52C6D0BC</vt:lpwstr>
  </property>
  <property fmtid="{D5CDD505-2E9C-101B-9397-08002B2CF9AE}" pid="22" name="PM_Hash_SHA1">
    <vt:lpwstr>997C61728435C503846CF2BC3540E8881CE8BF2B</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