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777" w:rsidRPr="00867443" w:rsidRDefault="00230777" w:rsidP="00230777">
      <w:pPr>
        <w:pStyle w:val="Title"/>
        <w:rPr>
          <w:sz w:val="16"/>
          <w:szCs w:val="16"/>
        </w:rPr>
      </w:pPr>
    </w:p>
    <w:p w:rsidR="00494F98" w:rsidRDefault="00494F98" w:rsidP="00EB398C">
      <w:pPr>
        <w:pStyle w:val="Title"/>
        <w:rPr>
          <w:sz w:val="36"/>
          <w:szCs w:val="36"/>
        </w:rPr>
      </w:pPr>
    </w:p>
    <w:p w:rsidR="00EB398C" w:rsidRDefault="00494F98" w:rsidP="00EB398C">
      <w:pPr>
        <w:pStyle w:val="Title"/>
        <w:rPr>
          <w:sz w:val="36"/>
          <w:szCs w:val="36"/>
        </w:rPr>
      </w:pPr>
      <w:r>
        <w:rPr>
          <w:sz w:val="36"/>
          <w:szCs w:val="36"/>
        </w:rPr>
        <w:t xml:space="preserve">2019-20 </w:t>
      </w:r>
      <w:r w:rsidR="009060AF">
        <w:rPr>
          <w:sz w:val="36"/>
          <w:szCs w:val="36"/>
        </w:rPr>
        <w:t xml:space="preserve">ASEAN and mekong </w:t>
      </w:r>
      <w:r w:rsidR="003500CF">
        <w:rPr>
          <w:sz w:val="36"/>
          <w:szCs w:val="36"/>
        </w:rPr>
        <w:t>regional</w:t>
      </w:r>
      <w:r w:rsidR="00235EAB">
        <w:rPr>
          <w:sz w:val="36"/>
          <w:szCs w:val="36"/>
        </w:rPr>
        <w:t xml:space="preserve"> </w:t>
      </w:r>
      <w:r w:rsidR="004C5598">
        <w:rPr>
          <w:sz w:val="36"/>
          <w:szCs w:val="36"/>
        </w:rPr>
        <w:t>development program progress report</w:t>
      </w:r>
      <w:r w:rsidR="00660121">
        <w:rPr>
          <w:sz w:val="36"/>
          <w:szCs w:val="36"/>
        </w:rPr>
        <w:t xml:space="preserve">  </w:t>
      </w:r>
    </w:p>
    <w:p w:rsidR="00452298" w:rsidRDefault="00230777" w:rsidP="00EB398C">
      <w:pPr>
        <w:pStyle w:val="Title"/>
        <w:rPr>
          <w:noProof/>
          <w:sz w:val="36"/>
          <w:szCs w:val="36"/>
          <w:lang w:val="en-AU" w:eastAsia="en-AU"/>
        </w:rPr>
        <w:sectPr w:rsidR="00452298" w:rsidSect="00DE253E">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057" w:type="dxa"/>
        <w:tblInd w:w="281"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0&#10;Regional – 33.7&#10;Global – 0&#10;Other Government Departments – 0&#10;Total Australian ODA – 33.7&#10;Note. Actual expenditure is expected to be available in December 2020&#10;"/>
      </w:tblPr>
      <w:tblGrid>
        <w:gridCol w:w="3417"/>
        <w:gridCol w:w="1640"/>
      </w:tblGrid>
      <w:tr w:rsidR="00EC02B2" w:rsidTr="009E1A8A">
        <w:trPr>
          <w:trHeight w:hRule="exact" w:val="689"/>
          <w:tblHeader/>
        </w:trPr>
        <w:tc>
          <w:tcPr>
            <w:tcW w:w="3417" w:type="dxa"/>
            <w:shd w:val="clear" w:color="auto" w:fill="C1E7E0" w:themeFill="accent1" w:themeFillTint="66"/>
            <w:vAlign w:val="center"/>
          </w:tcPr>
          <w:p w:rsidR="00EC02B2" w:rsidRPr="00322712" w:rsidRDefault="00EC02B2" w:rsidP="00F857E7">
            <w:pPr>
              <w:pStyle w:val="NormalWeb"/>
              <w:spacing w:before="120" w:beforeAutospacing="0" w:after="60" w:afterAutospacing="0" w:line="200" w:lineRule="exact"/>
              <w:jc w:val="center"/>
              <w:rPr>
                <w:rFonts w:asciiTheme="minorHAnsi" w:hAnsiTheme="minorHAnsi" w:cstheme="minorHAnsi"/>
                <w:b/>
                <w:bCs/>
                <w:kern w:val="24"/>
                <w:sz w:val="20"/>
                <w:szCs w:val="20"/>
              </w:rPr>
            </w:pPr>
            <w:r w:rsidRPr="00322712">
              <w:rPr>
                <w:rFonts w:asciiTheme="minorHAnsi" w:hAnsiTheme="minorHAnsi" w:cstheme="minorHAnsi"/>
                <w:b/>
                <w:sz w:val="22"/>
              </w:rPr>
              <w:t>Program Budget</w:t>
            </w:r>
          </w:p>
        </w:tc>
        <w:tc>
          <w:tcPr>
            <w:tcW w:w="1640" w:type="dxa"/>
            <w:tcBorders>
              <w:right w:val="single" w:sz="2" w:space="0" w:color="65C5B4" w:themeColor="accent1"/>
            </w:tcBorders>
            <w:shd w:val="clear" w:color="auto" w:fill="C1E7E0" w:themeFill="accent1" w:themeFillTint="66"/>
            <w:vAlign w:val="center"/>
          </w:tcPr>
          <w:p w:rsidR="00EC02B2" w:rsidRPr="00322712" w:rsidRDefault="00EC02B2" w:rsidP="00F857E7">
            <w:pPr>
              <w:pStyle w:val="NormalWeb"/>
              <w:spacing w:before="120" w:beforeAutospacing="0" w:after="60" w:afterAutospacing="0" w:line="200" w:lineRule="exact"/>
              <w:jc w:val="center"/>
              <w:rPr>
                <w:rFonts w:asciiTheme="minorHAnsi" w:hAnsiTheme="minorHAnsi" w:cstheme="minorHAnsi"/>
                <w:b/>
                <w:sz w:val="36"/>
                <w:szCs w:val="36"/>
              </w:rPr>
            </w:pPr>
            <w:r w:rsidRPr="00322712">
              <w:rPr>
                <w:rFonts w:asciiTheme="minorHAnsi" w:hAnsiTheme="minorHAnsi" w:cstheme="minorHAnsi"/>
                <w:b/>
                <w:bCs/>
                <w:kern w:val="24"/>
                <w:sz w:val="20"/>
                <w:szCs w:val="20"/>
              </w:rPr>
              <w:t>2019-20 Budget Estimate ($m)</w:t>
            </w:r>
            <w:r w:rsidRPr="00CA4B9A">
              <w:rPr>
                <w:rFonts w:asciiTheme="minorHAnsi" w:hAnsiTheme="minorHAnsi" w:cstheme="minorHAnsi"/>
                <w:b/>
                <w:bCs/>
                <w:kern w:val="24"/>
                <w:sz w:val="20"/>
                <w:szCs w:val="20"/>
                <w:vertAlign w:val="superscript"/>
              </w:rPr>
              <w:t>*</w:t>
            </w:r>
          </w:p>
        </w:tc>
      </w:tr>
      <w:tr w:rsidR="00EC02B2" w:rsidTr="009E1A8A">
        <w:trPr>
          <w:trHeight w:hRule="exact" w:val="460"/>
          <w:tblHeader/>
        </w:trPr>
        <w:tc>
          <w:tcPr>
            <w:tcW w:w="3417" w:type="dxa"/>
            <w:shd w:val="clear" w:color="auto" w:fill="auto"/>
            <w:vAlign w:val="bottom"/>
          </w:tcPr>
          <w:p w:rsidR="00EC02B2" w:rsidRDefault="00EC02B2"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Bilateral</w:t>
            </w:r>
          </w:p>
        </w:tc>
        <w:tc>
          <w:tcPr>
            <w:tcW w:w="1640" w:type="dxa"/>
            <w:tcBorders>
              <w:right w:val="single" w:sz="2" w:space="0" w:color="65C5B4" w:themeColor="accent1"/>
            </w:tcBorders>
            <w:vAlign w:val="bottom"/>
          </w:tcPr>
          <w:p w:rsidR="00EC02B2" w:rsidRDefault="00EC02B2" w:rsidP="00EC02B2">
            <w:pPr>
              <w:pStyle w:val="NormalWeb"/>
              <w:spacing w:before="20" w:beforeAutospacing="0" w:after="20" w:afterAutospacing="0"/>
              <w:jc w:val="right"/>
              <w:rPr>
                <w:rFonts w:ascii="Arial" w:hAnsi="Arial" w:cs="Arial"/>
                <w:sz w:val="36"/>
                <w:szCs w:val="36"/>
              </w:rPr>
            </w:pPr>
            <w:r>
              <w:rPr>
                <w:rFonts w:ascii="Calibri Light" w:eastAsia="Calibri Light" w:hAnsi="Calibri Light"/>
                <w:color w:val="495965" w:themeColor="text2"/>
                <w:kern w:val="24"/>
                <w:sz w:val="20"/>
                <w:szCs w:val="20"/>
              </w:rPr>
              <w:t>-</w:t>
            </w:r>
          </w:p>
        </w:tc>
      </w:tr>
      <w:tr w:rsidR="00EC02B2" w:rsidTr="009E1A8A">
        <w:trPr>
          <w:trHeight w:hRule="exact" w:val="460"/>
          <w:tblHeader/>
        </w:trPr>
        <w:tc>
          <w:tcPr>
            <w:tcW w:w="3417" w:type="dxa"/>
            <w:shd w:val="clear" w:color="auto" w:fill="auto"/>
            <w:vAlign w:val="bottom"/>
          </w:tcPr>
          <w:p w:rsidR="00EC02B2" w:rsidRDefault="00EC02B2"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Regional</w:t>
            </w:r>
          </w:p>
        </w:tc>
        <w:tc>
          <w:tcPr>
            <w:tcW w:w="1640" w:type="dxa"/>
            <w:tcBorders>
              <w:right w:val="single" w:sz="2" w:space="0" w:color="65C5B4" w:themeColor="accent1"/>
            </w:tcBorders>
            <w:vAlign w:val="bottom"/>
          </w:tcPr>
          <w:p w:rsidR="00EC02B2" w:rsidRDefault="00EC02B2" w:rsidP="00EC02B2">
            <w:pPr>
              <w:pStyle w:val="NormalWeb"/>
              <w:spacing w:before="20" w:beforeAutospacing="0" w:after="20" w:afterAutospacing="0"/>
              <w:jc w:val="right"/>
              <w:rPr>
                <w:rFonts w:ascii="Arial" w:hAnsi="Arial" w:cs="Arial"/>
                <w:sz w:val="36"/>
                <w:szCs w:val="36"/>
              </w:rPr>
            </w:pPr>
            <w:r>
              <w:rPr>
                <w:rFonts w:ascii="Calibri Light" w:eastAsia="Calibri Light" w:hAnsi="Calibri Light"/>
                <w:color w:val="495965" w:themeColor="text2"/>
                <w:kern w:val="24"/>
                <w:sz w:val="20"/>
                <w:szCs w:val="20"/>
              </w:rPr>
              <w:t>33.7</w:t>
            </w:r>
          </w:p>
        </w:tc>
      </w:tr>
      <w:tr w:rsidR="00EC02B2" w:rsidTr="009E1A8A">
        <w:trPr>
          <w:trHeight w:hRule="exact" w:val="460"/>
          <w:tblHeader/>
        </w:trPr>
        <w:tc>
          <w:tcPr>
            <w:tcW w:w="3417" w:type="dxa"/>
            <w:shd w:val="clear" w:color="auto" w:fill="auto"/>
            <w:vAlign w:val="bottom"/>
          </w:tcPr>
          <w:p w:rsidR="00EC02B2" w:rsidRDefault="00EC02B2"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Global</w:t>
            </w:r>
          </w:p>
        </w:tc>
        <w:tc>
          <w:tcPr>
            <w:tcW w:w="1640" w:type="dxa"/>
            <w:tcBorders>
              <w:right w:val="single" w:sz="2" w:space="0" w:color="65C5B4" w:themeColor="accent1"/>
            </w:tcBorders>
            <w:vAlign w:val="bottom"/>
          </w:tcPr>
          <w:p w:rsidR="00EC02B2" w:rsidRDefault="00EC02B2" w:rsidP="00EC02B2">
            <w:pPr>
              <w:pStyle w:val="NormalWeb"/>
              <w:spacing w:before="20" w:beforeAutospacing="0" w:after="20" w:afterAutospacing="0"/>
              <w:ind w:right="171"/>
              <w:jc w:val="right"/>
              <w:rPr>
                <w:rFonts w:ascii="Arial" w:hAnsi="Arial" w:cs="Arial"/>
                <w:sz w:val="36"/>
                <w:szCs w:val="36"/>
              </w:rPr>
            </w:pPr>
            <w:r>
              <w:rPr>
                <w:rFonts w:ascii="Calibri Light" w:eastAsia="Calibri Light" w:hAnsi="Calibri Light"/>
                <w:color w:val="495965" w:themeColor="text2"/>
                <w:kern w:val="24"/>
                <w:sz w:val="20"/>
                <w:szCs w:val="20"/>
              </w:rPr>
              <w:t>-</w:t>
            </w:r>
          </w:p>
        </w:tc>
      </w:tr>
      <w:tr w:rsidR="00EC02B2" w:rsidTr="009E1A8A">
        <w:trPr>
          <w:trHeight w:hRule="exact" w:val="460"/>
          <w:tblHeader/>
        </w:trPr>
        <w:tc>
          <w:tcPr>
            <w:tcW w:w="3417" w:type="dxa"/>
            <w:shd w:val="clear" w:color="auto" w:fill="auto"/>
            <w:vAlign w:val="bottom"/>
          </w:tcPr>
          <w:p w:rsidR="00EC02B2" w:rsidRDefault="00EC02B2"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Other Government Departments</w:t>
            </w:r>
          </w:p>
        </w:tc>
        <w:tc>
          <w:tcPr>
            <w:tcW w:w="1640" w:type="dxa"/>
            <w:tcBorders>
              <w:right w:val="single" w:sz="2" w:space="0" w:color="65C5B4" w:themeColor="accent1"/>
            </w:tcBorders>
            <w:vAlign w:val="bottom"/>
          </w:tcPr>
          <w:p w:rsidR="00EC02B2" w:rsidRDefault="00EC02B2" w:rsidP="00EC02B2">
            <w:pPr>
              <w:pStyle w:val="NormalWeb"/>
              <w:spacing w:before="20" w:beforeAutospacing="0" w:after="20" w:afterAutospacing="0"/>
              <w:jc w:val="right"/>
              <w:rPr>
                <w:rFonts w:ascii="Arial" w:hAnsi="Arial" w:cs="Arial"/>
                <w:sz w:val="36"/>
                <w:szCs w:val="36"/>
              </w:rPr>
            </w:pPr>
            <w:r>
              <w:rPr>
                <w:rFonts w:ascii="Calibri Light" w:eastAsia="Calibri Light" w:hAnsi="Calibri Light"/>
                <w:color w:val="495965" w:themeColor="text2"/>
                <w:kern w:val="24"/>
                <w:sz w:val="20"/>
                <w:szCs w:val="20"/>
              </w:rPr>
              <w:t>-</w:t>
            </w:r>
          </w:p>
        </w:tc>
      </w:tr>
      <w:tr w:rsidR="00EC02B2" w:rsidTr="009E1A8A">
        <w:trPr>
          <w:trHeight w:hRule="exact" w:val="558"/>
          <w:tblHeader/>
        </w:trPr>
        <w:tc>
          <w:tcPr>
            <w:tcW w:w="3417" w:type="dxa"/>
            <w:tcBorders>
              <w:bottom w:val="single" w:sz="2" w:space="0" w:color="65C5B4" w:themeColor="accent1"/>
            </w:tcBorders>
            <w:shd w:val="clear" w:color="auto" w:fill="auto"/>
            <w:vAlign w:val="bottom"/>
          </w:tcPr>
          <w:p w:rsidR="00EC02B2" w:rsidRDefault="00EC02B2" w:rsidP="00F857E7">
            <w:pPr>
              <w:pStyle w:val="NormalWeb"/>
              <w:spacing w:before="20" w:beforeAutospacing="0" w:after="20" w:afterAutospacing="0"/>
              <w:rPr>
                <w:rFonts w:ascii="Arial" w:hAnsi="Arial" w:cs="Arial"/>
                <w:sz w:val="36"/>
                <w:szCs w:val="36"/>
              </w:rPr>
            </w:pPr>
            <w:r>
              <w:rPr>
                <w:rFonts w:ascii="Calibri" w:hAnsi="Calibri" w:cs="Calibri"/>
                <w:b/>
                <w:bCs/>
                <w:color w:val="000000" w:themeColor="dark1"/>
                <w:kern w:val="24"/>
                <w:sz w:val="20"/>
                <w:szCs w:val="20"/>
              </w:rPr>
              <w:t>Total Australian ODA to ASEAN and South Asia Regional Program</w:t>
            </w:r>
          </w:p>
        </w:tc>
        <w:tc>
          <w:tcPr>
            <w:tcW w:w="1640" w:type="dxa"/>
            <w:tcBorders>
              <w:bottom w:val="single" w:sz="2" w:space="0" w:color="65C5B4" w:themeColor="accent1"/>
              <w:right w:val="single" w:sz="2" w:space="0" w:color="65C5B4" w:themeColor="accent1"/>
            </w:tcBorders>
            <w:vAlign w:val="bottom"/>
          </w:tcPr>
          <w:p w:rsidR="00EC02B2" w:rsidRPr="00322712" w:rsidRDefault="00EC02B2" w:rsidP="00EC02B2">
            <w:pPr>
              <w:pStyle w:val="NormalWeb"/>
              <w:spacing w:before="20" w:beforeAutospacing="0" w:after="20" w:afterAutospacing="0"/>
              <w:jc w:val="right"/>
              <w:rPr>
                <w:rFonts w:ascii="Calibri" w:hAnsi="Calibri" w:cs="Calibri"/>
                <w:b/>
                <w:bCs/>
                <w:color w:val="000000" w:themeColor="dark1"/>
                <w:kern w:val="24"/>
                <w:sz w:val="20"/>
                <w:szCs w:val="20"/>
              </w:rPr>
            </w:pPr>
            <w:r w:rsidRPr="00322712">
              <w:rPr>
                <w:rFonts w:ascii="Calibri" w:hAnsi="Calibri" w:cs="Calibri"/>
                <w:b/>
                <w:bCs/>
                <w:color w:val="000000" w:themeColor="dark1"/>
                <w:kern w:val="24"/>
                <w:sz w:val="20"/>
                <w:szCs w:val="20"/>
              </w:rPr>
              <w:t>33.7</w:t>
            </w:r>
          </w:p>
        </w:tc>
      </w:tr>
    </w:tbl>
    <w:p w:rsidR="00EC02B2" w:rsidRPr="00EC02B2" w:rsidRDefault="00AF0272" w:rsidP="00AF0272">
      <w:pPr>
        <w:spacing w:before="0" w:line="240" w:lineRule="auto"/>
        <w:rPr>
          <w:rFonts w:ascii="Calibri Light" w:eastAsia="Calibri Light" w:hAnsi="Calibri Light"/>
          <w:bCs/>
          <w:kern w:val="24"/>
          <w:sz w:val="16"/>
          <w:szCs w:val="20"/>
        </w:rPr>
      </w:pPr>
      <w:r>
        <w:rPr>
          <w:rFonts w:ascii="Calibri Light" w:eastAsia="Calibri Light" w:hAnsi="Calibri Light"/>
          <w:bCs/>
          <w:kern w:val="24"/>
          <w:sz w:val="18"/>
          <w:szCs w:val="20"/>
        </w:rPr>
        <w:t xml:space="preserve">      </w:t>
      </w:r>
      <w:r w:rsidR="00EC02B2" w:rsidRPr="0055262C">
        <w:rPr>
          <w:rFonts w:ascii="Calibri Light" w:eastAsia="Calibri Light" w:hAnsi="Calibri Light"/>
          <w:bCs/>
          <w:kern w:val="24"/>
          <w:sz w:val="16"/>
          <w:szCs w:val="20"/>
        </w:rPr>
        <w:t>* Actual expenditure is expected to be available in December 2020</w:t>
      </w:r>
    </w:p>
    <w:p w:rsidR="00452298" w:rsidRDefault="00EC02B2" w:rsidP="00494F98">
      <w:pPr>
        <w:spacing w:before="0" w:after="0"/>
      </w:pPr>
      <w:r>
        <w:rPr>
          <w:noProof/>
          <w:lang w:val="en-AU" w:eastAsia="en-AU"/>
        </w:rPr>
        <w:drawing>
          <wp:inline distT="0" distB="0" distL="0" distR="0" wp14:anchorId="30FF8F62" wp14:editId="572C75B2">
            <wp:extent cx="3276600" cy="1866781"/>
            <wp:effectExtent l="0" t="0" r="0" b="635"/>
            <wp:docPr id="3" name="Picture 3" descr="Infrastructure and trade – 38%&#10;Agriculture, fisheries and water – 16%&#10;Governance – 34%&#10;Education – 0%&#10;Health – 0%&#10;Building resilience – 4%&#10;General development support – 8%&#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0077" cy="1880157"/>
                    </a:xfrm>
                    <a:prstGeom prst="rect">
                      <a:avLst/>
                    </a:prstGeom>
                    <a:noFill/>
                  </pic:spPr>
                </pic:pic>
              </a:graphicData>
            </a:graphic>
          </wp:inline>
        </w:drawing>
      </w:r>
    </w:p>
    <w:p w:rsidR="00EC02B2" w:rsidRDefault="00EC02B2" w:rsidP="00494F98">
      <w:pPr>
        <w:spacing w:before="0" w:after="0"/>
      </w:pPr>
    </w:p>
    <w:p w:rsidR="00EC02B2" w:rsidRDefault="00EC02B2" w:rsidP="00494F98">
      <w:pPr>
        <w:spacing w:before="0" w:after="0"/>
      </w:pPr>
    </w:p>
    <w:p w:rsidR="00EC02B2" w:rsidRDefault="00EC02B2" w:rsidP="00494F98">
      <w:pPr>
        <w:spacing w:before="0" w:after="0"/>
      </w:pPr>
    </w:p>
    <w:p w:rsidR="00EC02B2" w:rsidRPr="00452298" w:rsidRDefault="00EC02B2" w:rsidP="00494F98">
      <w:pPr>
        <w:spacing w:before="0" w:after="0"/>
        <w:sectPr w:rsidR="00EC02B2" w:rsidRPr="00452298" w:rsidSect="00EC02B2">
          <w:type w:val="continuous"/>
          <w:pgSz w:w="11906" w:h="16838" w:code="9"/>
          <w:pgMar w:top="1701" w:right="140" w:bottom="1418" w:left="709" w:header="142" w:footer="493" w:gutter="0"/>
          <w:cols w:num="2" w:space="397"/>
          <w:titlePg/>
          <w:docGrid w:linePitch="360"/>
        </w:sectPr>
      </w:pPr>
    </w:p>
    <w:p w:rsidR="00EF7B0E" w:rsidRDefault="003324DC" w:rsidP="00C32299">
      <w:pPr>
        <w:rPr>
          <w:b/>
          <w:sz w:val="24"/>
        </w:rPr>
      </w:pPr>
      <w:r>
        <w:rPr>
          <w:b/>
          <w:sz w:val="24"/>
        </w:rPr>
        <w:t xml:space="preserve">Program Highlights and </w:t>
      </w:r>
      <w:r w:rsidR="00651213">
        <w:rPr>
          <w:b/>
          <w:sz w:val="24"/>
        </w:rPr>
        <w:t>COVID-19 Development Response</w:t>
      </w:r>
    </w:p>
    <w:p w:rsidR="00442B9E" w:rsidRDefault="00EF7B0E" w:rsidP="00EF7B0E">
      <w:pPr>
        <w:suppressAutoHyphens w:val="0"/>
        <w:spacing w:before="0" w:line="240" w:lineRule="auto"/>
        <w:rPr>
          <w:color w:val="495965"/>
        </w:rPr>
      </w:pPr>
      <w:r>
        <w:rPr>
          <w:color w:val="495965"/>
        </w:rPr>
        <w:t xml:space="preserve">Australia’s </w:t>
      </w:r>
      <w:r w:rsidR="00D35F4D">
        <w:rPr>
          <w:color w:val="495965"/>
        </w:rPr>
        <w:t>well-established development program</w:t>
      </w:r>
      <w:r>
        <w:rPr>
          <w:color w:val="495965"/>
        </w:rPr>
        <w:t xml:space="preserve"> for ASEAN and the Mekong</w:t>
      </w:r>
      <w:r w:rsidR="00D76FDF">
        <w:rPr>
          <w:color w:val="495965"/>
        </w:rPr>
        <w:t xml:space="preserve"> </w:t>
      </w:r>
      <w:r w:rsidR="00D35F4D">
        <w:rPr>
          <w:color w:val="495965"/>
        </w:rPr>
        <w:t>adapted</w:t>
      </w:r>
      <w:r>
        <w:rPr>
          <w:color w:val="495965"/>
        </w:rPr>
        <w:t xml:space="preserve"> quickly to </w:t>
      </w:r>
      <w:r w:rsidR="00D35F4D">
        <w:rPr>
          <w:color w:val="495965"/>
        </w:rPr>
        <w:t xml:space="preserve">respond </w:t>
      </w:r>
      <w:r>
        <w:rPr>
          <w:color w:val="495965"/>
        </w:rPr>
        <w:t xml:space="preserve">to </w:t>
      </w:r>
      <w:r w:rsidR="004A5E60">
        <w:rPr>
          <w:color w:val="495965"/>
        </w:rPr>
        <w:t xml:space="preserve">the outbreak of </w:t>
      </w:r>
      <w:r>
        <w:rPr>
          <w:color w:val="495965"/>
        </w:rPr>
        <w:t>COVID-19</w:t>
      </w:r>
      <w:r w:rsidR="00D35F4D">
        <w:rPr>
          <w:color w:val="495965"/>
        </w:rPr>
        <w:t>. Moving forward, it</w:t>
      </w:r>
      <w:r w:rsidR="006548E7">
        <w:rPr>
          <w:color w:val="495965"/>
        </w:rPr>
        <w:t xml:space="preserve"> will address the </w:t>
      </w:r>
      <w:r w:rsidR="00D35F4D">
        <w:rPr>
          <w:color w:val="495965"/>
        </w:rPr>
        <w:t>longer-term</w:t>
      </w:r>
      <w:r w:rsidR="006548E7">
        <w:rPr>
          <w:color w:val="495965"/>
        </w:rPr>
        <w:t xml:space="preserve"> impacts of COVID-19</w:t>
      </w:r>
      <w:r w:rsidR="00D35F4D">
        <w:rPr>
          <w:color w:val="495965"/>
        </w:rPr>
        <w:t>. T</w:t>
      </w:r>
      <w:r w:rsidR="00D76FDF">
        <w:rPr>
          <w:color w:val="495965"/>
        </w:rPr>
        <w:t>his report outlines e</w:t>
      </w:r>
      <w:r w:rsidR="005318CD">
        <w:rPr>
          <w:color w:val="495965"/>
        </w:rPr>
        <w:t>arly outcomes</w:t>
      </w:r>
      <w:r w:rsidR="00D76FDF">
        <w:rPr>
          <w:color w:val="495965"/>
        </w:rPr>
        <w:t xml:space="preserve"> from </w:t>
      </w:r>
      <w:r w:rsidR="006548E7">
        <w:rPr>
          <w:color w:val="495965"/>
        </w:rPr>
        <w:t xml:space="preserve">the pivot to </w:t>
      </w:r>
      <w:r w:rsidR="00D35F4D">
        <w:rPr>
          <w:color w:val="495965"/>
        </w:rPr>
        <w:t>respond to</w:t>
      </w:r>
      <w:r w:rsidR="006548E7">
        <w:rPr>
          <w:color w:val="495965"/>
        </w:rPr>
        <w:t xml:space="preserve"> the pandemic from </w:t>
      </w:r>
      <w:r w:rsidR="00D76FDF">
        <w:rPr>
          <w:color w:val="495965"/>
        </w:rPr>
        <w:t xml:space="preserve">the final quarter of the </w:t>
      </w:r>
      <w:r w:rsidR="006548E7">
        <w:rPr>
          <w:color w:val="495965"/>
        </w:rPr>
        <w:t xml:space="preserve">2019-2020 financial year. It also outlines </w:t>
      </w:r>
      <w:r w:rsidR="00D35F4D">
        <w:rPr>
          <w:color w:val="495965"/>
        </w:rPr>
        <w:t>the ASEAN and Mekong</w:t>
      </w:r>
      <w:r w:rsidR="006548E7">
        <w:rPr>
          <w:color w:val="495965"/>
        </w:rPr>
        <w:t xml:space="preserve"> </w:t>
      </w:r>
      <w:r w:rsidR="00D35F4D">
        <w:rPr>
          <w:color w:val="495965"/>
        </w:rPr>
        <w:t xml:space="preserve">development program’s </w:t>
      </w:r>
      <w:r w:rsidR="006548E7">
        <w:rPr>
          <w:color w:val="495965"/>
        </w:rPr>
        <w:t>progress against broader, pre-COVID-19 objectives for 2019-2020.</w:t>
      </w:r>
    </w:p>
    <w:p w:rsidR="00EF7B0E" w:rsidRPr="005318CD" w:rsidRDefault="00442B9E" w:rsidP="00EF7B0E">
      <w:pPr>
        <w:suppressAutoHyphens w:val="0"/>
        <w:spacing w:before="0" w:line="240" w:lineRule="auto"/>
        <w:rPr>
          <w:color w:val="495965"/>
        </w:rPr>
      </w:pPr>
      <w:r>
        <w:t xml:space="preserve">Australia’s development cooperation with ASEAN </w:t>
      </w:r>
      <w:r w:rsidRPr="005B40D3">
        <w:t>support</w:t>
      </w:r>
      <w:r>
        <w:t>s</w:t>
      </w:r>
      <w:r w:rsidRPr="005B40D3">
        <w:t xml:space="preserve"> ASEAN’s Outlook on the Indo-Pacific, which </w:t>
      </w:r>
      <w:r w:rsidRPr="00AF06D7">
        <w:t>articulates a vision for a region that is open, inclusive, rules-based and respectful of sovereignty, and provides opportunities for</w:t>
      </w:r>
      <w:r w:rsidRPr="005B40D3">
        <w:t xml:space="preserve"> cooperation between ASEAN and Dialogue Partners in the areas of maritime, connectivity, sustainability and economic issues.</w:t>
      </w:r>
    </w:p>
    <w:p w:rsidR="00EF7B0E" w:rsidRPr="00AE5A89" w:rsidRDefault="00EF7B0E" w:rsidP="003324DC">
      <w:pPr>
        <w:suppressAutoHyphens w:val="0"/>
        <w:spacing w:before="0" w:line="240" w:lineRule="auto"/>
        <w:rPr>
          <w:lang w:val="en-AU"/>
        </w:rPr>
      </w:pPr>
      <w:r w:rsidRPr="00AE5A89">
        <w:rPr>
          <w:lang w:val="en-AU"/>
        </w:rPr>
        <w:t>Our</w:t>
      </w:r>
      <w:r w:rsidR="008D7901" w:rsidRPr="00AE5A89">
        <w:rPr>
          <w:lang w:val="en-AU"/>
        </w:rPr>
        <w:t xml:space="preserve"> </w:t>
      </w:r>
      <w:r w:rsidR="00980B09" w:rsidRPr="00AE5A89">
        <w:rPr>
          <w:lang w:val="en-AU"/>
        </w:rPr>
        <w:t>flagship</w:t>
      </w:r>
      <w:r w:rsidR="00EE57E4" w:rsidRPr="00AE5A89">
        <w:rPr>
          <w:lang w:val="en-AU"/>
        </w:rPr>
        <w:t xml:space="preserve"> economic</w:t>
      </w:r>
      <w:r w:rsidR="00F073E8" w:rsidRPr="00AE5A89">
        <w:rPr>
          <w:lang w:val="en-AU"/>
        </w:rPr>
        <w:t xml:space="preserve"> </w:t>
      </w:r>
      <w:r w:rsidR="00EE57E4" w:rsidRPr="00AE5A89">
        <w:rPr>
          <w:lang w:val="en-AU"/>
        </w:rPr>
        <w:t>program, the</w:t>
      </w:r>
      <w:r w:rsidR="00980B09" w:rsidRPr="00AE5A89">
        <w:rPr>
          <w:lang w:val="en-AU"/>
        </w:rPr>
        <w:t xml:space="preserve"> </w:t>
      </w:r>
      <w:r w:rsidR="007147EB" w:rsidRPr="00AE5A89">
        <w:rPr>
          <w:lang w:val="en-AU"/>
        </w:rPr>
        <w:t>ASEAN Australia Development Coo</w:t>
      </w:r>
      <w:r w:rsidR="00BA1524" w:rsidRPr="00AE5A89">
        <w:rPr>
          <w:lang w:val="en-AU"/>
        </w:rPr>
        <w:t>peration Program Phase II</w:t>
      </w:r>
      <w:r w:rsidRPr="00AE5A89">
        <w:rPr>
          <w:lang w:val="en-AU"/>
        </w:rPr>
        <w:t xml:space="preserve"> </w:t>
      </w:r>
      <w:r w:rsidR="005318CD" w:rsidRPr="00AE5A89">
        <w:rPr>
          <w:lang w:val="en-AU"/>
        </w:rPr>
        <w:t xml:space="preserve">(AADCPII) </w:t>
      </w:r>
      <w:r w:rsidR="00442B9E" w:rsidRPr="00AE5A89">
        <w:rPr>
          <w:lang w:val="en-AU"/>
        </w:rPr>
        <w:t xml:space="preserve">responds to ASEAN priorities to enhance regional economic integration and connectivity and narrow the development gap among ASEAN Member States. In November 2019 </w:t>
      </w:r>
      <w:r w:rsidR="003324DC" w:rsidRPr="00AE5A89">
        <w:rPr>
          <w:lang w:val="en-AU"/>
        </w:rPr>
        <w:t>ASEAN Foreign Ministers and Australia’s Minister</w:t>
      </w:r>
      <w:r w:rsidR="006E5CD9" w:rsidRPr="00AE5A89">
        <w:rPr>
          <w:lang w:val="en-AU"/>
        </w:rPr>
        <w:t xml:space="preserve"> for Trade, Tourism and Investment, the Hon Simon</w:t>
      </w:r>
      <w:r w:rsidR="003324DC" w:rsidRPr="00AE5A89">
        <w:rPr>
          <w:lang w:val="en-AU"/>
        </w:rPr>
        <w:t xml:space="preserve"> </w:t>
      </w:r>
      <w:r w:rsidR="003324DC" w:rsidRPr="00AE5A89">
        <w:rPr>
          <w:lang w:val="en-AU"/>
        </w:rPr>
        <w:t xml:space="preserve">Birmingham launched a work plan for regional connectivity infrastructure projects. The program </w:t>
      </w:r>
      <w:r w:rsidR="00442B9E" w:rsidRPr="00AE5A89">
        <w:rPr>
          <w:lang w:val="en-AU"/>
        </w:rPr>
        <w:t xml:space="preserve">later </w:t>
      </w:r>
      <w:r w:rsidR="0040434B" w:rsidRPr="00AE5A89">
        <w:rPr>
          <w:lang w:val="en-AU"/>
        </w:rPr>
        <w:t>help</w:t>
      </w:r>
      <w:r w:rsidR="005318CD" w:rsidRPr="00AE5A89">
        <w:rPr>
          <w:lang w:val="en-AU"/>
        </w:rPr>
        <w:t>ed</w:t>
      </w:r>
      <w:r w:rsidR="0040434B" w:rsidRPr="00AE5A89">
        <w:rPr>
          <w:lang w:val="en-AU"/>
        </w:rPr>
        <w:t xml:space="preserve"> to </w:t>
      </w:r>
      <w:r w:rsidRPr="00AE5A89">
        <w:rPr>
          <w:lang w:val="en-AU"/>
        </w:rPr>
        <w:t>shape ASEAN</w:t>
      </w:r>
      <w:r w:rsidR="00275B95" w:rsidRPr="00AE5A89">
        <w:rPr>
          <w:lang w:val="en-AU"/>
        </w:rPr>
        <w:t xml:space="preserve">’s economic response </w:t>
      </w:r>
      <w:r w:rsidR="003324DC" w:rsidRPr="00AE5A89">
        <w:rPr>
          <w:lang w:val="en-AU"/>
        </w:rPr>
        <w:t>following the outbreak of COVID-19.</w:t>
      </w:r>
      <w:r w:rsidR="0040434B" w:rsidRPr="00AE5A89">
        <w:rPr>
          <w:lang w:val="en-AU"/>
        </w:rPr>
        <w:t xml:space="preserve"> </w:t>
      </w:r>
      <w:r w:rsidR="0056412C" w:rsidRPr="00AE5A89">
        <w:rPr>
          <w:lang w:val="en-AU"/>
        </w:rPr>
        <w:t>Australian expert</w:t>
      </w:r>
      <w:r w:rsidRPr="00AE5A89">
        <w:rPr>
          <w:lang w:val="en-AU"/>
        </w:rPr>
        <w:t xml:space="preserve"> </w:t>
      </w:r>
      <w:r w:rsidR="00275B95" w:rsidRPr="00AE5A89">
        <w:rPr>
          <w:lang w:val="en-AU"/>
        </w:rPr>
        <w:t xml:space="preserve">advice </w:t>
      </w:r>
      <w:r w:rsidR="005318CD" w:rsidRPr="00AE5A89">
        <w:rPr>
          <w:lang w:val="en-AU"/>
        </w:rPr>
        <w:t xml:space="preserve">helped </w:t>
      </w:r>
      <w:r w:rsidR="0056412C" w:rsidRPr="00AE5A89">
        <w:rPr>
          <w:lang w:val="en-AU"/>
        </w:rPr>
        <w:t xml:space="preserve">identify opportunities to adapt the </w:t>
      </w:r>
      <w:r w:rsidR="00980B09" w:rsidRPr="00AE5A89">
        <w:rPr>
          <w:lang w:val="en-AU"/>
        </w:rPr>
        <w:t xml:space="preserve">Master </w:t>
      </w:r>
      <w:r w:rsidR="00BA1524" w:rsidRPr="00AE5A89">
        <w:rPr>
          <w:lang w:val="en-AU"/>
        </w:rPr>
        <w:t>Plan on ASEAN Connectivity</w:t>
      </w:r>
      <w:r w:rsidR="0040434B" w:rsidRPr="00AE5A89">
        <w:rPr>
          <w:lang w:val="en-AU"/>
        </w:rPr>
        <w:t xml:space="preserve"> </w:t>
      </w:r>
      <w:r w:rsidR="0056412C" w:rsidRPr="00AE5A89">
        <w:rPr>
          <w:lang w:val="en-AU"/>
        </w:rPr>
        <w:t xml:space="preserve">to the new context during </w:t>
      </w:r>
      <w:r w:rsidR="005318CD" w:rsidRPr="00AE5A89">
        <w:rPr>
          <w:lang w:val="en-AU"/>
        </w:rPr>
        <w:t>its</w:t>
      </w:r>
      <w:r w:rsidR="0056412C" w:rsidRPr="00AE5A89">
        <w:rPr>
          <w:lang w:val="en-AU"/>
        </w:rPr>
        <w:t xml:space="preserve"> mid-term review</w:t>
      </w:r>
      <w:r w:rsidR="0040434B" w:rsidRPr="00AE5A89">
        <w:rPr>
          <w:lang w:val="en-AU"/>
        </w:rPr>
        <w:t>.</w:t>
      </w:r>
    </w:p>
    <w:p w:rsidR="00683099" w:rsidRPr="00AE5A89" w:rsidRDefault="00725213" w:rsidP="003324DC">
      <w:pPr>
        <w:suppressAutoHyphens w:val="0"/>
        <w:spacing w:before="0" w:line="240" w:lineRule="auto"/>
        <w:rPr>
          <w:lang w:val="en-AU"/>
        </w:rPr>
      </w:pPr>
      <w:r w:rsidRPr="00AE5A89">
        <w:rPr>
          <w:lang w:val="en-AU"/>
        </w:rPr>
        <w:t>The Shaping Inclusive Finance Transformations</w:t>
      </w:r>
      <w:r w:rsidR="00EF7B0E" w:rsidRPr="00AE5A89">
        <w:rPr>
          <w:lang w:val="en-AU"/>
        </w:rPr>
        <w:t xml:space="preserve"> </w:t>
      </w:r>
      <w:r w:rsidR="003324DC" w:rsidRPr="00AE5A89">
        <w:rPr>
          <w:lang w:val="en-AU"/>
        </w:rPr>
        <w:t>(SHIFT) in ASEAN program</w:t>
      </w:r>
      <w:r w:rsidR="00442B9E" w:rsidRPr="00AE5A89">
        <w:rPr>
          <w:lang w:val="en-AU"/>
        </w:rPr>
        <w:t xml:space="preserve"> </w:t>
      </w:r>
      <w:r w:rsidR="00442B9E" w:rsidRPr="00AE5A89">
        <w:t xml:space="preserve">improves </w:t>
      </w:r>
      <w:r w:rsidR="00442B9E" w:rsidRPr="00AE5A89" w:rsidDel="00844774">
        <w:t>access to financ</w:t>
      </w:r>
      <w:r w:rsidR="00442B9E" w:rsidRPr="00AE5A89">
        <w:t>ial services for low income women and men in ASEAN. In 2019-20 it</w:t>
      </w:r>
      <w:r w:rsidR="003324DC" w:rsidRPr="00AE5A89">
        <w:rPr>
          <w:lang w:val="en-AU"/>
        </w:rPr>
        <w:t xml:space="preserve"> supported financial access to over 2.9 million low-income </w:t>
      </w:r>
      <w:r w:rsidR="00442B9E" w:rsidRPr="00AE5A89">
        <w:rPr>
          <w:lang w:val="en-AU"/>
        </w:rPr>
        <w:t>earners</w:t>
      </w:r>
      <w:r w:rsidR="003324DC" w:rsidRPr="00AE5A89">
        <w:rPr>
          <w:lang w:val="en-AU"/>
        </w:rPr>
        <w:t xml:space="preserve"> and enterprises in ASEAN. SHIFT policy guidance assisted ASEAN to implement financial inclusion strategies and monitoring frameworks in Cambodia, Laos, Myanmar and Vietnam. During the pandemic, SHIFT h</w:t>
      </w:r>
      <w:r w:rsidR="0056412C" w:rsidRPr="00AE5A89">
        <w:rPr>
          <w:lang w:val="en-AU"/>
        </w:rPr>
        <w:t>elped maintain economic activity in the region despite travel bans, isolation and social distancing by</w:t>
      </w:r>
      <w:r w:rsidR="00EF7B0E" w:rsidRPr="00AE5A89">
        <w:rPr>
          <w:lang w:val="en-AU"/>
        </w:rPr>
        <w:t xml:space="preserve"> </w:t>
      </w:r>
      <w:r w:rsidR="00275B95" w:rsidRPr="00AE5A89">
        <w:rPr>
          <w:lang w:val="en-AU"/>
        </w:rPr>
        <w:t>facilitat</w:t>
      </w:r>
      <w:r w:rsidR="0056412C" w:rsidRPr="00AE5A89">
        <w:rPr>
          <w:lang w:val="en-AU"/>
        </w:rPr>
        <w:t>ing</w:t>
      </w:r>
      <w:r w:rsidR="00275B95" w:rsidRPr="00AE5A89">
        <w:rPr>
          <w:lang w:val="en-AU"/>
        </w:rPr>
        <w:t xml:space="preserve"> the</w:t>
      </w:r>
      <w:r w:rsidR="00EF7B0E" w:rsidRPr="00AE5A89">
        <w:rPr>
          <w:lang w:val="en-AU"/>
        </w:rPr>
        <w:t xml:space="preserve"> uptake of digital finance products</w:t>
      </w:r>
      <w:r w:rsidR="00275B95" w:rsidRPr="00AE5A89">
        <w:rPr>
          <w:lang w:val="en-AU"/>
        </w:rPr>
        <w:t xml:space="preserve">, including an e-wallet for remittances, insurance services, and access to </w:t>
      </w:r>
      <w:r w:rsidR="0056412C" w:rsidRPr="00AE5A89">
        <w:rPr>
          <w:lang w:val="en-AU"/>
        </w:rPr>
        <w:t>credit.</w:t>
      </w:r>
      <w:r w:rsidR="00275B95" w:rsidRPr="00AE5A89">
        <w:rPr>
          <w:lang w:val="en-AU"/>
        </w:rPr>
        <w:t xml:space="preserve"> </w:t>
      </w:r>
    </w:p>
    <w:p w:rsidR="00C75DE5" w:rsidRPr="00AE5A89" w:rsidRDefault="00454AB2" w:rsidP="003324DC">
      <w:pPr>
        <w:suppressAutoHyphens w:val="0"/>
        <w:spacing w:before="0" w:line="240" w:lineRule="auto"/>
        <w:rPr>
          <w:lang w:val="en-AU"/>
        </w:rPr>
      </w:pPr>
      <w:r w:rsidRPr="00AE5A89">
        <w:t xml:space="preserve">Combatting human trafficking is a priority for Australia and ASEAN. This transnational crime crosses borders and requires a regional response. </w:t>
      </w:r>
      <w:r w:rsidR="00A1385C" w:rsidRPr="00AE5A89">
        <w:t>The ASEAN</w:t>
      </w:r>
      <w:r w:rsidR="00A1385C" w:rsidRPr="00AE5A89">
        <w:rPr>
          <w:lang w:val="en-AU"/>
        </w:rPr>
        <w:t xml:space="preserve">-Australia Counter Trafficking </w:t>
      </w:r>
      <w:r w:rsidR="003324DC" w:rsidRPr="00AE5A89">
        <w:rPr>
          <w:lang w:val="en-AU"/>
        </w:rPr>
        <w:t xml:space="preserve">(ASEAN ACT) program </w:t>
      </w:r>
      <w:r w:rsidR="003324DC" w:rsidRPr="00AE5A89">
        <w:t xml:space="preserve">convened 16 capacity development workshops, and trained 164 law and justice officials. </w:t>
      </w:r>
      <w:r w:rsidR="006E5CD9" w:rsidRPr="00AE5A89">
        <w:t>T</w:t>
      </w:r>
      <w:r w:rsidR="003324DC" w:rsidRPr="00AE5A89">
        <w:t xml:space="preserve">he program helped establish a Trafficking in </w:t>
      </w:r>
      <w:r w:rsidR="003324DC" w:rsidRPr="00AE5A89">
        <w:lastRenderedPageBreak/>
        <w:t>Persons (TIP) case monitoring mechanism between the Supreme Court and Department of Justice</w:t>
      </w:r>
      <w:r w:rsidR="006E5CD9" w:rsidRPr="00AE5A89">
        <w:t xml:space="preserve"> in the Philippines</w:t>
      </w:r>
      <w:r w:rsidR="003324DC" w:rsidRPr="00AE5A89">
        <w:t xml:space="preserve">. The </w:t>
      </w:r>
      <w:r w:rsidR="00A1385C" w:rsidRPr="00AE5A89">
        <w:rPr>
          <w:lang w:val="en-AU"/>
        </w:rPr>
        <w:t xml:space="preserve">program </w:t>
      </w:r>
      <w:r w:rsidR="00275B95" w:rsidRPr="00AE5A89">
        <w:rPr>
          <w:lang w:val="en-AU"/>
        </w:rPr>
        <w:t>helped ensure counter-trafficking</w:t>
      </w:r>
      <w:r w:rsidR="00683099" w:rsidRPr="00AE5A89">
        <w:rPr>
          <w:lang w:val="en-AU"/>
        </w:rPr>
        <w:t xml:space="preserve"> efforts </w:t>
      </w:r>
      <w:r w:rsidR="0056412C" w:rsidRPr="00AE5A89">
        <w:rPr>
          <w:lang w:val="en-AU"/>
        </w:rPr>
        <w:t xml:space="preserve">continued by addressing </w:t>
      </w:r>
      <w:r w:rsidR="00C91F2C" w:rsidRPr="00AE5A89">
        <w:rPr>
          <w:lang w:val="en-AU"/>
        </w:rPr>
        <w:t>new</w:t>
      </w:r>
      <w:r w:rsidR="00683099" w:rsidRPr="00AE5A89">
        <w:rPr>
          <w:lang w:val="en-AU"/>
        </w:rPr>
        <w:t xml:space="preserve"> vulnerabilities </w:t>
      </w:r>
      <w:r w:rsidR="00C91F2C" w:rsidRPr="00AE5A89">
        <w:rPr>
          <w:lang w:val="en-AU"/>
        </w:rPr>
        <w:t>arising from the pandemic.</w:t>
      </w:r>
      <w:r w:rsidR="00A1385C" w:rsidRPr="00AE5A89">
        <w:rPr>
          <w:lang w:val="en-AU"/>
        </w:rPr>
        <w:t xml:space="preserve"> The program support</w:t>
      </w:r>
      <w:r w:rsidR="00C91F2C" w:rsidRPr="00AE5A89">
        <w:rPr>
          <w:lang w:val="en-AU"/>
        </w:rPr>
        <w:t>ed a regional COVID</w:t>
      </w:r>
      <w:r w:rsidR="00C91F2C" w:rsidRPr="00AE5A89">
        <w:rPr>
          <w:lang w:val="en-AU"/>
        </w:rPr>
        <w:noBreakHyphen/>
        <w:t xml:space="preserve">19 situational analysis, </w:t>
      </w:r>
      <w:r w:rsidR="006548E7" w:rsidRPr="00AE5A89">
        <w:rPr>
          <w:lang w:val="en-AU"/>
        </w:rPr>
        <w:t xml:space="preserve">strengthened </w:t>
      </w:r>
      <w:r w:rsidR="00C91F2C" w:rsidRPr="00AE5A89">
        <w:rPr>
          <w:lang w:val="en-AU"/>
        </w:rPr>
        <w:t xml:space="preserve">the </w:t>
      </w:r>
      <w:r w:rsidR="00A1385C" w:rsidRPr="00AE5A89">
        <w:rPr>
          <w:lang w:val="en-AU"/>
        </w:rPr>
        <w:t>justice sector</w:t>
      </w:r>
      <w:r w:rsidR="00C91F2C" w:rsidRPr="00AE5A89">
        <w:rPr>
          <w:lang w:val="en-AU"/>
        </w:rPr>
        <w:t xml:space="preserve"> in seven countries and organised </w:t>
      </w:r>
      <w:r w:rsidR="00A1385C" w:rsidRPr="00AE5A89">
        <w:rPr>
          <w:lang w:val="en-AU"/>
        </w:rPr>
        <w:t>workshops for transnational investigative cooperation</w:t>
      </w:r>
      <w:r w:rsidR="00501B03" w:rsidRPr="00AE5A89">
        <w:rPr>
          <w:lang w:val="en-AU"/>
        </w:rPr>
        <w:t xml:space="preserve">. </w:t>
      </w:r>
    </w:p>
    <w:p w:rsidR="00C75DE5" w:rsidRPr="00AE5A89" w:rsidRDefault="002C32C3" w:rsidP="003324DC">
      <w:pPr>
        <w:suppressAutoHyphens w:val="0"/>
        <w:spacing w:before="0" w:line="240" w:lineRule="auto"/>
        <w:rPr>
          <w:lang w:val="en-AU"/>
        </w:rPr>
      </w:pPr>
      <w:r w:rsidRPr="00AE5A89">
        <w:rPr>
          <w:lang w:val="en-AU"/>
        </w:rPr>
        <w:t>The Tripartite Action to Enhance the Contribution of Labour Migration</w:t>
      </w:r>
      <w:r w:rsidR="00635108" w:rsidRPr="00AE5A89">
        <w:rPr>
          <w:lang w:val="en-AU"/>
        </w:rPr>
        <w:t xml:space="preserve"> to Growth</w:t>
      </w:r>
      <w:r w:rsidRPr="00AE5A89">
        <w:rPr>
          <w:lang w:val="en-AU"/>
        </w:rPr>
        <w:t xml:space="preserve"> and Development (TRIANGLE) in ASEAN</w:t>
      </w:r>
      <w:r w:rsidR="00E6184A" w:rsidRPr="00AE5A89">
        <w:rPr>
          <w:lang w:val="en-AU"/>
        </w:rPr>
        <w:t xml:space="preserve"> </w:t>
      </w:r>
      <w:r w:rsidR="00AC6989" w:rsidRPr="00AE5A89">
        <w:rPr>
          <w:lang w:val="en-AU"/>
        </w:rPr>
        <w:t xml:space="preserve">supports safe migration in the Mekong region. The program supported </w:t>
      </w:r>
      <w:r w:rsidR="003324DC" w:rsidRPr="00AE5A89">
        <w:rPr>
          <w:lang w:val="en-AU" w:eastAsia="en-AU"/>
        </w:rPr>
        <w:t xml:space="preserve">Migrant </w:t>
      </w:r>
      <w:r w:rsidR="006E5CD9" w:rsidRPr="00AE5A89">
        <w:rPr>
          <w:lang w:val="en-AU" w:eastAsia="en-AU"/>
        </w:rPr>
        <w:t>Worker Resource Centres provide</w:t>
      </w:r>
      <w:r w:rsidR="003324DC" w:rsidRPr="00AE5A89">
        <w:rPr>
          <w:lang w:val="en-AU" w:eastAsia="en-AU"/>
        </w:rPr>
        <w:t xml:space="preserve"> counselling, information, training and legal assistance to 26,977 migrant workers and helped to resolve 529 grievance cases involving 3,434 migrant workers. The program provided technical and financial support to the 12th ASEAN Forum on Migrant Labour to support the ACMW</w:t>
      </w:r>
      <w:r w:rsidR="003324DC" w:rsidRPr="00AE5A89">
        <w:rPr>
          <w:rStyle w:val="FootnoteReference"/>
          <w:lang w:val="en-AU" w:eastAsia="en-AU"/>
        </w:rPr>
        <w:footnoteReference w:id="1"/>
      </w:r>
      <w:r w:rsidR="003324DC" w:rsidRPr="00AE5A89">
        <w:rPr>
          <w:lang w:val="en-AU" w:eastAsia="en-AU"/>
        </w:rPr>
        <w:t xml:space="preserve"> </w:t>
      </w:r>
      <w:r w:rsidR="003324DC" w:rsidRPr="00AE5A89">
        <w:rPr>
          <w:i/>
          <w:lang w:val="en-AU" w:eastAsia="en-AU"/>
        </w:rPr>
        <w:t>Action Plan (2015-2020) to implement the ASEAN Declaration the Protection and Promotion of the Rights of Migrant Workers</w:t>
      </w:r>
      <w:r w:rsidR="003324DC" w:rsidRPr="00AE5A89">
        <w:rPr>
          <w:lang w:val="en-AU" w:eastAsia="en-AU"/>
        </w:rPr>
        <w:t>. TRIANGLE also supported Vietnam as ACMW</w:t>
      </w:r>
      <w:r w:rsidR="003324DC" w:rsidRPr="00AE5A89">
        <w:rPr>
          <w:rStyle w:val="FootnoteReference"/>
          <w:lang w:val="en-AU" w:eastAsia="en-AU"/>
        </w:rPr>
        <w:footnoteReference w:id="2"/>
      </w:r>
      <w:r w:rsidR="003324DC" w:rsidRPr="00AE5A89">
        <w:rPr>
          <w:lang w:val="en-AU" w:eastAsia="en-AU"/>
        </w:rPr>
        <w:t xml:space="preserve"> Chair to develop a new action plan for 2021</w:t>
      </w:r>
      <w:r w:rsidR="003324DC" w:rsidRPr="00AE5A89">
        <w:rPr>
          <w:lang w:val="en-AU" w:eastAsia="en-AU"/>
        </w:rPr>
        <w:noBreakHyphen/>
        <w:t xml:space="preserve">25. The TRIANGLE in ASEAN </w:t>
      </w:r>
      <w:r w:rsidR="00C75DE5" w:rsidRPr="00AE5A89">
        <w:rPr>
          <w:lang w:val="en-AU"/>
        </w:rPr>
        <w:t>helped to minimise instability arising from the impact of COVID-19 on migrant workers through emergency food, personal protection equipment and hygiene for</w:t>
      </w:r>
      <w:r w:rsidRPr="00AE5A89">
        <w:rPr>
          <w:lang w:val="en-AU"/>
        </w:rPr>
        <w:t xml:space="preserve"> </w:t>
      </w:r>
      <w:r w:rsidR="00635108" w:rsidRPr="00AE5A89">
        <w:rPr>
          <w:lang w:val="en-AU"/>
        </w:rPr>
        <w:t>17,829</w:t>
      </w:r>
      <w:r w:rsidRPr="00AE5A89">
        <w:rPr>
          <w:lang w:val="en-AU"/>
        </w:rPr>
        <w:t xml:space="preserve"> mi</w:t>
      </w:r>
      <w:r w:rsidR="00C75DE5" w:rsidRPr="00AE5A89">
        <w:rPr>
          <w:lang w:val="en-AU"/>
        </w:rPr>
        <w:t>grant workers and family members.</w:t>
      </w:r>
    </w:p>
    <w:p w:rsidR="00A22238" w:rsidRPr="00AE5A89" w:rsidRDefault="00BA1524" w:rsidP="003324DC">
      <w:pPr>
        <w:suppressAutoHyphens w:val="0"/>
        <w:spacing w:before="0" w:line="240" w:lineRule="auto"/>
        <w:rPr>
          <w:lang w:val="en-AU"/>
        </w:rPr>
      </w:pPr>
      <w:r w:rsidRPr="00AE5A89">
        <w:rPr>
          <w:lang w:val="en-AU"/>
        </w:rPr>
        <w:t>The</w:t>
      </w:r>
      <w:r w:rsidR="00A22238" w:rsidRPr="00AE5A89">
        <w:rPr>
          <w:lang w:val="en-AU"/>
        </w:rPr>
        <w:t xml:space="preserve"> Disability Rights in ASEAN (</w:t>
      </w:r>
      <w:proofErr w:type="spellStart"/>
      <w:r w:rsidR="00A22238" w:rsidRPr="00AE5A89">
        <w:rPr>
          <w:lang w:val="en-AU"/>
        </w:rPr>
        <w:t>DRiA</w:t>
      </w:r>
      <w:proofErr w:type="spellEnd"/>
      <w:r w:rsidR="00A22238" w:rsidRPr="00AE5A89">
        <w:rPr>
          <w:lang w:val="en-AU"/>
        </w:rPr>
        <w:t xml:space="preserve">) </w:t>
      </w:r>
      <w:r w:rsidR="003324DC" w:rsidRPr="00AE5A89">
        <w:rPr>
          <w:lang w:val="en-AU"/>
        </w:rPr>
        <w:t xml:space="preserve">program is promoting inclusive development in the region by supporting the implementation of the ASEAN Enabling Masterplan 2025: Mainstreaming the Rights of Persons with Disabilities. The program supported research on gender and disability to inform the 2019 ASEAN Intergovernmental Commission on Human Rights Regional Dialogue on Gender Perspective on Disability Rights. </w:t>
      </w:r>
      <w:r w:rsidR="008F180B" w:rsidRPr="00AE5A89">
        <w:rPr>
          <w:lang w:val="en-AU"/>
        </w:rPr>
        <w:t>The program</w:t>
      </w:r>
      <w:r w:rsidR="00501B03" w:rsidRPr="00AE5A89">
        <w:rPr>
          <w:lang w:val="en-AU"/>
        </w:rPr>
        <w:t xml:space="preserve"> </w:t>
      </w:r>
      <w:r w:rsidR="00C75DE5" w:rsidRPr="00AE5A89">
        <w:rPr>
          <w:lang w:val="en-AU"/>
        </w:rPr>
        <w:t>helped to ensure the region’s COVID</w:t>
      </w:r>
      <w:r w:rsidR="0056412C" w:rsidRPr="00AE5A89">
        <w:rPr>
          <w:lang w:val="en-AU"/>
        </w:rPr>
        <w:noBreakHyphen/>
      </w:r>
      <w:r w:rsidR="00C75DE5" w:rsidRPr="00AE5A89">
        <w:rPr>
          <w:lang w:val="en-AU"/>
        </w:rPr>
        <w:t xml:space="preserve">19 response </w:t>
      </w:r>
      <w:r w:rsidR="0056412C" w:rsidRPr="00AE5A89">
        <w:rPr>
          <w:lang w:val="en-AU"/>
        </w:rPr>
        <w:t>included the needs of people with a disability</w:t>
      </w:r>
      <w:r w:rsidR="008F180B" w:rsidRPr="00AE5A89">
        <w:rPr>
          <w:lang w:val="en-AU"/>
        </w:rPr>
        <w:t xml:space="preserve"> through</w:t>
      </w:r>
      <w:r w:rsidR="005318CD" w:rsidRPr="00AE5A89">
        <w:rPr>
          <w:lang w:val="en-AU"/>
        </w:rPr>
        <w:t xml:space="preserve"> </w:t>
      </w:r>
      <w:r w:rsidR="008F180B" w:rsidRPr="00AE5A89">
        <w:rPr>
          <w:lang w:val="en-AU"/>
        </w:rPr>
        <w:t>convening</w:t>
      </w:r>
      <w:r w:rsidR="005318CD" w:rsidRPr="00AE5A89">
        <w:rPr>
          <w:lang w:val="en-AU"/>
        </w:rPr>
        <w:t xml:space="preserve"> online forums with stakeholders and decision makers</w:t>
      </w:r>
      <w:r w:rsidR="008F180B" w:rsidRPr="00AE5A89">
        <w:rPr>
          <w:lang w:val="en-AU"/>
        </w:rPr>
        <w:t>.</w:t>
      </w:r>
      <w:r w:rsidR="00A22238" w:rsidRPr="00AE5A89">
        <w:rPr>
          <w:lang w:val="en-AU"/>
        </w:rPr>
        <w:t xml:space="preserve"> </w:t>
      </w:r>
    </w:p>
    <w:p w:rsidR="00C25076" w:rsidRPr="00AE5A89" w:rsidRDefault="00C93FC8" w:rsidP="00D76FDF">
      <w:pPr>
        <w:suppressAutoHyphens w:val="0"/>
        <w:spacing w:before="0" w:line="240" w:lineRule="auto"/>
        <w:ind w:left="3"/>
        <w:rPr>
          <w:lang w:val="en-AU"/>
        </w:rPr>
      </w:pPr>
      <w:r w:rsidRPr="00AE5A89">
        <w:rPr>
          <w:lang w:val="en-AU"/>
        </w:rPr>
        <w:t>The AANZFTA</w:t>
      </w:r>
      <w:r w:rsidRPr="00AE5A89">
        <w:rPr>
          <w:rStyle w:val="FootnoteReference"/>
          <w:lang w:val="en-AU"/>
        </w:rPr>
        <w:footnoteReference w:id="3"/>
      </w:r>
      <w:r w:rsidRPr="00AE5A89">
        <w:rPr>
          <w:lang w:val="en-AU"/>
        </w:rPr>
        <w:t xml:space="preserve"> Economic Cooperation Support Program (AECSP) </w:t>
      </w:r>
      <w:r w:rsidR="00AC6989" w:rsidRPr="00AE5A89">
        <w:rPr>
          <w:lang w:val="en-AU"/>
        </w:rPr>
        <w:t xml:space="preserve">supports ASEAN to implement its trade agreement commitments with Australia and New Zealand. In 2019-20 it </w:t>
      </w:r>
      <w:r w:rsidRPr="00AE5A89">
        <w:rPr>
          <w:lang w:val="en-AU"/>
        </w:rPr>
        <w:t xml:space="preserve">supported </w:t>
      </w:r>
      <w:r w:rsidRPr="00AE5A89">
        <w:t xml:space="preserve">the AANZFTA 2019 Sustainable Procurement Symposium on </w:t>
      </w:r>
      <w:r w:rsidRPr="00AE5A89">
        <w:t>sustainable procurement, international best practices, strategic issues for government procurement, and helped prepare participa</w:t>
      </w:r>
      <w:r w:rsidR="00F42D92" w:rsidRPr="00AE5A89">
        <w:t xml:space="preserve">ting official for </w:t>
      </w:r>
      <w:r w:rsidRPr="00AE5A89">
        <w:t>AANZFTA upgrade negotiations.</w:t>
      </w:r>
      <w:r w:rsidRPr="00AE5A89">
        <w:rPr>
          <w:lang w:val="en-AU"/>
        </w:rPr>
        <w:t xml:space="preserve"> </w:t>
      </w:r>
      <w:r w:rsidR="00A561A6" w:rsidRPr="00AE5A89">
        <w:rPr>
          <w:lang w:val="en-AU"/>
        </w:rPr>
        <w:t xml:space="preserve">The program </w:t>
      </w:r>
      <w:r w:rsidR="00AC6989" w:rsidRPr="00AE5A89">
        <w:rPr>
          <w:lang w:val="en-AU"/>
        </w:rPr>
        <w:t xml:space="preserve">enabled </w:t>
      </w:r>
      <w:r w:rsidRPr="00AE5A89">
        <w:rPr>
          <w:lang w:val="en-AU"/>
        </w:rPr>
        <w:t xml:space="preserve">the strengthening and standardisation of qualifications across </w:t>
      </w:r>
      <w:r w:rsidR="00A561A6" w:rsidRPr="00AE5A89">
        <w:rPr>
          <w:lang w:val="en-AU"/>
        </w:rPr>
        <w:t>ASEAN</w:t>
      </w:r>
      <w:r w:rsidRPr="00AE5A89">
        <w:rPr>
          <w:lang w:val="en-AU"/>
        </w:rPr>
        <w:t xml:space="preserve"> in line with the ASEAN Qual</w:t>
      </w:r>
      <w:r w:rsidR="00A90370" w:rsidRPr="00AE5A89">
        <w:rPr>
          <w:lang w:val="en-AU"/>
        </w:rPr>
        <w:t>ifications Reference Framework</w:t>
      </w:r>
      <w:r w:rsidR="0021070B" w:rsidRPr="00AE5A89">
        <w:rPr>
          <w:lang w:val="en-AU"/>
        </w:rPr>
        <w:t>. A robust</w:t>
      </w:r>
      <w:r w:rsidRPr="00AE5A89">
        <w:rPr>
          <w:lang w:val="en-AU"/>
        </w:rPr>
        <w:t xml:space="preserve"> system </w:t>
      </w:r>
      <w:r w:rsidR="0021070B" w:rsidRPr="00AE5A89">
        <w:rPr>
          <w:lang w:val="en-AU"/>
        </w:rPr>
        <w:t>may</w:t>
      </w:r>
      <w:r w:rsidRPr="00AE5A89">
        <w:rPr>
          <w:lang w:val="en-AU"/>
        </w:rPr>
        <w:t xml:space="preserve"> enable Australia </w:t>
      </w:r>
      <w:r w:rsidR="0021070B" w:rsidRPr="00AE5A89">
        <w:rPr>
          <w:lang w:val="en-AU"/>
        </w:rPr>
        <w:t>to participate under the framework in the future.</w:t>
      </w:r>
    </w:p>
    <w:p w:rsidR="00D76FDF" w:rsidRPr="00AE5A89" w:rsidRDefault="00D76FDF" w:rsidP="00D76FDF">
      <w:pPr>
        <w:suppressAutoHyphens w:val="0"/>
        <w:spacing w:before="0" w:line="240" w:lineRule="auto"/>
        <w:rPr>
          <w:u w:val="single"/>
          <w:lang w:val="en-AU"/>
        </w:rPr>
      </w:pPr>
      <w:r w:rsidRPr="00AE5A89">
        <w:rPr>
          <w:lang w:val="en-AU" w:eastAsia="en-AU"/>
        </w:rPr>
        <w:t xml:space="preserve">The Greater Mekong Water Resources Program (GMWRP) </w:t>
      </w:r>
      <w:r w:rsidR="00D62B26" w:rsidRPr="00AE5A89">
        <w:t xml:space="preserve">supports stronger water resources cooperation and improved infrastructure development </w:t>
      </w:r>
      <w:r w:rsidR="00D62B26" w:rsidRPr="00AE5A89">
        <w:rPr>
          <w:rStyle w:val="Strong"/>
          <w:b w:val="0"/>
          <w:bCs w:val="0"/>
        </w:rPr>
        <w:t xml:space="preserve">to ensure water, food and energy security in the Mekong. </w:t>
      </w:r>
      <w:r w:rsidRPr="00AE5A89">
        <w:rPr>
          <w:lang w:val="en-AU" w:eastAsia="en-AU"/>
        </w:rPr>
        <w:t>The program facilitated the first Mekong-Australia Renewable Energy Dialogue, showcasing Australia’s renewable energy expertise to 13 senior energy and water officials from Mekong countries and the Mekong River Commission (MRC). The program supported 17 projects including the Lao</w:t>
      </w:r>
      <w:r w:rsidR="006E5CD9" w:rsidRPr="00AE5A89">
        <w:rPr>
          <w:lang w:val="en-AU" w:eastAsia="en-AU"/>
        </w:rPr>
        <w:t>s</w:t>
      </w:r>
      <w:r w:rsidRPr="00AE5A89">
        <w:rPr>
          <w:lang w:val="en-AU" w:eastAsia="en-AU"/>
        </w:rPr>
        <w:t xml:space="preserve"> National Water and Water Resources Management Strategy, the Laos National Dam Safety Review, improved irrigation modernization in Vietnam, national water information systems in Thailand, and groundwater mapping in Myanmar. The GMWRP supported the Mekong River Commission to complete the State of Basin Report to frame strategic decision making for the next decade. </w:t>
      </w:r>
    </w:p>
    <w:p w:rsidR="00D76FDF" w:rsidRPr="00AE5A89" w:rsidRDefault="0021070B" w:rsidP="00D76FDF">
      <w:pPr>
        <w:suppressAutoHyphens w:val="0"/>
        <w:spacing w:before="0" w:line="240" w:lineRule="auto"/>
      </w:pPr>
      <w:r w:rsidRPr="00AE5A89">
        <w:t>The Mekong Business Initiative program (MBI) exceeded expected targets in delivering an improved business environment for Small and Medium Enterprises in Cambodia, Laos, Myanmar and Vietnam. MBI leveraged more than AUD83 million</w:t>
      </w:r>
      <w:r w:rsidR="005318CD" w:rsidRPr="00AE5A89">
        <w:t xml:space="preserve"> </w:t>
      </w:r>
      <w:r w:rsidR="007E4001" w:rsidRPr="00AE5A89">
        <w:t xml:space="preserve">in additional funding </w:t>
      </w:r>
      <w:r w:rsidR="005318CD" w:rsidRPr="00AE5A89">
        <w:t>to support companies to scale their social or environmental impact –</w:t>
      </w:r>
      <w:r w:rsidRPr="00AE5A89">
        <w:t xml:space="preserve"> a five-fold </w:t>
      </w:r>
      <w:r w:rsidR="005318CD" w:rsidRPr="00AE5A89">
        <w:t>return on program funding</w:t>
      </w:r>
      <w:r w:rsidR="00D76FDF" w:rsidRPr="00AE5A89">
        <w:t>.</w:t>
      </w:r>
    </w:p>
    <w:p w:rsidR="00D76FDF" w:rsidRPr="00AE5A89" w:rsidRDefault="00D76FDF" w:rsidP="00D76FDF">
      <w:pPr>
        <w:rPr>
          <w:lang w:val="en-AU"/>
        </w:rPr>
      </w:pPr>
      <w:r w:rsidRPr="00AE5A89">
        <w:rPr>
          <w:lang w:val="en-AU"/>
        </w:rPr>
        <w:t xml:space="preserve">Australia supported USAID and the UN Food and Agriculture Organization to improve biosecurity responses in Cambodia, Laos, Myanmar and Vietnam. Through improved zoonotic disease control, the investment contributed to a reduction in reported bird flu outbreaks and established a foundation to support further Health Security investments to respond to COVID-19. </w:t>
      </w:r>
    </w:p>
    <w:p w:rsidR="00D76FDF" w:rsidRPr="00D76FDF" w:rsidRDefault="00D76FDF" w:rsidP="00D76FDF">
      <w:pPr>
        <w:suppressAutoHyphens w:val="0"/>
        <w:spacing w:before="0" w:line="240" w:lineRule="auto"/>
        <w:rPr>
          <w:u w:val="single"/>
          <w:lang w:val="en-AU"/>
        </w:rPr>
        <w:sectPr w:rsidR="00D76FDF" w:rsidRPr="00D76FDF" w:rsidSect="00C32299">
          <w:headerReference w:type="default" r:id="rId16"/>
          <w:footerReference w:type="default" r:id="rId17"/>
          <w:headerReference w:type="first" r:id="rId18"/>
          <w:footerReference w:type="first" r:id="rId19"/>
          <w:type w:val="continuous"/>
          <w:pgSz w:w="11906" w:h="16838" w:code="9"/>
          <w:pgMar w:top="1701" w:right="1134" w:bottom="1418" w:left="1134" w:header="425" w:footer="493" w:gutter="0"/>
          <w:cols w:num="2" w:space="397"/>
          <w:titlePg/>
          <w:docGrid w:linePitch="360"/>
        </w:sectPr>
      </w:pPr>
    </w:p>
    <w:p w:rsidR="00D45D45" w:rsidRDefault="00D00153" w:rsidP="004C5598">
      <w:pPr>
        <w:pStyle w:val="Heading2"/>
        <w:spacing w:before="360" w:line="300" w:lineRule="exact"/>
        <w:contextualSpacing w:val="0"/>
      </w:pPr>
      <w:r>
        <w:lastRenderedPageBreak/>
        <w:t>P</w:t>
      </w:r>
      <w:r w:rsidR="004C5598">
        <w:t>rogress against 2019-20 performance indicators</w:t>
      </w:r>
    </w:p>
    <w:tbl>
      <w:tblPr>
        <w:tblStyle w:val="TableGrid"/>
        <w:tblW w:w="10201" w:type="dxa"/>
        <w:tblLook w:val="04A0" w:firstRow="1" w:lastRow="0" w:firstColumn="1" w:lastColumn="0" w:noHBand="0" w:noVBand="1"/>
        <w:tblCaption w:val="Performance Assessment Framework1"/>
        <w:tblDescription w:val="This program has two strategic objectives and eight performance benchmark, indicators that are used to measure progress."/>
      </w:tblPr>
      <w:tblGrid>
        <w:gridCol w:w="2122"/>
        <w:gridCol w:w="3260"/>
        <w:gridCol w:w="4819"/>
      </w:tblGrid>
      <w:tr w:rsidR="00D45D45" w:rsidTr="00796F4C">
        <w:trPr>
          <w:trHeight w:val="558"/>
          <w:tblHeader/>
        </w:trPr>
        <w:tc>
          <w:tcPr>
            <w:tcW w:w="2122" w:type="dxa"/>
            <w:shd w:val="clear" w:color="auto" w:fill="E0F3EF" w:themeFill="accent1" w:themeFillTint="33"/>
          </w:tcPr>
          <w:p w:rsidR="00D45D45" w:rsidRPr="00274483" w:rsidRDefault="00D45D45" w:rsidP="00D45D45">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 xml:space="preserve">title of strategic </w:t>
            </w:r>
            <w:r w:rsidRPr="00274483">
              <w:rPr>
                <w:rFonts w:asciiTheme="majorHAnsi" w:eastAsiaTheme="majorEastAsia" w:hAnsiTheme="majorHAnsi" w:cstheme="majorHAnsi"/>
                <w:b/>
                <w:caps/>
                <w:sz w:val="20"/>
                <w:szCs w:val="20"/>
              </w:rPr>
              <w:t>OBJECTIVE</w:t>
            </w:r>
          </w:p>
        </w:tc>
        <w:tc>
          <w:tcPr>
            <w:tcW w:w="3260" w:type="dxa"/>
            <w:shd w:val="clear" w:color="auto" w:fill="E0F3EF" w:themeFill="accent1" w:themeFillTint="33"/>
          </w:tcPr>
          <w:p w:rsidR="00D45D45" w:rsidRDefault="00D45D45" w:rsidP="00D45D45">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Performance assessment framework indicator/benchmark</w:t>
            </w:r>
          </w:p>
        </w:tc>
        <w:tc>
          <w:tcPr>
            <w:tcW w:w="4819" w:type="dxa"/>
            <w:shd w:val="clear" w:color="auto" w:fill="E0F3EF" w:themeFill="accent1" w:themeFillTint="33"/>
          </w:tcPr>
          <w:p w:rsidR="00D45D45" w:rsidRPr="00274483" w:rsidRDefault="00D45D45" w:rsidP="00D45D45">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Brief summary of progress against indicator/benchmark</w:t>
            </w:r>
          </w:p>
        </w:tc>
      </w:tr>
      <w:tr w:rsidR="00D45D45" w:rsidTr="00796F4C">
        <w:trPr>
          <w:tblHeader/>
        </w:trPr>
        <w:tc>
          <w:tcPr>
            <w:tcW w:w="2122" w:type="dxa"/>
          </w:tcPr>
          <w:p w:rsidR="00D45D45" w:rsidRDefault="00D45D45" w:rsidP="00D45D45">
            <w:pPr>
              <w:pStyle w:val="BodyText"/>
              <w:spacing w:before="40" w:after="40" w:line="240" w:lineRule="auto"/>
              <w:rPr>
                <w:sz w:val="20"/>
                <w:szCs w:val="20"/>
              </w:rPr>
            </w:pPr>
            <w:r w:rsidRPr="00E272D7">
              <w:rPr>
                <w:sz w:val="20"/>
                <w:szCs w:val="20"/>
              </w:rPr>
              <w:t>Objective 1</w:t>
            </w:r>
            <w:r>
              <w:rPr>
                <w:sz w:val="20"/>
                <w:szCs w:val="20"/>
              </w:rPr>
              <w:t>.</w:t>
            </w:r>
          </w:p>
          <w:p w:rsidR="00D45D45" w:rsidRPr="00E272D7" w:rsidRDefault="00D45D45" w:rsidP="00D45D45">
            <w:pPr>
              <w:pStyle w:val="BodyText"/>
              <w:spacing w:before="40" w:after="40" w:line="240" w:lineRule="auto"/>
              <w:rPr>
                <w:sz w:val="20"/>
                <w:szCs w:val="20"/>
              </w:rPr>
            </w:pPr>
            <w:r w:rsidRPr="00E272D7">
              <w:rPr>
                <w:sz w:val="20"/>
                <w:szCs w:val="20"/>
              </w:rPr>
              <w:t>Enabling regional economic cooperation and inclusive growth</w:t>
            </w:r>
          </w:p>
        </w:tc>
        <w:tc>
          <w:tcPr>
            <w:tcW w:w="3260" w:type="dxa"/>
          </w:tcPr>
          <w:p w:rsidR="00D45D45" w:rsidRDefault="00D45D45" w:rsidP="00D45D45">
            <w:pPr>
              <w:pStyle w:val="BodyText"/>
              <w:spacing w:before="40" w:after="40" w:line="240" w:lineRule="auto"/>
              <w:rPr>
                <w:sz w:val="20"/>
                <w:szCs w:val="20"/>
              </w:rPr>
            </w:pPr>
            <w:r w:rsidRPr="00AF0272">
              <w:rPr>
                <w:rFonts w:asciiTheme="majorHAnsi" w:hAnsiTheme="majorHAnsi" w:cstheme="majorHAnsi"/>
                <w:sz w:val="20"/>
                <w:szCs w:val="20"/>
              </w:rPr>
              <w:t>1.1</w:t>
            </w:r>
            <w:r>
              <w:rPr>
                <w:sz w:val="20"/>
                <w:szCs w:val="20"/>
              </w:rPr>
              <w:t xml:space="preserve"> </w:t>
            </w:r>
            <w:r w:rsidRPr="00E272D7">
              <w:rPr>
                <w:sz w:val="20"/>
                <w:szCs w:val="20"/>
              </w:rPr>
              <w:t>Evidence of high quality and timely economic research, policy advice and policy implementation support to ASEAN on priority A</w:t>
            </w:r>
            <w:r>
              <w:rPr>
                <w:sz w:val="20"/>
                <w:szCs w:val="20"/>
              </w:rPr>
              <w:t xml:space="preserve">SEAN </w:t>
            </w:r>
            <w:r w:rsidRPr="00E272D7">
              <w:rPr>
                <w:sz w:val="20"/>
                <w:szCs w:val="20"/>
              </w:rPr>
              <w:t>E</w:t>
            </w:r>
            <w:r>
              <w:rPr>
                <w:sz w:val="20"/>
                <w:szCs w:val="20"/>
              </w:rPr>
              <w:t xml:space="preserve">conomic </w:t>
            </w:r>
            <w:r w:rsidRPr="00E272D7">
              <w:rPr>
                <w:sz w:val="20"/>
                <w:szCs w:val="20"/>
              </w:rPr>
              <w:t>C</w:t>
            </w:r>
            <w:r>
              <w:rPr>
                <w:sz w:val="20"/>
                <w:szCs w:val="20"/>
              </w:rPr>
              <w:t>ommunity</w:t>
            </w:r>
            <w:r w:rsidRPr="00E272D7">
              <w:rPr>
                <w:sz w:val="20"/>
                <w:szCs w:val="20"/>
              </w:rPr>
              <w:t xml:space="preserve"> issues (Target: survey results confirmed satisfaction by ASEAN regarding quality and timeliness of relevant research, advice and support).</w:t>
            </w:r>
          </w:p>
          <w:p w:rsidR="00D45D45" w:rsidRDefault="00D45D45" w:rsidP="00D45D45">
            <w:pPr>
              <w:pStyle w:val="BodyText"/>
              <w:spacing w:before="40" w:after="40" w:line="240" w:lineRule="auto"/>
              <w:rPr>
                <w:sz w:val="20"/>
                <w:szCs w:val="20"/>
              </w:rPr>
            </w:pPr>
            <w:r w:rsidRPr="00AF0272">
              <w:rPr>
                <w:rFonts w:asciiTheme="majorHAnsi" w:hAnsiTheme="majorHAnsi" w:cstheme="majorHAnsi"/>
                <w:sz w:val="20"/>
                <w:szCs w:val="20"/>
              </w:rPr>
              <w:t>1.2</w:t>
            </w:r>
            <w:r>
              <w:rPr>
                <w:sz w:val="20"/>
                <w:szCs w:val="20"/>
              </w:rPr>
              <w:t xml:space="preserve"> E</w:t>
            </w:r>
            <w:r w:rsidRPr="00E272D7">
              <w:rPr>
                <w:sz w:val="20"/>
                <w:szCs w:val="20"/>
              </w:rPr>
              <w:t>vidence of AECSP capacity building projects supporting AANZFTA implementation (Target: 20 capacity building projects support AANZFTA).</w:t>
            </w:r>
          </w:p>
          <w:p w:rsidR="00D45D45" w:rsidRDefault="00D45D45" w:rsidP="00D45D45">
            <w:pPr>
              <w:pStyle w:val="BodyText"/>
              <w:spacing w:before="40" w:after="40" w:line="240" w:lineRule="auto"/>
              <w:rPr>
                <w:sz w:val="20"/>
                <w:szCs w:val="20"/>
              </w:rPr>
            </w:pPr>
            <w:r w:rsidRPr="00AF0272">
              <w:rPr>
                <w:rFonts w:asciiTheme="majorHAnsi" w:hAnsiTheme="majorHAnsi" w:cstheme="majorHAnsi"/>
                <w:sz w:val="20"/>
                <w:szCs w:val="20"/>
              </w:rPr>
              <w:t>1.3</w:t>
            </w:r>
            <w:r>
              <w:rPr>
                <w:sz w:val="20"/>
                <w:szCs w:val="20"/>
              </w:rPr>
              <w:t xml:space="preserve"> N</w:t>
            </w:r>
            <w:r w:rsidRPr="00E272D7">
              <w:rPr>
                <w:sz w:val="20"/>
                <w:szCs w:val="20"/>
              </w:rPr>
              <w:t>umber of new challenge fund grant agreements that improve women’s financial inclusion under implementation (Target: 2)</w:t>
            </w:r>
          </w:p>
          <w:p w:rsidR="00D45D45" w:rsidRPr="00E272D7" w:rsidRDefault="00D45D45" w:rsidP="00D45D45">
            <w:pPr>
              <w:pStyle w:val="BodyText"/>
              <w:spacing w:before="40" w:after="40" w:line="240" w:lineRule="auto"/>
              <w:rPr>
                <w:sz w:val="20"/>
                <w:szCs w:val="20"/>
              </w:rPr>
            </w:pPr>
            <w:r w:rsidRPr="00AF0272">
              <w:rPr>
                <w:rFonts w:asciiTheme="majorHAnsi" w:hAnsiTheme="majorHAnsi" w:cstheme="majorHAnsi"/>
                <w:sz w:val="20"/>
                <w:szCs w:val="20"/>
              </w:rPr>
              <w:t>1.4</w:t>
            </w:r>
            <w:r>
              <w:rPr>
                <w:sz w:val="20"/>
                <w:szCs w:val="20"/>
              </w:rPr>
              <w:t xml:space="preserve"> </w:t>
            </w:r>
            <w:r w:rsidRPr="00E272D7">
              <w:rPr>
                <w:sz w:val="20"/>
                <w:szCs w:val="20"/>
              </w:rPr>
              <w:t>Strengthened institutional water resource management frameworks (Target: 4).</w:t>
            </w:r>
          </w:p>
        </w:tc>
        <w:tc>
          <w:tcPr>
            <w:tcW w:w="4819" w:type="dxa"/>
          </w:tcPr>
          <w:p w:rsidR="00D45D45" w:rsidRDefault="00D45D45" w:rsidP="00D45D45">
            <w:pPr>
              <w:pStyle w:val="BodyText"/>
              <w:spacing w:before="40" w:after="40" w:line="240" w:lineRule="auto"/>
              <w:rPr>
                <w:sz w:val="20"/>
                <w:szCs w:val="20"/>
              </w:rPr>
            </w:pPr>
            <w:r>
              <w:rPr>
                <w:sz w:val="20"/>
                <w:szCs w:val="20"/>
              </w:rPr>
              <w:t>~</w:t>
            </w:r>
            <w:r w:rsidRPr="005F064E">
              <w:rPr>
                <w:sz w:val="20"/>
                <w:szCs w:val="20"/>
              </w:rPr>
              <w:t xml:space="preserve">The Independent Review of AADCP II in 2019 found that AADCP II </w:t>
            </w:r>
            <w:r>
              <w:rPr>
                <w:sz w:val="20"/>
                <w:szCs w:val="20"/>
              </w:rPr>
              <w:t xml:space="preserve">met its benchmark in supporting ASEAN on AEC implementation. </w:t>
            </w:r>
            <w:r w:rsidRPr="005F064E">
              <w:rPr>
                <w:sz w:val="20"/>
                <w:szCs w:val="20"/>
              </w:rPr>
              <w:t>The 35th ASEAN Summit Chairman</w:t>
            </w:r>
            <w:r>
              <w:rPr>
                <w:sz w:val="20"/>
                <w:szCs w:val="20"/>
              </w:rPr>
              <w:t>’s</w:t>
            </w:r>
            <w:r w:rsidRPr="005F064E">
              <w:rPr>
                <w:sz w:val="20"/>
                <w:szCs w:val="20"/>
              </w:rPr>
              <w:t xml:space="preserve"> Statement in November 2019 gave prominen</w:t>
            </w:r>
            <w:r>
              <w:rPr>
                <w:sz w:val="20"/>
                <w:szCs w:val="20"/>
              </w:rPr>
              <w:t>t mention to four recent AADCP projects</w:t>
            </w:r>
            <w:r w:rsidRPr="005F064E">
              <w:rPr>
                <w:sz w:val="20"/>
                <w:szCs w:val="20"/>
              </w:rPr>
              <w:t xml:space="preserve">. </w:t>
            </w:r>
            <w:r>
              <w:rPr>
                <w:sz w:val="20"/>
                <w:szCs w:val="20"/>
              </w:rPr>
              <w:t>T</w:t>
            </w:r>
            <w:r w:rsidRPr="005F064E">
              <w:rPr>
                <w:sz w:val="20"/>
                <w:szCs w:val="20"/>
              </w:rPr>
              <w:t>he Chairman commended the completion of the Initial Rolling Priority Pipeline of ASEAN Infrastructure Projects which presents opportunities for sustainable infrastructure development and investment in ASEAN.</w:t>
            </w:r>
            <w:r>
              <w:rPr>
                <w:sz w:val="20"/>
                <w:szCs w:val="20"/>
              </w:rPr>
              <w:t xml:space="preserve">  </w:t>
            </w:r>
            <w:r w:rsidRPr="005F064E">
              <w:rPr>
                <w:sz w:val="20"/>
                <w:szCs w:val="20"/>
              </w:rPr>
              <w:t>The ERIA support program’s</w:t>
            </w:r>
            <w:r>
              <w:rPr>
                <w:sz w:val="20"/>
                <w:szCs w:val="20"/>
              </w:rPr>
              <w:t xml:space="preserve"> Annual Report </w:t>
            </w:r>
            <w:r w:rsidRPr="005F064E">
              <w:rPr>
                <w:sz w:val="20"/>
                <w:szCs w:val="20"/>
              </w:rPr>
              <w:t>highlighted that capacity building activities received positive feedback from Cambodia, Lao and Myanmar government officials</w:t>
            </w:r>
            <w:r>
              <w:rPr>
                <w:sz w:val="20"/>
                <w:szCs w:val="20"/>
              </w:rPr>
              <w:t>.</w:t>
            </w:r>
          </w:p>
          <w:p w:rsidR="00D45D45" w:rsidRDefault="00D45D45" w:rsidP="00D45D45">
            <w:pPr>
              <w:pStyle w:val="BodyText"/>
              <w:spacing w:before="40" w:after="40" w:line="240" w:lineRule="auto"/>
              <w:rPr>
                <w:sz w:val="20"/>
                <w:szCs w:val="20"/>
              </w:rPr>
            </w:pPr>
            <w:r>
              <w:rPr>
                <w:sz w:val="20"/>
                <w:szCs w:val="20"/>
              </w:rPr>
              <w:t>~</w:t>
            </w:r>
            <w:r w:rsidRPr="006B5A15">
              <w:rPr>
                <w:sz w:val="20"/>
                <w:szCs w:val="20"/>
              </w:rPr>
              <w:t>The AECSP delivered over 50 regional and in-country activities across 17 active projects, 1043 female and 868 male participants, and 12 successfully completed projects, supporting AANZFTA implementation in 2019/20.</w:t>
            </w:r>
          </w:p>
          <w:p w:rsidR="00D45D45" w:rsidRDefault="00D45D45" w:rsidP="00D45D45">
            <w:pPr>
              <w:pStyle w:val="BodyText"/>
              <w:spacing w:before="40" w:after="40" w:line="240" w:lineRule="auto"/>
              <w:rPr>
                <w:sz w:val="20"/>
                <w:szCs w:val="20"/>
              </w:rPr>
            </w:pPr>
            <w:r>
              <w:rPr>
                <w:sz w:val="20"/>
                <w:szCs w:val="20"/>
              </w:rPr>
              <w:t>~</w:t>
            </w:r>
            <w:r w:rsidRPr="003E27D5">
              <w:rPr>
                <w:sz w:val="20"/>
                <w:szCs w:val="20"/>
              </w:rPr>
              <w:t xml:space="preserve">SHIFT ASEAN exceeded its performance benchmark. In 2019-20, three new women enterprise </w:t>
            </w:r>
            <w:r>
              <w:rPr>
                <w:sz w:val="20"/>
                <w:szCs w:val="20"/>
              </w:rPr>
              <w:t xml:space="preserve">grant </w:t>
            </w:r>
            <w:r w:rsidRPr="003E27D5">
              <w:rPr>
                <w:sz w:val="20"/>
                <w:szCs w:val="20"/>
              </w:rPr>
              <w:t xml:space="preserve">agreements were signed </w:t>
            </w:r>
            <w:r>
              <w:rPr>
                <w:sz w:val="20"/>
                <w:szCs w:val="20"/>
              </w:rPr>
              <w:t xml:space="preserve">in Southeast Asia. Seven projects in ASEAN are being implemented of which five were </w:t>
            </w:r>
            <w:r w:rsidRPr="003E27D5">
              <w:rPr>
                <w:sz w:val="20"/>
                <w:szCs w:val="20"/>
              </w:rPr>
              <w:t xml:space="preserve">on track against project milestones </w:t>
            </w:r>
            <w:r>
              <w:rPr>
                <w:sz w:val="20"/>
                <w:szCs w:val="20"/>
              </w:rPr>
              <w:t>pre-</w:t>
            </w:r>
            <w:r w:rsidRPr="003E27D5">
              <w:rPr>
                <w:sz w:val="20"/>
                <w:szCs w:val="20"/>
              </w:rPr>
              <w:t xml:space="preserve">COVID-19. The Challenge Fund Facility </w:t>
            </w:r>
            <w:r>
              <w:rPr>
                <w:sz w:val="20"/>
                <w:szCs w:val="20"/>
              </w:rPr>
              <w:t>continues</w:t>
            </w:r>
            <w:r w:rsidRPr="003E27D5">
              <w:rPr>
                <w:sz w:val="20"/>
                <w:szCs w:val="20"/>
              </w:rPr>
              <w:t xml:space="preserve"> to be used across the Asia-Pacific</w:t>
            </w:r>
            <w:r>
              <w:rPr>
                <w:sz w:val="20"/>
                <w:szCs w:val="20"/>
              </w:rPr>
              <w:t xml:space="preserve"> by the UN Capital Development Fund, including plans for a </w:t>
            </w:r>
            <w:r w:rsidRPr="003E27D5">
              <w:rPr>
                <w:sz w:val="20"/>
                <w:szCs w:val="20"/>
              </w:rPr>
              <w:t>fu</w:t>
            </w:r>
            <w:r>
              <w:rPr>
                <w:sz w:val="20"/>
                <w:szCs w:val="20"/>
              </w:rPr>
              <w:t>rther</w:t>
            </w:r>
            <w:r w:rsidRPr="003E27D5">
              <w:rPr>
                <w:sz w:val="20"/>
                <w:szCs w:val="20"/>
              </w:rPr>
              <w:t xml:space="preserve"> window responding to COVID-19. In 2019, over 473,000 additional direct beneficiaries (38% women) accessed SHIFT supported financial services</w:t>
            </w:r>
            <w:r>
              <w:rPr>
                <w:sz w:val="20"/>
                <w:szCs w:val="20"/>
              </w:rPr>
              <w:t>.</w:t>
            </w:r>
          </w:p>
          <w:p w:rsidR="00D45D45" w:rsidRDefault="00D45D45" w:rsidP="00D45D45">
            <w:pPr>
              <w:pStyle w:val="BodyText"/>
              <w:spacing w:before="40" w:after="40" w:line="240" w:lineRule="auto"/>
              <w:rPr>
                <w:sz w:val="20"/>
                <w:szCs w:val="20"/>
              </w:rPr>
            </w:pPr>
            <w:r>
              <w:rPr>
                <w:sz w:val="20"/>
                <w:szCs w:val="20"/>
              </w:rPr>
              <w:t>~</w:t>
            </w:r>
            <w:r w:rsidRPr="006B5A15">
              <w:rPr>
                <w:sz w:val="20"/>
                <w:szCs w:val="20"/>
              </w:rPr>
              <w:t>The G</w:t>
            </w:r>
            <w:r>
              <w:rPr>
                <w:sz w:val="20"/>
                <w:szCs w:val="20"/>
              </w:rPr>
              <w:t xml:space="preserve">reater </w:t>
            </w:r>
            <w:r w:rsidRPr="006B5A15">
              <w:rPr>
                <w:sz w:val="20"/>
                <w:szCs w:val="20"/>
              </w:rPr>
              <w:t>M</w:t>
            </w:r>
            <w:r>
              <w:rPr>
                <w:sz w:val="20"/>
                <w:szCs w:val="20"/>
              </w:rPr>
              <w:t xml:space="preserve">ekong </w:t>
            </w:r>
            <w:r w:rsidRPr="006B5A15">
              <w:rPr>
                <w:sz w:val="20"/>
                <w:szCs w:val="20"/>
              </w:rPr>
              <w:t>W</w:t>
            </w:r>
            <w:r>
              <w:rPr>
                <w:sz w:val="20"/>
                <w:szCs w:val="20"/>
              </w:rPr>
              <w:t xml:space="preserve">ater </w:t>
            </w:r>
            <w:r w:rsidRPr="006B5A15">
              <w:rPr>
                <w:sz w:val="20"/>
                <w:szCs w:val="20"/>
              </w:rPr>
              <w:t>R</w:t>
            </w:r>
            <w:r>
              <w:rPr>
                <w:sz w:val="20"/>
                <w:szCs w:val="20"/>
              </w:rPr>
              <w:t xml:space="preserve">esources </w:t>
            </w:r>
            <w:r w:rsidRPr="006B5A15">
              <w:rPr>
                <w:sz w:val="20"/>
                <w:szCs w:val="20"/>
              </w:rPr>
              <w:t>P</w:t>
            </w:r>
            <w:r>
              <w:rPr>
                <w:sz w:val="20"/>
                <w:szCs w:val="20"/>
              </w:rPr>
              <w:t>rogram</w:t>
            </w:r>
            <w:r w:rsidRPr="006B5A15">
              <w:rPr>
                <w:sz w:val="20"/>
                <w:szCs w:val="20"/>
              </w:rPr>
              <w:t xml:space="preserve"> met its performance benchmark with both national and regional framew</w:t>
            </w:r>
            <w:r>
              <w:rPr>
                <w:sz w:val="20"/>
                <w:szCs w:val="20"/>
              </w:rPr>
              <w:t>orks strengthened:</w:t>
            </w:r>
          </w:p>
          <w:p w:rsidR="00D45D45" w:rsidRDefault="00D45D45" w:rsidP="00D45D45">
            <w:pPr>
              <w:pStyle w:val="BodyText"/>
              <w:numPr>
                <w:ilvl w:val="0"/>
                <w:numId w:val="13"/>
              </w:numPr>
              <w:spacing w:before="40" w:after="40" w:line="240" w:lineRule="auto"/>
              <w:ind w:left="174" w:hanging="174"/>
              <w:rPr>
                <w:sz w:val="20"/>
                <w:szCs w:val="20"/>
              </w:rPr>
            </w:pPr>
            <w:r>
              <w:rPr>
                <w:sz w:val="20"/>
                <w:szCs w:val="20"/>
              </w:rPr>
              <w:t xml:space="preserve">Supported the </w:t>
            </w:r>
            <w:r w:rsidRPr="006B5A15">
              <w:rPr>
                <w:sz w:val="20"/>
                <w:szCs w:val="20"/>
              </w:rPr>
              <w:t>M</w:t>
            </w:r>
            <w:r>
              <w:rPr>
                <w:sz w:val="20"/>
                <w:szCs w:val="20"/>
              </w:rPr>
              <w:t xml:space="preserve">ekong </w:t>
            </w:r>
            <w:r w:rsidRPr="006B5A15">
              <w:rPr>
                <w:sz w:val="20"/>
                <w:szCs w:val="20"/>
              </w:rPr>
              <w:t>R</w:t>
            </w:r>
            <w:r>
              <w:rPr>
                <w:sz w:val="20"/>
                <w:szCs w:val="20"/>
              </w:rPr>
              <w:t xml:space="preserve">iver </w:t>
            </w:r>
            <w:r w:rsidRPr="006B5A15">
              <w:rPr>
                <w:sz w:val="20"/>
                <w:szCs w:val="20"/>
              </w:rPr>
              <w:t>C</w:t>
            </w:r>
            <w:r>
              <w:rPr>
                <w:sz w:val="20"/>
                <w:szCs w:val="20"/>
              </w:rPr>
              <w:t>ommission</w:t>
            </w:r>
            <w:r w:rsidRPr="006B5A15">
              <w:rPr>
                <w:sz w:val="20"/>
                <w:szCs w:val="20"/>
              </w:rPr>
              <w:t xml:space="preserve"> to implement procedures under the 1995 Mekong agreement, conduct routine monitoring and assessment and set strategic directions for the next ten years; </w:t>
            </w:r>
          </w:p>
          <w:p w:rsidR="00D45D45" w:rsidRDefault="00D45D45" w:rsidP="00D45D45">
            <w:pPr>
              <w:pStyle w:val="BodyText"/>
              <w:numPr>
                <w:ilvl w:val="0"/>
                <w:numId w:val="13"/>
              </w:numPr>
              <w:spacing w:before="40" w:after="40" w:line="240" w:lineRule="auto"/>
              <w:ind w:left="174" w:hanging="174"/>
              <w:rPr>
                <w:sz w:val="20"/>
                <w:szCs w:val="20"/>
              </w:rPr>
            </w:pPr>
            <w:r>
              <w:rPr>
                <w:sz w:val="20"/>
                <w:szCs w:val="20"/>
              </w:rPr>
              <w:t>M</w:t>
            </w:r>
            <w:r w:rsidRPr="006B5A15">
              <w:rPr>
                <w:sz w:val="20"/>
                <w:szCs w:val="20"/>
              </w:rPr>
              <w:t xml:space="preserve">obilised Australia’s water expertise to assist Mekong governments on their water reform priorities including dam safety inspection in Laos; </w:t>
            </w:r>
          </w:p>
          <w:p w:rsidR="00D45D45" w:rsidRDefault="00D45D45" w:rsidP="00D45D45">
            <w:pPr>
              <w:pStyle w:val="BodyText"/>
              <w:numPr>
                <w:ilvl w:val="0"/>
                <w:numId w:val="13"/>
              </w:numPr>
              <w:spacing w:before="40" w:after="40" w:line="240" w:lineRule="auto"/>
              <w:ind w:left="174" w:hanging="174"/>
              <w:rPr>
                <w:sz w:val="20"/>
                <w:szCs w:val="20"/>
              </w:rPr>
            </w:pPr>
            <w:r>
              <w:rPr>
                <w:sz w:val="20"/>
                <w:szCs w:val="20"/>
              </w:rPr>
              <w:t>A</w:t>
            </w:r>
            <w:r w:rsidRPr="006B5A15">
              <w:rPr>
                <w:sz w:val="20"/>
                <w:szCs w:val="20"/>
              </w:rPr>
              <w:t xml:space="preserve">ided the government of Laos and Myanmar completing cumulative impact assessments to better manage environment &amp; social risk at basin </w:t>
            </w:r>
            <w:r>
              <w:rPr>
                <w:sz w:val="20"/>
                <w:szCs w:val="20"/>
              </w:rPr>
              <w:t>level</w:t>
            </w:r>
            <w:r w:rsidRPr="006B5A15">
              <w:rPr>
                <w:sz w:val="20"/>
                <w:szCs w:val="20"/>
              </w:rPr>
              <w:t xml:space="preserve">; </w:t>
            </w:r>
          </w:p>
          <w:p w:rsidR="00D45D45" w:rsidRPr="005F064E" w:rsidRDefault="00D45D45" w:rsidP="00D45D45">
            <w:pPr>
              <w:pStyle w:val="BodyText"/>
              <w:numPr>
                <w:ilvl w:val="0"/>
                <w:numId w:val="13"/>
              </w:numPr>
              <w:spacing w:before="40" w:after="40" w:line="240" w:lineRule="auto"/>
              <w:ind w:left="174" w:hanging="174"/>
              <w:rPr>
                <w:sz w:val="20"/>
                <w:szCs w:val="20"/>
              </w:rPr>
            </w:pPr>
            <w:r>
              <w:rPr>
                <w:sz w:val="20"/>
                <w:szCs w:val="20"/>
              </w:rPr>
              <w:t>S</w:t>
            </w:r>
            <w:r w:rsidRPr="006B5A15">
              <w:rPr>
                <w:sz w:val="20"/>
                <w:szCs w:val="20"/>
              </w:rPr>
              <w:t>upported civil society to influence decision-making in water governance processes across the region, including through empowered women leadership.</w:t>
            </w:r>
          </w:p>
        </w:tc>
      </w:tr>
    </w:tbl>
    <w:p w:rsidR="004C5598" w:rsidRDefault="00C32299" w:rsidP="004C5598">
      <w:pPr>
        <w:pStyle w:val="Heading2"/>
        <w:spacing w:before="360" w:line="300" w:lineRule="exact"/>
        <w:contextualSpacing w:val="0"/>
        <w:rPr>
          <w:sz w:val="24"/>
          <w:szCs w:val="24"/>
        </w:rPr>
      </w:pPr>
      <w:r>
        <w:lastRenderedPageBreak/>
        <w:br/>
      </w:r>
    </w:p>
    <w:tbl>
      <w:tblPr>
        <w:tblStyle w:val="TableGrid"/>
        <w:tblW w:w="10201" w:type="dxa"/>
        <w:tblLook w:val="04A0" w:firstRow="1" w:lastRow="0" w:firstColumn="1" w:lastColumn="0" w:noHBand="0" w:noVBand="1"/>
        <w:tblCaption w:val="Performance Assessment Framework2"/>
        <w:tblDescription w:val="This program has two strategic objectives and eight performance benchmark, indicators that are used to measure progress against."/>
      </w:tblPr>
      <w:tblGrid>
        <w:gridCol w:w="2095"/>
        <w:gridCol w:w="3287"/>
        <w:gridCol w:w="4819"/>
      </w:tblGrid>
      <w:tr w:rsidR="004C5598" w:rsidRPr="00274483" w:rsidTr="00796F4C">
        <w:trPr>
          <w:tblHeader/>
        </w:trPr>
        <w:tc>
          <w:tcPr>
            <w:tcW w:w="2095" w:type="dxa"/>
            <w:shd w:val="clear" w:color="auto" w:fill="C1E7E0" w:themeFill="accent1" w:themeFillTint="66"/>
          </w:tcPr>
          <w:p w:rsidR="004C5598" w:rsidRPr="00274483" w:rsidRDefault="00D45D45" w:rsidP="00DE253E">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 xml:space="preserve">title of strategic </w:t>
            </w:r>
            <w:r w:rsidRPr="00274483">
              <w:rPr>
                <w:rFonts w:asciiTheme="majorHAnsi" w:eastAsiaTheme="majorEastAsia" w:hAnsiTheme="majorHAnsi" w:cstheme="majorHAnsi"/>
                <w:b/>
                <w:caps/>
                <w:sz w:val="20"/>
                <w:szCs w:val="20"/>
              </w:rPr>
              <w:t>OBJECTIVE</w:t>
            </w:r>
          </w:p>
        </w:tc>
        <w:tc>
          <w:tcPr>
            <w:tcW w:w="3287" w:type="dxa"/>
            <w:shd w:val="clear" w:color="auto" w:fill="C1E7E0" w:themeFill="accent1" w:themeFillTint="66"/>
          </w:tcPr>
          <w:p w:rsidR="004C5598" w:rsidRDefault="004C5598" w:rsidP="00DE253E">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Performance assessment framework indicator/benchmark</w:t>
            </w:r>
          </w:p>
        </w:tc>
        <w:tc>
          <w:tcPr>
            <w:tcW w:w="4819" w:type="dxa"/>
            <w:shd w:val="clear" w:color="auto" w:fill="C1E7E0" w:themeFill="accent1" w:themeFillTint="66"/>
          </w:tcPr>
          <w:p w:rsidR="004C5598" w:rsidRPr="00274483" w:rsidRDefault="004C5598" w:rsidP="001A7ED5">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Brief summary of progress against indicator/ben</w:t>
            </w:r>
            <w:r w:rsidR="001A7ED5">
              <w:rPr>
                <w:rFonts w:asciiTheme="majorHAnsi" w:eastAsiaTheme="majorEastAsia" w:hAnsiTheme="majorHAnsi" w:cstheme="majorHAnsi"/>
                <w:b/>
                <w:caps/>
                <w:sz w:val="20"/>
                <w:szCs w:val="20"/>
              </w:rPr>
              <w:t>ch</w:t>
            </w:r>
            <w:r>
              <w:rPr>
                <w:rFonts w:asciiTheme="majorHAnsi" w:eastAsiaTheme="majorEastAsia" w:hAnsiTheme="majorHAnsi" w:cstheme="majorHAnsi"/>
                <w:b/>
                <w:caps/>
                <w:sz w:val="20"/>
                <w:szCs w:val="20"/>
              </w:rPr>
              <w:t>mark</w:t>
            </w:r>
          </w:p>
        </w:tc>
      </w:tr>
      <w:tr w:rsidR="001A7ED5" w:rsidRPr="00274483" w:rsidTr="00796F4C">
        <w:trPr>
          <w:tblHeader/>
        </w:trPr>
        <w:tc>
          <w:tcPr>
            <w:tcW w:w="2095" w:type="dxa"/>
          </w:tcPr>
          <w:p w:rsidR="001A7ED5" w:rsidRPr="00E272D7" w:rsidRDefault="00644C7D" w:rsidP="00954F96">
            <w:pPr>
              <w:pStyle w:val="BodyText"/>
              <w:spacing w:before="40" w:after="40" w:line="240" w:lineRule="auto"/>
              <w:rPr>
                <w:sz w:val="20"/>
                <w:szCs w:val="20"/>
              </w:rPr>
            </w:pPr>
            <w:r w:rsidRPr="00E272D7">
              <w:rPr>
                <w:sz w:val="20"/>
                <w:szCs w:val="20"/>
              </w:rPr>
              <w:t>Objective 2</w:t>
            </w:r>
            <w:r w:rsidR="00954F96">
              <w:rPr>
                <w:sz w:val="20"/>
                <w:szCs w:val="20"/>
              </w:rPr>
              <w:t>.</w:t>
            </w:r>
            <w:r w:rsidRPr="00E272D7">
              <w:rPr>
                <w:sz w:val="20"/>
                <w:szCs w:val="20"/>
              </w:rPr>
              <w:t xml:space="preserve"> Strengthening regional responses to trafficking and exploitation of migrant workers</w:t>
            </w:r>
          </w:p>
        </w:tc>
        <w:tc>
          <w:tcPr>
            <w:tcW w:w="3287" w:type="dxa"/>
          </w:tcPr>
          <w:p w:rsidR="001A7ED5" w:rsidRDefault="00B14CA5" w:rsidP="00954F96">
            <w:pPr>
              <w:pStyle w:val="BodyText"/>
              <w:spacing w:before="40" w:after="40" w:line="240" w:lineRule="auto"/>
              <w:rPr>
                <w:sz w:val="20"/>
                <w:szCs w:val="20"/>
              </w:rPr>
            </w:pPr>
            <w:r w:rsidRPr="00AF0272">
              <w:rPr>
                <w:rFonts w:asciiTheme="majorHAnsi" w:hAnsiTheme="majorHAnsi" w:cstheme="majorHAnsi"/>
                <w:sz w:val="20"/>
                <w:szCs w:val="20"/>
              </w:rPr>
              <w:t>2.1</w:t>
            </w:r>
            <w:r>
              <w:rPr>
                <w:sz w:val="20"/>
                <w:szCs w:val="20"/>
              </w:rPr>
              <w:t xml:space="preserve"> </w:t>
            </w:r>
            <w:r w:rsidR="008A5C57" w:rsidRPr="00E272D7">
              <w:rPr>
                <w:sz w:val="20"/>
                <w:szCs w:val="20"/>
              </w:rPr>
              <w:t>N</w:t>
            </w:r>
            <w:r w:rsidR="00644C7D" w:rsidRPr="00E272D7">
              <w:rPr>
                <w:sz w:val="20"/>
                <w:szCs w:val="20"/>
              </w:rPr>
              <w:t xml:space="preserve">umber of </w:t>
            </w:r>
            <w:r w:rsidR="006B5A15" w:rsidRPr="00E272D7">
              <w:rPr>
                <w:sz w:val="20"/>
                <w:szCs w:val="20"/>
              </w:rPr>
              <w:t>TIP</w:t>
            </w:r>
            <w:r w:rsidR="00644C7D" w:rsidRPr="00E272D7">
              <w:rPr>
                <w:sz w:val="20"/>
                <w:szCs w:val="20"/>
              </w:rPr>
              <w:t xml:space="preserve"> case investigations in which partners are cooperating (Target: </w:t>
            </w:r>
            <w:r w:rsidR="008A5C57" w:rsidRPr="00E272D7">
              <w:rPr>
                <w:sz w:val="20"/>
                <w:szCs w:val="20"/>
              </w:rPr>
              <w:t>10 or more TIP case investigations</w:t>
            </w:r>
            <w:r w:rsidR="00644C7D" w:rsidRPr="00E272D7">
              <w:rPr>
                <w:sz w:val="20"/>
                <w:szCs w:val="20"/>
              </w:rPr>
              <w:t>)</w:t>
            </w:r>
            <w:r w:rsidR="00DB5827" w:rsidRPr="00E272D7">
              <w:rPr>
                <w:sz w:val="20"/>
                <w:szCs w:val="20"/>
              </w:rPr>
              <w:t>.</w:t>
            </w:r>
          </w:p>
          <w:p w:rsidR="00954F96" w:rsidRDefault="00B14CA5" w:rsidP="006B5A15">
            <w:pPr>
              <w:pStyle w:val="BodyText"/>
              <w:spacing w:before="40" w:after="40" w:line="240" w:lineRule="auto"/>
              <w:rPr>
                <w:sz w:val="20"/>
                <w:szCs w:val="20"/>
              </w:rPr>
            </w:pPr>
            <w:r w:rsidRPr="00AF0272">
              <w:rPr>
                <w:rFonts w:asciiTheme="majorHAnsi" w:hAnsiTheme="majorHAnsi" w:cstheme="majorHAnsi"/>
                <w:sz w:val="20"/>
                <w:szCs w:val="20"/>
              </w:rPr>
              <w:t>2.2</w:t>
            </w:r>
            <w:r>
              <w:rPr>
                <w:sz w:val="20"/>
                <w:szCs w:val="20"/>
              </w:rPr>
              <w:t xml:space="preserve"> </w:t>
            </w:r>
            <w:r w:rsidR="00954F96" w:rsidRPr="00E272D7">
              <w:rPr>
                <w:sz w:val="20"/>
                <w:szCs w:val="20"/>
              </w:rPr>
              <w:t>Percentage of women and men trained under AAPTIP/ASEAN-ACT recording follow-on skill and/or knowledge changes demonstrated in the workplace (Target: 50 percent or more of sampled people reporting change).</w:t>
            </w:r>
          </w:p>
          <w:p w:rsidR="00B14CA5" w:rsidRDefault="00B14CA5" w:rsidP="006B5A15">
            <w:pPr>
              <w:pStyle w:val="BodyText"/>
              <w:spacing w:before="40" w:after="40" w:line="240" w:lineRule="auto"/>
              <w:rPr>
                <w:sz w:val="20"/>
                <w:szCs w:val="20"/>
              </w:rPr>
            </w:pPr>
            <w:r w:rsidRPr="00AF0272">
              <w:rPr>
                <w:rFonts w:asciiTheme="majorHAnsi" w:hAnsiTheme="majorHAnsi" w:cstheme="majorHAnsi"/>
                <w:sz w:val="20"/>
                <w:szCs w:val="20"/>
              </w:rPr>
              <w:t>2.3</w:t>
            </w:r>
            <w:r>
              <w:rPr>
                <w:sz w:val="20"/>
                <w:szCs w:val="20"/>
              </w:rPr>
              <w:t xml:space="preserve"> N</w:t>
            </w:r>
            <w:r w:rsidRPr="00E272D7">
              <w:rPr>
                <w:sz w:val="20"/>
                <w:szCs w:val="20"/>
              </w:rPr>
              <w:t>umber of women and men who receive support services through migrant resource centres (Target: 15,000 (W44%/M56%).</w:t>
            </w:r>
          </w:p>
          <w:p w:rsidR="00B14CA5" w:rsidRPr="00E272D7" w:rsidRDefault="00B14CA5" w:rsidP="006B5A15">
            <w:pPr>
              <w:pStyle w:val="BodyText"/>
              <w:spacing w:before="40" w:after="40" w:line="240" w:lineRule="auto"/>
              <w:rPr>
                <w:sz w:val="20"/>
                <w:szCs w:val="20"/>
              </w:rPr>
            </w:pPr>
            <w:r w:rsidRPr="00AF0272">
              <w:rPr>
                <w:rFonts w:asciiTheme="majorHAnsi" w:hAnsiTheme="majorHAnsi" w:cstheme="majorHAnsi"/>
                <w:sz w:val="20"/>
                <w:szCs w:val="20"/>
              </w:rPr>
              <w:t>2.4</w:t>
            </w:r>
            <w:r>
              <w:rPr>
                <w:sz w:val="20"/>
                <w:szCs w:val="20"/>
              </w:rPr>
              <w:t xml:space="preserve"> N</w:t>
            </w:r>
            <w:r w:rsidRPr="00E272D7">
              <w:rPr>
                <w:sz w:val="20"/>
                <w:szCs w:val="20"/>
              </w:rPr>
              <w:t>umber of policies adopted or amended with ILO input on labour protection and gender equality for women and men migrant workers (Target: 4).</w:t>
            </w:r>
          </w:p>
        </w:tc>
        <w:tc>
          <w:tcPr>
            <w:tcW w:w="4819" w:type="dxa"/>
          </w:tcPr>
          <w:p w:rsidR="001A7ED5" w:rsidRDefault="00B14CA5" w:rsidP="001A7ED5">
            <w:pPr>
              <w:pStyle w:val="BodyText"/>
              <w:spacing w:before="40" w:after="40" w:line="240" w:lineRule="auto"/>
              <w:rPr>
                <w:sz w:val="20"/>
                <w:szCs w:val="20"/>
              </w:rPr>
            </w:pPr>
            <w:r>
              <w:rPr>
                <w:sz w:val="20"/>
                <w:szCs w:val="20"/>
              </w:rPr>
              <w:t xml:space="preserve">~ </w:t>
            </w:r>
            <w:r w:rsidR="00633982" w:rsidRPr="006B5A15">
              <w:rPr>
                <w:sz w:val="20"/>
                <w:szCs w:val="20"/>
              </w:rPr>
              <w:t>There were total of 34 active TIP case investigations as at end of 2019 in which partners from Philippines-Malaysia, and Thailand-Myanmar are cooperating. Face to face cooperation meetings to discuss these active cases were put on hold between January and June 2020 due to COVID-19. Online meetings were held over this period and planning is underway to resume bilateral meetings during the second half of 2020.</w:t>
            </w:r>
          </w:p>
          <w:p w:rsidR="00B14CA5" w:rsidRDefault="00B14CA5" w:rsidP="001A7ED5">
            <w:pPr>
              <w:pStyle w:val="BodyText"/>
              <w:spacing w:before="40" w:after="40" w:line="240" w:lineRule="auto"/>
              <w:rPr>
                <w:sz w:val="20"/>
                <w:szCs w:val="20"/>
              </w:rPr>
            </w:pPr>
            <w:r>
              <w:rPr>
                <w:sz w:val="20"/>
                <w:szCs w:val="20"/>
              </w:rPr>
              <w:t xml:space="preserve">~ </w:t>
            </w:r>
            <w:r w:rsidRPr="006B5A15">
              <w:rPr>
                <w:sz w:val="20"/>
                <w:szCs w:val="20"/>
              </w:rPr>
              <w:t>ASEAN-ACT conducted 10 capacity development activities between January to June 2020 with a total of 367 women and men participants. 99% responded that the activity enhanced or</w:t>
            </w:r>
            <w:r>
              <w:rPr>
                <w:sz w:val="20"/>
                <w:szCs w:val="20"/>
              </w:rPr>
              <w:t xml:space="preserve"> improved their lessons/skills. A subsequent survey assessing the </w:t>
            </w:r>
            <w:r w:rsidRPr="006B5A15">
              <w:rPr>
                <w:sz w:val="20"/>
                <w:szCs w:val="20"/>
              </w:rPr>
              <w:t>application of gained knowledge in the workplace (from a sample of these 10 CD events conducted in 2020) will be collected six months after the training</w:t>
            </w:r>
            <w:r>
              <w:rPr>
                <w:sz w:val="20"/>
                <w:szCs w:val="20"/>
              </w:rPr>
              <w:t xml:space="preserve"> </w:t>
            </w:r>
            <w:r w:rsidRPr="006B5A15">
              <w:rPr>
                <w:sz w:val="20"/>
                <w:szCs w:val="20"/>
              </w:rPr>
              <w:t>during the second half of 2020</w:t>
            </w:r>
            <w:r>
              <w:rPr>
                <w:sz w:val="20"/>
                <w:szCs w:val="20"/>
              </w:rPr>
              <w:t>.</w:t>
            </w:r>
          </w:p>
          <w:p w:rsidR="00B14CA5" w:rsidRDefault="00B14CA5" w:rsidP="001A7ED5">
            <w:pPr>
              <w:pStyle w:val="BodyText"/>
              <w:spacing w:before="40" w:after="40" w:line="240" w:lineRule="auto"/>
              <w:rPr>
                <w:sz w:val="20"/>
                <w:szCs w:val="20"/>
              </w:rPr>
            </w:pPr>
            <w:r>
              <w:rPr>
                <w:sz w:val="20"/>
                <w:szCs w:val="20"/>
              </w:rPr>
              <w:t xml:space="preserve">~ </w:t>
            </w:r>
            <w:r w:rsidRPr="006B5A15">
              <w:rPr>
                <w:sz w:val="20"/>
                <w:szCs w:val="20"/>
              </w:rPr>
              <w:t xml:space="preserve">In 2019, </w:t>
            </w:r>
            <w:r>
              <w:rPr>
                <w:sz w:val="20"/>
                <w:szCs w:val="20"/>
              </w:rPr>
              <w:t>Migrant Worker Resources Centres</w:t>
            </w:r>
            <w:r w:rsidRPr="006B5A15">
              <w:rPr>
                <w:sz w:val="20"/>
                <w:szCs w:val="20"/>
              </w:rPr>
              <w:t xml:space="preserve"> provided services to 26,977 migrant workers (M: 54.8%; W: 44.9%, others: 0.3%, significantly above the target of 15,000)</w:t>
            </w:r>
            <w:r>
              <w:rPr>
                <w:sz w:val="20"/>
                <w:szCs w:val="20"/>
              </w:rPr>
              <w:t>. D</w:t>
            </w:r>
            <w:r w:rsidRPr="006B5A15">
              <w:rPr>
                <w:sz w:val="20"/>
                <w:szCs w:val="20"/>
              </w:rPr>
              <w:t>ue to</w:t>
            </w:r>
            <w:r>
              <w:rPr>
                <w:sz w:val="20"/>
                <w:szCs w:val="20"/>
              </w:rPr>
              <w:t xml:space="preserve"> the</w:t>
            </w:r>
            <w:r w:rsidRPr="006B5A15">
              <w:rPr>
                <w:sz w:val="20"/>
                <w:szCs w:val="20"/>
              </w:rPr>
              <w:t xml:space="preserve"> increase</w:t>
            </w:r>
            <w:r>
              <w:rPr>
                <w:sz w:val="20"/>
                <w:szCs w:val="20"/>
              </w:rPr>
              <w:t>d</w:t>
            </w:r>
            <w:r w:rsidRPr="006B5A15">
              <w:rPr>
                <w:sz w:val="20"/>
                <w:szCs w:val="20"/>
              </w:rPr>
              <w:t xml:space="preserve"> use of remote counselling via telephone and internet</w:t>
            </w:r>
            <w:r>
              <w:rPr>
                <w:sz w:val="20"/>
                <w:szCs w:val="20"/>
              </w:rPr>
              <w:t xml:space="preserve"> counselling services increased, making up 75% of the caseload.</w:t>
            </w:r>
          </w:p>
          <w:p w:rsidR="00B14CA5" w:rsidRPr="00F1480C" w:rsidRDefault="00B14CA5" w:rsidP="00B14CA5">
            <w:pPr>
              <w:pStyle w:val="BodyText"/>
              <w:spacing w:before="40" w:after="40" w:line="240" w:lineRule="auto"/>
              <w:rPr>
                <w:sz w:val="20"/>
                <w:szCs w:val="20"/>
              </w:rPr>
            </w:pPr>
            <w:r>
              <w:rPr>
                <w:sz w:val="20"/>
                <w:szCs w:val="20"/>
              </w:rPr>
              <w:t xml:space="preserve">~ </w:t>
            </w:r>
            <w:r w:rsidRPr="00F1480C">
              <w:rPr>
                <w:sz w:val="20"/>
                <w:szCs w:val="20"/>
              </w:rPr>
              <w:t xml:space="preserve">In this period, no additional policy or legislative instruments were adopted or amended with TRIANGLE in ASEAN input. However </w:t>
            </w:r>
            <w:r>
              <w:rPr>
                <w:sz w:val="20"/>
                <w:szCs w:val="20"/>
              </w:rPr>
              <w:t xml:space="preserve">we made </w:t>
            </w:r>
            <w:r w:rsidRPr="00F1480C">
              <w:rPr>
                <w:sz w:val="20"/>
                <w:szCs w:val="20"/>
              </w:rPr>
              <w:t>progress was made on several national legal frameworks with inputs into draft legislation, policy and related consultations in five priority countries (all except Myanmar):</w:t>
            </w:r>
          </w:p>
          <w:p w:rsidR="00B14CA5" w:rsidRPr="00F1480C" w:rsidRDefault="00B14CA5" w:rsidP="00B14CA5">
            <w:pPr>
              <w:pStyle w:val="BodyText"/>
              <w:numPr>
                <w:ilvl w:val="0"/>
                <w:numId w:val="12"/>
              </w:numPr>
              <w:spacing w:before="40" w:after="40" w:line="240" w:lineRule="auto"/>
              <w:rPr>
                <w:sz w:val="20"/>
                <w:szCs w:val="20"/>
              </w:rPr>
            </w:pPr>
            <w:r w:rsidRPr="00F1480C">
              <w:rPr>
                <w:sz w:val="20"/>
                <w:szCs w:val="20"/>
              </w:rPr>
              <w:t>Domestic worker protection in national law (Malaysia and Thailand)</w:t>
            </w:r>
          </w:p>
          <w:p w:rsidR="00B14CA5" w:rsidRPr="00F1480C" w:rsidRDefault="00B14CA5" w:rsidP="00B14CA5">
            <w:pPr>
              <w:pStyle w:val="BodyText"/>
              <w:numPr>
                <w:ilvl w:val="0"/>
                <w:numId w:val="12"/>
              </w:numPr>
              <w:spacing w:before="40" w:after="40" w:line="240" w:lineRule="auto"/>
              <w:rPr>
                <w:sz w:val="20"/>
                <w:szCs w:val="20"/>
              </w:rPr>
            </w:pPr>
            <w:r w:rsidRPr="00F1480C">
              <w:rPr>
                <w:sz w:val="20"/>
                <w:szCs w:val="20"/>
              </w:rPr>
              <w:t>Dispute resolution guidelines (Cambodia)</w:t>
            </w:r>
          </w:p>
          <w:p w:rsidR="00B14CA5" w:rsidRPr="00F1480C" w:rsidRDefault="00B14CA5" w:rsidP="00B14CA5">
            <w:pPr>
              <w:pStyle w:val="BodyText"/>
              <w:numPr>
                <w:ilvl w:val="0"/>
                <w:numId w:val="12"/>
              </w:numPr>
              <w:spacing w:before="40" w:after="40" w:line="240" w:lineRule="auto"/>
              <w:rPr>
                <w:sz w:val="20"/>
                <w:szCs w:val="20"/>
              </w:rPr>
            </w:pPr>
            <w:r w:rsidRPr="00F1480C">
              <w:rPr>
                <w:sz w:val="20"/>
                <w:szCs w:val="20"/>
              </w:rPr>
              <w:t>Migrant workers support fund (Lao PDR)</w:t>
            </w:r>
          </w:p>
          <w:p w:rsidR="00B14CA5" w:rsidRPr="00F1480C" w:rsidRDefault="00B14CA5" w:rsidP="00B14CA5">
            <w:pPr>
              <w:pStyle w:val="BodyText"/>
              <w:numPr>
                <w:ilvl w:val="0"/>
                <w:numId w:val="12"/>
              </w:numPr>
              <w:spacing w:before="40" w:after="40" w:line="240" w:lineRule="auto"/>
              <w:rPr>
                <w:sz w:val="20"/>
                <w:szCs w:val="20"/>
              </w:rPr>
            </w:pPr>
            <w:r w:rsidRPr="00F1480C">
              <w:rPr>
                <w:sz w:val="20"/>
                <w:szCs w:val="20"/>
              </w:rPr>
              <w:t xml:space="preserve">Revision to law 72 on governance of migration and regulation of recruitment agencies (Vietnam). </w:t>
            </w:r>
          </w:p>
          <w:p w:rsidR="00B14CA5" w:rsidRPr="006B5A15" w:rsidRDefault="00B14CA5" w:rsidP="00B14CA5">
            <w:pPr>
              <w:pStyle w:val="BodyText"/>
              <w:spacing w:before="40" w:after="40" w:line="240" w:lineRule="auto"/>
              <w:rPr>
                <w:sz w:val="20"/>
                <w:szCs w:val="20"/>
              </w:rPr>
            </w:pPr>
            <w:r w:rsidRPr="00F1480C">
              <w:rPr>
                <w:sz w:val="20"/>
                <w:szCs w:val="20"/>
              </w:rPr>
              <w:t xml:space="preserve">Overall 34 policies adopted or amended with TRIANGLE in ASEAN technical support since the phase </w:t>
            </w:r>
            <w:r>
              <w:rPr>
                <w:sz w:val="20"/>
                <w:szCs w:val="20"/>
              </w:rPr>
              <w:t xml:space="preserve">one </w:t>
            </w:r>
            <w:r w:rsidRPr="00F1480C">
              <w:rPr>
                <w:sz w:val="20"/>
                <w:szCs w:val="20"/>
              </w:rPr>
              <w:t xml:space="preserve">of </w:t>
            </w:r>
            <w:r>
              <w:rPr>
                <w:sz w:val="20"/>
                <w:szCs w:val="20"/>
              </w:rPr>
              <w:t>TRIANGLE i</w:t>
            </w:r>
            <w:r w:rsidRPr="00F1480C">
              <w:rPr>
                <w:sz w:val="20"/>
                <w:szCs w:val="20"/>
              </w:rPr>
              <w:t>n 2011</w:t>
            </w:r>
            <w:r>
              <w:rPr>
                <w:sz w:val="20"/>
                <w:szCs w:val="20"/>
              </w:rPr>
              <w:t xml:space="preserve"> </w:t>
            </w:r>
            <w:r w:rsidRPr="00F1480C">
              <w:rPr>
                <w:sz w:val="20"/>
                <w:szCs w:val="20"/>
              </w:rPr>
              <w:t>(predecessor project of TRIANGLE in ASEAN).</w:t>
            </w:r>
          </w:p>
        </w:tc>
      </w:tr>
    </w:tbl>
    <w:p w:rsidR="00276A54" w:rsidRDefault="00276A54" w:rsidP="00276A54"/>
    <w:p w:rsidR="00276A54" w:rsidRDefault="00276A54" w:rsidP="00276A54"/>
    <w:p w:rsidR="00390828" w:rsidRPr="00B927C4" w:rsidRDefault="00390828" w:rsidP="00390828">
      <w:pPr>
        <w:pStyle w:val="Heading2Numbered"/>
        <w:numPr>
          <w:ilvl w:val="0"/>
          <w:numId w:val="0"/>
        </w:numPr>
        <w:spacing w:before="240" w:after="240"/>
        <w:rPr>
          <w:sz w:val="28"/>
          <w:szCs w:val="28"/>
        </w:rPr>
      </w:pPr>
      <w:r w:rsidRPr="00B927C4">
        <w:rPr>
          <w:sz w:val="28"/>
          <w:szCs w:val="28"/>
        </w:rPr>
        <w:lastRenderedPageBreak/>
        <w:t>ANNEX A: Program Quality</w:t>
      </w:r>
    </w:p>
    <w:p w:rsidR="00390828" w:rsidRDefault="00B927C4" w:rsidP="00390828">
      <w:pPr>
        <w:pStyle w:val="Heading3"/>
      </w:pPr>
      <w:r>
        <w:t>Investment Monitoring Report</w:t>
      </w:r>
      <w:r w:rsidR="00390828">
        <w:t xml:space="preserve"> ratings</w:t>
      </w:r>
    </w:p>
    <w:tbl>
      <w:tblPr>
        <w:tblStyle w:val="APPR"/>
        <w:tblW w:w="4814" w:type="pct"/>
        <w:tblInd w:w="15" w:type="dxa"/>
        <w:tblLook w:val="0020" w:firstRow="1" w:lastRow="0" w:firstColumn="0" w:lastColumn="0" w:noHBand="0" w:noVBand="0"/>
      </w:tblPr>
      <w:tblGrid>
        <w:gridCol w:w="4908"/>
        <w:gridCol w:w="1303"/>
        <w:gridCol w:w="1154"/>
        <w:gridCol w:w="631"/>
        <w:gridCol w:w="631"/>
        <w:gridCol w:w="652"/>
      </w:tblGrid>
      <w:tr w:rsidR="00B934E1" w:rsidRPr="00812509" w:rsidTr="009E1A8A">
        <w:trPr>
          <w:cnfStyle w:val="100000000000" w:firstRow="1" w:lastRow="0" w:firstColumn="0" w:lastColumn="0" w:oddVBand="0" w:evenVBand="0" w:oddHBand="0" w:evenHBand="0" w:firstRowFirstColumn="0" w:firstRowLastColumn="0" w:lastRowFirstColumn="0" w:lastRowLastColumn="0"/>
          <w:trHeight w:val="1523"/>
        </w:trPr>
        <w:tc>
          <w:tcPr>
            <w:tcW w:w="2622" w:type="pct"/>
          </w:tcPr>
          <w:p w:rsidR="005D2B45" w:rsidRPr="00812509" w:rsidRDefault="005D2B45" w:rsidP="00B934E1">
            <w:pPr>
              <w:keepLines/>
              <w:spacing w:before="0" w:after="0" w:line="240" w:lineRule="auto"/>
              <w:rPr>
                <w:rFonts w:asciiTheme="minorHAnsi" w:eastAsia="Times New Roman" w:hAnsiTheme="minorHAnsi"/>
                <w:b w:val="0"/>
                <w:iCs/>
                <w:szCs w:val="17"/>
                <w:lang w:eastAsia="en-US"/>
              </w:rPr>
            </w:pPr>
            <w:r w:rsidRPr="00812509">
              <w:rPr>
                <w:rFonts w:eastAsia="Times New Roman"/>
                <w:b w:val="0"/>
                <w:iCs/>
                <w:noProof/>
                <w:szCs w:val="17"/>
                <w:lang w:val="en-AU"/>
              </w:rPr>
              <w:drawing>
                <wp:anchor distT="0" distB="0" distL="114300" distR="114300" simplePos="0" relativeHeight="251672576" behindDoc="0" locked="0" layoutInCell="1" allowOverlap="1" wp14:anchorId="170F6EF9" wp14:editId="4621070C">
                  <wp:simplePos x="0" y="0"/>
                  <wp:positionH relativeFrom="column">
                    <wp:posOffset>0</wp:posOffset>
                  </wp:positionH>
                  <wp:positionV relativeFrom="paragraph">
                    <wp:posOffset>0</wp:posOffset>
                  </wp:positionV>
                  <wp:extent cx="1857375" cy="228600"/>
                  <wp:effectExtent l="0" t="0" r="9525" b="0"/>
                  <wp:wrapNone/>
                  <wp:docPr id="48" name="Picture 4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C12">
              <w:rPr>
                <w:rFonts w:asciiTheme="minorHAnsi" w:eastAsia="Times New Roman" w:hAnsiTheme="minorHAnsi"/>
                <w:iCs/>
                <w:szCs w:val="17"/>
                <w:lang w:eastAsia="en-US"/>
              </w:rPr>
              <w:t>Investment name</w:t>
            </w:r>
          </w:p>
        </w:tc>
        <w:tc>
          <w:tcPr>
            <w:tcW w:w="687" w:type="pct"/>
            <w:textDirection w:val="btLr"/>
          </w:tcPr>
          <w:p w:rsidR="005D2B45" w:rsidRPr="00812509" w:rsidRDefault="005D2B45" w:rsidP="00693F9A">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607" w:type="pct"/>
            <w:textDirection w:val="btLr"/>
          </w:tcPr>
          <w:p w:rsidR="005D2B45" w:rsidRPr="00812509" w:rsidRDefault="005D2B45" w:rsidP="00693F9A">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325" w:type="pct"/>
            <w:textDirection w:val="btLr"/>
          </w:tcPr>
          <w:p w:rsidR="005D2B45" w:rsidRPr="00812509" w:rsidRDefault="005D2B45" w:rsidP="00693F9A">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25" w:type="pct"/>
            <w:textDirection w:val="btLr"/>
          </w:tcPr>
          <w:p w:rsidR="005D2B45" w:rsidRPr="00812509" w:rsidRDefault="005D2B45" w:rsidP="00693F9A">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29" w:type="pct"/>
            <w:textDirection w:val="btLr"/>
          </w:tcPr>
          <w:p w:rsidR="005D2B45" w:rsidRPr="00812509" w:rsidRDefault="005D2B45" w:rsidP="00693F9A">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tcBorders>
              <w:top w:val="single" w:sz="2" w:space="0" w:color="65C5B4" w:themeColor="accent1"/>
            </w:tcBorders>
            <w:vAlign w:val="center"/>
          </w:tcPr>
          <w:p w:rsidR="009E1A8A" w:rsidRPr="00812509" w:rsidRDefault="009E1A8A" w:rsidP="0017122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Shaping Inclusive Finance Transformations in ASEAN Program</w:t>
            </w:r>
          </w:p>
        </w:tc>
        <w:tc>
          <w:tcPr>
            <w:tcW w:w="687" w:type="pct"/>
            <w:tcBorders>
              <w:top w:val="single" w:sz="2" w:space="0" w:color="65C5B4" w:themeColor="accent1"/>
            </w:tcBorders>
          </w:tcPr>
          <w:p w:rsidR="009E1A8A" w:rsidRPr="00DB6FE1" w:rsidRDefault="009E1A8A" w:rsidP="0017122F">
            <w:pPr>
              <w:autoSpaceDE w:val="0"/>
              <w:autoSpaceDN w:val="0"/>
              <w:adjustRightInd w:val="0"/>
              <w:spacing w:before="40" w:after="40" w:line="240" w:lineRule="auto"/>
              <w:rPr>
                <w:rFonts w:asciiTheme="minorHAnsi" w:hAnsiTheme="minorHAnsi" w:cs="Franklin Gothic Book"/>
                <w:szCs w:val="17"/>
              </w:rPr>
            </w:pPr>
            <w:r w:rsidRPr="00DB6FE1">
              <w:rPr>
                <w:rFonts w:asciiTheme="minorHAnsi" w:hAnsiTheme="minorHAnsi" w:cs="Franklin Gothic Book"/>
                <w:szCs w:val="17"/>
              </w:rPr>
              <w:t xml:space="preserve">$9.9m </w:t>
            </w:r>
          </w:p>
          <w:p w:rsidR="009E1A8A" w:rsidRPr="00812509" w:rsidRDefault="009E1A8A" w:rsidP="0017122F">
            <w:pPr>
              <w:keepLines/>
              <w:spacing w:before="40" w:after="40" w:line="240" w:lineRule="auto"/>
              <w:rPr>
                <w:rFonts w:asciiTheme="minorHAnsi" w:eastAsia="Times New Roman" w:hAnsiTheme="minorHAnsi"/>
                <w:iCs/>
                <w:szCs w:val="17"/>
                <w:lang w:eastAsia="en-US"/>
              </w:rPr>
            </w:pPr>
          </w:p>
        </w:tc>
        <w:tc>
          <w:tcPr>
            <w:tcW w:w="607" w:type="pct"/>
            <w:tcBorders>
              <w:top w:val="single" w:sz="2" w:space="0" w:color="65C5B4" w:themeColor="accent1"/>
            </w:tcBorders>
            <w:vAlign w:val="center"/>
          </w:tcPr>
          <w:p w:rsidR="009E1A8A" w:rsidRPr="00812509" w:rsidRDefault="009E1A8A" w:rsidP="0017122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25" w:type="pct"/>
            <w:tcBorders>
              <w:top w:val="single" w:sz="2" w:space="0" w:color="65C5B4" w:themeColor="accent1"/>
            </w:tcBorders>
            <w:shd w:val="clear" w:color="auto" w:fill="auto"/>
            <w:noWrap/>
            <w:vAlign w:val="center"/>
          </w:tcPr>
          <w:p w:rsidR="009E1A8A" w:rsidRPr="00812509" w:rsidRDefault="009E1A8A" w:rsidP="0017122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25" w:type="pct"/>
            <w:tcBorders>
              <w:top w:val="single" w:sz="2" w:space="0" w:color="65C5B4" w:themeColor="accent1"/>
            </w:tcBorders>
            <w:shd w:val="clear" w:color="auto" w:fill="auto"/>
            <w:noWrap/>
            <w:vAlign w:val="center"/>
          </w:tcPr>
          <w:p w:rsidR="009E1A8A" w:rsidRPr="00812509" w:rsidRDefault="009E1A8A" w:rsidP="0017122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9" w:type="pct"/>
            <w:tcBorders>
              <w:top w:val="single" w:sz="2" w:space="0" w:color="65C5B4" w:themeColor="accent1"/>
            </w:tcBorders>
            <w:shd w:val="clear" w:color="auto" w:fill="auto"/>
            <w:noWrap/>
            <w:vAlign w:val="center"/>
          </w:tcPr>
          <w:p w:rsidR="009E1A8A" w:rsidRPr="00812509" w:rsidRDefault="009E1A8A" w:rsidP="0017122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vAlign w:val="center"/>
          </w:tcPr>
          <w:p w:rsidR="009E1A8A" w:rsidRPr="00812509" w:rsidRDefault="009E1A8A" w:rsidP="0017122F">
            <w:pPr>
              <w:keepLines/>
              <w:spacing w:before="40" w:after="40" w:line="200" w:lineRule="atLeast"/>
              <w:rPr>
                <w:rFonts w:asciiTheme="minorHAnsi" w:eastAsia="Times New Roman" w:hAnsiTheme="minorHAnsi"/>
                <w:iCs/>
                <w:szCs w:val="17"/>
                <w:lang w:eastAsia="en-US"/>
              </w:rPr>
            </w:pPr>
          </w:p>
        </w:tc>
        <w:tc>
          <w:tcPr>
            <w:tcW w:w="687" w:type="pct"/>
          </w:tcPr>
          <w:p w:rsidR="009E1A8A" w:rsidRPr="00812509" w:rsidRDefault="009E1A8A" w:rsidP="0017122F">
            <w:pPr>
              <w:keepLines/>
              <w:spacing w:before="40" w:after="4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4-2020</w:t>
            </w:r>
          </w:p>
        </w:tc>
        <w:tc>
          <w:tcPr>
            <w:tcW w:w="607" w:type="pct"/>
            <w:tcBorders>
              <w:top w:val="single" w:sz="2" w:space="0" w:color="65C5B4" w:themeColor="accent1"/>
            </w:tcBorders>
            <w:vAlign w:val="center"/>
          </w:tcPr>
          <w:p w:rsidR="009E1A8A" w:rsidRPr="00812509" w:rsidRDefault="009E1A8A" w:rsidP="0017122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AQC</w:t>
            </w:r>
          </w:p>
        </w:tc>
        <w:tc>
          <w:tcPr>
            <w:tcW w:w="325" w:type="pct"/>
            <w:tcBorders>
              <w:top w:val="single" w:sz="2" w:space="0" w:color="65C5B4" w:themeColor="accent1"/>
            </w:tcBorders>
            <w:shd w:val="clear" w:color="auto" w:fill="auto"/>
            <w:noWrap/>
            <w:vAlign w:val="center"/>
          </w:tcPr>
          <w:p w:rsidR="009E1A8A" w:rsidRPr="00812509" w:rsidRDefault="009E1A8A" w:rsidP="0017122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25" w:type="pct"/>
            <w:tcBorders>
              <w:top w:val="single" w:sz="2" w:space="0" w:color="65C5B4" w:themeColor="accent1"/>
            </w:tcBorders>
            <w:shd w:val="clear" w:color="auto" w:fill="auto"/>
            <w:noWrap/>
            <w:vAlign w:val="center"/>
          </w:tcPr>
          <w:p w:rsidR="009E1A8A" w:rsidRPr="00812509" w:rsidRDefault="009E1A8A" w:rsidP="0017122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9" w:type="pct"/>
            <w:tcBorders>
              <w:top w:val="single" w:sz="2" w:space="0" w:color="65C5B4" w:themeColor="accent1"/>
            </w:tcBorders>
            <w:shd w:val="clear" w:color="auto" w:fill="auto"/>
            <w:noWrap/>
            <w:vAlign w:val="center"/>
          </w:tcPr>
          <w:p w:rsidR="009E1A8A" w:rsidRPr="00812509" w:rsidRDefault="009E1A8A" w:rsidP="0017122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tcBorders>
              <w:top w:val="single" w:sz="2" w:space="0" w:color="65C5B4" w:themeColor="accent1"/>
            </w:tcBorders>
            <w:vAlign w:val="center"/>
          </w:tcPr>
          <w:p w:rsidR="009E1A8A" w:rsidRDefault="009E1A8A" w:rsidP="0017122F">
            <w:pPr>
              <w:keepLines/>
              <w:spacing w:before="40" w:after="40" w:line="200" w:lineRule="atLeast"/>
              <w:rPr>
                <w:rFonts w:eastAsia="Times New Roman"/>
                <w:iCs/>
                <w:szCs w:val="17"/>
              </w:rPr>
            </w:pPr>
            <w:r w:rsidRPr="005F064E">
              <w:rPr>
                <w:rFonts w:asciiTheme="minorHAnsi" w:eastAsia="Times New Roman" w:hAnsiTheme="minorHAnsi"/>
                <w:iCs/>
                <w:szCs w:val="17"/>
                <w:lang w:eastAsia="en-US"/>
              </w:rPr>
              <w:t>Support to ERIA-2nd phase</w:t>
            </w:r>
          </w:p>
        </w:tc>
        <w:tc>
          <w:tcPr>
            <w:tcW w:w="687" w:type="pct"/>
            <w:tcBorders>
              <w:top w:val="single" w:sz="2" w:space="0" w:color="65C5B4" w:themeColor="accent1"/>
            </w:tcBorders>
          </w:tcPr>
          <w:p w:rsidR="009E1A8A" w:rsidRPr="00A11640" w:rsidRDefault="009E1A8A" w:rsidP="0017122F">
            <w:pPr>
              <w:keepLines/>
              <w:spacing w:before="0" w:after="0" w:line="240" w:lineRule="auto"/>
              <w:rPr>
                <w:rFonts w:asciiTheme="minorHAnsi" w:eastAsia="Times New Roman" w:hAnsiTheme="minorHAnsi"/>
                <w:iCs/>
                <w:szCs w:val="17"/>
                <w:lang w:eastAsia="en-US"/>
              </w:rPr>
            </w:pPr>
            <w:r w:rsidRPr="00A11640">
              <w:rPr>
                <w:rFonts w:asciiTheme="minorHAnsi" w:eastAsia="Times New Roman" w:hAnsiTheme="minorHAnsi"/>
                <w:iCs/>
                <w:szCs w:val="17"/>
                <w:lang w:eastAsia="en-US"/>
              </w:rPr>
              <w:t>$5m</w:t>
            </w:r>
          </w:p>
          <w:p w:rsidR="009E1A8A" w:rsidRPr="005F064E" w:rsidRDefault="009E1A8A" w:rsidP="0017122F">
            <w:pPr>
              <w:keepLines/>
              <w:spacing w:before="0" w:after="0" w:line="240" w:lineRule="auto"/>
              <w:rPr>
                <w:rFonts w:asciiTheme="minorHAnsi" w:eastAsia="Times New Roman" w:hAnsiTheme="minorHAnsi"/>
                <w:iCs/>
                <w:szCs w:val="17"/>
                <w:lang w:eastAsia="en-US"/>
              </w:rPr>
            </w:pPr>
          </w:p>
        </w:tc>
        <w:tc>
          <w:tcPr>
            <w:tcW w:w="607" w:type="pct"/>
            <w:tcBorders>
              <w:top w:val="single" w:sz="2" w:space="0" w:color="65C5B4" w:themeColor="accent1"/>
            </w:tcBorders>
            <w:vAlign w:val="center"/>
          </w:tcPr>
          <w:p w:rsidR="009E1A8A" w:rsidRPr="0017122F" w:rsidRDefault="009E1A8A" w:rsidP="0017122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17122F">
              <w:rPr>
                <w:rFonts w:asciiTheme="minorHAnsi" w:eastAsia="Times New Roman" w:hAnsiTheme="minorHAnsi"/>
                <w:iCs/>
                <w:szCs w:val="17"/>
                <w:lang w:eastAsia="en-US"/>
              </w:rPr>
              <w:t>N/A</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17122F">
              <w:rPr>
                <w:rFonts w:asciiTheme="minorHAnsi" w:eastAsia="Times New Roman" w:hAnsiTheme="minorHAnsi"/>
                <w:iCs/>
                <w:szCs w:val="17"/>
                <w:lang w:eastAsia="en-US"/>
              </w:rPr>
              <w:t>N/A</w:t>
            </w:r>
          </w:p>
        </w:tc>
        <w:tc>
          <w:tcPr>
            <w:tcW w:w="329"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17122F">
              <w:rPr>
                <w:rFonts w:asciiTheme="minorHAnsi" w:eastAsia="Times New Roman" w:hAnsiTheme="minorHAnsi"/>
                <w:iCs/>
                <w:szCs w:val="17"/>
                <w:lang w:eastAsia="en-US"/>
              </w:rPr>
              <w:t>N/A</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vAlign w:val="center"/>
          </w:tcPr>
          <w:p w:rsidR="009E1A8A" w:rsidRPr="005F064E" w:rsidRDefault="009E1A8A" w:rsidP="0017122F">
            <w:pPr>
              <w:keepLines/>
              <w:spacing w:before="40" w:after="40" w:line="200" w:lineRule="atLeast"/>
              <w:rPr>
                <w:rFonts w:eastAsia="Times New Roman"/>
                <w:iCs/>
                <w:szCs w:val="17"/>
              </w:rPr>
            </w:pPr>
          </w:p>
        </w:tc>
        <w:tc>
          <w:tcPr>
            <w:tcW w:w="687" w:type="pct"/>
          </w:tcPr>
          <w:p w:rsidR="009E1A8A" w:rsidRPr="00A11640" w:rsidRDefault="009E1A8A" w:rsidP="0017122F">
            <w:pPr>
              <w:keepLines/>
              <w:spacing w:before="0" w:after="0" w:line="240" w:lineRule="auto"/>
              <w:rPr>
                <w:rFonts w:eastAsia="Times New Roman"/>
                <w:iCs/>
                <w:szCs w:val="17"/>
              </w:rPr>
            </w:pPr>
            <w:r w:rsidRPr="00A11640">
              <w:rPr>
                <w:rFonts w:asciiTheme="minorHAnsi" w:eastAsia="Times New Roman" w:hAnsiTheme="minorHAnsi"/>
                <w:iCs/>
                <w:szCs w:val="17"/>
                <w:lang w:eastAsia="en-US"/>
              </w:rPr>
              <w:t>2018-2023</w:t>
            </w:r>
          </w:p>
        </w:tc>
        <w:tc>
          <w:tcPr>
            <w:tcW w:w="607" w:type="pct"/>
            <w:tcBorders>
              <w:top w:val="single" w:sz="2" w:space="0" w:color="65C5B4" w:themeColor="accent1"/>
            </w:tcBorders>
            <w:vAlign w:val="center"/>
          </w:tcPr>
          <w:p w:rsidR="009E1A8A" w:rsidRPr="0017122F" w:rsidRDefault="009E1A8A" w:rsidP="0017122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AQC</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17122F">
              <w:rPr>
                <w:rFonts w:asciiTheme="minorHAnsi" w:eastAsia="Times New Roman" w:hAnsiTheme="minorHAnsi"/>
                <w:iCs/>
                <w:szCs w:val="17"/>
                <w:lang w:eastAsia="en-US"/>
              </w:rPr>
              <w:t>4</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17122F">
              <w:rPr>
                <w:rFonts w:asciiTheme="minorHAnsi" w:eastAsia="Times New Roman" w:hAnsiTheme="minorHAnsi"/>
                <w:iCs/>
                <w:szCs w:val="17"/>
                <w:lang w:eastAsia="en-US"/>
              </w:rPr>
              <w:t>4</w:t>
            </w:r>
          </w:p>
        </w:tc>
        <w:tc>
          <w:tcPr>
            <w:tcW w:w="329"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17122F">
              <w:rPr>
                <w:rFonts w:asciiTheme="minorHAnsi" w:eastAsia="Times New Roman" w:hAnsiTheme="minorHAnsi"/>
                <w:iCs/>
                <w:szCs w:val="17"/>
                <w:lang w:eastAsia="en-US"/>
              </w:rPr>
              <w:t>2</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tcBorders>
              <w:top w:val="single" w:sz="2" w:space="0" w:color="65C5B4" w:themeColor="accent1"/>
            </w:tcBorders>
            <w:vAlign w:val="center"/>
          </w:tcPr>
          <w:p w:rsidR="009E1A8A" w:rsidRPr="005F064E" w:rsidRDefault="009E1A8A" w:rsidP="0017122F">
            <w:pPr>
              <w:keepLines/>
              <w:spacing w:before="40" w:after="40" w:line="200" w:lineRule="atLeast"/>
              <w:rPr>
                <w:rFonts w:eastAsia="Times New Roman"/>
                <w:iCs/>
                <w:szCs w:val="17"/>
              </w:rPr>
            </w:pPr>
            <w:r>
              <w:rPr>
                <w:rFonts w:asciiTheme="minorHAnsi" w:eastAsia="Times New Roman" w:hAnsiTheme="minorHAnsi"/>
                <w:iCs/>
                <w:szCs w:val="17"/>
                <w:lang w:eastAsia="en-US"/>
              </w:rPr>
              <w:t>ASEAN-Australia Counter Trafficking Program</w:t>
            </w:r>
          </w:p>
        </w:tc>
        <w:tc>
          <w:tcPr>
            <w:tcW w:w="687" w:type="pct"/>
            <w:tcBorders>
              <w:top w:val="single" w:sz="2" w:space="0" w:color="65C5B4" w:themeColor="accent1"/>
            </w:tcBorders>
          </w:tcPr>
          <w:p w:rsidR="009E1A8A" w:rsidRPr="0017122F" w:rsidRDefault="009E1A8A" w:rsidP="0017122F">
            <w:pPr>
              <w:keepLines/>
              <w:spacing w:before="0" w:after="0" w:line="240" w:lineRule="auto"/>
              <w:rPr>
                <w:rFonts w:asciiTheme="minorHAnsi" w:eastAsia="Times New Roman" w:hAnsiTheme="minorHAnsi"/>
                <w:iCs/>
                <w:szCs w:val="17"/>
                <w:lang w:eastAsia="en-US"/>
              </w:rPr>
            </w:pPr>
            <w:r w:rsidRPr="0017122F">
              <w:rPr>
                <w:rFonts w:asciiTheme="minorHAnsi" w:eastAsia="Times New Roman" w:hAnsiTheme="minorHAnsi"/>
                <w:iCs/>
                <w:szCs w:val="17"/>
                <w:lang w:eastAsia="en-US"/>
              </w:rPr>
              <w:t>$80m</w:t>
            </w:r>
          </w:p>
          <w:p w:rsidR="009E1A8A" w:rsidRPr="0017122F" w:rsidRDefault="009E1A8A" w:rsidP="0017122F">
            <w:pPr>
              <w:keepLines/>
              <w:spacing w:before="0" w:after="0" w:line="240" w:lineRule="auto"/>
              <w:rPr>
                <w:rFonts w:asciiTheme="minorHAnsi" w:eastAsia="Times New Roman" w:hAnsiTheme="minorHAnsi"/>
                <w:iCs/>
                <w:szCs w:val="17"/>
                <w:lang w:eastAsia="en-US"/>
              </w:rPr>
            </w:pPr>
          </w:p>
        </w:tc>
        <w:tc>
          <w:tcPr>
            <w:tcW w:w="607" w:type="pct"/>
            <w:tcBorders>
              <w:top w:val="single" w:sz="2" w:space="0" w:color="65C5B4" w:themeColor="accent1"/>
            </w:tcBorders>
            <w:vAlign w:val="center"/>
          </w:tcPr>
          <w:p w:rsidR="009E1A8A" w:rsidRPr="0017122F" w:rsidRDefault="009E1A8A" w:rsidP="0017122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9"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vAlign w:val="center"/>
          </w:tcPr>
          <w:p w:rsidR="009E1A8A" w:rsidRPr="005F064E" w:rsidRDefault="009E1A8A" w:rsidP="0017122F">
            <w:pPr>
              <w:keepLines/>
              <w:spacing w:before="40" w:after="40" w:line="200" w:lineRule="atLeast"/>
              <w:rPr>
                <w:rFonts w:eastAsia="Times New Roman"/>
                <w:iCs/>
                <w:szCs w:val="17"/>
              </w:rPr>
            </w:pPr>
          </w:p>
        </w:tc>
        <w:tc>
          <w:tcPr>
            <w:tcW w:w="687" w:type="pct"/>
          </w:tcPr>
          <w:p w:rsidR="009E1A8A" w:rsidRPr="00A11640" w:rsidRDefault="009E1A8A" w:rsidP="0017122F">
            <w:pPr>
              <w:keepLines/>
              <w:spacing w:before="0" w:after="0" w:line="240" w:lineRule="auto"/>
              <w:rPr>
                <w:rFonts w:eastAsia="Times New Roman"/>
                <w:iCs/>
                <w:szCs w:val="17"/>
              </w:rPr>
            </w:pPr>
            <w:r w:rsidRPr="0017122F">
              <w:rPr>
                <w:rFonts w:asciiTheme="minorHAnsi" w:eastAsia="Times New Roman" w:hAnsiTheme="minorHAnsi"/>
                <w:iCs/>
                <w:szCs w:val="17"/>
                <w:lang w:eastAsia="en-US"/>
              </w:rPr>
              <w:t>2018-2028</w:t>
            </w:r>
          </w:p>
        </w:tc>
        <w:tc>
          <w:tcPr>
            <w:tcW w:w="607" w:type="pct"/>
            <w:tcBorders>
              <w:top w:val="single" w:sz="2" w:space="0" w:color="65C5B4" w:themeColor="accent1"/>
            </w:tcBorders>
            <w:vAlign w:val="center"/>
          </w:tcPr>
          <w:p w:rsidR="009E1A8A" w:rsidRPr="0017122F" w:rsidRDefault="009E1A8A" w:rsidP="0017122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AQC</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9"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tcBorders>
              <w:top w:val="single" w:sz="2" w:space="0" w:color="65C5B4" w:themeColor="accent1"/>
            </w:tcBorders>
            <w:vAlign w:val="center"/>
          </w:tcPr>
          <w:p w:rsidR="009E1A8A" w:rsidRPr="005F064E" w:rsidRDefault="009E1A8A" w:rsidP="005F064E">
            <w:pPr>
              <w:keepLines/>
              <w:spacing w:before="40" w:after="40" w:line="200" w:lineRule="atLeast"/>
              <w:rPr>
                <w:rFonts w:eastAsia="Times New Roman"/>
                <w:iCs/>
                <w:szCs w:val="17"/>
              </w:rPr>
            </w:pPr>
            <w:r w:rsidRPr="005F064E">
              <w:rPr>
                <w:rFonts w:asciiTheme="minorHAnsi" w:eastAsia="Times New Roman" w:hAnsiTheme="minorHAnsi"/>
                <w:iCs/>
                <w:szCs w:val="17"/>
                <w:lang w:eastAsia="en-US"/>
              </w:rPr>
              <w:t>ASEAN-Australia Development Cooperation Program II</w:t>
            </w:r>
          </w:p>
        </w:tc>
        <w:tc>
          <w:tcPr>
            <w:tcW w:w="687" w:type="pct"/>
            <w:tcBorders>
              <w:top w:val="single" w:sz="2" w:space="0" w:color="65C5B4" w:themeColor="accent1"/>
            </w:tcBorders>
          </w:tcPr>
          <w:p w:rsidR="009E1A8A" w:rsidRPr="005F064E" w:rsidRDefault="009E1A8A" w:rsidP="005F064E">
            <w:pPr>
              <w:keepLines/>
              <w:spacing w:before="0" w:after="0" w:line="240" w:lineRule="auto"/>
              <w:rPr>
                <w:rFonts w:asciiTheme="minorHAnsi" w:eastAsia="Times New Roman" w:hAnsiTheme="minorHAnsi"/>
                <w:iCs/>
                <w:szCs w:val="17"/>
                <w:lang w:eastAsia="en-US"/>
              </w:rPr>
            </w:pPr>
            <w:r w:rsidRPr="005F064E">
              <w:rPr>
                <w:rFonts w:asciiTheme="minorHAnsi" w:eastAsia="Times New Roman" w:hAnsiTheme="minorHAnsi"/>
                <w:iCs/>
                <w:szCs w:val="17"/>
                <w:lang w:eastAsia="en-US"/>
              </w:rPr>
              <w:t>$57m</w:t>
            </w:r>
          </w:p>
          <w:p w:rsidR="009E1A8A" w:rsidRPr="00A11640" w:rsidRDefault="009E1A8A" w:rsidP="005F064E">
            <w:pPr>
              <w:keepLines/>
              <w:spacing w:before="0" w:after="0" w:line="240" w:lineRule="auto"/>
              <w:rPr>
                <w:rFonts w:eastAsia="Times New Roman"/>
                <w:iCs/>
                <w:szCs w:val="17"/>
              </w:rPr>
            </w:pPr>
          </w:p>
        </w:tc>
        <w:tc>
          <w:tcPr>
            <w:tcW w:w="607" w:type="pct"/>
            <w:tcBorders>
              <w:top w:val="single" w:sz="2" w:space="0" w:color="65C5B4" w:themeColor="accent1"/>
            </w:tcBorders>
            <w:vAlign w:val="center"/>
          </w:tcPr>
          <w:p w:rsidR="009E1A8A" w:rsidRPr="0017122F" w:rsidRDefault="009E1A8A" w:rsidP="0017122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25" w:type="pct"/>
            <w:tcBorders>
              <w:top w:val="single" w:sz="2" w:space="0" w:color="65C5B4" w:themeColor="accent1"/>
            </w:tcBorders>
            <w:shd w:val="clear" w:color="auto" w:fill="auto"/>
            <w:noWrap/>
            <w:vAlign w:val="center"/>
          </w:tcPr>
          <w:p w:rsidR="009E1A8A" w:rsidRPr="0017122F" w:rsidRDefault="009E1A8A" w:rsidP="005F064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5" w:type="pct"/>
            <w:tcBorders>
              <w:top w:val="single" w:sz="2" w:space="0" w:color="65C5B4" w:themeColor="accent1"/>
            </w:tcBorders>
            <w:shd w:val="clear" w:color="auto" w:fill="auto"/>
            <w:noWrap/>
            <w:vAlign w:val="center"/>
          </w:tcPr>
          <w:p w:rsidR="009E1A8A" w:rsidRPr="0017122F" w:rsidRDefault="009E1A8A" w:rsidP="005F064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9" w:type="pct"/>
            <w:tcBorders>
              <w:top w:val="single" w:sz="2" w:space="0" w:color="65C5B4" w:themeColor="accent1"/>
            </w:tcBorders>
            <w:shd w:val="clear" w:color="auto" w:fill="auto"/>
            <w:noWrap/>
            <w:vAlign w:val="center"/>
          </w:tcPr>
          <w:p w:rsidR="009E1A8A" w:rsidRPr="0017122F" w:rsidRDefault="009E1A8A" w:rsidP="005F064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vAlign w:val="center"/>
          </w:tcPr>
          <w:p w:rsidR="009E1A8A" w:rsidRPr="005F064E" w:rsidRDefault="009E1A8A" w:rsidP="005F064E">
            <w:pPr>
              <w:keepLines/>
              <w:spacing w:before="40" w:after="40" w:line="200" w:lineRule="atLeast"/>
              <w:rPr>
                <w:rFonts w:eastAsia="Times New Roman"/>
                <w:iCs/>
                <w:szCs w:val="17"/>
              </w:rPr>
            </w:pPr>
          </w:p>
        </w:tc>
        <w:tc>
          <w:tcPr>
            <w:tcW w:w="687" w:type="pct"/>
          </w:tcPr>
          <w:p w:rsidR="009E1A8A" w:rsidRPr="005F064E" w:rsidRDefault="009E1A8A" w:rsidP="005F064E">
            <w:pPr>
              <w:keepLines/>
              <w:spacing w:before="0" w:after="0" w:line="240" w:lineRule="auto"/>
              <w:rPr>
                <w:rFonts w:eastAsia="Times New Roman"/>
                <w:iCs/>
                <w:szCs w:val="17"/>
              </w:rPr>
            </w:pPr>
            <w:r w:rsidRPr="005F064E">
              <w:rPr>
                <w:rFonts w:asciiTheme="minorHAnsi" w:eastAsia="Times New Roman" w:hAnsiTheme="minorHAnsi"/>
                <w:iCs/>
                <w:szCs w:val="17"/>
                <w:lang w:eastAsia="en-US"/>
              </w:rPr>
              <w:t>2008-2021</w:t>
            </w:r>
          </w:p>
        </w:tc>
        <w:tc>
          <w:tcPr>
            <w:tcW w:w="607" w:type="pct"/>
            <w:tcBorders>
              <w:top w:val="single" w:sz="2" w:space="0" w:color="65C5B4" w:themeColor="accent1"/>
            </w:tcBorders>
            <w:vAlign w:val="center"/>
          </w:tcPr>
          <w:p w:rsidR="009E1A8A" w:rsidRPr="0017122F" w:rsidRDefault="009E1A8A" w:rsidP="0017122F">
            <w:pPr>
              <w:keepLines/>
              <w:spacing w:before="40" w:after="40" w:line="200" w:lineRule="atLeast"/>
              <w:rPr>
                <w:rFonts w:asciiTheme="minorHAnsi" w:eastAsia="Times New Roman" w:hAnsiTheme="minorHAnsi"/>
                <w:iCs/>
                <w:szCs w:val="17"/>
                <w:lang w:eastAsia="en-US"/>
              </w:rPr>
            </w:pPr>
            <w:r w:rsidRPr="00A11640">
              <w:rPr>
                <w:rFonts w:asciiTheme="minorHAnsi" w:eastAsia="Times New Roman" w:hAnsiTheme="minorHAnsi"/>
                <w:iCs/>
                <w:szCs w:val="17"/>
                <w:lang w:eastAsia="en-US"/>
              </w:rPr>
              <w:t>2020 AQC</w:t>
            </w:r>
          </w:p>
        </w:tc>
        <w:tc>
          <w:tcPr>
            <w:tcW w:w="325" w:type="pct"/>
            <w:tcBorders>
              <w:top w:val="single" w:sz="2" w:space="0" w:color="65C5B4" w:themeColor="accent1"/>
            </w:tcBorders>
            <w:shd w:val="clear" w:color="auto" w:fill="auto"/>
            <w:noWrap/>
            <w:vAlign w:val="center"/>
          </w:tcPr>
          <w:p w:rsidR="009E1A8A" w:rsidRPr="0017122F" w:rsidRDefault="009E1A8A" w:rsidP="005F064E">
            <w:pPr>
              <w:keepLines/>
              <w:spacing w:before="40" w:after="40" w:line="200" w:lineRule="atLeast"/>
              <w:jc w:val="center"/>
              <w:rPr>
                <w:rFonts w:asciiTheme="minorHAnsi" w:eastAsia="Times New Roman" w:hAnsiTheme="minorHAnsi"/>
                <w:iCs/>
                <w:szCs w:val="17"/>
                <w:lang w:eastAsia="en-US"/>
              </w:rPr>
            </w:pPr>
            <w:r w:rsidRPr="0017122F">
              <w:rPr>
                <w:rFonts w:asciiTheme="minorHAnsi" w:eastAsia="Times New Roman" w:hAnsiTheme="minorHAnsi"/>
                <w:iCs/>
                <w:szCs w:val="17"/>
                <w:lang w:eastAsia="en-US"/>
              </w:rPr>
              <w:t>5</w:t>
            </w:r>
          </w:p>
        </w:tc>
        <w:tc>
          <w:tcPr>
            <w:tcW w:w="325" w:type="pct"/>
            <w:tcBorders>
              <w:top w:val="single" w:sz="2" w:space="0" w:color="65C5B4" w:themeColor="accent1"/>
            </w:tcBorders>
            <w:shd w:val="clear" w:color="auto" w:fill="auto"/>
            <w:noWrap/>
            <w:vAlign w:val="center"/>
          </w:tcPr>
          <w:p w:rsidR="009E1A8A" w:rsidRPr="0017122F" w:rsidRDefault="009E1A8A" w:rsidP="005F064E">
            <w:pPr>
              <w:keepLines/>
              <w:spacing w:before="40" w:after="40" w:line="200" w:lineRule="atLeast"/>
              <w:jc w:val="center"/>
              <w:rPr>
                <w:rFonts w:asciiTheme="minorHAnsi" w:eastAsia="Times New Roman" w:hAnsiTheme="minorHAnsi"/>
                <w:iCs/>
                <w:szCs w:val="17"/>
                <w:lang w:eastAsia="en-US"/>
              </w:rPr>
            </w:pPr>
            <w:r w:rsidRPr="0017122F">
              <w:rPr>
                <w:rFonts w:asciiTheme="minorHAnsi" w:eastAsia="Times New Roman" w:hAnsiTheme="minorHAnsi"/>
                <w:iCs/>
                <w:szCs w:val="17"/>
                <w:lang w:eastAsia="en-US"/>
              </w:rPr>
              <w:t>4</w:t>
            </w:r>
          </w:p>
        </w:tc>
        <w:tc>
          <w:tcPr>
            <w:tcW w:w="329" w:type="pct"/>
            <w:tcBorders>
              <w:top w:val="single" w:sz="2" w:space="0" w:color="65C5B4" w:themeColor="accent1"/>
            </w:tcBorders>
            <w:shd w:val="clear" w:color="auto" w:fill="auto"/>
            <w:noWrap/>
            <w:vAlign w:val="center"/>
          </w:tcPr>
          <w:p w:rsidR="009E1A8A" w:rsidRPr="0017122F" w:rsidRDefault="009E1A8A" w:rsidP="005F064E">
            <w:pPr>
              <w:keepLines/>
              <w:spacing w:before="40" w:after="40" w:line="200" w:lineRule="atLeast"/>
              <w:jc w:val="center"/>
              <w:rPr>
                <w:rFonts w:asciiTheme="minorHAnsi" w:eastAsia="Times New Roman" w:hAnsiTheme="minorHAnsi"/>
                <w:iCs/>
                <w:szCs w:val="17"/>
                <w:lang w:eastAsia="en-US"/>
              </w:rPr>
            </w:pPr>
            <w:r w:rsidRPr="0017122F">
              <w:rPr>
                <w:rFonts w:asciiTheme="minorHAnsi" w:eastAsia="Times New Roman" w:hAnsiTheme="minorHAnsi"/>
                <w:iCs/>
                <w:szCs w:val="17"/>
                <w:lang w:eastAsia="en-US"/>
              </w:rPr>
              <w:t>3</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tcBorders>
              <w:top w:val="single" w:sz="2" w:space="0" w:color="65C5B4" w:themeColor="accent1"/>
            </w:tcBorders>
            <w:vAlign w:val="center"/>
          </w:tcPr>
          <w:p w:rsidR="009E1A8A" w:rsidRPr="00812509" w:rsidRDefault="009E1A8A" w:rsidP="005F064E">
            <w:pPr>
              <w:keepLines/>
              <w:spacing w:before="40" w:after="40" w:line="200" w:lineRule="atLeast"/>
              <w:rPr>
                <w:rFonts w:eastAsia="Times New Roman"/>
                <w:iCs/>
                <w:szCs w:val="17"/>
              </w:rPr>
            </w:pPr>
            <w:r>
              <w:rPr>
                <w:rFonts w:asciiTheme="minorHAnsi" w:eastAsia="Times New Roman" w:hAnsiTheme="minorHAnsi"/>
                <w:iCs/>
                <w:szCs w:val="17"/>
                <w:lang w:eastAsia="en-US"/>
              </w:rPr>
              <w:t xml:space="preserve">AANZFTA Economic Cooperation Support Program </w:t>
            </w:r>
          </w:p>
        </w:tc>
        <w:tc>
          <w:tcPr>
            <w:tcW w:w="687" w:type="pct"/>
            <w:tcBorders>
              <w:top w:val="single" w:sz="2" w:space="0" w:color="65C5B4" w:themeColor="accent1"/>
            </w:tcBorders>
          </w:tcPr>
          <w:p w:rsidR="009E1A8A" w:rsidRPr="00812509" w:rsidRDefault="009E1A8A" w:rsidP="005F064E">
            <w:pPr>
              <w:autoSpaceDE w:val="0"/>
              <w:autoSpaceDN w:val="0"/>
              <w:adjustRightInd w:val="0"/>
              <w:spacing w:before="40" w:after="40" w:line="240" w:lineRule="auto"/>
              <w:rPr>
                <w:rFonts w:asciiTheme="minorHAnsi" w:hAnsiTheme="minorHAnsi" w:cs="Franklin Gothic Book"/>
                <w:color w:val="000000"/>
                <w:szCs w:val="17"/>
              </w:rPr>
            </w:pPr>
            <w:r w:rsidRPr="00AE0A1E">
              <w:rPr>
                <w:rFonts w:asciiTheme="minorHAnsi" w:eastAsia="Times New Roman" w:hAnsiTheme="minorHAnsi"/>
                <w:iCs/>
                <w:szCs w:val="17"/>
                <w:lang w:eastAsia="en-US"/>
              </w:rPr>
              <w:t>$36m</w:t>
            </w:r>
            <w:r w:rsidRPr="00812509">
              <w:rPr>
                <w:rFonts w:asciiTheme="minorHAnsi" w:hAnsiTheme="minorHAnsi" w:cs="Franklin Gothic Book"/>
                <w:color w:val="000000"/>
                <w:szCs w:val="17"/>
              </w:rPr>
              <w:t xml:space="preserve"> </w:t>
            </w:r>
          </w:p>
          <w:p w:rsidR="009E1A8A" w:rsidRPr="00812509" w:rsidRDefault="009E1A8A" w:rsidP="005F064E">
            <w:pPr>
              <w:autoSpaceDE w:val="0"/>
              <w:autoSpaceDN w:val="0"/>
              <w:adjustRightInd w:val="0"/>
              <w:spacing w:before="40" w:after="40" w:line="240" w:lineRule="auto"/>
              <w:rPr>
                <w:rFonts w:cs="Franklin Gothic Book"/>
                <w:color w:val="000000"/>
                <w:szCs w:val="17"/>
              </w:rPr>
            </w:pPr>
          </w:p>
        </w:tc>
        <w:tc>
          <w:tcPr>
            <w:tcW w:w="607" w:type="pct"/>
            <w:tcBorders>
              <w:top w:val="single" w:sz="2" w:space="0" w:color="65C5B4" w:themeColor="accent1"/>
            </w:tcBorders>
            <w:vAlign w:val="center"/>
          </w:tcPr>
          <w:p w:rsidR="009E1A8A" w:rsidRPr="0017122F" w:rsidRDefault="009E1A8A" w:rsidP="0017122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25" w:type="pct"/>
            <w:tcBorders>
              <w:top w:val="single" w:sz="2" w:space="0" w:color="65C5B4" w:themeColor="accent1"/>
            </w:tcBorders>
            <w:shd w:val="clear" w:color="auto" w:fill="auto"/>
            <w:noWrap/>
            <w:vAlign w:val="center"/>
          </w:tcPr>
          <w:p w:rsidR="009E1A8A" w:rsidRPr="0017122F" w:rsidRDefault="009E1A8A" w:rsidP="005F064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5" w:type="pct"/>
            <w:tcBorders>
              <w:top w:val="single" w:sz="2" w:space="0" w:color="65C5B4" w:themeColor="accent1"/>
            </w:tcBorders>
            <w:shd w:val="clear" w:color="auto" w:fill="auto"/>
            <w:noWrap/>
            <w:vAlign w:val="center"/>
          </w:tcPr>
          <w:p w:rsidR="009E1A8A" w:rsidRPr="0017122F" w:rsidRDefault="009E1A8A" w:rsidP="005F064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29" w:type="pct"/>
            <w:tcBorders>
              <w:top w:val="single" w:sz="2" w:space="0" w:color="65C5B4" w:themeColor="accent1"/>
            </w:tcBorders>
            <w:shd w:val="clear" w:color="auto" w:fill="auto"/>
            <w:noWrap/>
            <w:vAlign w:val="center"/>
          </w:tcPr>
          <w:p w:rsidR="009E1A8A" w:rsidRPr="0017122F" w:rsidRDefault="009E1A8A" w:rsidP="005F064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vAlign w:val="center"/>
          </w:tcPr>
          <w:p w:rsidR="009E1A8A" w:rsidRDefault="009E1A8A" w:rsidP="005F064E">
            <w:pPr>
              <w:keepLines/>
              <w:spacing w:before="40" w:after="40" w:line="200" w:lineRule="atLeast"/>
              <w:rPr>
                <w:rFonts w:eastAsia="Times New Roman"/>
                <w:iCs/>
                <w:szCs w:val="17"/>
              </w:rPr>
            </w:pPr>
          </w:p>
        </w:tc>
        <w:tc>
          <w:tcPr>
            <w:tcW w:w="687" w:type="pct"/>
          </w:tcPr>
          <w:p w:rsidR="009E1A8A" w:rsidRDefault="009E1A8A" w:rsidP="005F064E">
            <w:pPr>
              <w:autoSpaceDE w:val="0"/>
              <w:autoSpaceDN w:val="0"/>
              <w:adjustRightInd w:val="0"/>
              <w:spacing w:before="40" w:after="40" w:line="240" w:lineRule="auto"/>
              <w:rPr>
                <w:rFonts w:cs="Franklin Gothic Book"/>
                <w:color w:val="000000"/>
                <w:szCs w:val="17"/>
              </w:rPr>
            </w:pPr>
            <w:r>
              <w:rPr>
                <w:rFonts w:asciiTheme="minorHAnsi" w:eastAsia="Times New Roman" w:hAnsiTheme="minorHAnsi"/>
                <w:iCs/>
                <w:szCs w:val="17"/>
                <w:lang w:eastAsia="en-US"/>
              </w:rPr>
              <w:t>2010-2021</w:t>
            </w:r>
          </w:p>
        </w:tc>
        <w:tc>
          <w:tcPr>
            <w:tcW w:w="607" w:type="pct"/>
            <w:tcBorders>
              <w:top w:val="single" w:sz="2" w:space="0" w:color="65C5B4" w:themeColor="accent1"/>
            </w:tcBorders>
            <w:vAlign w:val="center"/>
          </w:tcPr>
          <w:p w:rsidR="009E1A8A" w:rsidRPr="0017122F" w:rsidRDefault="009E1A8A" w:rsidP="0017122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AQC</w:t>
            </w:r>
          </w:p>
        </w:tc>
        <w:tc>
          <w:tcPr>
            <w:tcW w:w="325" w:type="pct"/>
            <w:tcBorders>
              <w:top w:val="single" w:sz="2" w:space="0" w:color="65C5B4" w:themeColor="accent1"/>
            </w:tcBorders>
            <w:shd w:val="clear" w:color="auto" w:fill="auto"/>
            <w:noWrap/>
            <w:vAlign w:val="center"/>
          </w:tcPr>
          <w:p w:rsidR="009E1A8A" w:rsidRPr="0017122F" w:rsidRDefault="009E1A8A" w:rsidP="005F064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5" w:type="pct"/>
            <w:tcBorders>
              <w:top w:val="single" w:sz="2" w:space="0" w:color="65C5B4" w:themeColor="accent1"/>
            </w:tcBorders>
            <w:shd w:val="clear" w:color="auto" w:fill="auto"/>
            <w:noWrap/>
            <w:vAlign w:val="center"/>
          </w:tcPr>
          <w:p w:rsidR="009E1A8A" w:rsidRPr="0017122F" w:rsidRDefault="009E1A8A" w:rsidP="005F064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29" w:type="pct"/>
            <w:tcBorders>
              <w:top w:val="single" w:sz="2" w:space="0" w:color="65C5B4" w:themeColor="accent1"/>
            </w:tcBorders>
            <w:shd w:val="clear" w:color="auto" w:fill="auto"/>
            <w:noWrap/>
            <w:vAlign w:val="center"/>
          </w:tcPr>
          <w:p w:rsidR="009E1A8A" w:rsidRPr="0017122F" w:rsidRDefault="009E1A8A" w:rsidP="005F064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tcBorders>
              <w:top w:val="single" w:sz="2" w:space="0" w:color="65C5B4" w:themeColor="accent1"/>
            </w:tcBorders>
            <w:vAlign w:val="center"/>
          </w:tcPr>
          <w:p w:rsidR="009E1A8A" w:rsidRDefault="009E1A8A" w:rsidP="0017122F">
            <w:pPr>
              <w:keepLines/>
              <w:spacing w:before="40" w:after="40" w:line="200" w:lineRule="atLeast"/>
              <w:rPr>
                <w:rFonts w:eastAsia="Times New Roman"/>
                <w:iCs/>
                <w:szCs w:val="17"/>
              </w:rPr>
            </w:pPr>
            <w:r>
              <w:rPr>
                <w:rFonts w:asciiTheme="minorHAnsi" w:eastAsia="Times New Roman" w:hAnsiTheme="minorHAnsi"/>
                <w:iCs/>
                <w:szCs w:val="17"/>
              </w:rPr>
              <w:t xml:space="preserve">TRIANGLE in ASEAN </w:t>
            </w:r>
          </w:p>
        </w:tc>
        <w:tc>
          <w:tcPr>
            <w:tcW w:w="687" w:type="pct"/>
            <w:tcBorders>
              <w:top w:val="single" w:sz="2" w:space="0" w:color="65C5B4" w:themeColor="accent1"/>
            </w:tcBorders>
          </w:tcPr>
          <w:p w:rsidR="009E1A8A" w:rsidRPr="00AE0A1E" w:rsidRDefault="009E1A8A" w:rsidP="0017122F">
            <w:pPr>
              <w:autoSpaceDE w:val="0"/>
              <w:autoSpaceDN w:val="0"/>
              <w:adjustRightInd w:val="0"/>
              <w:spacing w:before="40" w:after="40" w:line="240" w:lineRule="auto"/>
              <w:rPr>
                <w:rFonts w:asciiTheme="minorHAnsi" w:eastAsia="Times New Roman" w:hAnsiTheme="minorHAnsi"/>
                <w:iCs/>
                <w:szCs w:val="17"/>
                <w:lang w:eastAsia="en-US"/>
              </w:rPr>
            </w:pPr>
            <w:r w:rsidRPr="00AE0A1E">
              <w:rPr>
                <w:rFonts w:asciiTheme="minorHAnsi" w:eastAsia="Times New Roman" w:hAnsiTheme="minorHAnsi"/>
                <w:iCs/>
                <w:szCs w:val="17"/>
                <w:lang w:eastAsia="en-US"/>
              </w:rPr>
              <w:t xml:space="preserve">$24m </w:t>
            </w:r>
          </w:p>
          <w:p w:rsidR="009E1A8A" w:rsidRDefault="009E1A8A" w:rsidP="0017122F">
            <w:pPr>
              <w:autoSpaceDE w:val="0"/>
              <w:autoSpaceDN w:val="0"/>
              <w:adjustRightInd w:val="0"/>
              <w:spacing w:before="40" w:after="40" w:line="240" w:lineRule="auto"/>
              <w:rPr>
                <w:rFonts w:cs="Franklin Gothic Book"/>
                <w:color w:val="000000"/>
                <w:szCs w:val="17"/>
              </w:rPr>
            </w:pPr>
          </w:p>
        </w:tc>
        <w:tc>
          <w:tcPr>
            <w:tcW w:w="607" w:type="pct"/>
            <w:tcBorders>
              <w:top w:val="single" w:sz="2" w:space="0" w:color="65C5B4" w:themeColor="accent1"/>
            </w:tcBorders>
            <w:vAlign w:val="center"/>
          </w:tcPr>
          <w:p w:rsidR="009E1A8A" w:rsidRPr="0017122F" w:rsidRDefault="009E1A8A" w:rsidP="0017122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9"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vAlign w:val="center"/>
          </w:tcPr>
          <w:p w:rsidR="009E1A8A" w:rsidRDefault="009E1A8A" w:rsidP="0017122F">
            <w:pPr>
              <w:keepLines/>
              <w:spacing w:before="40" w:after="40" w:line="200" w:lineRule="atLeast"/>
              <w:rPr>
                <w:rFonts w:eastAsia="Times New Roman"/>
                <w:iCs/>
                <w:szCs w:val="17"/>
              </w:rPr>
            </w:pPr>
          </w:p>
        </w:tc>
        <w:tc>
          <w:tcPr>
            <w:tcW w:w="687" w:type="pct"/>
          </w:tcPr>
          <w:p w:rsidR="009E1A8A" w:rsidRDefault="009E1A8A" w:rsidP="0017122F">
            <w:pPr>
              <w:autoSpaceDE w:val="0"/>
              <w:autoSpaceDN w:val="0"/>
              <w:adjustRightInd w:val="0"/>
              <w:spacing w:before="40" w:after="40" w:line="240" w:lineRule="auto"/>
              <w:rPr>
                <w:rFonts w:cs="Franklin Gothic Book"/>
                <w:color w:val="000000"/>
                <w:szCs w:val="17"/>
              </w:rPr>
            </w:pPr>
            <w:r>
              <w:rPr>
                <w:rFonts w:asciiTheme="minorHAnsi" w:eastAsia="Times New Roman" w:hAnsiTheme="minorHAnsi"/>
                <w:iCs/>
                <w:szCs w:val="17"/>
              </w:rPr>
              <w:t>2015-2027</w:t>
            </w:r>
          </w:p>
        </w:tc>
        <w:tc>
          <w:tcPr>
            <w:tcW w:w="607" w:type="pct"/>
            <w:tcBorders>
              <w:top w:val="single" w:sz="2" w:space="0" w:color="65C5B4" w:themeColor="accent1"/>
            </w:tcBorders>
            <w:vAlign w:val="center"/>
          </w:tcPr>
          <w:p w:rsidR="009E1A8A" w:rsidRPr="0017122F" w:rsidRDefault="009E1A8A" w:rsidP="0017122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AQC</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9"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tcBorders>
              <w:top w:val="single" w:sz="2" w:space="0" w:color="65C5B4" w:themeColor="accent1"/>
            </w:tcBorders>
            <w:shd w:val="clear" w:color="auto" w:fill="auto"/>
            <w:vAlign w:val="center"/>
          </w:tcPr>
          <w:p w:rsidR="009E1A8A" w:rsidRPr="00AE0A1E" w:rsidRDefault="009E1A8A" w:rsidP="005F064E">
            <w:pPr>
              <w:keepLines/>
              <w:spacing w:before="40" w:after="40" w:line="200" w:lineRule="atLeast"/>
              <w:rPr>
                <w:rFonts w:asciiTheme="minorHAnsi" w:eastAsia="Times New Roman" w:hAnsiTheme="minorHAnsi"/>
                <w:iCs/>
                <w:szCs w:val="17"/>
              </w:rPr>
            </w:pPr>
            <w:r>
              <w:rPr>
                <w:rFonts w:asciiTheme="minorHAnsi" w:eastAsia="Times New Roman" w:hAnsiTheme="minorHAnsi"/>
                <w:iCs/>
                <w:szCs w:val="17"/>
              </w:rPr>
              <w:t>MAP-WARE:</w:t>
            </w:r>
            <w:r w:rsidRPr="00AE0A1E">
              <w:rPr>
                <w:rFonts w:asciiTheme="minorHAnsi" w:eastAsia="Times New Roman" w:hAnsiTheme="minorHAnsi"/>
                <w:iCs/>
                <w:szCs w:val="17"/>
              </w:rPr>
              <w:t xml:space="preserve"> Australia-Mekong Water Facility</w:t>
            </w:r>
          </w:p>
        </w:tc>
        <w:tc>
          <w:tcPr>
            <w:tcW w:w="687" w:type="pct"/>
            <w:tcBorders>
              <w:top w:val="single" w:sz="2" w:space="0" w:color="65C5B4" w:themeColor="accent1"/>
            </w:tcBorders>
            <w:shd w:val="clear" w:color="auto" w:fill="auto"/>
          </w:tcPr>
          <w:p w:rsidR="009E1A8A" w:rsidRPr="00AE0A1E" w:rsidRDefault="009E1A8A" w:rsidP="005F064E">
            <w:pPr>
              <w:autoSpaceDE w:val="0"/>
              <w:autoSpaceDN w:val="0"/>
              <w:adjustRightInd w:val="0"/>
              <w:spacing w:before="40" w:after="40" w:line="240" w:lineRule="auto"/>
              <w:rPr>
                <w:rFonts w:asciiTheme="minorHAnsi" w:eastAsia="Times New Roman" w:hAnsiTheme="minorHAnsi"/>
                <w:iCs/>
                <w:szCs w:val="17"/>
              </w:rPr>
            </w:pPr>
            <w:r w:rsidRPr="00AE0A1E">
              <w:rPr>
                <w:rFonts w:asciiTheme="minorHAnsi" w:eastAsia="Times New Roman" w:hAnsiTheme="minorHAnsi"/>
                <w:iCs/>
                <w:szCs w:val="17"/>
              </w:rPr>
              <w:t xml:space="preserve">$9.8m </w:t>
            </w:r>
          </w:p>
          <w:p w:rsidR="009E1A8A" w:rsidRPr="00AE0A1E" w:rsidRDefault="009E1A8A" w:rsidP="005F064E">
            <w:pPr>
              <w:autoSpaceDE w:val="0"/>
              <w:autoSpaceDN w:val="0"/>
              <w:adjustRightInd w:val="0"/>
              <w:spacing w:before="40" w:after="40" w:line="240" w:lineRule="auto"/>
              <w:rPr>
                <w:rFonts w:asciiTheme="minorHAnsi" w:eastAsia="Times New Roman" w:hAnsiTheme="minorHAnsi"/>
                <w:iCs/>
                <w:szCs w:val="17"/>
              </w:rPr>
            </w:pPr>
          </w:p>
        </w:tc>
        <w:tc>
          <w:tcPr>
            <w:tcW w:w="607" w:type="pct"/>
            <w:tcBorders>
              <w:top w:val="single" w:sz="2" w:space="0" w:color="65C5B4" w:themeColor="accent1"/>
            </w:tcBorders>
            <w:shd w:val="clear" w:color="auto" w:fill="auto"/>
            <w:vAlign w:val="center"/>
          </w:tcPr>
          <w:p w:rsidR="009E1A8A" w:rsidRPr="00AE0A1E" w:rsidRDefault="009E1A8A" w:rsidP="0017122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2019 AQC</w:t>
            </w:r>
          </w:p>
        </w:tc>
        <w:tc>
          <w:tcPr>
            <w:tcW w:w="325" w:type="pct"/>
            <w:tcBorders>
              <w:top w:val="single" w:sz="2" w:space="0" w:color="65C5B4" w:themeColor="accent1"/>
            </w:tcBorders>
            <w:shd w:val="clear" w:color="auto" w:fill="auto"/>
            <w:noWrap/>
            <w:vAlign w:val="center"/>
          </w:tcPr>
          <w:p w:rsidR="009E1A8A" w:rsidRPr="00AE0A1E" w:rsidRDefault="009E1A8A" w:rsidP="0017122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25" w:type="pct"/>
            <w:tcBorders>
              <w:top w:val="single" w:sz="2" w:space="0" w:color="65C5B4" w:themeColor="accent1"/>
            </w:tcBorders>
            <w:shd w:val="clear" w:color="auto" w:fill="auto"/>
            <w:noWrap/>
            <w:vAlign w:val="center"/>
          </w:tcPr>
          <w:p w:rsidR="009E1A8A" w:rsidRPr="00AE0A1E" w:rsidRDefault="009E1A8A" w:rsidP="0017122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29" w:type="pct"/>
            <w:tcBorders>
              <w:top w:val="single" w:sz="2" w:space="0" w:color="65C5B4" w:themeColor="accent1"/>
            </w:tcBorders>
            <w:shd w:val="clear" w:color="auto" w:fill="auto"/>
            <w:noWrap/>
            <w:vAlign w:val="center"/>
          </w:tcPr>
          <w:p w:rsidR="009E1A8A" w:rsidRPr="00AE0A1E" w:rsidRDefault="009E1A8A" w:rsidP="0017122F">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shd w:val="clear" w:color="auto" w:fill="auto"/>
            <w:vAlign w:val="center"/>
          </w:tcPr>
          <w:p w:rsidR="009E1A8A" w:rsidRPr="00AE0A1E" w:rsidRDefault="009E1A8A" w:rsidP="005F064E">
            <w:pPr>
              <w:keepLines/>
              <w:spacing w:before="40" w:after="40" w:line="200" w:lineRule="atLeast"/>
              <w:rPr>
                <w:rFonts w:eastAsia="Times New Roman"/>
                <w:iCs/>
                <w:szCs w:val="17"/>
              </w:rPr>
            </w:pPr>
          </w:p>
        </w:tc>
        <w:tc>
          <w:tcPr>
            <w:tcW w:w="687" w:type="pct"/>
            <w:shd w:val="clear" w:color="auto" w:fill="auto"/>
          </w:tcPr>
          <w:p w:rsidR="009E1A8A" w:rsidRPr="00AE0A1E" w:rsidRDefault="009E1A8A" w:rsidP="005F064E">
            <w:pPr>
              <w:autoSpaceDE w:val="0"/>
              <w:autoSpaceDN w:val="0"/>
              <w:adjustRightInd w:val="0"/>
              <w:spacing w:before="40" w:after="40" w:line="240" w:lineRule="auto"/>
              <w:rPr>
                <w:rFonts w:eastAsia="Times New Roman"/>
                <w:iCs/>
                <w:szCs w:val="17"/>
              </w:rPr>
            </w:pPr>
            <w:r w:rsidRPr="00AE0A1E">
              <w:rPr>
                <w:rFonts w:asciiTheme="minorHAnsi" w:eastAsia="Times New Roman" w:hAnsiTheme="minorHAnsi"/>
                <w:iCs/>
                <w:szCs w:val="17"/>
              </w:rPr>
              <w:t>2019-2023</w:t>
            </w:r>
          </w:p>
        </w:tc>
        <w:tc>
          <w:tcPr>
            <w:tcW w:w="607" w:type="pct"/>
            <w:tcBorders>
              <w:top w:val="single" w:sz="2" w:space="0" w:color="65C5B4" w:themeColor="accent1"/>
            </w:tcBorders>
            <w:shd w:val="clear" w:color="auto" w:fill="auto"/>
            <w:vAlign w:val="center"/>
          </w:tcPr>
          <w:p w:rsidR="009E1A8A" w:rsidRPr="0017122F" w:rsidRDefault="009E1A8A" w:rsidP="0017122F">
            <w:pPr>
              <w:keepLines/>
              <w:spacing w:before="40" w:after="40" w:line="200" w:lineRule="atLeast"/>
              <w:rPr>
                <w:rFonts w:asciiTheme="minorHAnsi" w:eastAsia="Times New Roman" w:hAnsiTheme="minorHAnsi"/>
                <w:iCs/>
                <w:szCs w:val="17"/>
                <w:lang w:eastAsia="en-US"/>
              </w:rPr>
            </w:pPr>
            <w:r w:rsidRPr="00AE0A1E">
              <w:rPr>
                <w:rFonts w:asciiTheme="minorHAnsi" w:eastAsia="Times New Roman" w:hAnsiTheme="minorHAnsi"/>
                <w:iCs/>
                <w:szCs w:val="17"/>
                <w:lang w:eastAsia="en-US"/>
              </w:rPr>
              <w:t>2020 AQC</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AE0A1E">
              <w:rPr>
                <w:rFonts w:asciiTheme="minorHAnsi" w:eastAsia="Times New Roman" w:hAnsiTheme="minorHAnsi"/>
                <w:iCs/>
                <w:szCs w:val="17"/>
                <w:lang w:eastAsia="en-US"/>
              </w:rPr>
              <w:t>4</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AE0A1E">
              <w:rPr>
                <w:rFonts w:asciiTheme="minorHAnsi" w:eastAsia="Times New Roman" w:hAnsiTheme="minorHAnsi"/>
                <w:iCs/>
                <w:szCs w:val="17"/>
                <w:lang w:eastAsia="en-US"/>
              </w:rPr>
              <w:t>4</w:t>
            </w:r>
          </w:p>
        </w:tc>
        <w:tc>
          <w:tcPr>
            <w:tcW w:w="329"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AE0A1E">
              <w:rPr>
                <w:rFonts w:asciiTheme="minorHAnsi" w:eastAsia="Times New Roman" w:hAnsiTheme="minorHAnsi"/>
                <w:iCs/>
                <w:szCs w:val="17"/>
                <w:lang w:eastAsia="en-US"/>
              </w:rPr>
              <w:t>4</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tcBorders>
              <w:top w:val="single" w:sz="2" w:space="0" w:color="65C5B4" w:themeColor="accent1"/>
            </w:tcBorders>
            <w:shd w:val="clear" w:color="auto" w:fill="auto"/>
            <w:vAlign w:val="center"/>
          </w:tcPr>
          <w:p w:rsidR="009E1A8A" w:rsidRPr="00AE0A1E" w:rsidRDefault="009E1A8A" w:rsidP="0017122F">
            <w:pPr>
              <w:autoSpaceDE w:val="0"/>
              <w:autoSpaceDN w:val="0"/>
              <w:adjustRightInd w:val="0"/>
              <w:spacing w:before="40" w:after="40" w:line="240" w:lineRule="auto"/>
              <w:rPr>
                <w:rFonts w:asciiTheme="minorHAnsi" w:eastAsia="Times New Roman" w:hAnsiTheme="minorHAnsi"/>
                <w:iCs/>
                <w:szCs w:val="17"/>
              </w:rPr>
            </w:pPr>
            <w:r>
              <w:rPr>
                <w:rFonts w:asciiTheme="minorHAnsi" w:eastAsia="Times New Roman" w:hAnsiTheme="minorHAnsi"/>
                <w:iCs/>
                <w:szCs w:val="17"/>
              </w:rPr>
              <w:t xml:space="preserve">MAP-WARE: </w:t>
            </w:r>
            <w:r w:rsidRPr="00AE0A1E">
              <w:rPr>
                <w:rFonts w:asciiTheme="minorHAnsi" w:eastAsia="Times New Roman" w:hAnsiTheme="minorHAnsi"/>
                <w:iCs/>
                <w:szCs w:val="17"/>
              </w:rPr>
              <w:t>Oxfam Inclusion Project</w:t>
            </w:r>
          </w:p>
        </w:tc>
        <w:tc>
          <w:tcPr>
            <w:tcW w:w="687" w:type="pct"/>
            <w:tcBorders>
              <w:top w:val="single" w:sz="2" w:space="0" w:color="65C5B4" w:themeColor="accent1"/>
            </w:tcBorders>
            <w:shd w:val="clear" w:color="auto" w:fill="auto"/>
          </w:tcPr>
          <w:p w:rsidR="009E1A8A" w:rsidRPr="00AE0A1E" w:rsidRDefault="009E1A8A" w:rsidP="0017122F">
            <w:pPr>
              <w:autoSpaceDE w:val="0"/>
              <w:autoSpaceDN w:val="0"/>
              <w:adjustRightInd w:val="0"/>
              <w:spacing w:before="40" w:after="40" w:line="240" w:lineRule="auto"/>
              <w:rPr>
                <w:rFonts w:asciiTheme="minorHAnsi" w:eastAsia="Times New Roman" w:hAnsiTheme="minorHAnsi"/>
                <w:iCs/>
                <w:szCs w:val="17"/>
              </w:rPr>
            </w:pPr>
            <w:r w:rsidRPr="00AE0A1E">
              <w:rPr>
                <w:rFonts w:asciiTheme="minorHAnsi" w:eastAsia="Times New Roman" w:hAnsiTheme="minorHAnsi"/>
                <w:iCs/>
                <w:szCs w:val="17"/>
              </w:rPr>
              <w:t>$9.2m</w:t>
            </w:r>
          </w:p>
          <w:p w:rsidR="009E1A8A" w:rsidRPr="00AE0A1E" w:rsidRDefault="009E1A8A" w:rsidP="0017122F">
            <w:pPr>
              <w:autoSpaceDE w:val="0"/>
              <w:autoSpaceDN w:val="0"/>
              <w:adjustRightInd w:val="0"/>
              <w:spacing w:before="40" w:after="40" w:line="240" w:lineRule="auto"/>
              <w:rPr>
                <w:rFonts w:asciiTheme="minorHAnsi" w:eastAsia="Times New Roman" w:hAnsiTheme="minorHAnsi"/>
                <w:iCs/>
                <w:szCs w:val="17"/>
              </w:rPr>
            </w:pPr>
          </w:p>
        </w:tc>
        <w:tc>
          <w:tcPr>
            <w:tcW w:w="607" w:type="pct"/>
            <w:tcBorders>
              <w:top w:val="single" w:sz="2" w:space="0" w:color="65C5B4" w:themeColor="accent1"/>
            </w:tcBorders>
            <w:vAlign w:val="center"/>
          </w:tcPr>
          <w:p w:rsidR="009E1A8A" w:rsidRPr="00AE0A1E" w:rsidRDefault="009E1A8A" w:rsidP="0017122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25" w:type="pct"/>
            <w:tcBorders>
              <w:top w:val="single" w:sz="2" w:space="0" w:color="65C5B4" w:themeColor="accent1"/>
            </w:tcBorders>
            <w:shd w:val="clear" w:color="auto" w:fill="auto"/>
            <w:noWrap/>
            <w:vAlign w:val="center"/>
          </w:tcPr>
          <w:p w:rsidR="009E1A8A" w:rsidRPr="00AE0A1E" w:rsidRDefault="009E1A8A" w:rsidP="0017122F">
            <w:pPr>
              <w:keepLines/>
              <w:spacing w:before="40" w:after="40" w:line="200" w:lineRule="atLeast"/>
              <w:jc w:val="center"/>
              <w:rPr>
                <w:rFonts w:asciiTheme="minorHAnsi" w:eastAsia="Times New Roman" w:hAnsiTheme="minorHAnsi"/>
                <w:iCs/>
                <w:szCs w:val="17"/>
                <w:lang w:eastAsia="en-US"/>
              </w:rPr>
            </w:pPr>
            <w:r w:rsidRPr="00AE0A1E">
              <w:rPr>
                <w:rFonts w:asciiTheme="minorHAnsi" w:eastAsia="Times New Roman" w:hAnsiTheme="minorHAnsi"/>
                <w:iCs/>
                <w:szCs w:val="17"/>
                <w:lang w:eastAsia="en-US"/>
              </w:rPr>
              <w:t>5</w:t>
            </w:r>
          </w:p>
        </w:tc>
        <w:tc>
          <w:tcPr>
            <w:tcW w:w="325" w:type="pct"/>
            <w:tcBorders>
              <w:top w:val="single" w:sz="2" w:space="0" w:color="65C5B4" w:themeColor="accent1"/>
            </w:tcBorders>
            <w:shd w:val="clear" w:color="auto" w:fill="auto"/>
            <w:noWrap/>
            <w:vAlign w:val="center"/>
          </w:tcPr>
          <w:p w:rsidR="009E1A8A" w:rsidRPr="00AE0A1E" w:rsidRDefault="009E1A8A" w:rsidP="0017122F">
            <w:pPr>
              <w:keepLines/>
              <w:spacing w:before="40" w:after="40" w:line="200" w:lineRule="atLeast"/>
              <w:jc w:val="center"/>
              <w:rPr>
                <w:rFonts w:asciiTheme="minorHAnsi" w:eastAsia="Times New Roman" w:hAnsiTheme="minorHAnsi"/>
                <w:iCs/>
                <w:szCs w:val="17"/>
                <w:lang w:eastAsia="en-US"/>
              </w:rPr>
            </w:pPr>
            <w:r w:rsidRPr="00AE0A1E">
              <w:rPr>
                <w:rFonts w:asciiTheme="minorHAnsi" w:eastAsia="Times New Roman" w:hAnsiTheme="minorHAnsi"/>
                <w:iCs/>
                <w:szCs w:val="17"/>
                <w:lang w:eastAsia="en-US"/>
              </w:rPr>
              <w:t>5</w:t>
            </w:r>
          </w:p>
        </w:tc>
        <w:tc>
          <w:tcPr>
            <w:tcW w:w="329" w:type="pct"/>
            <w:tcBorders>
              <w:top w:val="single" w:sz="2" w:space="0" w:color="65C5B4" w:themeColor="accent1"/>
            </w:tcBorders>
            <w:shd w:val="clear" w:color="auto" w:fill="auto"/>
            <w:noWrap/>
            <w:vAlign w:val="center"/>
          </w:tcPr>
          <w:p w:rsidR="009E1A8A" w:rsidRPr="00AE0A1E" w:rsidRDefault="009E1A8A" w:rsidP="0017122F">
            <w:pPr>
              <w:keepLines/>
              <w:spacing w:before="40" w:after="40" w:line="200" w:lineRule="atLeast"/>
              <w:jc w:val="center"/>
              <w:rPr>
                <w:rFonts w:asciiTheme="minorHAnsi" w:eastAsia="Times New Roman" w:hAnsiTheme="minorHAnsi"/>
                <w:iCs/>
                <w:szCs w:val="17"/>
                <w:lang w:eastAsia="en-US"/>
              </w:rPr>
            </w:pPr>
            <w:r w:rsidRPr="00AE0A1E">
              <w:rPr>
                <w:rFonts w:asciiTheme="minorHAnsi" w:eastAsia="Times New Roman" w:hAnsiTheme="minorHAnsi"/>
                <w:iCs/>
                <w:szCs w:val="17"/>
                <w:lang w:eastAsia="en-US"/>
              </w:rPr>
              <w:t>5</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shd w:val="clear" w:color="auto" w:fill="auto"/>
            <w:vAlign w:val="center"/>
          </w:tcPr>
          <w:p w:rsidR="009E1A8A" w:rsidRPr="00AE0A1E" w:rsidRDefault="009E1A8A" w:rsidP="0017122F">
            <w:pPr>
              <w:autoSpaceDE w:val="0"/>
              <w:autoSpaceDN w:val="0"/>
              <w:adjustRightInd w:val="0"/>
              <w:spacing w:before="40" w:after="40" w:line="240" w:lineRule="auto"/>
              <w:rPr>
                <w:rFonts w:eastAsia="Times New Roman"/>
                <w:iCs/>
                <w:szCs w:val="17"/>
              </w:rPr>
            </w:pPr>
          </w:p>
        </w:tc>
        <w:tc>
          <w:tcPr>
            <w:tcW w:w="687" w:type="pct"/>
            <w:shd w:val="clear" w:color="auto" w:fill="auto"/>
          </w:tcPr>
          <w:p w:rsidR="009E1A8A" w:rsidRPr="00AE0A1E" w:rsidRDefault="009E1A8A" w:rsidP="0017122F">
            <w:pPr>
              <w:autoSpaceDE w:val="0"/>
              <w:autoSpaceDN w:val="0"/>
              <w:adjustRightInd w:val="0"/>
              <w:spacing w:before="40" w:after="40" w:line="240" w:lineRule="auto"/>
              <w:rPr>
                <w:rFonts w:eastAsia="Times New Roman"/>
                <w:iCs/>
                <w:szCs w:val="17"/>
              </w:rPr>
            </w:pPr>
            <w:r w:rsidRPr="00AE0A1E">
              <w:rPr>
                <w:rFonts w:asciiTheme="minorHAnsi" w:eastAsia="Times New Roman" w:hAnsiTheme="minorHAnsi"/>
                <w:iCs/>
                <w:szCs w:val="17"/>
              </w:rPr>
              <w:t>2014-2020</w:t>
            </w:r>
          </w:p>
        </w:tc>
        <w:tc>
          <w:tcPr>
            <w:tcW w:w="607" w:type="pct"/>
            <w:tcBorders>
              <w:top w:val="single" w:sz="2" w:space="0" w:color="65C5B4" w:themeColor="accent1"/>
            </w:tcBorders>
            <w:vAlign w:val="center"/>
          </w:tcPr>
          <w:p w:rsidR="009E1A8A" w:rsidRPr="0017122F" w:rsidRDefault="009E1A8A" w:rsidP="0017122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bookmarkStart w:id="0" w:name="_GoBack"/>
            <w:bookmarkEnd w:id="0"/>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AQC</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AE0A1E">
              <w:rPr>
                <w:rFonts w:asciiTheme="minorHAnsi" w:eastAsia="Times New Roman" w:hAnsiTheme="minorHAnsi"/>
                <w:iCs/>
                <w:szCs w:val="17"/>
                <w:lang w:eastAsia="en-US"/>
              </w:rPr>
              <w:t>5</w:t>
            </w:r>
          </w:p>
        </w:tc>
        <w:tc>
          <w:tcPr>
            <w:tcW w:w="325"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AE0A1E">
              <w:rPr>
                <w:rFonts w:asciiTheme="minorHAnsi" w:eastAsia="Times New Roman" w:hAnsiTheme="minorHAnsi"/>
                <w:iCs/>
                <w:szCs w:val="17"/>
                <w:lang w:eastAsia="en-US"/>
              </w:rPr>
              <w:t>5</w:t>
            </w:r>
          </w:p>
        </w:tc>
        <w:tc>
          <w:tcPr>
            <w:tcW w:w="329" w:type="pct"/>
            <w:tcBorders>
              <w:top w:val="single" w:sz="2" w:space="0" w:color="65C5B4" w:themeColor="accent1"/>
            </w:tcBorders>
            <w:shd w:val="clear" w:color="auto" w:fill="auto"/>
            <w:noWrap/>
            <w:vAlign w:val="center"/>
          </w:tcPr>
          <w:p w:rsidR="009E1A8A" w:rsidRPr="0017122F" w:rsidRDefault="009E1A8A" w:rsidP="0017122F">
            <w:pPr>
              <w:keepLines/>
              <w:spacing w:before="40" w:after="40" w:line="200" w:lineRule="atLeast"/>
              <w:jc w:val="center"/>
              <w:rPr>
                <w:rFonts w:asciiTheme="minorHAnsi" w:eastAsia="Times New Roman" w:hAnsiTheme="minorHAnsi"/>
                <w:iCs/>
                <w:szCs w:val="17"/>
                <w:lang w:eastAsia="en-US"/>
              </w:rPr>
            </w:pPr>
            <w:r w:rsidRPr="00AE0A1E">
              <w:rPr>
                <w:rFonts w:asciiTheme="minorHAnsi" w:eastAsia="Times New Roman" w:hAnsiTheme="minorHAnsi"/>
                <w:iCs/>
                <w:szCs w:val="17"/>
                <w:lang w:eastAsia="en-US"/>
              </w:rPr>
              <w:t>5</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tcBorders>
              <w:top w:val="single" w:sz="2" w:space="0" w:color="65C5B4" w:themeColor="accent1"/>
            </w:tcBorders>
            <w:shd w:val="clear" w:color="auto" w:fill="auto"/>
            <w:vAlign w:val="center"/>
          </w:tcPr>
          <w:p w:rsidR="009E1A8A" w:rsidRPr="00AE0A1E" w:rsidRDefault="009E1A8A" w:rsidP="005F064E">
            <w:pPr>
              <w:autoSpaceDE w:val="0"/>
              <w:autoSpaceDN w:val="0"/>
              <w:adjustRightInd w:val="0"/>
              <w:spacing w:before="40" w:after="40" w:line="240" w:lineRule="auto"/>
              <w:rPr>
                <w:rFonts w:asciiTheme="minorHAnsi" w:eastAsia="Times New Roman" w:hAnsiTheme="minorHAnsi"/>
                <w:iCs/>
                <w:szCs w:val="17"/>
              </w:rPr>
            </w:pPr>
            <w:r>
              <w:rPr>
                <w:rFonts w:asciiTheme="minorHAnsi" w:eastAsia="Times New Roman" w:hAnsiTheme="minorHAnsi"/>
                <w:iCs/>
                <w:szCs w:val="17"/>
              </w:rPr>
              <w:t>MAP-WARE:</w:t>
            </w:r>
            <w:r w:rsidRPr="00AE0A1E">
              <w:rPr>
                <w:rFonts w:asciiTheme="minorHAnsi" w:eastAsia="Times New Roman" w:hAnsiTheme="minorHAnsi"/>
                <w:iCs/>
                <w:szCs w:val="17"/>
              </w:rPr>
              <w:t xml:space="preserve"> Supporting Mekong River Commission Strategic Plan 2016-2020</w:t>
            </w:r>
          </w:p>
        </w:tc>
        <w:tc>
          <w:tcPr>
            <w:tcW w:w="687" w:type="pct"/>
            <w:tcBorders>
              <w:top w:val="single" w:sz="2" w:space="0" w:color="65C5B4" w:themeColor="accent1"/>
            </w:tcBorders>
            <w:shd w:val="clear" w:color="auto" w:fill="auto"/>
          </w:tcPr>
          <w:p w:rsidR="009E1A8A" w:rsidRPr="00AE0A1E" w:rsidRDefault="009E1A8A" w:rsidP="005F064E">
            <w:pPr>
              <w:autoSpaceDE w:val="0"/>
              <w:autoSpaceDN w:val="0"/>
              <w:adjustRightInd w:val="0"/>
              <w:spacing w:before="40" w:after="40" w:line="240" w:lineRule="auto"/>
              <w:rPr>
                <w:rFonts w:asciiTheme="minorHAnsi" w:eastAsia="Times New Roman" w:hAnsiTheme="minorHAnsi"/>
                <w:iCs/>
                <w:szCs w:val="17"/>
              </w:rPr>
            </w:pPr>
            <w:r w:rsidRPr="00AE0A1E">
              <w:rPr>
                <w:rFonts w:asciiTheme="minorHAnsi" w:eastAsia="Times New Roman" w:hAnsiTheme="minorHAnsi"/>
                <w:iCs/>
                <w:szCs w:val="17"/>
              </w:rPr>
              <w:t>$6.5m</w:t>
            </w:r>
          </w:p>
          <w:p w:rsidR="009E1A8A" w:rsidRPr="00AE0A1E" w:rsidRDefault="009E1A8A" w:rsidP="005F064E">
            <w:pPr>
              <w:autoSpaceDE w:val="0"/>
              <w:autoSpaceDN w:val="0"/>
              <w:adjustRightInd w:val="0"/>
              <w:spacing w:before="40" w:after="40" w:line="240" w:lineRule="auto"/>
              <w:rPr>
                <w:rFonts w:asciiTheme="minorHAnsi" w:eastAsia="Times New Roman" w:hAnsiTheme="minorHAnsi"/>
                <w:iCs/>
                <w:szCs w:val="17"/>
              </w:rPr>
            </w:pPr>
          </w:p>
        </w:tc>
        <w:tc>
          <w:tcPr>
            <w:tcW w:w="607" w:type="pct"/>
            <w:tcBorders>
              <w:top w:val="single" w:sz="2" w:space="0" w:color="65C5B4" w:themeColor="accent1"/>
            </w:tcBorders>
            <w:shd w:val="clear" w:color="auto" w:fill="auto"/>
            <w:vAlign w:val="center"/>
          </w:tcPr>
          <w:p w:rsidR="009E1A8A" w:rsidRPr="00AE0A1E" w:rsidRDefault="009E1A8A" w:rsidP="0017122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2019 AQC</w:t>
            </w:r>
          </w:p>
        </w:tc>
        <w:tc>
          <w:tcPr>
            <w:tcW w:w="325" w:type="pct"/>
            <w:tcBorders>
              <w:top w:val="single" w:sz="2" w:space="0" w:color="65C5B4" w:themeColor="accent1"/>
            </w:tcBorders>
            <w:shd w:val="clear" w:color="auto" w:fill="auto"/>
            <w:noWrap/>
            <w:vAlign w:val="center"/>
          </w:tcPr>
          <w:p w:rsidR="009E1A8A" w:rsidRPr="00AE0A1E" w:rsidRDefault="009E1A8A" w:rsidP="005F064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5" w:type="pct"/>
            <w:tcBorders>
              <w:top w:val="single" w:sz="2" w:space="0" w:color="65C5B4" w:themeColor="accent1"/>
            </w:tcBorders>
            <w:shd w:val="clear" w:color="auto" w:fill="auto"/>
            <w:noWrap/>
            <w:vAlign w:val="center"/>
          </w:tcPr>
          <w:p w:rsidR="009E1A8A" w:rsidRPr="00AE0A1E" w:rsidRDefault="009E1A8A" w:rsidP="005F064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9" w:type="pct"/>
            <w:tcBorders>
              <w:top w:val="single" w:sz="2" w:space="0" w:color="65C5B4" w:themeColor="accent1"/>
            </w:tcBorders>
            <w:shd w:val="clear" w:color="auto" w:fill="auto"/>
            <w:noWrap/>
            <w:vAlign w:val="center"/>
          </w:tcPr>
          <w:p w:rsidR="009E1A8A" w:rsidRPr="00AE0A1E" w:rsidRDefault="009E1A8A" w:rsidP="005F064E">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r>
      <w:tr w:rsidR="009E1A8A"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shd w:val="clear" w:color="auto" w:fill="auto"/>
            <w:vAlign w:val="center"/>
          </w:tcPr>
          <w:p w:rsidR="009E1A8A" w:rsidRPr="00AE0A1E" w:rsidRDefault="009E1A8A" w:rsidP="005F064E">
            <w:pPr>
              <w:autoSpaceDE w:val="0"/>
              <w:autoSpaceDN w:val="0"/>
              <w:adjustRightInd w:val="0"/>
              <w:spacing w:before="40" w:after="40" w:line="240" w:lineRule="auto"/>
              <w:rPr>
                <w:rFonts w:eastAsia="Times New Roman"/>
                <w:iCs/>
                <w:szCs w:val="17"/>
              </w:rPr>
            </w:pPr>
          </w:p>
        </w:tc>
        <w:tc>
          <w:tcPr>
            <w:tcW w:w="687" w:type="pct"/>
            <w:shd w:val="clear" w:color="auto" w:fill="auto"/>
          </w:tcPr>
          <w:p w:rsidR="009E1A8A" w:rsidRPr="00AE0A1E" w:rsidRDefault="009E1A8A" w:rsidP="005F064E">
            <w:pPr>
              <w:autoSpaceDE w:val="0"/>
              <w:autoSpaceDN w:val="0"/>
              <w:adjustRightInd w:val="0"/>
              <w:spacing w:before="40" w:after="40" w:line="240" w:lineRule="auto"/>
              <w:rPr>
                <w:rFonts w:eastAsia="Times New Roman"/>
                <w:iCs/>
                <w:szCs w:val="17"/>
              </w:rPr>
            </w:pPr>
            <w:r w:rsidRPr="00AE0A1E">
              <w:rPr>
                <w:rFonts w:asciiTheme="minorHAnsi" w:eastAsia="Times New Roman" w:hAnsiTheme="minorHAnsi"/>
                <w:iCs/>
                <w:szCs w:val="17"/>
              </w:rPr>
              <w:t>2014-2020</w:t>
            </w:r>
          </w:p>
        </w:tc>
        <w:tc>
          <w:tcPr>
            <w:tcW w:w="607" w:type="pct"/>
            <w:tcBorders>
              <w:top w:val="single" w:sz="2" w:space="0" w:color="65C5B4" w:themeColor="accent1"/>
            </w:tcBorders>
            <w:shd w:val="clear" w:color="auto" w:fill="auto"/>
            <w:vAlign w:val="center"/>
          </w:tcPr>
          <w:p w:rsidR="009E1A8A" w:rsidRPr="0017122F" w:rsidRDefault="009E1A8A" w:rsidP="0017122F">
            <w:pPr>
              <w:keepLines/>
              <w:spacing w:before="40" w:after="40" w:line="200" w:lineRule="atLeast"/>
              <w:rPr>
                <w:rFonts w:asciiTheme="minorHAnsi" w:eastAsia="Times New Roman" w:hAnsiTheme="minorHAnsi"/>
                <w:iCs/>
                <w:szCs w:val="17"/>
                <w:lang w:eastAsia="en-US"/>
              </w:rPr>
            </w:pPr>
            <w:r w:rsidRPr="00AE0A1E">
              <w:rPr>
                <w:rFonts w:asciiTheme="minorHAnsi" w:eastAsia="Times New Roman" w:hAnsiTheme="minorHAnsi"/>
                <w:iCs/>
                <w:szCs w:val="17"/>
                <w:lang w:eastAsia="en-US"/>
              </w:rPr>
              <w:t>2020 AQC</w:t>
            </w:r>
          </w:p>
        </w:tc>
        <w:tc>
          <w:tcPr>
            <w:tcW w:w="325" w:type="pct"/>
            <w:tcBorders>
              <w:top w:val="single" w:sz="2" w:space="0" w:color="65C5B4" w:themeColor="accent1"/>
            </w:tcBorders>
            <w:shd w:val="clear" w:color="auto" w:fill="auto"/>
            <w:noWrap/>
            <w:vAlign w:val="center"/>
          </w:tcPr>
          <w:p w:rsidR="009E1A8A" w:rsidRPr="0017122F" w:rsidRDefault="009E1A8A" w:rsidP="005F064E">
            <w:pPr>
              <w:keepLines/>
              <w:spacing w:before="40" w:after="40" w:line="200" w:lineRule="atLeast"/>
              <w:jc w:val="center"/>
              <w:rPr>
                <w:rFonts w:asciiTheme="minorHAnsi" w:eastAsia="Times New Roman" w:hAnsiTheme="minorHAnsi"/>
                <w:iCs/>
                <w:szCs w:val="17"/>
                <w:lang w:eastAsia="en-US"/>
              </w:rPr>
            </w:pPr>
            <w:r w:rsidRPr="00AE0A1E">
              <w:rPr>
                <w:rFonts w:asciiTheme="minorHAnsi" w:eastAsia="Times New Roman" w:hAnsiTheme="minorHAnsi"/>
                <w:iCs/>
                <w:szCs w:val="17"/>
                <w:lang w:eastAsia="en-US"/>
              </w:rPr>
              <w:t>4</w:t>
            </w:r>
          </w:p>
        </w:tc>
        <w:tc>
          <w:tcPr>
            <w:tcW w:w="325" w:type="pct"/>
            <w:tcBorders>
              <w:top w:val="single" w:sz="2" w:space="0" w:color="65C5B4" w:themeColor="accent1"/>
            </w:tcBorders>
            <w:shd w:val="clear" w:color="auto" w:fill="auto"/>
            <w:noWrap/>
            <w:vAlign w:val="center"/>
          </w:tcPr>
          <w:p w:rsidR="009E1A8A" w:rsidRPr="0017122F" w:rsidRDefault="009E1A8A" w:rsidP="005F064E">
            <w:pPr>
              <w:keepLines/>
              <w:spacing w:before="40" w:after="40" w:line="200" w:lineRule="atLeast"/>
              <w:jc w:val="center"/>
              <w:rPr>
                <w:rFonts w:asciiTheme="minorHAnsi" w:eastAsia="Times New Roman" w:hAnsiTheme="minorHAnsi"/>
                <w:iCs/>
                <w:szCs w:val="17"/>
                <w:lang w:eastAsia="en-US"/>
              </w:rPr>
            </w:pPr>
            <w:r w:rsidRPr="00AE0A1E">
              <w:rPr>
                <w:rFonts w:asciiTheme="minorHAnsi" w:eastAsia="Times New Roman" w:hAnsiTheme="minorHAnsi"/>
                <w:iCs/>
                <w:szCs w:val="17"/>
                <w:lang w:eastAsia="en-US"/>
              </w:rPr>
              <w:t>3</w:t>
            </w:r>
          </w:p>
        </w:tc>
        <w:tc>
          <w:tcPr>
            <w:tcW w:w="329" w:type="pct"/>
            <w:tcBorders>
              <w:top w:val="single" w:sz="2" w:space="0" w:color="65C5B4" w:themeColor="accent1"/>
            </w:tcBorders>
            <w:shd w:val="clear" w:color="auto" w:fill="auto"/>
            <w:noWrap/>
            <w:vAlign w:val="center"/>
          </w:tcPr>
          <w:p w:rsidR="009E1A8A" w:rsidRPr="0017122F" w:rsidRDefault="009E1A8A" w:rsidP="005F064E">
            <w:pPr>
              <w:keepLines/>
              <w:spacing w:before="40" w:after="40" w:line="200" w:lineRule="atLeast"/>
              <w:jc w:val="center"/>
              <w:rPr>
                <w:rFonts w:asciiTheme="minorHAnsi" w:eastAsia="Times New Roman" w:hAnsiTheme="minorHAnsi"/>
                <w:iCs/>
                <w:szCs w:val="17"/>
                <w:lang w:eastAsia="en-US"/>
              </w:rPr>
            </w:pPr>
            <w:r w:rsidRPr="00AE0A1E">
              <w:rPr>
                <w:rFonts w:asciiTheme="minorHAnsi" w:eastAsia="Times New Roman" w:hAnsiTheme="minorHAnsi"/>
                <w:iCs/>
                <w:szCs w:val="17"/>
                <w:lang w:eastAsia="en-US"/>
              </w:rPr>
              <w:t>3</w:t>
            </w:r>
          </w:p>
        </w:tc>
      </w:tr>
      <w:tr w:rsidR="004704B0"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tcBorders>
              <w:top w:val="single" w:sz="2" w:space="0" w:color="65C5B4" w:themeColor="accent1"/>
            </w:tcBorders>
            <w:shd w:val="clear" w:color="auto" w:fill="auto"/>
            <w:vAlign w:val="center"/>
          </w:tcPr>
          <w:p w:rsidR="004704B0" w:rsidRPr="00AE0A1E" w:rsidRDefault="004704B0" w:rsidP="005D2B45">
            <w:pPr>
              <w:autoSpaceDE w:val="0"/>
              <w:autoSpaceDN w:val="0"/>
              <w:adjustRightInd w:val="0"/>
              <w:spacing w:before="40" w:after="40" w:line="240" w:lineRule="auto"/>
              <w:rPr>
                <w:rFonts w:eastAsia="Times New Roman"/>
                <w:iCs/>
                <w:szCs w:val="17"/>
              </w:rPr>
            </w:pPr>
            <w:r>
              <w:rPr>
                <w:rFonts w:asciiTheme="minorHAnsi" w:eastAsia="Times New Roman" w:hAnsiTheme="minorHAnsi"/>
                <w:iCs/>
                <w:szCs w:val="17"/>
              </w:rPr>
              <w:t>MAP-WARE:</w:t>
            </w:r>
            <w:r w:rsidRPr="00AE0A1E">
              <w:rPr>
                <w:rFonts w:asciiTheme="minorHAnsi" w:eastAsia="Times New Roman" w:hAnsiTheme="minorHAnsi"/>
                <w:iCs/>
                <w:szCs w:val="17"/>
              </w:rPr>
              <w:t xml:space="preserve"> IFC Sustainable Hydropower in the Mekong countries</w:t>
            </w:r>
          </w:p>
        </w:tc>
        <w:tc>
          <w:tcPr>
            <w:tcW w:w="687" w:type="pct"/>
            <w:tcBorders>
              <w:top w:val="single" w:sz="2" w:space="0" w:color="65C5B4" w:themeColor="accent1"/>
            </w:tcBorders>
            <w:shd w:val="clear" w:color="auto" w:fill="auto"/>
          </w:tcPr>
          <w:p w:rsidR="004704B0" w:rsidRPr="00AE0A1E" w:rsidRDefault="004704B0" w:rsidP="00B934E1">
            <w:pPr>
              <w:autoSpaceDE w:val="0"/>
              <w:autoSpaceDN w:val="0"/>
              <w:adjustRightInd w:val="0"/>
              <w:spacing w:before="0" w:after="0" w:line="240" w:lineRule="auto"/>
              <w:rPr>
                <w:rFonts w:eastAsia="Times New Roman"/>
                <w:iCs/>
                <w:szCs w:val="17"/>
              </w:rPr>
            </w:pPr>
            <w:r w:rsidRPr="00AE0A1E">
              <w:rPr>
                <w:rFonts w:asciiTheme="minorHAnsi" w:eastAsia="Times New Roman" w:hAnsiTheme="minorHAnsi"/>
                <w:iCs/>
                <w:szCs w:val="17"/>
              </w:rPr>
              <w:t>$8m</w:t>
            </w:r>
            <w:r>
              <w:rPr>
                <w:rFonts w:asciiTheme="minorHAnsi" w:eastAsia="Times New Roman" w:hAnsiTheme="minorHAnsi"/>
                <w:iCs/>
                <w:szCs w:val="17"/>
              </w:rPr>
              <w:t xml:space="preserve"> </w:t>
            </w:r>
            <w:r>
              <w:rPr>
                <w:rFonts w:asciiTheme="minorHAnsi" w:eastAsia="Times New Roman" w:hAnsiTheme="minorHAnsi"/>
                <w:iCs/>
                <w:szCs w:val="17"/>
              </w:rPr>
              <w:br/>
            </w:r>
          </w:p>
        </w:tc>
        <w:tc>
          <w:tcPr>
            <w:tcW w:w="607" w:type="pct"/>
            <w:tcBorders>
              <w:top w:val="single" w:sz="2" w:space="0" w:color="65C5B4" w:themeColor="accent1"/>
            </w:tcBorders>
            <w:shd w:val="clear" w:color="auto" w:fill="auto"/>
            <w:vAlign w:val="center"/>
          </w:tcPr>
          <w:p w:rsidR="004704B0" w:rsidRPr="00AE0A1E" w:rsidRDefault="004704B0" w:rsidP="005D2B4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2019 AQC</w:t>
            </w:r>
          </w:p>
        </w:tc>
        <w:tc>
          <w:tcPr>
            <w:tcW w:w="325" w:type="pct"/>
            <w:tcBorders>
              <w:top w:val="single" w:sz="2" w:space="0" w:color="65C5B4" w:themeColor="accent1"/>
            </w:tcBorders>
            <w:shd w:val="clear" w:color="auto" w:fill="auto"/>
            <w:noWrap/>
            <w:vAlign w:val="center"/>
          </w:tcPr>
          <w:p w:rsidR="004704B0" w:rsidRPr="00AE0A1E" w:rsidRDefault="004704B0" w:rsidP="005D2B4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5" w:type="pct"/>
            <w:tcBorders>
              <w:top w:val="single" w:sz="2" w:space="0" w:color="65C5B4" w:themeColor="accent1"/>
            </w:tcBorders>
            <w:shd w:val="clear" w:color="auto" w:fill="auto"/>
            <w:noWrap/>
            <w:vAlign w:val="center"/>
          </w:tcPr>
          <w:p w:rsidR="004704B0" w:rsidRPr="00AE0A1E" w:rsidRDefault="004704B0" w:rsidP="005D2B4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9" w:type="pct"/>
            <w:tcBorders>
              <w:top w:val="single" w:sz="2" w:space="0" w:color="65C5B4" w:themeColor="accent1"/>
            </w:tcBorders>
            <w:shd w:val="clear" w:color="auto" w:fill="auto"/>
            <w:noWrap/>
            <w:vAlign w:val="center"/>
          </w:tcPr>
          <w:p w:rsidR="004704B0" w:rsidRPr="00AE0A1E" w:rsidRDefault="004704B0" w:rsidP="005D2B4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4704B0" w:rsidRPr="00812509" w:rsidTr="009E1A8A">
        <w:trPr>
          <w:cnfStyle w:val="100000000000" w:firstRow="1" w:lastRow="0" w:firstColumn="0" w:lastColumn="0" w:oddVBand="0" w:evenVBand="0" w:oddHBand="0" w:evenHBand="0" w:firstRowFirstColumn="0" w:firstRowLastColumn="0" w:lastRowFirstColumn="0" w:lastRowLastColumn="0"/>
          <w:trHeight w:hRule="exact" w:val="243"/>
        </w:trPr>
        <w:tc>
          <w:tcPr>
            <w:tcW w:w="2622" w:type="pct"/>
            <w:shd w:val="clear" w:color="auto" w:fill="auto"/>
            <w:vAlign w:val="center"/>
          </w:tcPr>
          <w:p w:rsidR="004704B0" w:rsidRPr="00AE0A1E" w:rsidRDefault="004704B0" w:rsidP="005D2B45">
            <w:pPr>
              <w:autoSpaceDE w:val="0"/>
              <w:autoSpaceDN w:val="0"/>
              <w:adjustRightInd w:val="0"/>
              <w:spacing w:before="40" w:after="40" w:line="240" w:lineRule="auto"/>
              <w:rPr>
                <w:rFonts w:eastAsia="Times New Roman"/>
                <w:iCs/>
                <w:szCs w:val="17"/>
              </w:rPr>
            </w:pPr>
          </w:p>
        </w:tc>
        <w:tc>
          <w:tcPr>
            <w:tcW w:w="687" w:type="pct"/>
            <w:shd w:val="clear" w:color="auto" w:fill="auto"/>
          </w:tcPr>
          <w:p w:rsidR="004704B0" w:rsidRPr="00AE0A1E" w:rsidRDefault="004704B0" w:rsidP="005D2B45">
            <w:pPr>
              <w:autoSpaceDE w:val="0"/>
              <w:autoSpaceDN w:val="0"/>
              <w:adjustRightInd w:val="0"/>
              <w:spacing w:before="40" w:after="40" w:line="240" w:lineRule="auto"/>
              <w:rPr>
                <w:rFonts w:eastAsia="Times New Roman"/>
                <w:iCs/>
                <w:szCs w:val="17"/>
              </w:rPr>
            </w:pPr>
            <w:r w:rsidRPr="00AE0A1E">
              <w:rPr>
                <w:rFonts w:asciiTheme="minorHAnsi" w:eastAsia="Times New Roman" w:hAnsiTheme="minorHAnsi"/>
                <w:iCs/>
                <w:szCs w:val="17"/>
              </w:rPr>
              <w:t>2014-2020</w:t>
            </w:r>
          </w:p>
        </w:tc>
        <w:tc>
          <w:tcPr>
            <w:tcW w:w="607" w:type="pct"/>
            <w:tcBorders>
              <w:top w:val="single" w:sz="2" w:space="0" w:color="65C5B4" w:themeColor="accent1"/>
            </w:tcBorders>
            <w:shd w:val="clear" w:color="auto" w:fill="auto"/>
            <w:vAlign w:val="center"/>
          </w:tcPr>
          <w:p w:rsidR="004704B0" w:rsidRPr="0017122F" w:rsidRDefault="004704B0" w:rsidP="005D2B45">
            <w:pPr>
              <w:keepLines/>
              <w:spacing w:before="40" w:after="40" w:line="200" w:lineRule="atLeast"/>
              <w:rPr>
                <w:rFonts w:asciiTheme="minorHAnsi" w:eastAsia="Times New Roman" w:hAnsiTheme="minorHAnsi"/>
                <w:iCs/>
                <w:szCs w:val="17"/>
                <w:lang w:eastAsia="en-US"/>
              </w:rPr>
            </w:pPr>
            <w:r w:rsidRPr="00AE0A1E">
              <w:rPr>
                <w:rFonts w:asciiTheme="minorHAnsi" w:eastAsia="Times New Roman" w:hAnsiTheme="minorHAnsi"/>
                <w:iCs/>
                <w:szCs w:val="17"/>
                <w:lang w:eastAsia="en-US"/>
              </w:rPr>
              <w:t>2020 AQC</w:t>
            </w:r>
          </w:p>
        </w:tc>
        <w:tc>
          <w:tcPr>
            <w:tcW w:w="325" w:type="pct"/>
            <w:tcBorders>
              <w:top w:val="single" w:sz="2" w:space="0" w:color="65C5B4" w:themeColor="accent1"/>
            </w:tcBorders>
            <w:shd w:val="clear" w:color="auto" w:fill="auto"/>
            <w:noWrap/>
            <w:vAlign w:val="center"/>
          </w:tcPr>
          <w:p w:rsidR="004704B0" w:rsidRPr="0017122F" w:rsidRDefault="004704B0" w:rsidP="005D2B45">
            <w:pPr>
              <w:keepLines/>
              <w:spacing w:before="40" w:after="40" w:line="200" w:lineRule="atLeast"/>
              <w:jc w:val="center"/>
              <w:rPr>
                <w:rFonts w:asciiTheme="minorHAnsi" w:eastAsia="Times New Roman" w:hAnsiTheme="minorHAnsi"/>
                <w:iCs/>
                <w:szCs w:val="17"/>
                <w:lang w:eastAsia="en-US"/>
              </w:rPr>
            </w:pPr>
            <w:r w:rsidRPr="00AE0A1E">
              <w:rPr>
                <w:rFonts w:asciiTheme="minorHAnsi" w:eastAsia="Times New Roman" w:hAnsiTheme="minorHAnsi"/>
                <w:iCs/>
                <w:szCs w:val="17"/>
                <w:lang w:eastAsia="en-US"/>
              </w:rPr>
              <w:t>5</w:t>
            </w:r>
          </w:p>
        </w:tc>
        <w:tc>
          <w:tcPr>
            <w:tcW w:w="325" w:type="pct"/>
            <w:tcBorders>
              <w:top w:val="single" w:sz="2" w:space="0" w:color="65C5B4" w:themeColor="accent1"/>
            </w:tcBorders>
            <w:shd w:val="clear" w:color="auto" w:fill="auto"/>
            <w:noWrap/>
            <w:vAlign w:val="center"/>
          </w:tcPr>
          <w:p w:rsidR="004704B0" w:rsidRPr="0017122F" w:rsidRDefault="004704B0" w:rsidP="005D2B45">
            <w:pPr>
              <w:keepLines/>
              <w:spacing w:before="40" w:after="40" w:line="200" w:lineRule="atLeast"/>
              <w:jc w:val="center"/>
              <w:rPr>
                <w:rFonts w:asciiTheme="minorHAnsi" w:eastAsia="Times New Roman" w:hAnsiTheme="minorHAnsi"/>
                <w:iCs/>
                <w:szCs w:val="17"/>
                <w:lang w:eastAsia="en-US"/>
              </w:rPr>
            </w:pPr>
            <w:r w:rsidRPr="00AE0A1E">
              <w:rPr>
                <w:rFonts w:asciiTheme="minorHAnsi" w:eastAsia="Times New Roman" w:hAnsiTheme="minorHAnsi"/>
                <w:iCs/>
                <w:szCs w:val="17"/>
                <w:lang w:eastAsia="en-US"/>
              </w:rPr>
              <w:t>5</w:t>
            </w:r>
          </w:p>
        </w:tc>
        <w:tc>
          <w:tcPr>
            <w:tcW w:w="329" w:type="pct"/>
            <w:tcBorders>
              <w:top w:val="single" w:sz="2" w:space="0" w:color="65C5B4" w:themeColor="accent1"/>
            </w:tcBorders>
            <w:shd w:val="clear" w:color="auto" w:fill="auto"/>
            <w:noWrap/>
            <w:vAlign w:val="center"/>
          </w:tcPr>
          <w:p w:rsidR="004704B0" w:rsidRPr="0017122F" w:rsidRDefault="004704B0" w:rsidP="005D2B45">
            <w:pPr>
              <w:keepLines/>
              <w:spacing w:before="40" w:after="40" w:line="200" w:lineRule="atLeast"/>
              <w:jc w:val="center"/>
              <w:rPr>
                <w:rFonts w:asciiTheme="minorHAnsi" w:eastAsia="Times New Roman" w:hAnsiTheme="minorHAnsi"/>
                <w:iCs/>
                <w:szCs w:val="17"/>
                <w:lang w:eastAsia="en-US"/>
              </w:rPr>
            </w:pPr>
            <w:r w:rsidRPr="00AE0A1E">
              <w:rPr>
                <w:rFonts w:asciiTheme="minorHAnsi" w:eastAsia="Times New Roman" w:hAnsiTheme="minorHAnsi"/>
                <w:iCs/>
                <w:szCs w:val="17"/>
                <w:lang w:eastAsia="en-US"/>
              </w:rPr>
              <w:t>3</w:t>
            </w:r>
          </w:p>
        </w:tc>
      </w:tr>
    </w:tbl>
    <w:p w:rsidR="00390828" w:rsidRPr="00D03BF3" w:rsidRDefault="00390828" w:rsidP="00390828">
      <w:pPr>
        <w:pStyle w:val="Heading3"/>
      </w:pPr>
      <w:r w:rsidRPr="00D03BF3">
        <w:t xml:space="preserve">Final </w:t>
      </w:r>
      <w:r w:rsidR="00B927C4">
        <w:t xml:space="preserve">Investment Monitoring Report </w:t>
      </w:r>
      <w:r>
        <w:t xml:space="preserve">ratings </w:t>
      </w:r>
    </w:p>
    <w:tbl>
      <w:tblPr>
        <w:tblStyle w:val="APPR"/>
        <w:tblW w:w="4735" w:type="pct"/>
        <w:tblLook w:val="0020" w:firstRow="1" w:lastRow="0" w:firstColumn="0" w:lastColumn="0" w:noHBand="0" w:noVBand="0"/>
      </w:tblPr>
      <w:tblGrid>
        <w:gridCol w:w="4109"/>
        <w:gridCol w:w="1099"/>
        <w:gridCol w:w="623"/>
        <w:gridCol w:w="641"/>
        <w:gridCol w:w="625"/>
        <w:gridCol w:w="656"/>
        <w:gridCol w:w="718"/>
        <w:gridCol w:w="656"/>
      </w:tblGrid>
      <w:tr w:rsidR="00B934E1" w:rsidRPr="00812509" w:rsidTr="009E1A8A">
        <w:trPr>
          <w:cnfStyle w:val="100000000000" w:firstRow="1" w:lastRow="0" w:firstColumn="0" w:lastColumn="0" w:oddVBand="0" w:evenVBand="0" w:oddHBand="0" w:evenHBand="0" w:firstRowFirstColumn="0" w:firstRowLastColumn="0" w:lastRowFirstColumn="0" w:lastRowLastColumn="0"/>
          <w:trHeight w:val="1505"/>
        </w:trPr>
        <w:tc>
          <w:tcPr>
            <w:tcW w:w="2229" w:type="pct"/>
          </w:tcPr>
          <w:p w:rsidR="00B934E1" w:rsidRPr="00812509" w:rsidRDefault="00B934E1" w:rsidP="00390828">
            <w:pPr>
              <w:keepLines/>
              <w:spacing w:before="80" w:after="80" w:line="200" w:lineRule="atLeast"/>
              <w:rPr>
                <w:rFonts w:asciiTheme="minorHAnsi" w:eastAsia="Times New Roman" w:hAnsiTheme="minorHAnsi"/>
                <w:b w:val="0"/>
                <w:iCs/>
                <w:szCs w:val="17"/>
                <w:lang w:eastAsia="en-US"/>
              </w:rPr>
            </w:pPr>
            <w:r w:rsidRPr="00812509">
              <w:rPr>
                <w:rFonts w:eastAsia="Times New Roman"/>
                <w:b w:val="0"/>
                <w:iCs/>
                <w:noProof/>
                <w:szCs w:val="17"/>
                <w:lang w:val="en-AU"/>
              </w:rPr>
              <w:drawing>
                <wp:anchor distT="0" distB="0" distL="114300" distR="114300" simplePos="0" relativeHeight="251674624" behindDoc="0" locked="0" layoutInCell="1" allowOverlap="1" wp14:anchorId="3EE67E70" wp14:editId="2B8D6708">
                  <wp:simplePos x="0" y="0"/>
                  <wp:positionH relativeFrom="column">
                    <wp:posOffset>0</wp:posOffset>
                  </wp:positionH>
                  <wp:positionV relativeFrom="paragraph">
                    <wp:posOffset>0</wp:posOffset>
                  </wp:positionV>
                  <wp:extent cx="1857375" cy="228600"/>
                  <wp:effectExtent l="0" t="0" r="9525" b="0"/>
                  <wp:wrapNone/>
                  <wp:docPr id="50" name="Picture 5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C12">
              <w:rPr>
                <w:rFonts w:asciiTheme="minorHAnsi" w:eastAsia="Times New Roman" w:hAnsiTheme="minorHAnsi"/>
                <w:iCs/>
                <w:szCs w:val="17"/>
                <w:lang w:eastAsia="en-US"/>
              </w:rPr>
              <w:t>Investment name</w:t>
            </w:r>
          </w:p>
        </w:tc>
        <w:tc>
          <w:tcPr>
            <w:tcW w:w="587" w:type="pct"/>
            <w:textDirection w:val="btLr"/>
          </w:tcPr>
          <w:p w:rsidR="00B934E1" w:rsidRPr="00812509" w:rsidRDefault="00B934E1"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324" w:type="pct"/>
            <w:noWrap/>
            <w:textDirection w:val="btLr"/>
          </w:tcPr>
          <w:p w:rsidR="00B934E1" w:rsidRPr="00812509" w:rsidRDefault="00B934E1"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Effectiveness </w:t>
            </w:r>
          </w:p>
        </w:tc>
        <w:tc>
          <w:tcPr>
            <w:tcW w:w="336" w:type="pct"/>
            <w:noWrap/>
            <w:textDirection w:val="btLr"/>
          </w:tcPr>
          <w:p w:rsidR="00B934E1" w:rsidRPr="00812509" w:rsidRDefault="00B934E1"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28" w:type="pct"/>
            <w:noWrap/>
            <w:textDirection w:val="btLr"/>
          </w:tcPr>
          <w:p w:rsidR="00B934E1" w:rsidRPr="00812509" w:rsidRDefault="00B934E1"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c>
          <w:tcPr>
            <w:tcW w:w="344" w:type="pct"/>
            <w:noWrap/>
            <w:textDirection w:val="btLr"/>
          </w:tcPr>
          <w:p w:rsidR="00B934E1" w:rsidRPr="00812509" w:rsidRDefault="00B934E1"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Relevance</w:t>
            </w:r>
          </w:p>
        </w:tc>
        <w:tc>
          <w:tcPr>
            <w:tcW w:w="378" w:type="pct"/>
            <w:noWrap/>
            <w:textDirection w:val="btLr"/>
          </w:tcPr>
          <w:p w:rsidR="00B934E1" w:rsidRPr="00812509" w:rsidRDefault="00B934E1"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Monitoring and Evaluation</w:t>
            </w:r>
          </w:p>
        </w:tc>
        <w:tc>
          <w:tcPr>
            <w:tcW w:w="336" w:type="pct"/>
            <w:noWrap/>
            <w:textDirection w:val="btLr"/>
          </w:tcPr>
          <w:p w:rsidR="00B934E1" w:rsidRPr="00812509" w:rsidRDefault="00B934E1"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Sustainability</w:t>
            </w:r>
          </w:p>
        </w:tc>
      </w:tr>
      <w:tr w:rsidR="00B934E1" w:rsidRPr="00812509" w:rsidTr="009E1A8A">
        <w:trPr>
          <w:cnfStyle w:val="100000000000" w:firstRow="1" w:lastRow="0" w:firstColumn="0" w:lastColumn="0" w:oddVBand="0" w:evenVBand="0" w:oddHBand="0" w:evenHBand="0" w:firstRowFirstColumn="0" w:firstRowLastColumn="0" w:lastRowFirstColumn="0" w:lastRowLastColumn="0"/>
          <w:trHeight w:val="331"/>
        </w:trPr>
        <w:tc>
          <w:tcPr>
            <w:tcW w:w="2229" w:type="pct"/>
          </w:tcPr>
          <w:p w:rsidR="00B934E1" w:rsidRPr="00812509" w:rsidRDefault="00B934E1" w:rsidP="00693F9A">
            <w:pPr>
              <w:keepLines/>
              <w:spacing w:before="40" w:after="40" w:line="200" w:lineRule="atLeast"/>
              <w:rPr>
                <w:rFonts w:asciiTheme="minorHAnsi" w:eastAsia="Times New Roman" w:hAnsiTheme="minorHAnsi"/>
                <w:iCs/>
                <w:szCs w:val="17"/>
                <w:lang w:eastAsia="en-US"/>
              </w:rPr>
            </w:pPr>
            <w:bookmarkStart w:id="1" w:name="_Hlk42537588"/>
            <w:r w:rsidRPr="00B15DDB">
              <w:rPr>
                <w:rFonts w:asciiTheme="minorHAnsi" w:eastAsia="Times New Roman" w:hAnsiTheme="minorHAnsi"/>
                <w:iCs/>
                <w:szCs w:val="17"/>
                <w:lang w:val="en-AU" w:eastAsia="en-US"/>
              </w:rPr>
              <w:t>Emerging Disease Risk Reduction - Mekong</w:t>
            </w:r>
            <w:bookmarkEnd w:id="1"/>
            <w:r w:rsidRPr="00812509">
              <w:rPr>
                <w:rFonts w:asciiTheme="minorHAnsi" w:eastAsia="Times New Roman" w:hAnsiTheme="minorHAnsi"/>
                <w:iCs/>
                <w:szCs w:val="17"/>
                <w:lang w:eastAsia="en-US"/>
              </w:rPr>
              <w:t xml:space="preserve"> </w:t>
            </w:r>
          </w:p>
        </w:tc>
        <w:tc>
          <w:tcPr>
            <w:tcW w:w="587" w:type="pct"/>
            <w:tcBorders>
              <w:top w:val="single" w:sz="2" w:space="0" w:color="65C5B4" w:themeColor="accent1"/>
            </w:tcBorders>
          </w:tcPr>
          <w:p w:rsidR="00B934E1" w:rsidRPr="00DB6FE1" w:rsidRDefault="00B934E1" w:rsidP="00B934E1">
            <w:pPr>
              <w:autoSpaceDE w:val="0"/>
              <w:autoSpaceDN w:val="0"/>
              <w:adjustRightInd w:val="0"/>
              <w:spacing w:before="0" w:after="0" w:line="240" w:lineRule="auto"/>
              <w:ind w:left="17" w:hanging="17"/>
              <w:rPr>
                <w:rFonts w:asciiTheme="minorHAnsi" w:hAnsiTheme="minorHAnsi" w:cs="Franklin Gothic Book"/>
                <w:szCs w:val="17"/>
              </w:rPr>
            </w:pPr>
            <w:r w:rsidRPr="00DB6FE1">
              <w:rPr>
                <w:rFonts w:asciiTheme="minorHAnsi" w:hAnsiTheme="minorHAnsi" w:cs="Franklin Gothic Book"/>
                <w:szCs w:val="17"/>
              </w:rPr>
              <w:t xml:space="preserve">$5.89m </w:t>
            </w:r>
          </w:p>
          <w:p w:rsidR="00B934E1" w:rsidRPr="00812509" w:rsidRDefault="00B934E1" w:rsidP="00B934E1">
            <w:pPr>
              <w:keepLines/>
              <w:spacing w:before="0" w:after="0" w:line="240" w:lineRule="auto"/>
              <w:ind w:left="17" w:hanging="17"/>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1</w:t>
            </w:r>
            <w:r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w:t>
            </w:r>
          </w:p>
        </w:tc>
        <w:tc>
          <w:tcPr>
            <w:tcW w:w="324" w:type="pct"/>
            <w:tcBorders>
              <w:top w:val="single" w:sz="2" w:space="0" w:color="65C5B4" w:themeColor="accent1"/>
            </w:tcBorders>
            <w:shd w:val="clear" w:color="auto" w:fill="auto"/>
            <w:noWrap/>
          </w:tcPr>
          <w:p w:rsidR="00B934E1" w:rsidRPr="00B927C4" w:rsidRDefault="00B934E1" w:rsidP="00B934E1">
            <w:pPr>
              <w:keepLines/>
              <w:spacing w:before="40" w:after="40" w:line="200" w:lineRule="atLeast"/>
              <w:ind w:left="17" w:hanging="17"/>
              <w:jc w:val="center"/>
              <w:rPr>
                <w:rFonts w:asciiTheme="minorHAnsi" w:eastAsia="Times New Roman" w:hAnsiTheme="minorHAnsi"/>
                <w:iCs/>
                <w:color w:val="auto"/>
                <w:szCs w:val="17"/>
                <w:lang w:eastAsia="en-US"/>
              </w:rPr>
            </w:pPr>
            <w:r w:rsidRPr="00B927C4">
              <w:rPr>
                <w:rFonts w:asciiTheme="minorHAnsi" w:eastAsia="Times New Roman" w:hAnsiTheme="minorHAnsi"/>
                <w:iCs/>
                <w:color w:val="auto"/>
                <w:szCs w:val="17"/>
                <w:lang w:eastAsia="en-US"/>
              </w:rPr>
              <w:t>4</w:t>
            </w:r>
          </w:p>
        </w:tc>
        <w:tc>
          <w:tcPr>
            <w:tcW w:w="336" w:type="pct"/>
            <w:tcBorders>
              <w:top w:val="single" w:sz="2" w:space="0" w:color="65C5B4" w:themeColor="accent1"/>
            </w:tcBorders>
            <w:shd w:val="clear" w:color="auto" w:fill="auto"/>
            <w:noWrap/>
          </w:tcPr>
          <w:p w:rsidR="00B934E1" w:rsidRPr="00B927C4" w:rsidRDefault="00B934E1" w:rsidP="00B934E1">
            <w:pPr>
              <w:keepLines/>
              <w:spacing w:before="40" w:after="40" w:line="200" w:lineRule="atLeast"/>
              <w:ind w:left="17" w:hanging="17"/>
              <w:jc w:val="center"/>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3</w:t>
            </w:r>
          </w:p>
        </w:tc>
        <w:tc>
          <w:tcPr>
            <w:tcW w:w="328" w:type="pct"/>
            <w:tcBorders>
              <w:top w:val="single" w:sz="2" w:space="0" w:color="65C5B4" w:themeColor="accent1"/>
            </w:tcBorders>
            <w:shd w:val="clear" w:color="auto" w:fill="auto"/>
            <w:noWrap/>
          </w:tcPr>
          <w:p w:rsidR="00B934E1" w:rsidRPr="00B927C4" w:rsidRDefault="00B934E1" w:rsidP="00B934E1">
            <w:pPr>
              <w:keepLines/>
              <w:spacing w:before="40" w:after="40" w:line="200" w:lineRule="atLeast"/>
              <w:ind w:left="17" w:hanging="17"/>
              <w:jc w:val="center"/>
              <w:rPr>
                <w:rFonts w:asciiTheme="minorHAnsi" w:eastAsia="Times New Roman" w:hAnsiTheme="minorHAnsi"/>
                <w:iCs/>
                <w:color w:val="auto"/>
                <w:szCs w:val="17"/>
                <w:lang w:eastAsia="en-US"/>
              </w:rPr>
            </w:pPr>
            <w:r w:rsidRPr="00B927C4">
              <w:rPr>
                <w:rFonts w:asciiTheme="minorHAnsi" w:eastAsia="Times New Roman" w:hAnsiTheme="minorHAnsi"/>
                <w:iCs/>
                <w:color w:val="auto"/>
                <w:szCs w:val="17"/>
                <w:lang w:eastAsia="en-US"/>
              </w:rPr>
              <w:t>4</w:t>
            </w:r>
          </w:p>
        </w:tc>
        <w:tc>
          <w:tcPr>
            <w:tcW w:w="344" w:type="pct"/>
            <w:tcBorders>
              <w:top w:val="single" w:sz="2" w:space="0" w:color="65C5B4" w:themeColor="accent1"/>
            </w:tcBorders>
            <w:shd w:val="clear" w:color="auto" w:fill="auto"/>
            <w:noWrap/>
          </w:tcPr>
          <w:p w:rsidR="00B934E1" w:rsidRPr="00B927C4" w:rsidRDefault="00B934E1" w:rsidP="00B934E1">
            <w:pPr>
              <w:keepLines/>
              <w:spacing w:before="40" w:after="40" w:line="200" w:lineRule="atLeast"/>
              <w:ind w:left="17" w:hanging="17"/>
              <w:jc w:val="center"/>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5</w:t>
            </w:r>
          </w:p>
        </w:tc>
        <w:tc>
          <w:tcPr>
            <w:tcW w:w="378" w:type="pct"/>
            <w:tcBorders>
              <w:top w:val="single" w:sz="2" w:space="0" w:color="65C5B4" w:themeColor="accent1"/>
            </w:tcBorders>
            <w:shd w:val="clear" w:color="auto" w:fill="auto"/>
            <w:noWrap/>
          </w:tcPr>
          <w:p w:rsidR="00B934E1" w:rsidRPr="00B927C4" w:rsidRDefault="00B934E1" w:rsidP="00B934E1">
            <w:pPr>
              <w:keepLines/>
              <w:spacing w:before="40" w:after="40" w:line="200" w:lineRule="atLeast"/>
              <w:ind w:left="17" w:hanging="17"/>
              <w:jc w:val="center"/>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3</w:t>
            </w:r>
          </w:p>
        </w:tc>
        <w:tc>
          <w:tcPr>
            <w:tcW w:w="336" w:type="pct"/>
            <w:tcBorders>
              <w:top w:val="single" w:sz="2" w:space="0" w:color="65C5B4" w:themeColor="accent1"/>
            </w:tcBorders>
            <w:shd w:val="clear" w:color="auto" w:fill="auto"/>
            <w:noWrap/>
          </w:tcPr>
          <w:p w:rsidR="00B934E1" w:rsidRPr="00B927C4" w:rsidRDefault="00B934E1" w:rsidP="00B934E1">
            <w:pPr>
              <w:keepLines/>
              <w:spacing w:before="40" w:after="40" w:line="200" w:lineRule="atLeast"/>
              <w:ind w:left="17" w:hanging="17"/>
              <w:jc w:val="center"/>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4</w:t>
            </w:r>
          </w:p>
        </w:tc>
      </w:tr>
      <w:tr w:rsidR="00B934E1" w:rsidRPr="00812509" w:rsidTr="009E1A8A">
        <w:trPr>
          <w:cnfStyle w:val="100000000000" w:firstRow="1" w:lastRow="0" w:firstColumn="0" w:lastColumn="0" w:oddVBand="0" w:evenVBand="0" w:oddHBand="0" w:evenHBand="0" w:firstRowFirstColumn="0" w:firstRowLastColumn="0" w:lastRowFirstColumn="0" w:lastRowLastColumn="0"/>
          <w:trHeight w:val="284"/>
        </w:trPr>
        <w:tc>
          <w:tcPr>
            <w:tcW w:w="2229" w:type="pct"/>
          </w:tcPr>
          <w:p w:rsidR="00B934E1" w:rsidRPr="00812509" w:rsidRDefault="00B934E1" w:rsidP="0084376F">
            <w:pPr>
              <w:keepLines/>
              <w:spacing w:before="40" w:after="40" w:line="200" w:lineRule="atLeast"/>
              <w:rPr>
                <w:rFonts w:eastAsia="Times New Roman"/>
                <w:iCs/>
                <w:szCs w:val="17"/>
              </w:rPr>
            </w:pPr>
            <w:r w:rsidRPr="004B39EC">
              <w:rPr>
                <w:rFonts w:asciiTheme="minorHAnsi" w:eastAsia="Times New Roman" w:hAnsiTheme="minorHAnsi"/>
                <w:iCs/>
                <w:szCs w:val="17"/>
                <w:lang w:val="en-AU" w:eastAsia="en-US"/>
              </w:rPr>
              <w:t>Mekong Business Initiative</w:t>
            </w:r>
          </w:p>
        </w:tc>
        <w:tc>
          <w:tcPr>
            <w:tcW w:w="587" w:type="pct"/>
            <w:tcBorders>
              <w:top w:val="single" w:sz="2" w:space="0" w:color="65C5B4" w:themeColor="accent1"/>
            </w:tcBorders>
          </w:tcPr>
          <w:p w:rsidR="00B934E1" w:rsidRDefault="00B934E1" w:rsidP="00B934E1">
            <w:pPr>
              <w:autoSpaceDE w:val="0"/>
              <w:autoSpaceDN w:val="0"/>
              <w:adjustRightInd w:val="0"/>
              <w:spacing w:before="0" w:after="0" w:line="240" w:lineRule="auto"/>
              <w:rPr>
                <w:rFonts w:asciiTheme="minorHAnsi" w:hAnsiTheme="minorHAnsi" w:cs="Franklin Gothic Book"/>
                <w:szCs w:val="17"/>
              </w:rPr>
            </w:pPr>
            <w:r w:rsidRPr="00DB6FE1">
              <w:rPr>
                <w:rFonts w:asciiTheme="minorHAnsi" w:hAnsiTheme="minorHAnsi" w:cs="Franklin Gothic Book"/>
                <w:szCs w:val="17"/>
              </w:rPr>
              <w:t>$</w:t>
            </w:r>
            <w:r>
              <w:rPr>
                <w:rFonts w:asciiTheme="minorHAnsi" w:hAnsiTheme="minorHAnsi" w:cs="Franklin Gothic Book"/>
                <w:szCs w:val="17"/>
              </w:rPr>
              <w:t>1</w:t>
            </w:r>
            <w:r w:rsidRPr="00DB6FE1">
              <w:rPr>
                <w:rFonts w:asciiTheme="minorHAnsi" w:hAnsiTheme="minorHAnsi" w:cs="Franklin Gothic Book"/>
                <w:szCs w:val="17"/>
              </w:rPr>
              <w:t>5.</w:t>
            </w:r>
            <w:r>
              <w:rPr>
                <w:rFonts w:asciiTheme="minorHAnsi" w:hAnsiTheme="minorHAnsi" w:cs="Franklin Gothic Book"/>
                <w:szCs w:val="17"/>
              </w:rPr>
              <w:t>3</w:t>
            </w:r>
            <w:r w:rsidRPr="00DB6FE1">
              <w:rPr>
                <w:rFonts w:asciiTheme="minorHAnsi" w:hAnsiTheme="minorHAnsi" w:cs="Franklin Gothic Book"/>
                <w:szCs w:val="17"/>
              </w:rPr>
              <w:t xml:space="preserve">m </w:t>
            </w:r>
          </w:p>
          <w:p w:rsidR="00B934E1" w:rsidRPr="00812509" w:rsidRDefault="00B934E1" w:rsidP="00B934E1">
            <w:pPr>
              <w:autoSpaceDE w:val="0"/>
              <w:autoSpaceDN w:val="0"/>
              <w:adjustRightInd w:val="0"/>
              <w:spacing w:before="0" w:after="0" w:line="240" w:lineRule="auto"/>
              <w:rPr>
                <w:rFonts w:cs="Franklin Gothic Book"/>
                <w:color w:val="000000"/>
                <w:szCs w:val="17"/>
              </w:rPr>
            </w:pPr>
            <w:r>
              <w:rPr>
                <w:rFonts w:asciiTheme="minorHAnsi" w:hAnsiTheme="minorHAnsi" w:cs="Franklin Gothic Book"/>
                <w:szCs w:val="17"/>
              </w:rPr>
              <w:t>2013-19</w:t>
            </w:r>
          </w:p>
        </w:tc>
        <w:tc>
          <w:tcPr>
            <w:tcW w:w="324" w:type="pct"/>
            <w:tcBorders>
              <w:top w:val="single" w:sz="2" w:space="0" w:color="65C5B4" w:themeColor="accent1"/>
            </w:tcBorders>
            <w:shd w:val="clear" w:color="auto" w:fill="auto"/>
            <w:noWrap/>
          </w:tcPr>
          <w:p w:rsidR="00B934E1" w:rsidRPr="005B4F17" w:rsidRDefault="00B934E1" w:rsidP="0084376F">
            <w:pPr>
              <w:keepLines/>
              <w:spacing w:before="40" w:after="40" w:line="200" w:lineRule="atLeast"/>
              <w:jc w:val="center"/>
              <w:rPr>
                <w:rFonts w:asciiTheme="minorHAnsi" w:eastAsia="Times New Roman" w:hAnsiTheme="minorHAnsi" w:cstheme="minorHAnsi"/>
                <w:iCs/>
                <w:szCs w:val="17"/>
              </w:rPr>
            </w:pPr>
            <w:r w:rsidRPr="005B4F17">
              <w:rPr>
                <w:rFonts w:asciiTheme="minorHAnsi" w:eastAsia="Times New Roman" w:hAnsiTheme="minorHAnsi" w:cstheme="minorHAnsi"/>
                <w:iCs/>
                <w:color w:val="auto"/>
                <w:szCs w:val="17"/>
              </w:rPr>
              <w:t>5</w:t>
            </w:r>
          </w:p>
        </w:tc>
        <w:tc>
          <w:tcPr>
            <w:tcW w:w="336" w:type="pct"/>
            <w:tcBorders>
              <w:top w:val="single" w:sz="2" w:space="0" w:color="65C5B4" w:themeColor="accent1"/>
            </w:tcBorders>
            <w:shd w:val="clear" w:color="auto" w:fill="auto"/>
            <w:noWrap/>
          </w:tcPr>
          <w:p w:rsidR="00B934E1" w:rsidRPr="005B4F17" w:rsidRDefault="00B934E1" w:rsidP="0084376F">
            <w:pPr>
              <w:keepLines/>
              <w:spacing w:before="40" w:after="40" w:line="200" w:lineRule="atLeast"/>
              <w:jc w:val="center"/>
              <w:rPr>
                <w:rFonts w:asciiTheme="minorHAnsi" w:eastAsia="Times New Roman" w:hAnsiTheme="minorHAnsi" w:cstheme="minorHAnsi"/>
                <w:iCs/>
                <w:szCs w:val="17"/>
              </w:rPr>
            </w:pPr>
            <w:r w:rsidRPr="005B4F17">
              <w:rPr>
                <w:rFonts w:asciiTheme="minorHAnsi" w:eastAsia="Times New Roman" w:hAnsiTheme="minorHAnsi" w:cstheme="minorHAnsi"/>
                <w:iCs/>
                <w:color w:val="auto"/>
                <w:szCs w:val="17"/>
                <w:lang w:eastAsia="en-US"/>
              </w:rPr>
              <w:t>5</w:t>
            </w:r>
          </w:p>
        </w:tc>
        <w:tc>
          <w:tcPr>
            <w:tcW w:w="328" w:type="pct"/>
            <w:tcBorders>
              <w:top w:val="single" w:sz="2" w:space="0" w:color="65C5B4" w:themeColor="accent1"/>
            </w:tcBorders>
            <w:shd w:val="clear" w:color="auto" w:fill="auto"/>
            <w:noWrap/>
          </w:tcPr>
          <w:p w:rsidR="00B934E1" w:rsidRPr="005B4F17" w:rsidRDefault="00B934E1" w:rsidP="0084376F">
            <w:pPr>
              <w:keepLines/>
              <w:spacing w:before="40" w:after="40" w:line="200" w:lineRule="atLeast"/>
              <w:jc w:val="center"/>
              <w:rPr>
                <w:rFonts w:asciiTheme="minorHAnsi" w:eastAsia="Times New Roman" w:hAnsiTheme="minorHAnsi" w:cstheme="minorHAnsi"/>
                <w:iCs/>
                <w:szCs w:val="17"/>
              </w:rPr>
            </w:pPr>
            <w:r w:rsidRPr="005B4F17">
              <w:rPr>
                <w:rFonts w:asciiTheme="minorHAnsi" w:eastAsia="Times New Roman" w:hAnsiTheme="minorHAnsi" w:cstheme="minorHAnsi"/>
                <w:iCs/>
                <w:color w:val="auto"/>
                <w:szCs w:val="17"/>
                <w:lang w:eastAsia="en-US"/>
              </w:rPr>
              <w:t>4</w:t>
            </w:r>
          </w:p>
        </w:tc>
        <w:tc>
          <w:tcPr>
            <w:tcW w:w="344" w:type="pct"/>
            <w:tcBorders>
              <w:top w:val="single" w:sz="2" w:space="0" w:color="65C5B4" w:themeColor="accent1"/>
            </w:tcBorders>
            <w:shd w:val="clear" w:color="auto" w:fill="auto"/>
            <w:noWrap/>
          </w:tcPr>
          <w:p w:rsidR="00B934E1" w:rsidRPr="005B4F17" w:rsidRDefault="00B934E1" w:rsidP="0084376F">
            <w:pPr>
              <w:keepLines/>
              <w:spacing w:before="40" w:after="40" w:line="200" w:lineRule="atLeast"/>
              <w:jc w:val="center"/>
              <w:rPr>
                <w:rFonts w:asciiTheme="minorHAnsi" w:eastAsia="Times New Roman" w:hAnsiTheme="minorHAnsi" w:cstheme="minorHAnsi"/>
                <w:iCs/>
                <w:szCs w:val="17"/>
              </w:rPr>
            </w:pPr>
            <w:r w:rsidRPr="005B4F17">
              <w:rPr>
                <w:rFonts w:asciiTheme="minorHAnsi" w:eastAsia="Times New Roman" w:hAnsiTheme="minorHAnsi" w:cstheme="minorHAnsi"/>
                <w:iCs/>
                <w:color w:val="auto"/>
                <w:szCs w:val="17"/>
                <w:lang w:eastAsia="en-US"/>
              </w:rPr>
              <w:t>6</w:t>
            </w:r>
          </w:p>
        </w:tc>
        <w:tc>
          <w:tcPr>
            <w:tcW w:w="378" w:type="pct"/>
            <w:tcBorders>
              <w:top w:val="single" w:sz="2" w:space="0" w:color="65C5B4" w:themeColor="accent1"/>
            </w:tcBorders>
            <w:shd w:val="clear" w:color="auto" w:fill="auto"/>
            <w:noWrap/>
          </w:tcPr>
          <w:p w:rsidR="00B934E1" w:rsidRPr="005B4F17" w:rsidRDefault="00B934E1" w:rsidP="0084376F">
            <w:pPr>
              <w:keepLines/>
              <w:spacing w:before="40" w:after="40" w:line="200" w:lineRule="atLeast"/>
              <w:jc w:val="center"/>
              <w:rPr>
                <w:rFonts w:asciiTheme="minorHAnsi" w:eastAsia="Times New Roman" w:hAnsiTheme="minorHAnsi" w:cstheme="minorHAnsi"/>
                <w:iCs/>
                <w:szCs w:val="17"/>
              </w:rPr>
            </w:pPr>
            <w:r w:rsidRPr="005B4F17">
              <w:rPr>
                <w:rFonts w:asciiTheme="minorHAnsi" w:eastAsia="Times New Roman" w:hAnsiTheme="minorHAnsi" w:cstheme="minorHAnsi"/>
                <w:iCs/>
                <w:color w:val="auto"/>
                <w:szCs w:val="17"/>
                <w:lang w:eastAsia="en-US"/>
              </w:rPr>
              <w:t>4</w:t>
            </w:r>
          </w:p>
        </w:tc>
        <w:tc>
          <w:tcPr>
            <w:tcW w:w="336" w:type="pct"/>
            <w:tcBorders>
              <w:top w:val="single" w:sz="2" w:space="0" w:color="65C5B4" w:themeColor="accent1"/>
            </w:tcBorders>
            <w:shd w:val="clear" w:color="auto" w:fill="auto"/>
            <w:noWrap/>
          </w:tcPr>
          <w:p w:rsidR="00B934E1" w:rsidRPr="005B4F17" w:rsidRDefault="00B934E1" w:rsidP="0084376F">
            <w:pPr>
              <w:keepLines/>
              <w:spacing w:before="40" w:after="40" w:line="200" w:lineRule="atLeast"/>
              <w:jc w:val="center"/>
              <w:rPr>
                <w:rFonts w:asciiTheme="minorHAnsi" w:eastAsia="Times New Roman" w:hAnsiTheme="minorHAnsi" w:cstheme="minorHAnsi"/>
                <w:iCs/>
                <w:szCs w:val="17"/>
              </w:rPr>
            </w:pPr>
            <w:r w:rsidRPr="005B4F17">
              <w:rPr>
                <w:rFonts w:asciiTheme="minorHAnsi" w:eastAsia="Times New Roman" w:hAnsiTheme="minorHAnsi" w:cstheme="minorHAnsi"/>
                <w:iCs/>
                <w:color w:val="auto"/>
                <w:szCs w:val="17"/>
                <w:lang w:eastAsia="en-US"/>
              </w:rPr>
              <w:t>5</w:t>
            </w:r>
          </w:p>
        </w:tc>
      </w:tr>
    </w:tbl>
    <w:p w:rsidR="00390828" w:rsidRPr="00812509" w:rsidRDefault="00390828" w:rsidP="00390828">
      <w:pPr>
        <w:spacing w:before="20" w:after="20" w:line="180" w:lineRule="atLeast"/>
        <w:jc w:val="both"/>
        <w:rPr>
          <w:rFonts w:eastAsia="Times New Roman"/>
          <w:b/>
          <w:sz w:val="14"/>
          <w:szCs w:val="14"/>
        </w:rPr>
      </w:pPr>
    </w:p>
    <w:p w:rsidR="00390828" w:rsidRPr="00812509" w:rsidRDefault="00390828" w:rsidP="00390828">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rsidR="00390828" w:rsidRPr="00B927C4" w:rsidRDefault="00390828" w:rsidP="00390828">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rsidR="00390828" w:rsidRPr="00B927C4" w:rsidRDefault="00390828" w:rsidP="00390828">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rsidR="00390828" w:rsidRPr="00812509" w:rsidRDefault="00390828" w:rsidP="00390828">
      <w:pPr>
        <w:spacing w:before="20" w:after="20" w:line="180" w:lineRule="atLeast"/>
        <w:rPr>
          <w:rFonts w:eastAsia="Times New Roman"/>
          <w:b/>
          <w:sz w:val="16"/>
          <w:szCs w:val="14"/>
        </w:rPr>
      </w:pP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FF41A1" w:rsidRDefault="00390828" w:rsidP="003E5DAE">
      <w:pPr>
        <w:spacing w:before="20" w:after="20" w:line="180" w:lineRule="atLeast"/>
        <w:rPr>
          <w:rFonts w:asciiTheme="majorHAnsi" w:eastAsiaTheme="majorEastAsia" w:hAnsiTheme="majorHAnsi" w:cstheme="majorHAnsi"/>
          <w:bCs/>
          <w:iCs/>
          <w:caps/>
          <w:spacing w:val="-10"/>
          <w:kern w:val="28"/>
          <w:sz w:val="28"/>
          <w:szCs w:val="28"/>
        </w:rPr>
      </w:pPr>
      <w:r w:rsidRPr="00812509">
        <w:rPr>
          <w:rFonts w:eastAsia="Times New Roman"/>
          <w:b/>
          <w:sz w:val="16"/>
          <w:szCs w:val="14"/>
        </w:rPr>
        <w:t xml:space="preserve"> 2 = Poor; does not satisfy criteria in major areas.  1 = Very poor; does not satisfy criteria in many major area.</w:t>
      </w:r>
    </w:p>
    <w:sectPr w:rsidR="00FF41A1" w:rsidSect="00EC3C2D">
      <w:headerReference w:type="even" r:id="rId21"/>
      <w:headerReference w:type="default" r:id="rId22"/>
      <w:headerReference w:type="first" r:id="rId23"/>
      <w:footerReference w:type="first" r:id="rId24"/>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D63" w:rsidRDefault="00B50D63" w:rsidP="00D37B04">
      <w:r>
        <w:separator/>
      </w:r>
    </w:p>
  </w:endnote>
  <w:endnote w:type="continuationSeparator" w:id="0">
    <w:p w:rsidR="00B50D63" w:rsidRDefault="00B50D63"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84A" w:rsidRPr="00FC322F" w:rsidRDefault="00E6184A" w:rsidP="00FC322F">
    <w:pPr>
      <w:pStyle w:val="Footer"/>
      <w:rPr>
        <w:b/>
      </w:rPr>
    </w:pPr>
    <w:r w:rsidRPr="00FC322F">
      <w:rPr>
        <w:b/>
        <w:noProof/>
        <w:lang w:val="en-AU" w:eastAsia="en-AU"/>
      </w:rPr>
      <w:drawing>
        <wp:inline distT="0" distB="0" distL="0" distR="0" wp14:anchorId="76E6CD43" wp14:editId="0F5D882C">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733111"/>
      <w:docPartObj>
        <w:docPartGallery w:val="Page Numbers (Bottom of Page)"/>
        <w:docPartUnique/>
      </w:docPartObj>
    </w:sdtPr>
    <w:sdtEndPr>
      <w:rPr>
        <w:noProof/>
      </w:rPr>
    </w:sdtEndPr>
    <w:sdtContent>
      <w:p w:rsidR="00D54520" w:rsidRDefault="00D54520">
        <w:pPr>
          <w:pStyle w:val="Footer"/>
          <w:jc w:val="center"/>
        </w:pPr>
        <w:r>
          <w:fldChar w:fldCharType="begin"/>
        </w:r>
        <w:r>
          <w:instrText xml:space="preserve"> PAGE   \* MERGEFORMAT </w:instrText>
        </w:r>
        <w:r>
          <w:fldChar w:fldCharType="separate"/>
        </w:r>
        <w:r w:rsidR="00711C0B">
          <w:rPr>
            <w:noProof/>
          </w:rPr>
          <w:t>1</w:t>
        </w:r>
        <w:r>
          <w:rPr>
            <w:noProof/>
          </w:rPr>
          <w:fldChar w:fldCharType="end"/>
        </w:r>
      </w:p>
    </w:sdtContent>
  </w:sdt>
  <w:p w:rsidR="00E6184A" w:rsidRPr="00FC322F" w:rsidRDefault="00E6184A"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23397"/>
      <w:docPartObj>
        <w:docPartGallery w:val="Page Numbers (Bottom of Page)"/>
        <w:docPartUnique/>
      </w:docPartObj>
    </w:sdtPr>
    <w:sdtEndPr>
      <w:rPr>
        <w:noProof/>
      </w:rPr>
    </w:sdtEndPr>
    <w:sdtContent>
      <w:p w:rsidR="00D54520" w:rsidRDefault="00D54520">
        <w:pPr>
          <w:pStyle w:val="Footer"/>
          <w:jc w:val="center"/>
        </w:pPr>
        <w:r>
          <w:fldChar w:fldCharType="begin"/>
        </w:r>
        <w:r>
          <w:instrText xml:space="preserve"> PAGE   \* MERGEFORMAT </w:instrText>
        </w:r>
        <w:r>
          <w:fldChar w:fldCharType="separate"/>
        </w:r>
        <w:r w:rsidR="00711C0B">
          <w:rPr>
            <w:noProof/>
          </w:rPr>
          <w:t>2</w:t>
        </w:r>
        <w:r>
          <w:rPr>
            <w:noProof/>
          </w:rPr>
          <w:fldChar w:fldCharType="end"/>
        </w:r>
      </w:p>
    </w:sdtContent>
  </w:sdt>
  <w:p w:rsidR="00E6184A" w:rsidRPr="00FC322F" w:rsidRDefault="00E6184A" w:rsidP="00D54520">
    <w:pPr>
      <w:pStyle w:val="Footer"/>
      <w:tabs>
        <w:tab w:val="center" w:pos="4819"/>
      </w:tabs>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84A" w:rsidRPr="00FC322F" w:rsidRDefault="00E6184A" w:rsidP="00FC322F">
    <w:pPr>
      <w:pStyle w:val="Footer"/>
      <w:rPr>
        <w:b/>
      </w:rPr>
    </w:pPr>
    <w:r w:rsidRPr="00FC322F">
      <w:rPr>
        <w:b/>
        <w:noProof/>
        <w:lang w:val="en-AU" w:eastAsia="en-AU"/>
      </w:rPr>
      <w:drawing>
        <wp:inline distT="0" distB="0" distL="0" distR="0" wp14:anchorId="2E850A0A" wp14:editId="40DEF088">
          <wp:extent cx="108000" cy="87480"/>
          <wp:effectExtent l="0" t="0" r="6350" b="8255"/>
          <wp:docPr id="20" name="Picture 2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560938"/>
      <w:docPartObj>
        <w:docPartGallery w:val="Page Numbers (Bottom of Page)"/>
        <w:docPartUnique/>
      </w:docPartObj>
    </w:sdtPr>
    <w:sdtEndPr>
      <w:rPr>
        <w:noProof/>
      </w:rPr>
    </w:sdtEndPr>
    <w:sdtContent>
      <w:p w:rsidR="00D54520" w:rsidRDefault="00D54520">
        <w:pPr>
          <w:pStyle w:val="Footer"/>
          <w:jc w:val="center"/>
        </w:pPr>
        <w:r>
          <w:fldChar w:fldCharType="begin"/>
        </w:r>
        <w:r>
          <w:instrText xml:space="preserve"> PAGE   \* MERGEFORMAT </w:instrText>
        </w:r>
        <w:r>
          <w:fldChar w:fldCharType="separate"/>
        </w:r>
        <w:r w:rsidR="00711C0B">
          <w:rPr>
            <w:noProof/>
          </w:rPr>
          <w:t>3</w:t>
        </w:r>
        <w:r>
          <w:rPr>
            <w:noProof/>
          </w:rPr>
          <w:fldChar w:fldCharType="end"/>
        </w:r>
      </w:p>
    </w:sdtContent>
  </w:sdt>
  <w:p w:rsidR="00E6184A" w:rsidRPr="00EC3C2D" w:rsidRDefault="00E6184A"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D63" w:rsidRPr="008C5A0E" w:rsidRDefault="00B50D63" w:rsidP="00D37B04">
      <w:pPr>
        <w:pStyle w:val="Footer"/>
      </w:pPr>
    </w:p>
  </w:footnote>
  <w:footnote w:type="continuationSeparator" w:id="0">
    <w:p w:rsidR="00B50D63" w:rsidRDefault="00B50D63" w:rsidP="00D37B04">
      <w:r>
        <w:continuationSeparator/>
      </w:r>
    </w:p>
  </w:footnote>
  <w:footnote w:id="1">
    <w:p w:rsidR="003324DC" w:rsidRPr="00635108" w:rsidRDefault="003324DC" w:rsidP="003324DC">
      <w:pPr>
        <w:pStyle w:val="FootnoteText"/>
        <w:rPr>
          <w:lang w:val="en-AU"/>
        </w:rPr>
      </w:pPr>
      <w:r>
        <w:rPr>
          <w:rStyle w:val="FootnoteReference"/>
        </w:rPr>
        <w:footnoteRef/>
      </w:r>
      <w:r>
        <w:t xml:space="preserve"> </w:t>
      </w:r>
      <w:r w:rsidRPr="005F2B72">
        <w:t>ASEAN Committee on the Implementation of the ASEAN Declaration on the Protection and Promotion of the Rights of Migrant Workers</w:t>
      </w:r>
    </w:p>
  </w:footnote>
  <w:footnote w:id="2">
    <w:p w:rsidR="003324DC" w:rsidRPr="005F2B72" w:rsidRDefault="003324DC" w:rsidP="003324DC">
      <w:pPr>
        <w:pStyle w:val="FootnoteText"/>
        <w:ind w:left="0" w:firstLine="0"/>
        <w:rPr>
          <w:lang w:val="en-AU"/>
        </w:rPr>
      </w:pPr>
    </w:p>
  </w:footnote>
  <w:footnote w:id="3">
    <w:p w:rsidR="00E6184A" w:rsidRPr="007147EB" w:rsidRDefault="00E6184A" w:rsidP="00C93FC8">
      <w:pPr>
        <w:pStyle w:val="FootnoteText"/>
        <w:rPr>
          <w:lang w:val="en-AU"/>
        </w:rPr>
      </w:pPr>
      <w:r>
        <w:rPr>
          <w:rStyle w:val="FootnoteReference"/>
        </w:rPr>
        <w:footnoteRef/>
      </w:r>
      <w:r>
        <w:t xml:space="preserve"> ASEAN-Australia-New Zealand Free Trade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84A" w:rsidRPr="000854FD" w:rsidRDefault="00E6184A" w:rsidP="002D5B25">
    <w:pPr>
      <w:pStyle w:val="Header"/>
    </w:pPr>
    <w:r w:rsidRPr="00943730">
      <w:rPr>
        <w:noProof/>
        <w:lang w:val="en-AU" w:eastAsia="en-AU"/>
      </w:rPr>
      <w:drawing>
        <wp:anchor distT="0" distB="0" distL="114300" distR="114300" simplePos="0" relativeHeight="251668480" behindDoc="1" locked="1" layoutInCell="1" allowOverlap="1" wp14:anchorId="0475140D" wp14:editId="1A8EE4A8">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84A" w:rsidRPr="00943730" w:rsidRDefault="00E6184A" w:rsidP="00DE253E">
    <w:pPr>
      <w:pStyle w:val="Header"/>
      <w:ind w:left="0"/>
    </w:pPr>
    <w:r w:rsidRPr="00252C04">
      <w:rPr>
        <w:noProof/>
        <w:lang w:val="en-AU" w:eastAsia="en-AU"/>
      </w:rPr>
      <w:drawing>
        <wp:anchor distT="0" distB="0" distL="114300" distR="114300" simplePos="0" relativeHeight="251669504" behindDoc="1" locked="1" layoutInCell="1" allowOverlap="1" wp14:anchorId="123DBD34" wp14:editId="659036BA">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6890584E" wp14:editId="0498A745">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6F55AA00" wp14:editId="4467BB16">
          <wp:simplePos x="0" y="0"/>
          <wp:positionH relativeFrom="page">
            <wp:posOffset>10160</wp:posOffset>
          </wp:positionH>
          <wp:positionV relativeFrom="page">
            <wp:posOffset>26035</wp:posOffset>
          </wp:positionV>
          <wp:extent cx="7559040" cy="11801475"/>
          <wp:effectExtent l="0" t="0" r="381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180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84A" w:rsidRPr="000854FD" w:rsidRDefault="00E6184A" w:rsidP="002D5B25">
    <w:pPr>
      <w:pStyle w:val="Header"/>
    </w:pPr>
    <w:r w:rsidRPr="00943730">
      <w:rPr>
        <w:noProof/>
        <w:lang w:val="en-AU" w:eastAsia="en-AU"/>
      </w:rPr>
      <w:drawing>
        <wp:anchor distT="0" distB="0" distL="114300" distR="114300" simplePos="0" relativeHeight="251662336" behindDoc="1" locked="1" layoutInCell="1" allowOverlap="1" wp14:anchorId="0376E35B" wp14:editId="02FCDB1A">
          <wp:simplePos x="0" y="0"/>
          <wp:positionH relativeFrom="page">
            <wp:posOffset>12700</wp:posOffset>
          </wp:positionH>
          <wp:positionV relativeFrom="page">
            <wp:posOffset>0</wp:posOffset>
          </wp:positionV>
          <wp:extent cx="7559040" cy="10692765"/>
          <wp:effectExtent l="0" t="0" r="381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84A" w:rsidRPr="00943730" w:rsidRDefault="00E6184A" w:rsidP="00943730">
    <w:pPr>
      <w:pStyle w:val="Header"/>
    </w:pPr>
    <w:r w:rsidRPr="00943730">
      <w:fldChar w:fldCharType="begin"/>
    </w:r>
    <w:r w:rsidRPr="00943730">
      <w:instrText xml:space="preserve"> DATE  \@ "MMMM yyyy"  \* MERGEFORMAT </w:instrText>
    </w:r>
    <w:r w:rsidRPr="00943730">
      <w:fldChar w:fldCharType="separate"/>
    </w:r>
    <w:r w:rsidR="009E1A8A">
      <w:rPr>
        <w:noProof/>
      </w:rPr>
      <w:t>November 2020</w:t>
    </w:r>
    <w:r w:rsidRPr="00943730">
      <w:fldChar w:fldCharType="end"/>
    </w:r>
    <w:r w:rsidRPr="00252C04">
      <w:rPr>
        <w:noProof/>
        <w:lang w:val="en-AU" w:eastAsia="en-AU"/>
      </w:rPr>
      <w:drawing>
        <wp:anchor distT="0" distB="0" distL="114300" distR="114300" simplePos="0" relativeHeight="251664384" behindDoc="1" locked="1" layoutInCell="1" allowOverlap="1" wp14:anchorId="0E9012FC" wp14:editId="4834F8A1">
          <wp:simplePos x="0" y="0"/>
          <wp:positionH relativeFrom="page">
            <wp:posOffset>5724525</wp:posOffset>
          </wp:positionH>
          <wp:positionV relativeFrom="page">
            <wp:posOffset>720090</wp:posOffset>
          </wp:positionV>
          <wp:extent cx="1115060" cy="512445"/>
          <wp:effectExtent l="0" t="0" r="8890" b="190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33332356" wp14:editId="4BDF74D5">
          <wp:simplePos x="0" y="0"/>
          <wp:positionH relativeFrom="page">
            <wp:posOffset>720090</wp:posOffset>
          </wp:positionH>
          <wp:positionV relativeFrom="page">
            <wp:posOffset>683895</wp:posOffset>
          </wp:positionV>
          <wp:extent cx="3166745" cy="55435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5691DA02" wp14:editId="34655545">
          <wp:simplePos x="0" y="0"/>
          <wp:positionH relativeFrom="page">
            <wp:posOffset>12700</wp:posOffset>
          </wp:positionH>
          <wp:positionV relativeFrom="page">
            <wp:posOffset>-69850</wp:posOffset>
          </wp:positionV>
          <wp:extent cx="10585450" cy="10692130"/>
          <wp:effectExtent l="0" t="0" r="635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84A" w:rsidRDefault="00E618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84A" w:rsidRPr="00333501" w:rsidRDefault="00E6184A" w:rsidP="00DE253E">
    <w:pPr>
      <w:pStyle w:val="Header"/>
    </w:pPr>
    <w:r>
      <w:rPr>
        <w:noProof/>
        <w:lang w:val="en-AU" w:eastAsia="en-AU"/>
      </w:rPr>
      <w:drawing>
        <wp:anchor distT="0" distB="0" distL="114300" distR="114300" simplePos="0" relativeHeight="251672576" behindDoc="1" locked="1" layoutInCell="1" allowOverlap="1" wp14:anchorId="5E33EF5C" wp14:editId="097277C3">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84A" w:rsidRPr="003D352D" w:rsidRDefault="00E6184A" w:rsidP="00DE253E">
    <w:pPr>
      <w:pStyle w:val="Header"/>
    </w:pPr>
    <w:r>
      <w:rPr>
        <w:noProof/>
        <w:lang w:val="en-AU" w:eastAsia="en-AU"/>
      </w:rPr>
      <w:drawing>
        <wp:anchor distT="0" distB="0" distL="114300" distR="114300" simplePos="0" relativeHeight="251671552" behindDoc="1" locked="1" layoutInCell="1" allowOverlap="1" wp14:anchorId="0769376E" wp14:editId="6A80244A">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26971BE9"/>
    <w:multiLevelType w:val="hybridMultilevel"/>
    <w:tmpl w:val="F83EF6B8"/>
    <w:lvl w:ilvl="0" w:tplc="E41A5102">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3" w15:restartNumberingAfterBreak="0">
    <w:nsid w:val="279E1258"/>
    <w:multiLevelType w:val="hybridMultilevel"/>
    <w:tmpl w:val="F1701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506A91"/>
    <w:multiLevelType w:val="multilevel"/>
    <w:tmpl w:val="47A26E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E1E5564"/>
    <w:multiLevelType w:val="hybridMultilevel"/>
    <w:tmpl w:val="53D6CB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0AC2E66"/>
    <w:multiLevelType w:val="multilevel"/>
    <w:tmpl w:val="99F275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2553D9F"/>
    <w:multiLevelType w:val="multilevel"/>
    <w:tmpl w:val="A6FA45D0"/>
    <w:numStyleLink w:val="BulletsList"/>
  </w:abstractNum>
  <w:abstractNum w:abstractNumId="9" w15:restartNumberingAfterBreak="0">
    <w:nsid w:val="578D1398"/>
    <w:multiLevelType w:val="hybridMultilevel"/>
    <w:tmpl w:val="D16A4906"/>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B195DC8"/>
    <w:multiLevelType w:val="hybridMultilevel"/>
    <w:tmpl w:val="F5148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0"/>
  </w:num>
  <w:num w:numId="3">
    <w:abstractNumId w:val="5"/>
  </w:num>
  <w:num w:numId="4">
    <w:abstractNumId w:val="10"/>
  </w:num>
  <w:num w:numId="5">
    <w:abstractNumId w:val="11"/>
  </w:num>
  <w:num w:numId="6">
    <w:abstractNumId w:val="5"/>
  </w:num>
  <w:num w:numId="7">
    <w:abstractNumId w:val="0"/>
  </w:num>
  <w:num w:numId="8">
    <w:abstractNumId w:val="1"/>
  </w:num>
  <w:num w:numId="9">
    <w:abstractNumId w:val="14"/>
  </w:num>
  <w:num w:numId="10">
    <w:abstractNumId w:val="8"/>
  </w:num>
  <w:num w:numId="11">
    <w:abstractNumId w:val="12"/>
  </w:num>
  <w:num w:numId="12">
    <w:abstractNumId w:val="6"/>
  </w:num>
  <w:num w:numId="13">
    <w:abstractNumId w:val="9"/>
  </w:num>
  <w:num w:numId="14">
    <w:abstractNumId w:val="3"/>
  </w:num>
  <w:num w:numId="15">
    <w:abstractNumId w:val="2"/>
  </w:num>
  <w:num w:numId="16">
    <w:abstractNumId w:val="7"/>
  </w:num>
  <w:num w:numId="1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0459E"/>
    <w:rsid w:val="00015783"/>
    <w:rsid w:val="0002080A"/>
    <w:rsid w:val="0002782F"/>
    <w:rsid w:val="00035BBF"/>
    <w:rsid w:val="00040DF1"/>
    <w:rsid w:val="00050806"/>
    <w:rsid w:val="000546D9"/>
    <w:rsid w:val="00054AAA"/>
    <w:rsid w:val="00054E4D"/>
    <w:rsid w:val="00054F37"/>
    <w:rsid w:val="00060073"/>
    <w:rsid w:val="000613C4"/>
    <w:rsid w:val="000616C6"/>
    <w:rsid w:val="0006494B"/>
    <w:rsid w:val="00070270"/>
    <w:rsid w:val="00071788"/>
    <w:rsid w:val="00073026"/>
    <w:rsid w:val="00083094"/>
    <w:rsid w:val="000854FD"/>
    <w:rsid w:val="00097F34"/>
    <w:rsid w:val="000A3256"/>
    <w:rsid w:val="000B1249"/>
    <w:rsid w:val="000B37F5"/>
    <w:rsid w:val="000C5205"/>
    <w:rsid w:val="000D66D6"/>
    <w:rsid w:val="000E19F1"/>
    <w:rsid w:val="000F3C21"/>
    <w:rsid w:val="000F6B10"/>
    <w:rsid w:val="00102759"/>
    <w:rsid w:val="00110C81"/>
    <w:rsid w:val="00113288"/>
    <w:rsid w:val="00113991"/>
    <w:rsid w:val="001214BE"/>
    <w:rsid w:val="00123CFF"/>
    <w:rsid w:val="0013101C"/>
    <w:rsid w:val="001461D6"/>
    <w:rsid w:val="00150411"/>
    <w:rsid w:val="00152A07"/>
    <w:rsid w:val="001541EA"/>
    <w:rsid w:val="001616D0"/>
    <w:rsid w:val="00166E5B"/>
    <w:rsid w:val="0017122F"/>
    <w:rsid w:val="001835AA"/>
    <w:rsid w:val="001907AA"/>
    <w:rsid w:val="001962F2"/>
    <w:rsid w:val="001A6FAC"/>
    <w:rsid w:val="001A7ED5"/>
    <w:rsid w:val="001B4E6F"/>
    <w:rsid w:val="001C50B3"/>
    <w:rsid w:val="001C7268"/>
    <w:rsid w:val="001D1A80"/>
    <w:rsid w:val="001D663E"/>
    <w:rsid w:val="001E0521"/>
    <w:rsid w:val="001E1DC0"/>
    <w:rsid w:val="001E47EF"/>
    <w:rsid w:val="001E64CC"/>
    <w:rsid w:val="001F3213"/>
    <w:rsid w:val="0020306B"/>
    <w:rsid w:val="00203277"/>
    <w:rsid w:val="00203DDE"/>
    <w:rsid w:val="00205B2E"/>
    <w:rsid w:val="002068B7"/>
    <w:rsid w:val="0021070B"/>
    <w:rsid w:val="0021225D"/>
    <w:rsid w:val="002135DB"/>
    <w:rsid w:val="00213A46"/>
    <w:rsid w:val="00217840"/>
    <w:rsid w:val="0022631C"/>
    <w:rsid w:val="00230777"/>
    <w:rsid w:val="00233052"/>
    <w:rsid w:val="00235EAB"/>
    <w:rsid w:val="002453B7"/>
    <w:rsid w:val="00250AE1"/>
    <w:rsid w:val="00252C04"/>
    <w:rsid w:val="00264167"/>
    <w:rsid w:val="002646C3"/>
    <w:rsid w:val="00265DDB"/>
    <w:rsid w:val="002739A4"/>
    <w:rsid w:val="00275B95"/>
    <w:rsid w:val="00276A54"/>
    <w:rsid w:val="00281481"/>
    <w:rsid w:val="00281D88"/>
    <w:rsid w:val="00285CE0"/>
    <w:rsid w:val="0028602A"/>
    <w:rsid w:val="00293C71"/>
    <w:rsid w:val="002A1095"/>
    <w:rsid w:val="002A7B67"/>
    <w:rsid w:val="002A7F56"/>
    <w:rsid w:val="002B5E10"/>
    <w:rsid w:val="002C32C3"/>
    <w:rsid w:val="002C793D"/>
    <w:rsid w:val="002D5B25"/>
    <w:rsid w:val="002F120D"/>
    <w:rsid w:val="002F4F2B"/>
    <w:rsid w:val="002F72DA"/>
    <w:rsid w:val="003002C0"/>
    <w:rsid w:val="00301144"/>
    <w:rsid w:val="003031C6"/>
    <w:rsid w:val="00304409"/>
    <w:rsid w:val="00304984"/>
    <w:rsid w:val="003100DD"/>
    <w:rsid w:val="00312BF8"/>
    <w:rsid w:val="003148B7"/>
    <w:rsid w:val="003158C3"/>
    <w:rsid w:val="00322712"/>
    <w:rsid w:val="003274CD"/>
    <w:rsid w:val="00330E12"/>
    <w:rsid w:val="003324DC"/>
    <w:rsid w:val="00333501"/>
    <w:rsid w:val="003365E4"/>
    <w:rsid w:val="003457C4"/>
    <w:rsid w:val="003500CF"/>
    <w:rsid w:val="0035119D"/>
    <w:rsid w:val="00365569"/>
    <w:rsid w:val="00372FC5"/>
    <w:rsid w:val="003753EF"/>
    <w:rsid w:val="003771EB"/>
    <w:rsid w:val="00384D40"/>
    <w:rsid w:val="00386A56"/>
    <w:rsid w:val="00390828"/>
    <w:rsid w:val="0039344A"/>
    <w:rsid w:val="00395163"/>
    <w:rsid w:val="003B4F12"/>
    <w:rsid w:val="003B588F"/>
    <w:rsid w:val="003B5C12"/>
    <w:rsid w:val="003D4C6F"/>
    <w:rsid w:val="003E5DAE"/>
    <w:rsid w:val="003F2041"/>
    <w:rsid w:val="004003A3"/>
    <w:rsid w:val="00402ACC"/>
    <w:rsid w:val="0040434B"/>
    <w:rsid w:val="00407657"/>
    <w:rsid w:val="00410C75"/>
    <w:rsid w:val="004120EC"/>
    <w:rsid w:val="00423F31"/>
    <w:rsid w:val="00431899"/>
    <w:rsid w:val="00442055"/>
    <w:rsid w:val="00442B9E"/>
    <w:rsid w:val="00447BD2"/>
    <w:rsid w:val="00452298"/>
    <w:rsid w:val="0045430F"/>
    <w:rsid w:val="00454AB2"/>
    <w:rsid w:val="004704B0"/>
    <w:rsid w:val="00482AE8"/>
    <w:rsid w:val="0048492D"/>
    <w:rsid w:val="00486804"/>
    <w:rsid w:val="004939C4"/>
    <w:rsid w:val="00494F98"/>
    <w:rsid w:val="004A006C"/>
    <w:rsid w:val="004A258D"/>
    <w:rsid w:val="004A4C57"/>
    <w:rsid w:val="004A5E60"/>
    <w:rsid w:val="004B1618"/>
    <w:rsid w:val="004B3775"/>
    <w:rsid w:val="004B39EC"/>
    <w:rsid w:val="004B5F95"/>
    <w:rsid w:val="004C5598"/>
    <w:rsid w:val="004C6342"/>
    <w:rsid w:val="004D0BA0"/>
    <w:rsid w:val="004D4768"/>
    <w:rsid w:val="004D4E98"/>
    <w:rsid w:val="004E058F"/>
    <w:rsid w:val="004E3B87"/>
    <w:rsid w:val="004F6ED9"/>
    <w:rsid w:val="00501237"/>
    <w:rsid w:val="00501B03"/>
    <w:rsid w:val="00504796"/>
    <w:rsid w:val="00505577"/>
    <w:rsid w:val="005102B2"/>
    <w:rsid w:val="00510921"/>
    <w:rsid w:val="00510AD3"/>
    <w:rsid w:val="00513348"/>
    <w:rsid w:val="00513AD8"/>
    <w:rsid w:val="005204D2"/>
    <w:rsid w:val="00522396"/>
    <w:rsid w:val="005260BB"/>
    <w:rsid w:val="005303EE"/>
    <w:rsid w:val="005318CD"/>
    <w:rsid w:val="00533B5D"/>
    <w:rsid w:val="00537EDE"/>
    <w:rsid w:val="005411A4"/>
    <w:rsid w:val="00545E2B"/>
    <w:rsid w:val="00550896"/>
    <w:rsid w:val="0055262C"/>
    <w:rsid w:val="00553EA8"/>
    <w:rsid w:val="0056412C"/>
    <w:rsid w:val="00571BEF"/>
    <w:rsid w:val="00587C86"/>
    <w:rsid w:val="00591B5F"/>
    <w:rsid w:val="00595FA4"/>
    <w:rsid w:val="005A1F36"/>
    <w:rsid w:val="005A20F6"/>
    <w:rsid w:val="005B4F17"/>
    <w:rsid w:val="005B55E8"/>
    <w:rsid w:val="005C4EC2"/>
    <w:rsid w:val="005D2B45"/>
    <w:rsid w:val="005D3655"/>
    <w:rsid w:val="005E4830"/>
    <w:rsid w:val="005E6740"/>
    <w:rsid w:val="005F064E"/>
    <w:rsid w:val="005F0ECB"/>
    <w:rsid w:val="005F2B72"/>
    <w:rsid w:val="005F42E6"/>
    <w:rsid w:val="005F7ED6"/>
    <w:rsid w:val="00611797"/>
    <w:rsid w:val="00622B86"/>
    <w:rsid w:val="00623BA1"/>
    <w:rsid w:val="00625B30"/>
    <w:rsid w:val="00633982"/>
    <w:rsid w:val="00634074"/>
    <w:rsid w:val="006346BC"/>
    <w:rsid w:val="00635108"/>
    <w:rsid w:val="00644C7D"/>
    <w:rsid w:val="00651213"/>
    <w:rsid w:val="006516D3"/>
    <w:rsid w:val="006548E7"/>
    <w:rsid w:val="00660121"/>
    <w:rsid w:val="0066652A"/>
    <w:rsid w:val="00667907"/>
    <w:rsid w:val="006719C3"/>
    <w:rsid w:val="0067636C"/>
    <w:rsid w:val="00676474"/>
    <w:rsid w:val="0067788C"/>
    <w:rsid w:val="006801EB"/>
    <w:rsid w:val="00680522"/>
    <w:rsid w:val="00682167"/>
    <w:rsid w:val="00683099"/>
    <w:rsid w:val="00685A2A"/>
    <w:rsid w:val="00693F9A"/>
    <w:rsid w:val="006979A3"/>
    <w:rsid w:val="00697D85"/>
    <w:rsid w:val="006B3F9E"/>
    <w:rsid w:val="006B5A15"/>
    <w:rsid w:val="006C42AF"/>
    <w:rsid w:val="006C435B"/>
    <w:rsid w:val="006E5CD9"/>
    <w:rsid w:val="006E716D"/>
    <w:rsid w:val="006E776B"/>
    <w:rsid w:val="007031B5"/>
    <w:rsid w:val="00704291"/>
    <w:rsid w:val="00711163"/>
    <w:rsid w:val="00711C0B"/>
    <w:rsid w:val="00711D8E"/>
    <w:rsid w:val="00712672"/>
    <w:rsid w:val="007147EB"/>
    <w:rsid w:val="00715351"/>
    <w:rsid w:val="00720E58"/>
    <w:rsid w:val="00725213"/>
    <w:rsid w:val="00734E3F"/>
    <w:rsid w:val="00736985"/>
    <w:rsid w:val="00742D27"/>
    <w:rsid w:val="00745DF5"/>
    <w:rsid w:val="0076250F"/>
    <w:rsid w:val="007706B8"/>
    <w:rsid w:val="007744E7"/>
    <w:rsid w:val="00774EE4"/>
    <w:rsid w:val="00780FA5"/>
    <w:rsid w:val="00784AAF"/>
    <w:rsid w:val="00790171"/>
    <w:rsid w:val="00790E2E"/>
    <w:rsid w:val="00795E63"/>
    <w:rsid w:val="00796F4C"/>
    <w:rsid w:val="007A5328"/>
    <w:rsid w:val="007A6663"/>
    <w:rsid w:val="007B06DC"/>
    <w:rsid w:val="007B0D87"/>
    <w:rsid w:val="007B59BC"/>
    <w:rsid w:val="007B6200"/>
    <w:rsid w:val="007E3FF9"/>
    <w:rsid w:val="007E4001"/>
    <w:rsid w:val="007E4969"/>
    <w:rsid w:val="007E7CCF"/>
    <w:rsid w:val="007F3395"/>
    <w:rsid w:val="00801B9F"/>
    <w:rsid w:val="0080204D"/>
    <w:rsid w:val="00803494"/>
    <w:rsid w:val="00805B9C"/>
    <w:rsid w:val="00810213"/>
    <w:rsid w:val="00817DE6"/>
    <w:rsid w:val="00823B7F"/>
    <w:rsid w:val="0083052F"/>
    <w:rsid w:val="0084376F"/>
    <w:rsid w:val="008475F0"/>
    <w:rsid w:val="0085433C"/>
    <w:rsid w:val="00854659"/>
    <w:rsid w:val="008557A7"/>
    <w:rsid w:val="008561AB"/>
    <w:rsid w:val="00860FA2"/>
    <w:rsid w:val="00870928"/>
    <w:rsid w:val="00871636"/>
    <w:rsid w:val="00871B61"/>
    <w:rsid w:val="00876D09"/>
    <w:rsid w:val="00880AFF"/>
    <w:rsid w:val="00885A62"/>
    <w:rsid w:val="00885E35"/>
    <w:rsid w:val="0089405C"/>
    <w:rsid w:val="00895C13"/>
    <w:rsid w:val="00897496"/>
    <w:rsid w:val="00897FA2"/>
    <w:rsid w:val="008A5AFE"/>
    <w:rsid w:val="008A5C57"/>
    <w:rsid w:val="008A6C83"/>
    <w:rsid w:val="008C48F9"/>
    <w:rsid w:val="008C5A0E"/>
    <w:rsid w:val="008D01DC"/>
    <w:rsid w:val="008D7287"/>
    <w:rsid w:val="008D7901"/>
    <w:rsid w:val="008F180B"/>
    <w:rsid w:val="009060AF"/>
    <w:rsid w:val="00927172"/>
    <w:rsid w:val="009278D2"/>
    <w:rsid w:val="00931CF1"/>
    <w:rsid w:val="0093381F"/>
    <w:rsid w:val="00934041"/>
    <w:rsid w:val="00935ABC"/>
    <w:rsid w:val="00937321"/>
    <w:rsid w:val="00943730"/>
    <w:rsid w:val="0095053A"/>
    <w:rsid w:val="00954F96"/>
    <w:rsid w:val="00961E72"/>
    <w:rsid w:val="009651AD"/>
    <w:rsid w:val="0096642A"/>
    <w:rsid w:val="00975CA5"/>
    <w:rsid w:val="0097640A"/>
    <w:rsid w:val="00977676"/>
    <w:rsid w:val="0098039E"/>
    <w:rsid w:val="00980574"/>
    <w:rsid w:val="00980B09"/>
    <w:rsid w:val="00983AED"/>
    <w:rsid w:val="00986590"/>
    <w:rsid w:val="00992C76"/>
    <w:rsid w:val="009969D6"/>
    <w:rsid w:val="009A0908"/>
    <w:rsid w:val="009A3DD2"/>
    <w:rsid w:val="009B4D3B"/>
    <w:rsid w:val="009B7942"/>
    <w:rsid w:val="009D29FD"/>
    <w:rsid w:val="009D57C0"/>
    <w:rsid w:val="009D7407"/>
    <w:rsid w:val="009E0866"/>
    <w:rsid w:val="009E1A8A"/>
    <w:rsid w:val="009E273C"/>
    <w:rsid w:val="009E56D3"/>
    <w:rsid w:val="009E7C81"/>
    <w:rsid w:val="009F1350"/>
    <w:rsid w:val="009F6423"/>
    <w:rsid w:val="009F713D"/>
    <w:rsid w:val="00A1385C"/>
    <w:rsid w:val="00A175B3"/>
    <w:rsid w:val="00A22238"/>
    <w:rsid w:val="00A24A62"/>
    <w:rsid w:val="00A31C9F"/>
    <w:rsid w:val="00A35285"/>
    <w:rsid w:val="00A4144F"/>
    <w:rsid w:val="00A561A6"/>
    <w:rsid w:val="00A56972"/>
    <w:rsid w:val="00A61B4D"/>
    <w:rsid w:val="00A63917"/>
    <w:rsid w:val="00A77EFB"/>
    <w:rsid w:val="00A80F95"/>
    <w:rsid w:val="00A90370"/>
    <w:rsid w:val="00A91795"/>
    <w:rsid w:val="00A940CA"/>
    <w:rsid w:val="00A97BF1"/>
    <w:rsid w:val="00AA14F8"/>
    <w:rsid w:val="00AA298A"/>
    <w:rsid w:val="00AA315B"/>
    <w:rsid w:val="00AB376E"/>
    <w:rsid w:val="00AB4389"/>
    <w:rsid w:val="00AC164A"/>
    <w:rsid w:val="00AC68FC"/>
    <w:rsid w:val="00AC6989"/>
    <w:rsid w:val="00AD4535"/>
    <w:rsid w:val="00AE0A1E"/>
    <w:rsid w:val="00AE448A"/>
    <w:rsid w:val="00AE5A89"/>
    <w:rsid w:val="00AF0272"/>
    <w:rsid w:val="00AF2050"/>
    <w:rsid w:val="00B0385D"/>
    <w:rsid w:val="00B03CA8"/>
    <w:rsid w:val="00B05089"/>
    <w:rsid w:val="00B120ED"/>
    <w:rsid w:val="00B14CA5"/>
    <w:rsid w:val="00B16FE3"/>
    <w:rsid w:val="00B26D9F"/>
    <w:rsid w:val="00B33C0A"/>
    <w:rsid w:val="00B50D63"/>
    <w:rsid w:val="00B55E19"/>
    <w:rsid w:val="00B637DD"/>
    <w:rsid w:val="00B6495A"/>
    <w:rsid w:val="00B66722"/>
    <w:rsid w:val="00B70B50"/>
    <w:rsid w:val="00B70C80"/>
    <w:rsid w:val="00B80B85"/>
    <w:rsid w:val="00B9118E"/>
    <w:rsid w:val="00B927C4"/>
    <w:rsid w:val="00B934E1"/>
    <w:rsid w:val="00B94758"/>
    <w:rsid w:val="00BA0538"/>
    <w:rsid w:val="00BA1524"/>
    <w:rsid w:val="00BA4B6D"/>
    <w:rsid w:val="00BB0846"/>
    <w:rsid w:val="00BB26C5"/>
    <w:rsid w:val="00BB3109"/>
    <w:rsid w:val="00BC31BD"/>
    <w:rsid w:val="00BD2CB3"/>
    <w:rsid w:val="00BD53C8"/>
    <w:rsid w:val="00BF21DB"/>
    <w:rsid w:val="00BF4DE6"/>
    <w:rsid w:val="00C0114D"/>
    <w:rsid w:val="00C06B13"/>
    <w:rsid w:val="00C25076"/>
    <w:rsid w:val="00C27D25"/>
    <w:rsid w:val="00C31297"/>
    <w:rsid w:val="00C3169B"/>
    <w:rsid w:val="00C31929"/>
    <w:rsid w:val="00C32299"/>
    <w:rsid w:val="00C42541"/>
    <w:rsid w:val="00C42CDE"/>
    <w:rsid w:val="00C5182A"/>
    <w:rsid w:val="00C55613"/>
    <w:rsid w:val="00C572D6"/>
    <w:rsid w:val="00C63EE9"/>
    <w:rsid w:val="00C75DE5"/>
    <w:rsid w:val="00C82B04"/>
    <w:rsid w:val="00C91B04"/>
    <w:rsid w:val="00C91F2C"/>
    <w:rsid w:val="00C938C7"/>
    <w:rsid w:val="00C93FC8"/>
    <w:rsid w:val="00CA16F3"/>
    <w:rsid w:val="00CA37B1"/>
    <w:rsid w:val="00CA4B9A"/>
    <w:rsid w:val="00CB1959"/>
    <w:rsid w:val="00CC741B"/>
    <w:rsid w:val="00CD069F"/>
    <w:rsid w:val="00CD0E4B"/>
    <w:rsid w:val="00CE021C"/>
    <w:rsid w:val="00CE4C89"/>
    <w:rsid w:val="00CF07BA"/>
    <w:rsid w:val="00CF6C83"/>
    <w:rsid w:val="00D00153"/>
    <w:rsid w:val="00D0296C"/>
    <w:rsid w:val="00D266AC"/>
    <w:rsid w:val="00D32D6F"/>
    <w:rsid w:val="00D341F9"/>
    <w:rsid w:val="00D35F4D"/>
    <w:rsid w:val="00D37560"/>
    <w:rsid w:val="00D37B04"/>
    <w:rsid w:val="00D45CFE"/>
    <w:rsid w:val="00D45D45"/>
    <w:rsid w:val="00D4627C"/>
    <w:rsid w:val="00D540C6"/>
    <w:rsid w:val="00D54520"/>
    <w:rsid w:val="00D62B26"/>
    <w:rsid w:val="00D64BD1"/>
    <w:rsid w:val="00D64E67"/>
    <w:rsid w:val="00D65749"/>
    <w:rsid w:val="00D75D4C"/>
    <w:rsid w:val="00D76FDF"/>
    <w:rsid w:val="00D813DF"/>
    <w:rsid w:val="00D92254"/>
    <w:rsid w:val="00D93BC6"/>
    <w:rsid w:val="00D96F83"/>
    <w:rsid w:val="00DB5827"/>
    <w:rsid w:val="00DC08F3"/>
    <w:rsid w:val="00DC0F87"/>
    <w:rsid w:val="00DC700C"/>
    <w:rsid w:val="00DD6EF5"/>
    <w:rsid w:val="00DD7103"/>
    <w:rsid w:val="00DE084C"/>
    <w:rsid w:val="00DE253E"/>
    <w:rsid w:val="00DF0DEB"/>
    <w:rsid w:val="00E1204A"/>
    <w:rsid w:val="00E14F51"/>
    <w:rsid w:val="00E22D94"/>
    <w:rsid w:val="00E23045"/>
    <w:rsid w:val="00E272D7"/>
    <w:rsid w:val="00E357B7"/>
    <w:rsid w:val="00E53800"/>
    <w:rsid w:val="00E604E6"/>
    <w:rsid w:val="00E6081F"/>
    <w:rsid w:val="00E6184A"/>
    <w:rsid w:val="00E655FE"/>
    <w:rsid w:val="00E7655E"/>
    <w:rsid w:val="00E8296D"/>
    <w:rsid w:val="00E8457B"/>
    <w:rsid w:val="00E918AF"/>
    <w:rsid w:val="00E92416"/>
    <w:rsid w:val="00EA04B2"/>
    <w:rsid w:val="00EA15AD"/>
    <w:rsid w:val="00EA20F3"/>
    <w:rsid w:val="00EB398C"/>
    <w:rsid w:val="00EB43D4"/>
    <w:rsid w:val="00EC02B2"/>
    <w:rsid w:val="00EC1AD2"/>
    <w:rsid w:val="00EC37C0"/>
    <w:rsid w:val="00EC3C2D"/>
    <w:rsid w:val="00EC53BA"/>
    <w:rsid w:val="00EC6C3B"/>
    <w:rsid w:val="00ED2831"/>
    <w:rsid w:val="00ED43D1"/>
    <w:rsid w:val="00EE1027"/>
    <w:rsid w:val="00EE25F4"/>
    <w:rsid w:val="00EE4EE1"/>
    <w:rsid w:val="00EE57E4"/>
    <w:rsid w:val="00EE60F4"/>
    <w:rsid w:val="00EF2813"/>
    <w:rsid w:val="00EF4574"/>
    <w:rsid w:val="00EF5FB3"/>
    <w:rsid w:val="00EF7B0E"/>
    <w:rsid w:val="00F073E8"/>
    <w:rsid w:val="00F1480C"/>
    <w:rsid w:val="00F2284C"/>
    <w:rsid w:val="00F25A93"/>
    <w:rsid w:val="00F2684E"/>
    <w:rsid w:val="00F30087"/>
    <w:rsid w:val="00F366DB"/>
    <w:rsid w:val="00F40DDB"/>
    <w:rsid w:val="00F42D92"/>
    <w:rsid w:val="00F4606F"/>
    <w:rsid w:val="00F53366"/>
    <w:rsid w:val="00F5404C"/>
    <w:rsid w:val="00F617F9"/>
    <w:rsid w:val="00F71DF0"/>
    <w:rsid w:val="00F72637"/>
    <w:rsid w:val="00F729EF"/>
    <w:rsid w:val="00F744A2"/>
    <w:rsid w:val="00F74546"/>
    <w:rsid w:val="00F77CAE"/>
    <w:rsid w:val="00F82271"/>
    <w:rsid w:val="00F83428"/>
    <w:rsid w:val="00F9189E"/>
    <w:rsid w:val="00F950F7"/>
    <w:rsid w:val="00F96BB9"/>
    <w:rsid w:val="00FA69AF"/>
    <w:rsid w:val="00FA7833"/>
    <w:rsid w:val="00FB6D8C"/>
    <w:rsid w:val="00FC322F"/>
    <w:rsid w:val="00FE49E6"/>
    <w:rsid w:val="00FE5A50"/>
    <w:rsid w:val="00FE6D51"/>
    <w:rsid w:val="00FE6F2A"/>
    <w:rsid w:val="00FF0B1C"/>
    <w:rsid w:val="00FF228F"/>
    <w:rsid w:val="00FF41A1"/>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E1A8A"/>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E1A8A"/>
    <w:rPr>
      <w:b/>
      <w:caps/>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9E1A8A"/>
    <w:pPr>
      <w:spacing w:before="0" w:after="0" w:line="240" w:lineRule="exact"/>
      <w:ind w:left="284" w:right="284"/>
    </w:pPr>
    <w:rPr>
      <w:color w:val="auto"/>
    </w:rPr>
  </w:style>
  <w:style w:type="character" w:customStyle="1" w:styleId="FooterChar">
    <w:name w:val="Footer Char"/>
    <w:basedOn w:val="DefaultParagraphFont"/>
    <w:link w:val="Footer"/>
    <w:uiPriority w:val="99"/>
    <w:rsid w:val="009E1A8A"/>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E1A8A"/>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62967171">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596787229">
      <w:bodyDiv w:val="1"/>
      <w:marLeft w:val="0"/>
      <w:marRight w:val="0"/>
      <w:marTop w:val="0"/>
      <w:marBottom w:val="0"/>
      <w:divBdr>
        <w:top w:val="none" w:sz="0" w:space="0" w:color="auto"/>
        <w:left w:val="none" w:sz="0" w:space="0" w:color="auto"/>
        <w:bottom w:val="none" w:sz="0" w:space="0" w:color="auto"/>
        <w:right w:val="none" w:sz="0" w:space="0" w:color="auto"/>
      </w:divBdr>
    </w:div>
    <w:div w:id="659042000">
      <w:bodyDiv w:val="1"/>
      <w:marLeft w:val="0"/>
      <w:marRight w:val="0"/>
      <w:marTop w:val="0"/>
      <w:marBottom w:val="0"/>
      <w:divBdr>
        <w:top w:val="none" w:sz="0" w:space="0" w:color="auto"/>
        <w:left w:val="none" w:sz="0" w:space="0" w:color="auto"/>
        <w:bottom w:val="none" w:sz="0" w:space="0" w:color="auto"/>
        <w:right w:val="none" w:sz="0" w:space="0" w:color="auto"/>
      </w:divBdr>
      <w:divsChild>
        <w:div w:id="1825774955">
          <w:marLeft w:val="2700"/>
          <w:marRight w:val="3960"/>
          <w:marTop w:val="0"/>
          <w:marBottom w:val="0"/>
          <w:divBdr>
            <w:top w:val="none" w:sz="0" w:space="0" w:color="auto"/>
            <w:left w:val="none" w:sz="0" w:space="0" w:color="auto"/>
            <w:bottom w:val="none" w:sz="0" w:space="0" w:color="auto"/>
            <w:right w:val="none" w:sz="0" w:space="0" w:color="auto"/>
          </w:divBdr>
          <w:divsChild>
            <w:div w:id="437337422">
              <w:marLeft w:val="0"/>
              <w:marRight w:val="0"/>
              <w:marTop w:val="0"/>
              <w:marBottom w:val="0"/>
              <w:divBdr>
                <w:top w:val="none" w:sz="0" w:space="0" w:color="auto"/>
                <w:left w:val="none" w:sz="0" w:space="0" w:color="auto"/>
                <w:bottom w:val="none" w:sz="0" w:space="0" w:color="auto"/>
                <w:right w:val="none" w:sz="0" w:space="0" w:color="auto"/>
              </w:divBdr>
              <w:divsChild>
                <w:div w:id="1335649758">
                  <w:marLeft w:val="0"/>
                  <w:marRight w:val="0"/>
                  <w:marTop w:val="0"/>
                  <w:marBottom w:val="0"/>
                  <w:divBdr>
                    <w:top w:val="none" w:sz="0" w:space="0" w:color="auto"/>
                    <w:left w:val="none" w:sz="0" w:space="0" w:color="auto"/>
                    <w:bottom w:val="none" w:sz="0" w:space="0" w:color="auto"/>
                    <w:right w:val="none" w:sz="0" w:space="0" w:color="auto"/>
                  </w:divBdr>
                  <w:divsChild>
                    <w:div w:id="940069439">
                      <w:marLeft w:val="0"/>
                      <w:marRight w:val="0"/>
                      <w:marTop w:val="0"/>
                      <w:marBottom w:val="0"/>
                      <w:divBdr>
                        <w:top w:val="none" w:sz="0" w:space="0" w:color="auto"/>
                        <w:left w:val="none" w:sz="0" w:space="0" w:color="auto"/>
                        <w:bottom w:val="none" w:sz="0" w:space="0" w:color="auto"/>
                        <w:right w:val="none" w:sz="0" w:space="0" w:color="auto"/>
                      </w:divBdr>
                      <w:divsChild>
                        <w:div w:id="1439643623">
                          <w:marLeft w:val="0"/>
                          <w:marRight w:val="0"/>
                          <w:marTop w:val="90"/>
                          <w:marBottom w:val="0"/>
                          <w:divBdr>
                            <w:top w:val="none" w:sz="0" w:space="0" w:color="auto"/>
                            <w:left w:val="none" w:sz="0" w:space="0" w:color="auto"/>
                            <w:bottom w:val="none" w:sz="0" w:space="0" w:color="auto"/>
                            <w:right w:val="none" w:sz="0" w:space="0" w:color="auto"/>
                          </w:divBdr>
                          <w:divsChild>
                            <w:div w:id="2128354842">
                              <w:marLeft w:val="0"/>
                              <w:marRight w:val="0"/>
                              <w:marTop w:val="0"/>
                              <w:marBottom w:val="420"/>
                              <w:divBdr>
                                <w:top w:val="none" w:sz="0" w:space="0" w:color="auto"/>
                                <w:left w:val="none" w:sz="0" w:space="0" w:color="auto"/>
                                <w:bottom w:val="none" w:sz="0" w:space="0" w:color="auto"/>
                                <w:right w:val="none" w:sz="0" w:space="0" w:color="auto"/>
                              </w:divBdr>
                              <w:divsChild>
                                <w:div w:id="329215257">
                                  <w:marLeft w:val="0"/>
                                  <w:marRight w:val="0"/>
                                  <w:marTop w:val="0"/>
                                  <w:marBottom w:val="0"/>
                                  <w:divBdr>
                                    <w:top w:val="none" w:sz="0" w:space="0" w:color="auto"/>
                                    <w:left w:val="none" w:sz="0" w:space="0" w:color="auto"/>
                                    <w:bottom w:val="none" w:sz="0" w:space="0" w:color="auto"/>
                                    <w:right w:val="none" w:sz="0" w:space="0" w:color="auto"/>
                                  </w:divBdr>
                                  <w:divsChild>
                                    <w:div w:id="2270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935840">
      <w:bodyDiv w:val="1"/>
      <w:marLeft w:val="0"/>
      <w:marRight w:val="0"/>
      <w:marTop w:val="0"/>
      <w:marBottom w:val="0"/>
      <w:divBdr>
        <w:top w:val="none" w:sz="0" w:space="0" w:color="auto"/>
        <w:left w:val="none" w:sz="0" w:space="0" w:color="auto"/>
        <w:bottom w:val="none" w:sz="0" w:space="0" w:color="auto"/>
        <w:right w:val="none" w:sz="0" w:space="0" w:color="auto"/>
      </w:divBdr>
    </w:div>
    <w:div w:id="882980409">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254823692">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580140420">
      <w:bodyDiv w:val="1"/>
      <w:marLeft w:val="0"/>
      <w:marRight w:val="0"/>
      <w:marTop w:val="0"/>
      <w:marBottom w:val="0"/>
      <w:divBdr>
        <w:top w:val="none" w:sz="0" w:space="0" w:color="auto"/>
        <w:left w:val="none" w:sz="0" w:space="0" w:color="auto"/>
        <w:bottom w:val="none" w:sz="0" w:space="0" w:color="auto"/>
        <w:right w:val="none" w:sz="0" w:space="0" w:color="auto"/>
      </w:divBdr>
    </w:div>
    <w:div w:id="1677731607">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1899316944">
      <w:bodyDiv w:val="1"/>
      <w:marLeft w:val="0"/>
      <w:marRight w:val="0"/>
      <w:marTop w:val="0"/>
      <w:marBottom w:val="0"/>
      <w:divBdr>
        <w:top w:val="none" w:sz="0" w:space="0" w:color="auto"/>
        <w:left w:val="none" w:sz="0" w:space="0" w:color="auto"/>
        <w:bottom w:val="none" w:sz="0" w:space="0" w:color="auto"/>
        <w:right w:val="none" w:sz="0" w:space="0" w:color="auto"/>
      </w:divBdr>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 w:id="210167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B631-7640-4A17-8550-BEE8955DE750}">
  <ds:schemaRefs>
    <ds:schemaRef ds:uri="6b894c73-1921-4299-aefc-49f5a4cb1310"/>
    <ds:schemaRef ds:uri="http://purl.org/dc/elements/1.1/"/>
    <ds:schemaRef ds:uri="http://schemas.microsoft.com/office/2006/metadata/properties"/>
    <ds:schemaRef ds:uri="349e11ad-1311-4134-818c-bb844dbfed54"/>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4.xml><?xml version="1.0" encoding="utf-8"?>
<ds:datastoreItem xmlns:ds="http://schemas.openxmlformats.org/officeDocument/2006/customXml" ds:itemID="{1CDFCC87-C909-47CD-9218-76333937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6</cp:revision>
  <cp:lastPrinted>2020-10-01T05:03:00Z</cp:lastPrinted>
  <dcterms:created xsi:type="dcterms:W3CDTF">2020-11-15T23:36:00Z</dcterms:created>
  <dcterms:modified xsi:type="dcterms:W3CDTF">2020-11-17T01:33:00Z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38d9d423-a933-4c7d-a875-c7bf873b5246</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