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8F03" w14:textId="77777777" w:rsidR="00FE6F2A" w:rsidRDefault="00FE6F2A" w:rsidP="00F25A93">
      <w:pPr>
        <w:pStyle w:val="SpacebeforeTitle"/>
      </w:pPr>
    </w:p>
    <w:p w14:paraId="75EF16DD" w14:textId="1DC4B78C" w:rsidR="00992C76" w:rsidRPr="00F21AB5" w:rsidRDefault="00F21AB5" w:rsidP="00D37B04">
      <w:pPr>
        <w:pStyle w:val="Title"/>
      </w:pPr>
      <w:r w:rsidRPr="00F21AB5">
        <w:t>End-of-Facility Evaluation for the Australia-Solomon Islands Resource Facility (ASIRF)</w:t>
      </w:r>
    </w:p>
    <w:p w14:paraId="704D2600" w14:textId="136E2B92" w:rsidR="00CD0E4B" w:rsidRPr="00B94423" w:rsidRDefault="00704946" w:rsidP="00D37B04">
      <w:pPr>
        <w:pStyle w:val="Subtitle"/>
      </w:pPr>
      <w:r w:rsidRPr="00B94423">
        <w:rPr>
          <w:caps w:val="0"/>
        </w:rPr>
        <w:t>MANAGEMENT RESPONSE</w:t>
      </w:r>
    </w:p>
    <w:p w14:paraId="4F5A9BBF" w14:textId="41434493" w:rsidR="002B0E09" w:rsidRDefault="002B0E09" w:rsidP="002B0E09">
      <w:r>
        <w:t>Australia’s Solomon Islands Resource Facility (ASIRF) (January 2021 to June 2023) provide</w:t>
      </w:r>
      <w:r w:rsidR="001D738F">
        <w:t>d</w:t>
      </w:r>
      <w:r>
        <w:t xml:space="preserve"> an operational platform for the delivery of Australia's development assistance in Solomon Islands. ASIRF continue</w:t>
      </w:r>
      <w:r w:rsidR="0061049F">
        <w:t>d</w:t>
      </w:r>
      <w:r>
        <w:t xml:space="preserve"> functions provided by previous </w:t>
      </w:r>
      <w:r w:rsidR="0061049F">
        <w:t xml:space="preserve">Australian-funded </w:t>
      </w:r>
      <w:r>
        <w:t>facilities</w:t>
      </w:r>
      <w:r w:rsidR="0061049F">
        <w:t xml:space="preserve"> in Solomon Islands</w:t>
      </w:r>
      <w:r>
        <w:t>, including the Solomon Islands Resource Facility (SIRF) (2015 to 2020). ASIRF</w:t>
      </w:r>
      <w:r w:rsidR="001D738F">
        <w:t xml:space="preserve"> was</w:t>
      </w:r>
      <w:r>
        <w:t xml:space="preserve"> delivered by DT Global.</w:t>
      </w:r>
    </w:p>
    <w:p w14:paraId="7816D198" w14:textId="07569475" w:rsidR="002B0E09" w:rsidRDefault="002B0E09" w:rsidP="002B0E09">
      <w:r>
        <w:t xml:space="preserve">ASIRF’s overarching goal </w:t>
      </w:r>
      <w:r w:rsidR="00DE66E9">
        <w:t>was</w:t>
      </w:r>
      <w:r>
        <w:t xml:space="preserve"> to support ‘Effective and efficient delivery of the Australian Aid Program in Solomon Islands”. ASIRF primarily function</w:t>
      </w:r>
      <w:r w:rsidR="00DE66E9">
        <w:t>ed</w:t>
      </w:r>
      <w:r>
        <w:t xml:space="preserve"> as an enabling facility, with services </w:t>
      </w:r>
      <w:proofErr w:type="gramStart"/>
      <w:r>
        <w:t>including:</w:t>
      </w:r>
      <w:proofErr w:type="gramEnd"/>
      <w:r>
        <w:t xml:space="preserve"> recruitment, deployment and adviser support; procurement and grants management; and financial management. ASIRF also provide</w:t>
      </w:r>
      <w:r w:rsidR="00DE66E9">
        <w:t>d</w:t>
      </w:r>
      <w:r>
        <w:t xml:space="preserve"> program management functions for some sector programs and deliver</w:t>
      </w:r>
      <w:r w:rsidR="00A75FFA">
        <w:t>ed</w:t>
      </w:r>
      <w:r>
        <w:t xml:space="preserve"> </w:t>
      </w:r>
      <w:r w:rsidR="009D465D">
        <w:t>deployed</w:t>
      </w:r>
      <w:r>
        <w:t xml:space="preserve"> support services for the Australian High Commission in Honiara.</w:t>
      </w:r>
    </w:p>
    <w:p w14:paraId="708D9484" w14:textId="74DCC132" w:rsidR="00760027" w:rsidRDefault="00760027" w:rsidP="00760027">
      <w:r>
        <w:t>An end-of-facility evaluation was undertaken in late 2022 to assess the performance of ASIRF and provide guidance on future programming. The objective of the evaluation was to assess “the extent to which ASIRF was an effective and efficient model to support DFAT’s development portfolio and associated programs in Solomon Islands.”</w:t>
      </w:r>
    </w:p>
    <w:p w14:paraId="09788A85" w14:textId="74BD49CC" w:rsidR="00760027" w:rsidRDefault="00372F2A" w:rsidP="002B0E09">
      <w:r>
        <w:t>The evaluation found that</w:t>
      </w:r>
      <w:r w:rsidRPr="00372F2A">
        <w:t xml:space="preserve"> ASIRF </w:t>
      </w:r>
      <w:r w:rsidR="003E15D9">
        <w:t xml:space="preserve">remained </w:t>
      </w:r>
      <w:r w:rsidR="003E15D9" w:rsidRPr="003E15D9">
        <w:t>a highly relevant program that support</w:t>
      </w:r>
      <w:r w:rsidR="00AD72EA">
        <w:t>ed</w:t>
      </w:r>
      <w:r w:rsidR="003E15D9" w:rsidRPr="003E15D9">
        <w:t xml:space="preserve"> DFAT</w:t>
      </w:r>
      <w:r w:rsidR="00DB7A16">
        <w:t>’s</w:t>
      </w:r>
      <w:r w:rsidR="003E15D9" w:rsidRPr="003E15D9">
        <w:t xml:space="preserve"> engagement </w:t>
      </w:r>
      <w:r w:rsidR="00DB7A16">
        <w:t xml:space="preserve">in </w:t>
      </w:r>
      <w:r w:rsidR="003E15D9" w:rsidRPr="003E15D9">
        <w:t>Solomon Island</w:t>
      </w:r>
      <w:r w:rsidR="00DB7A16">
        <w:t>s</w:t>
      </w:r>
      <w:r w:rsidR="003E15D9" w:rsidRPr="003E15D9">
        <w:t xml:space="preserve">. </w:t>
      </w:r>
      <w:r w:rsidR="00EA67A8">
        <w:t xml:space="preserve">The evaluation also found that ASIRF delivered </w:t>
      </w:r>
      <w:r w:rsidR="003E15D9" w:rsidRPr="003E15D9">
        <w:t>economies of scale</w:t>
      </w:r>
      <w:r w:rsidR="00EA67A8">
        <w:t xml:space="preserve"> and had</w:t>
      </w:r>
      <w:r w:rsidRPr="00372F2A">
        <w:t xml:space="preserve"> been effective in delivering its </w:t>
      </w:r>
      <w:r>
        <w:t xml:space="preserve">overall </w:t>
      </w:r>
      <w:r w:rsidRPr="00372F2A">
        <w:t xml:space="preserve">mandate and contributing to </w:t>
      </w:r>
      <w:r w:rsidR="0030209F">
        <w:t>End</w:t>
      </w:r>
      <w:r w:rsidR="003E15D9">
        <w:t>-</w:t>
      </w:r>
      <w:r w:rsidR="0030209F">
        <w:t>of</w:t>
      </w:r>
      <w:r w:rsidR="003E15D9">
        <w:t>-</w:t>
      </w:r>
      <w:r w:rsidR="0030209F">
        <w:t>Facility Outcomes</w:t>
      </w:r>
      <w:r w:rsidRPr="00372F2A">
        <w:t>.</w:t>
      </w:r>
      <w:r w:rsidR="001D4F5F">
        <w:t xml:space="preserve"> The evaluation also made </w:t>
      </w:r>
      <w:r w:rsidR="003115BF">
        <w:t xml:space="preserve">recommendations to enhance </w:t>
      </w:r>
      <w:r w:rsidR="00C5564A">
        <w:t xml:space="preserve">performance </w:t>
      </w:r>
      <w:r w:rsidR="003115BF">
        <w:t>of the facility.</w:t>
      </w:r>
    </w:p>
    <w:p w14:paraId="1E73A836" w14:textId="6A3A6A07" w:rsidR="002B0E09" w:rsidRDefault="004213F4" w:rsidP="002B0E09">
      <w:r>
        <w:t xml:space="preserve">In June 2023, DT Global was selected to deliver </w:t>
      </w:r>
      <w:r w:rsidR="00FB0817">
        <w:t xml:space="preserve">ASIRF’s </w:t>
      </w:r>
      <w:r w:rsidR="004D4683">
        <w:t>replacement facility</w:t>
      </w:r>
      <w:r w:rsidR="00FB0817">
        <w:t xml:space="preserve">, the Australia-Solomon Islands </w:t>
      </w:r>
      <w:r w:rsidR="004D4683">
        <w:t>Program Support (ASIPS) Facility</w:t>
      </w:r>
      <w:r w:rsidR="00DD4F25">
        <w:t xml:space="preserve">. ASIPS </w:t>
      </w:r>
      <w:r w:rsidR="000154FF">
        <w:t xml:space="preserve">began operation </w:t>
      </w:r>
      <w:r>
        <w:t>in July 2023</w:t>
      </w:r>
      <w:r w:rsidR="00894237">
        <w:t xml:space="preserve"> based on </w:t>
      </w:r>
      <w:r w:rsidR="005B2BA4">
        <w:t>a</w:t>
      </w:r>
      <w:r w:rsidR="00107D43">
        <w:t xml:space="preserve"> </w:t>
      </w:r>
      <w:r w:rsidR="00894237">
        <w:t>draft design</w:t>
      </w:r>
      <w:r w:rsidR="005B2BA4">
        <w:t xml:space="preserve"> (which incorporated lessons from the evaluation)</w:t>
      </w:r>
      <w:r w:rsidR="00DD43FC">
        <w:t xml:space="preserve">. One of the </w:t>
      </w:r>
      <w:r w:rsidR="005B2BA4">
        <w:t xml:space="preserve">early </w:t>
      </w:r>
      <w:r w:rsidR="00DD43FC">
        <w:t xml:space="preserve">tasks for DT Global is to </w:t>
      </w:r>
      <w:r w:rsidR="009D3D32">
        <w:t xml:space="preserve">revise and </w:t>
      </w:r>
      <w:r w:rsidR="00662D84">
        <w:t>finalise the design of the new facility</w:t>
      </w:r>
      <w:r w:rsidR="008F5DE4">
        <w:t>. The ASIPS</w:t>
      </w:r>
      <w:r w:rsidR="00C5564A">
        <w:t xml:space="preserve"> facility</w:t>
      </w:r>
      <w:r w:rsidR="008F5DE4">
        <w:t xml:space="preserve"> design is expected to be finalised by early 2024.</w:t>
      </w:r>
    </w:p>
    <w:p w14:paraId="695BC721" w14:textId="75ECC027" w:rsidR="002336AB" w:rsidRDefault="002336AB" w:rsidP="002336AB"/>
    <w:p w14:paraId="1BB49869" w14:textId="0469DED0" w:rsidR="002C4975" w:rsidRPr="00B94423" w:rsidRDefault="00894237" w:rsidP="002C4975">
      <w:pPr>
        <w:rPr>
          <w:b/>
          <w:bCs/>
        </w:rPr>
      </w:pPr>
      <w:r w:rsidRPr="00894237">
        <w:rPr>
          <w:b/>
          <w:bCs/>
        </w:rPr>
        <w:t>End-of-Facility Evaluation recommendations and DFAT responses</w:t>
      </w:r>
    </w:p>
    <w:tbl>
      <w:tblPr>
        <w:tblW w:w="5000" w:type="pct"/>
        <w:tblLook w:val="04A0" w:firstRow="1" w:lastRow="0" w:firstColumn="1" w:lastColumn="0" w:noHBand="0" w:noVBand="1"/>
      </w:tblPr>
      <w:tblGrid>
        <w:gridCol w:w="4819"/>
        <w:gridCol w:w="4819"/>
      </w:tblGrid>
      <w:tr w:rsidR="002C4975" w:rsidRPr="00B94423" w14:paraId="18B267B7" w14:textId="77777777" w:rsidTr="00316D8E">
        <w:trPr>
          <w:tblHeader/>
        </w:trPr>
        <w:tc>
          <w:tcPr>
            <w:tcW w:w="2500" w:type="pct"/>
            <w:shd w:val="clear" w:color="auto" w:fill="C1E7E0" w:themeFill="accent1" w:themeFillTint="66"/>
            <w:vAlign w:val="center"/>
          </w:tcPr>
          <w:p w14:paraId="7A47A90A" w14:textId="77777777" w:rsidR="002C4975" w:rsidRPr="00B94423" w:rsidRDefault="002C4975" w:rsidP="00316D8E">
            <w:pPr>
              <w:jc w:val="center"/>
              <w:rPr>
                <w:b/>
                <w:bCs/>
                <w:lang w:val="en-AU"/>
              </w:rPr>
            </w:pPr>
            <w:r w:rsidRPr="00B94423">
              <w:rPr>
                <w:b/>
                <w:bCs/>
                <w:lang w:val="en-AU"/>
              </w:rPr>
              <w:t>Recommendation</w:t>
            </w:r>
          </w:p>
        </w:tc>
        <w:tc>
          <w:tcPr>
            <w:tcW w:w="2500" w:type="pct"/>
            <w:shd w:val="clear" w:color="auto" w:fill="C1E7E0" w:themeFill="accent1" w:themeFillTint="66"/>
            <w:vAlign w:val="center"/>
          </w:tcPr>
          <w:p w14:paraId="2A2CEDFA" w14:textId="77777777" w:rsidR="002C4975" w:rsidRPr="00B94423" w:rsidRDefault="002C4975" w:rsidP="00316D8E">
            <w:pPr>
              <w:jc w:val="center"/>
              <w:rPr>
                <w:b/>
                <w:bCs/>
                <w:lang w:val="en-AU"/>
              </w:rPr>
            </w:pPr>
            <w:r w:rsidRPr="00B94423">
              <w:rPr>
                <w:b/>
                <w:bCs/>
                <w:lang w:val="en-AU"/>
              </w:rPr>
              <w:t>DFAT response</w:t>
            </w:r>
          </w:p>
        </w:tc>
      </w:tr>
      <w:tr w:rsidR="002C4975" w:rsidRPr="00B94423" w14:paraId="1F9B16E6" w14:textId="77777777" w:rsidTr="00316D8E">
        <w:tc>
          <w:tcPr>
            <w:tcW w:w="2500" w:type="pct"/>
          </w:tcPr>
          <w:p w14:paraId="60DB8668" w14:textId="09F6E2E4" w:rsidR="002C4975" w:rsidRPr="00B94423" w:rsidRDefault="00A8436C" w:rsidP="00A8436C">
            <w:pPr>
              <w:numPr>
                <w:ilvl w:val="0"/>
                <w:numId w:val="35"/>
              </w:numPr>
              <w:rPr>
                <w:lang w:val="en-AU"/>
              </w:rPr>
            </w:pPr>
            <w:r w:rsidRPr="00A8436C">
              <w:rPr>
                <w:lang w:val="en-AU"/>
              </w:rPr>
              <w:t>DFAT to continue the process for the design</w:t>
            </w:r>
            <w:r w:rsidR="00C5564A">
              <w:rPr>
                <w:lang w:val="en-AU"/>
              </w:rPr>
              <w:t xml:space="preserve"> and</w:t>
            </w:r>
            <w:r w:rsidRPr="00A8436C">
              <w:rPr>
                <w:lang w:val="en-AU"/>
              </w:rPr>
              <w:t xml:space="preserve"> tender </w:t>
            </w:r>
            <w:r w:rsidR="00C5564A">
              <w:rPr>
                <w:lang w:val="en-AU"/>
              </w:rPr>
              <w:t xml:space="preserve">for </w:t>
            </w:r>
            <w:r w:rsidRPr="00A8436C">
              <w:rPr>
                <w:lang w:val="en-AU"/>
              </w:rPr>
              <w:t>the next phase of ASIRF implementation. Where possible, DFAT should engage with the current ASIRF team to employ a smooth transition and to discuss and confirm agreed priorities as part of a proposed new phase of implementation and management.</w:t>
            </w:r>
          </w:p>
        </w:tc>
        <w:tc>
          <w:tcPr>
            <w:tcW w:w="2500" w:type="pct"/>
          </w:tcPr>
          <w:p w14:paraId="2773C69C" w14:textId="7365AE14" w:rsidR="00C5564A" w:rsidRPr="00137E17" w:rsidRDefault="00E310E8" w:rsidP="00316D8E">
            <w:pPr>
              <w:rPr>
                <w:b/>
                <w:bCs/>
                <w:lang w:val="en-AU"/>
              </w:rPr>
            </w:pPr>
            <w:r w:rsidRPr="00137E17">
              <w:rPr>
                <w:b/>
                <w:bCs/>
                <w:lang w:val="en-AU"/>
              </w:rPr>
              <w:t>Agree.</w:t>
            </w:r>
          </w:p>
          <w:p w14:paraId="75585D06" w14:textId="38AE34EF" w:rsidR="002C4975" w:rsidRDefault="00387DA0" w:rsidP="00316D8E">
            <w:pPr>
              <w:rPr>
                <w:lang w:val="en-AU"/>
              </w:rPr>
            </w:pPr>
            <w:r>
              <w:rPr>
                <w:lang w:val="en-AU"/>
              </w:rPr>
              <w:t>The ASIRF team was consulted during the initial design of the new ASIPS facility in early 2023</w:t>
            </w:r>
            <w:r w:rsidR="00733744">
              <w:rPr>
                <w:lang w:val="en-AU"/>
              </w:rPr>
              <w:t xml:space="preserve">. The tender for </w:t>
            </w:r>
            <w:r w:rsidR="00BE4BD1">
              <w:rPr>
                <w:lang w:val="en-AU"/>
              </w:rPr>
              <w:t xml:space="preserve">ASIPS was undertaken between </w:t>
            </w:r>
            <w:r w:rsidR="00900491">
              <w:rPr>
                <w:lang w:val="en-AU"/>
              </w:rPr>
              <w:t>February and June 2023, based on th</w:t>
            </w:r>
            <w:r w:rsidR="000048C0">
              <w:rPr>
                <w:lang w:val="en-AU"/>
              </w:rPr>
              <w:t>is</w:t>
            </w:r>
            <w:r w:rsidR="00900491">
              <w:rPr>
                <w:lang w:val="en-AU"/>
              </w:rPr>
              <w:t xml:space="preserve"> draft design.</w:t>
            </w:r>
          </w:p>
          <w:p w14:paraId="47C9B114" w14:textId="08D16EB5" w:rsidR="00900491" w:rsidRPr="00B94423" w:rsidRDefault="00900491" w:rsidP="00316D8E">
            <w:pPr>
              <w:rPr>
                <w:lang w:val="en-AU"/>
              </w:rPr>
            </w:pPr>
            <w:r>
              <w:rPr>
                <w:lang w:val="en-AU"/>
              </w:rPr>
              <w:t xml:space="preserve">The managing contractor for ASIPS, DT Global, will </w:t>
            </w:r>
            <w:r w:rsidR="005309C3">
              <w:rPr>
                <w:lang w:val="en-AU"/>
              </w:rPr>
              <w:t xml:space="preserve">revise and </w:t>
            </w:r>
            <w:r>
              <w:rPr>
                <w:lang w:val="en-AU"/>
              </w:rPr>
              <w:t xml:space="preserve">finalise the </w:t>
            </w:r>
            <w:r w:rsidR="000048C0">
              <w:rPr>
                <w:lang w:val="en-AU"/>
              </w:rPr>
              <w:t>new design for ASIPS</w:t>
            </w:r>
            <w:r w:rsidR="005309C3">
              <w:rPr>
                <w:lang w:val="en-AU"/>
              </w:rPr>
              <w:t xml:space="preserve"> in late 2023, to allow implementation of the new design in early 2024.</w:t>
            </w:r>
          </w:p>
        </w:tc>
      </w:tr>
    </w:tbl>
    <w:p w14:paraId="16948E42" w14:textId="5CE0D3C2" w:rsidR="002336AB" w:rsidRPr="00B94423" w:rsidRDefault="002336AB" w:rsidP="002336AB">
      <w:pPr>
        <w:rPr>
          <w:b/>
          <w:bCs/>
        </w:rPr>
      </w:pPr>
    </w:p>
    <w:tbl>
      <w:tblPr>
        <w:tblW w:w="5000" w:type="pct"/>
        <w:tblLook w:val="04A0" w:firstRow="1" w:lastRow="0" w:firstColumn="1" w:lastColumn="0" w:noHBand="0" w:noVBand="1"/>
      </w:tblPr>
      <w:tblGrid>
        <w:gridCol w:w="4819"/>
        <w:gridCol w:w="4819"/>
      </w:tblGrid>
      <w:tr w:rsidR="002336AB" w:rsidRPr="00B94423" w14:paraId="659EA716" w14:textId="77777777" w:rsidTr="00A84997">
        <w:trPr>
          <w:tblHeader/>
        </w:trPr>
        <w:tc>
          <w:tcPr>
            <w:tcW w:w="2500" w:type="pct"/>
            <w:shd w:val="clear" w:color="auto" w:fill="C1E7E0" w:themeFill="accent1" w:themeFillTint="66"/>
            <w:vAlign w:val="center"/>
          </w:tcPr>
          <w:p w14:paraId="3500DEE6" w14:textId="09E1D142" w:rsidR="002336AB" w:rsidRPr="00B94423" w:rsidRDefault="002336AB" w:rsidP="002336AB">
            <w:pPr>
              <w:jc w:val="center"/>
              <w:rPr>
                <w:b/>
                <w:bCs/>
                <w:lang w:val="en-AU"/>
              </w:rPr>
            </w:pPr>
            <w:r w:rsidRPr="00B94423">
              <w:rPr>
                <w:b/>
                <w:bCs/>
                <w:lang w:val="en-AU"/>
              </w:rPr>
              <w:lastRenderedPageBreak/>
              <w:t>Recommendation</w:t>
            </w:r>
          </w:p>
        </w:tc>
        <w:tc>
          <w:tcPr>
            <w:tcW w:w="2500" w:type="pct"/>
            <w:shd w:val="clear" w:color="auto" w:fill="C1E7E0" w:themeFill="accent1" w:themeFillTint="66"/>
            <w:vAlign w:val="center"/>
          </w:tcPr>
          <w:p w14:paraId="7D73FC30" w14:textId="4122B0F4" w:rsidR="002336AB" w:rsidRPr="00B94423" w:rsidRDefault="002336AB" w:rsidP="002336AB">
            <w:pPr>
              <w:jc w:val="center"/>
              <w:rPr>
                <w:b/>
                <w:bCs/>
                <w:lang w:val="en-AU"/>
              </w:rPr>
            </w:pPr>
            <w:r w:rsidRPr="00B94423">
              <w:rPr>
                <w:b/>
                <w:bCs/>
                <w:lang w:val="en-AU"/>
              </w:rPr>
              <w:t>DFAT response</w:t>
            </w:r>
          </w:p>
        </w:tc>
      </w:tr>
      <w:tr w:rsidR="002336AB" w:rsidRPr="00B94423" w14:paraId="12D72EB1" w14:textId="77777777" w:rsidTr="00316D8E">
        <w:tc>
          <w:tcPr>
            <w:tcW w:w="2500" w:type="pct"/>
          </w:tcPr>
          <w:p w14:paraId="4518115B" w14:textId="0FC4E2C8" w:rsidR="002336AB" w:rsidRPr="00B94423" w:rsidRDefault="00F22771" w:rsidP="002336AB">
            <w:pPr>
              <w:numPr>
                <w:ilvl w:val="0"/>
                <w:numId w:val="35"/>
              </w:numPr>
              <w:rPr>
                <w:lang w:val="en-AU"/>
              </w:rPr>
            </w:pPr>
            <w:r w:rsidRPr="00F22771">
              <w:rPr>
                <w:lang w:val="en-AU"/>
              </w:rPr>
              <w:t xml:space="preserve">As part of the new phase, DFAT to consider including a fourth pillar of support (MEL, GEDSI, </w:t>
            </w:r>
            <w:r w:rsidR="0008308C" w:rsidRPr="00F22771">
              <w:rPr>
                <w:lang w:val="en-AU"/>
              </w:rPr>
              <w:t>Comm</w:t>
            </w:r>
            <w:r w:rsidR="0008308C">
              <w:rPr>
                <w:lang w:val="en-AU"/>
              </w:rPr>
              <w:t>unications</w:t>
            </w:r>
            <w:r w:rsidRPr="00F22771">
              <w:rPr>
                <w:lang w:val="en-AU"/>
              </w:rPr>
              <w:t>) to complement existing pillars of support (finance, recruitment, and procurement)</w:t>
            </w:r>
          </w:p>
        </w:tc>
        <w:tc>
          <w:tcPr>
            <w:tcW w:w="2500" w:type="pct"/>
          </w:tcPr>
          <w:p w14:paraId="2F20E6D1" w14:textId="6AAC69DA" w:rsidR="00C82253" w:rsidRPr="00C82253" w:rsidRDefault="00437534" w:rsidP="002336AB">
            <w:pPr>
              <w:rPr>
                <w:b/>
                <w:bCs/>
                <w:lang w:val="en-AU"/>
              </w:rPr>
            </w:pPr>
            <w:r w:rsidRPr="00C82253">
              <w:rPr>
                <w:b/>
                <w:bCs/>
                <w:lang w:val="en-AU"/>
              </w:rPr>
              <w:t>Agree.</w:t>
            </w:r>
          </w:p>
          <w:p w14:paraId="64C0B9F9" w14:textId="5AE63834" w:rsidR="0035392B" w:rsidRDefault="0035392B" w:rsidP="002336AB">
            <w:pPr>
              <w:rPr>
                <w:lang w:val="en-AU"/>
              </w:rPr>
            </w:pPr>
            <w:r>
              <w:rPr>
                <w:lang w:val="en-AU"/>
              </w:rPr>
              <w:t xml:space="preserve">The </w:t>
            </w:r>
            <w:r w:rsidR="00E60105">
              <w:rPr>
                <w:lang w:val="en-AU"/>
              </w:rPr>
              <w:t xml:space="preserve">draft design </w:t>
            </w:r>
            <w:r w:rsidR="00F66769">
              <w:rPr>
                <w:lang w:val="en-AU"/>
              </w:rPr>
              <w:t xml:space="preserve">specified that </w:t>
            </w:r>
            <w:r w:rsidR="0009481E">
              <w:rPr>
                <w:lang w:val="en-AU"/>
              </w:rPr>
              <w:t xml:space="preserve">ASIPS should provide </w:t>
            </w:r>
            <w:r w:rsidRPr="0035392B">
              <w:rPr>
                <w:lang w:val="en-AU"/>
              </w:rPr>
              <w:t>support across</w:t>
            </w:r>
            <w:r w:rsidR="0009481E">
              <w:rPr>
                <w:lang w:val="en-AU"/>
              </w:rPr>
              <w:t xml:space="preserve"> p</w:t>
            </w:r>
            <w:r w:rsidRPr="0035392B">
              <w:rPr>
                <w:lang w:val="en-AU"/>
              </w:rPr>
              <w:t xml:space="preserve">rograms to strengthen M&amp;E and performance </w:t>
            </w:r>
            <w:r w:rsidR="004053B0">
              <w:rPr>
                <w:lang w:val="en-AU"/>
              </w:rPr>
              <w:t xml:space="preserve">on </w:t>
            </w:r>
            <w:r w:rsidRPr="0035392B">
              <w:rPr>
                <w:lang w:val="en-AU"/>
              </w:rPr>
              <w:t>cross-cutting issues (including gender equality, disability/social inclusion, risk management and safeguards).</w:t>
            </w:r>
          </w:p>
          <w:p w14:paraId="475E9717" w14:textId="1AF7D467" w:rsidR="002336AB" w:rsidRPr="00B94423" w:rsidRDefault="005519F2" w:rsidP="002336AB">
            <w:pPr>
              <w:rPr>
                <w:lang w:val="en-AU"/>
              </w:rPr>
            </w:pPr>
            <w:r>
              <w:rPr>
                <w:lang w:val="en-AU"/>
              </w:rPr>
              <w:t xml:space="preserve">The ASIPS Facility </w:t>
            </w:r>
            <w:r w:rsidR="004053B0">
              <w:rPr>
                <w:lang w:val="en-AU"/>
              </w:rPr>
              <w:t xml:space="preserve">includes a Development Effectiveness Hub, which </w:t>
            </w:r>
            <w:r w:rsidR="00A55953">
              <w:rPr>
                <w:lang w:val="en-AU"/>
              </w:rPr>
              <w:t xml:space="preserve">is </w:t>
            </w:r>
            <w:r w:rsidR="004D3945" w:rsidRPr="004D3945">
              <w:rPr>
                <w:lang w:val="en-AU"/>
              </w:rPr>
              <w:t>a specialist support function to strengthen program quality and development effectiveness.</w:t>
            </w:r>
            <w:r w:rsidR="00A55953">
              <w:rPr>
                <w:lang w:val="en-AU"/>
              </w:rPr>
              <w:t xml:space="preserve"> </w:t>
            </w:r>
            <w:r w:rsidR="001B2F92">
              <w:rPr>
                <w:lang w:val="en-AU"/>
              </w:rPr>
              <w:t xml:space="preserve">The ongoing structure of this </w:t>
            </w:r>
            <w:r w:rsidR="00D874F5">
              <w:rPr>
                <w:lang w:val="en-AU"/>
              </w:rPr>
              <w:t>Hub will be determined in the final design in early 2024.</w:t>
            </w:r>
          </w:p>
        </w:tc>
      </w:tr>
      <w:tr w:rsidR="0039380A" w:rsidRPr="00B94423" w14:paraId="4DD076BE" w14:textId="77777777" w:rsidTr="00A84997">
        <w:trPr>
          <w:trHeight w:val="2121"/>
        </w:trPr>
        <w:tc>
          <w:tcPr>
            <w:tcW w:w="2500" w:type="pct"/>
          </w:tcPr>
          <w:p w14:paraId="235F7678" w14:textId="38DC532E" w:rsidR="0039380A" w:rsidRPr="006349E3" w:rsidRDefault="0039380A" w:rsidP="0039380A">
            <w:pPr>
              <w:pStyle w:val="ListParagraph"/>
              <w:numPr>
                <w:ilvl w:val="0"/>
                <w:numId w:val="35"/>
              </w:numPr>
              <w:rPr>
                <w:lang w:val="en-AU"/>
              </w:rPr>
            </w:pPr>
            <w:r w:rsidRPr="006349E3">
              <w:rPr>
                <w:lang w:val="en-AU"/>
              </w:rPr>
              <w:t>ASIRF and DFAT to discuss and agree a slightly revised role for ASIRF that sees it take a more proactive and strategic role to support SOs. This includes a series of consultations around developing more standardised templates and formats to help with planning, forecasting, budgeting, and reporting. As part of the revised approach, DFAT and ASIRF to consider engaging a short-term strategic engagement adviser for the next phase of implementation to continue with the work.</w:t>
            </w:r>
          </w:p>
        </w:tc>
        <w:tc>
          <w:tcPr>
            <w:tcW w:w="2500" w:type="pct"/>
          </w:tcPr>
          <w:p w14:paraId="72BCF4B6" w14:textId="4BC10909" w:rsidR="00180941" w:rsidRPr="00186165" w:rsidRDefault="0039380A" w:rsidP="0039380A">
            <w:pPr>
              <w:rPr>
                <w:b/>
                <w:bCs/>
                <w:lang w:val="en-AU"/>
              </w:rPr>
            </w:pPr>
            <w:r w:rsidRPr="00186165">
              <w:rPr>
                <w:b/>
                <w:bCs/>
                <w:lang w:val="en-AU"/>
              </w:rPr>
              <w:t>Partially Agree.</w:t>
            </w:r>
          </w:p>
          <w:p w14:paraId="205090D1" w14:textId="0FD3C886" w:rsidR="00F05019" w:rsidRPr="00346717" w:rsidRDefault="007F0FB6" w:rsidP="007F0FB6">
            <w:pPr>
              <w:rPr>
                <w:lang w:val="en-AU"/>
              </w:rPr>
            </w:pPr>
            <w:r>
              <w:rPr>
                <w:lang w:val="en-AU"/>
              </w:rPr>
              <w:t xml:space="preserve">As well as other systems, the SO Commissioning Guidelines will detail requirements to ensure all SOs contain consistent and required information that will assist ASIPs with planning, forecasting, budgeting, and reporting. DFAT does not commit to extra resourcing at this stage. </w:t>
            </w:r>
          </w:p>
        </w:tc>
      </w:tr>
      <w:tr w:rsidR="0039380A" w:rsidRPr="00B94423" w14:paraId="71760795" w14:textId="77777777" w:rsidTr="00A84997">
        <w:trPr>
          <w:trHeight w:val="2121"/>
        </w:trPr>
        <w:tc>
          <w:tcPr>
            <w:tcW w:w="2500" w:type="pct"/>
          </w:tcPr>
          <w:p w14:paraId="7E8B4DC5" w14:textId="6C70E07F" w:rsidR="0039380A" w:rsidRPr="006349E3" w:rsidRDefault="0039380A" w:rsidP="0039380A">
            <w:pPr>
              <w:pStyle w:val="ListParagraph"/>
              <w:numPr>
                <w:ilvl w:val="0"/>
                <w:numId w:val="35"/>
              </w:numPr>
              <w:rPr>
                <w:lang w:val="en-AU"/>
              </w:rPr>
            </w:pPr>
            <w:r w:rsidRPr="0039380A">
              <w:rPr>
                <w:lang w:val="en-AU"/>
              </w:rPr>
              <w:t>ASIRF and DFAT to consider the separation of grants away from procurement and to establish a separate grant management unit under ASIRF that assumes responsibility for design, screening, contracting, and overall management reporting. This approach minimises exposure and risk.</w:t>
            </w:r>
          </w:p>
        </w:tc>
        <w:tc>
          <w:tcPr>
            <w:tcW w:w="2500" w:type="pct"/>
          </w:tcPr>
          <w:p w14:paraId="126FEA4F" w14:textId="1ED425F6" w:rsidR="00186165" w:rsidRPr="00562FF9" w:rsidRDefault="0039380A" w:rsidP="0039380A">
            <w:pPr>
              <w:rPr>
                <w:b/>
                <w:bCs/>
                <w:lang w:val="en-AU"/>
              </w:rPr>
            </w:pPr>
            <w:r w:rsidRPr="00562FF9">
              <w:rPr>
                <w:b/>
                <w:bCs/>
                <w:lang w:val="en-AU"/>
              </w:rPr>
              <w:t>Partially Agree.</w:t>
            </w:r>
          </w:p>
          <w:p w14:paraId="41338B5B" w14:textId="7552F89F" w:rsidR="0039380A" w:rsidRPr="00346717" w:rsidRDefault="0039380A" w:rsidP="0039380A">
            <w:pPr>
              <w:rPr>
                <w:lang w:val="en-AU"/>
              </w:rPr>
            </w:pPr>
            <w:r w:rsidRPr="00EA3357">
              <w:rPr>
                <w:lang w:val="en-AU"/>
              </w:rPr>
              <w:t xml:space="preserve">While </w:t>
            </w:r>
            <w:r w:rsidR="00186165" w:rsidRPr="00EA3357">
              <w:rPr>
                <w:lang w:val="en-AU"/>
              </w:rPr>
              <w:t>DFAT recognises th</w:t>
            </w:r>
            <w:r w:rsidR="00C0620C" w:rsidRPr="00EA3357">
              <w:rPr>
                <w:lang w:val="en-AU"/>
              </w:rPr>
              <w:t xml:space="preserve">e benefits of this </w:t>
            </w:r>
            <w:r w:rsidR="009A2FA2" w:rsidRPr="00EA3357">
              <w:rPr>
                <w:lang w:val="en-AU"/>
              </w:rPr>
              <w:t xml:space="preserve">recommended </w:t>
            </w:r>
            <w:r w:rsidR="00C0620C" w:rsidRPr="00EA3357">
              <w:rPr>
                <w:lang w:val="en-AU"/>
              </w:rPr>
              <w:t>approach</w:t>
            </w:r>
            <w:r w:rsidRPr="00EA3357">
              <w:rPr>
                <w:lang w:val="en-AU"/>
              </w:rPr>
              <w:t xml:space="preserve">, the current workload or requirement for grant administration does not warrant separation or the establishment of a separate grant unit. If the use of grants as a delivery mechanism increases under </w:t>
            </w:r>
            <w:r w:rsidR="00C0620C" w:rsidRPr="00EA3357">
              <w:rPr>
                <w:lang w:val="en-AU"/>
              </w:rPr>
              <w:t>ASIPS,</w:t>
            </w:r>
            <w:r w:rsidRPr="00EA3357">
              <w:rPr>
                <w:lang w:val="en-AU"/>
              </w:rPr>
              <w:t xml:space="preserve"> this could be re-examined.</w:t>
            </w:r>
          </w:p>
        </w:tc>
      </w:tr>
      <w:tr w:rsidR="0039380A" w:rsidRPr="00B94423" w14:paraId="658FF812" w14:textId="77777777" w:rsidTr="00A84997">
        <w:trPr>
          <w:trHeight w:val="2121"/>
        </w:trPr>
        <w:tc>
          <w:tcPr>
            <w:tcW w:w="2500" w:type="pct"/>
          </w:tcPr>
          <w:p w14:paraId="24B3B15A" w14:textId="0E41CC0D" w:rsidR="0039380A" w:rsidRPr="006349E3" w:rsidRDefault="0039380A" w:rsidP="0039380A">
            <w:pPr>
              <w:pStyle w:val="ListParagraph"/>
              <w:numPr>
                <w:ilvl w:val="0"/>
                <w:numId w:val="35"/>
              </w:numPr>
              <w:rPr>
                <w:lang w:val="en-AU"/>
              </w:rPr>
            </w:pPr>
            <w:r w:rsidRPr="0039380A">
              <w:rPr>
                <w:lang w:val="en-AU"/>
              </w:rPr>
              <w:t xml:space="preserve">ASIRF and DFAT to consider more broad approaches to M&amp;E that move away from assessing operational metrics of ASIRF to consider and develop a broad MEL strategy that engages with SOs and looks to provide a more “whole of M&amp;E facility” type approach that measures not only operational metrics but </w:t>
            </w:r>
            <w:r w:rsidR="00DC1295">
              <w:rPr>
                <w:lang w:val="en-AU"/>
              </w:rPr>
              <w:t xml:space="preserve">also </w:t>
            </w:r>
            <w:r w:rsidRPr="0039380A">
              <w:rPr>
                <w:lang w:val="en-AU"/>
              </w:rPr>
              <w:t xml:space="preserve">broader considerations around engagement, </w:t>
            </w:r>
            <w:proofErr w:type="gramStart"/>
            <w:r w:rsidRPr="0039380A">
              <w:rPr>
                <w:lang w:val="en-AU"/>
              </w:rPr>
              <w:t>partnership</w:t>
            </w:r>
            <w:proofErr w:type="gramEnd"/>
            <w:r w:rsidRPr="0039380A">
              <w:rPr>
                <w:lang w:val="en-AU"/>
              </w:rPr>
              <w:t xml:space="preserve"> and technical support.</w:t>
            </w:r>
          </w:p>
        </w:tc>
        <w:tc>
          <w:tcPr>
            <w:tcW w:w="2500" w:type="pct"/>
          </w:tcPr>
          <w:p w14:paraId="12801ABA" w14:textId="77777777" w:rsidR="00C41D0E" w:rsidRPr="00562FF9" w:rsidRDefault="00D20BC3" w:rsidP="0039380A">
            <w:pPr>
              <w:rPr>
                <w:b/>
                <w:bCs/>
                <w:lang w:val="en-AU"/>
              </w:rPr>
            </w:pPr>
            <w:r w:rsidRPr="00562FF9">
              <w:rPr>
                <w:b/>
                <w:bCs/>
                <w:lang w:val="en-AU"/>
              </w:rPr>
              <w:t>Agree.</w:t>
            </w:r>
          </w:p>
          <w:p w14:paraId="1CA79F1E" w14:textId="2C8DA578" w:rsidR="0039380A" w:rsidRPr="00346717" w:rsidRDefault="00355233" w:rsidP="0039380A">
            <w:pPr>
              <w:rPr>
                <w:lang w:val="en-AU"/>
              </w:rPr>
            </w:pPr>
            <w:r>
              <w:rPr>
                <w:lang w:val="en-AU"/>
              </w:rPr>
              <w:t xml:space="preserve">The final ASIPS design will </w:t>
            </w:r>
            <w:r w:rsidR="001A2492">
              <w:rPr>
                <w:lang w:val="en-AU"/>
              </w:rPr>
              <w:t>consider this recommendation.</w:t>
            </w:r>
          </w:p>
        </w:tc>
      </w:tr>
      <w:tr w:rsidR="0039380A" w:rsidRPr="00B94423" w14:paraId="2E91DCD6" w14:textId="77777777" w:rsidTr="00A84997">
        <w:trPr>
          <w:trHeight w:val="2121"/>
        </w:trPr>
        <w:tc>
          <w:tcPr>
            <w:tcW w:w="2500" w:type="pct"/>
          </w:tcPr>
          <w:p w14:paraId="247514D9" w14:textId="76338E78" w:rsidR="0039380A" w:rsidRPr="006349E3" w:rsidRDefault="0039380A" w:rsidP="0039380A">
            <w:pPr>
              <w:pStyle w:val="ListParagraph"/>
              <w:numPr>
                <w:ilvl w:val="0"/>
                <w:numId w:val="35"/>
              </w:numPr>
              <w:rPr>
                <w:lang w:val="en-AU"/>
              </w:rPr>
            </w:pPr>
            <w:r w:rsidRPr="0039380A">
              <w:rPr>
                <w:lang w:val="en-AU"/>
              </w:rPr>
              <w:lastRenderedPageBreak/>
              <w:t xml:space="preserve">DFAT and ASIRF to agree on a formalised transition strategy </w:t>
            </w:r>
            <w:proofErr w:type="gramStart"/>
            <w:r w:rsidRPr="0039380A">
              <w:rPr>
                <w:lang w:val="en-AU"/>
              </w:rPr>
              <w:t>during the course of</w:t>
            </w:r>
            <w:proofErr w:type="gramEnd"/>
            <w:r w:rsidRPr="0039380A">
              <w:rPr>
                <w:lang w:val="en-AU"/>
              </w:rPr>
              <w:t xml:space="preserve"> the next phase to ultimately transition DSS roles and responsibilities back under DFAT.</w:t>
            </w:r>
          </w:p>
        </w:tc>
        <w:tc>
          <w:tcPr>
            <w:tcW w:w="2500" w:type="pct"/>
          </w:tcPr>
          <w:p w14:paraId="5E8077CE" w14:textId="77777777" w:rsidR="0078744D" w:rsidRPr="0078744D" w:rsidRDefault="00477A4C" w:rsidP="0039380A">
            <w:pPr>
              <w:rPr>
                <w:b/>
                <w:bCs/>
                <w:lang w:val="en-AU"/>
              </w:rPr>
            </w:pPr>
            <w:r w:rsidRPr="0078744D">
              <w:rPr>
                <w:b/>
                <w:bCs/>
                <w:lang w:val="en-AU"/>
              </w:rPr>
              <w:t>Disagree.</w:t>
            </w:r>
          </w:p>
          <w:p w14:paraId="3AAD89F2" w14:textId="4DB626A0" w:rsidR="0039380A" w:rsidRPr="00346717" w:rsidRDefault="0078744D" w:rsidP="0039380A">
            <w:pPr>
              <w:rPr>
                <w:lang w:val="en-AU"/>
              </w:rPr>
            </w:pPr>
            <w:r>
              <w:rPr>
                <w:lang w:val="en-AU"/>
              </w:rPr>
              <w:t xml:space="preserve">Under current resourcing arrangements in the Australian High Commission, DSS support will </w:t>
            </w:r>
            <w:r w:rsidR="00B50222">
              <w:rPr>
                <w:lang w:val="en-AU"/>
              </w:rPr>
              <w:t>be required for the foreseeable future.</w:t>
            </w:r>
          </w:p>
        </w:tc>
      </w:tr>
    </w:tbl>
    <w:p w14:paraId="51FF49D3" w14:textId="77777777" w:rsidR="002336AB" w:rsidRDefault="002336AB" w:rsidP="002336AB"/>
    <w:sectPr w:rsidR="002336AB" w:rsidSect="002D5B25">
      <w:headerReference w:type="default" r:id="rId8"/>
      <w:footerReference w:type="default" r:id="rId9"/>
      <w:headerReference w:type="first" r:id="rId10"/>
      <w:footerReference w:type="first" r:id="rId11"/>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DCBC" w14:textId="77777777" w:rsidR="002336AB" w:rsidRDefault="002336AB" w:rsidP="00D37B04">
      <w:r>
        <w:separator/>
      </w:r>
    </w:p>
  </w:endnote>
  <w:endnote w:type="continuationSeparator" w:id="0">
    <w:p w14:paraId="632594B6" w14:textId="77777777" w:rsidR="002336AB" w:rsidRDefault="002336A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4E0" w14:textId="77777777" w:rsidR="00C35791" w:rsidRDefault="00C35791">
    <w:pPr>
      <w:pStyle w:val="Footer"/>
    </w:pPr>
    <w:r w:rsidRPr="00FC322F">
      <w:rPr>
        <w:b/>
        <w:noProof/>
        <w:lang w:val="en-AU" w:eastAsia="en-AU"/>
      </w:rPr>
      <w:drawing>
        <wp:inline distT="0" distB="0" distL="0" distR="0" wp14:anchorId="3B501724" wp14:editId="0A94943A">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F20" w14:textId="77777777" w:rsidR="00C35791" w:rsidRPr="00FC322F" w:rsidRDefault="00C35791" w:rsidP="00C35791">
    <w:pPr>
      <w:pStyle w:val="Footer"/>
      <w:rPr>
        <w:b/>
      </w:rPr>
    </w:pPr>
    <w:r w:rsidRPr="00FC322F">
      <w:rPr>
        <w:b/>
        <w:noProof/>
        <w:lang w:val="en-AU" w:eastAsia="en-AU"/>
      </w:rPr>
      <w:drawing>
        <wp:inline distT="0" distB="0" distL="0" distR="0" wp14:anchorId="160E66D3" wp14:editId="418B72A3">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5E9A" w14:textId="77777777" w:rsidR="002336AB" w:rsidRPr="008C5A0E" w:rsidRDefault="002336AB" w:rsidP="00D37B04">
      <w:pPr>
        <w:pStyle w:val="Footer"/>
      </w:pPr>
    </w:p>
  </w:footnote>
  <w:footnote w:type="continuationSeparator" w:id="0">
    <w:p w14:paraId="430CFE46" w14:textId="77777777" w:rsidR="002336AB" w:rsidRDefault="002336AB"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2B4" w14:textId="77777777" w:rsidR="002D5B25" w:rsidRPr="000854FD" w:rsidRDefault="002D5B25" w:rsidP="002D5B25">
    <w:pPr>
      <w:pStyle w:val="Header"/>
    </w:pPr>
    <w:r w:rsidRPr="00943730">
      <w:rPr>
        <w:noProof/>
        <w:lang w:val="en-AU" w:eastAsia="en-AU"/>
      </w:rPr>
      <w:drawing>
        <wp:anchor distT="0" distB="0" distL="114300" distR="114300" simplePos="0" relativeHeight="251658240" behindDoc="1" locked="1" layoutInCell="1" allowOverlap="1" wp14:anchorId="487BB1A0" wp14:editId="4C5A327F">
          <wp:simplePos x="0" y="0"/>
          <wp:positionH relativeFrom="page">
            <wp:posOffset>12700</wp:posOffset>
          </wp:positionH>
          <wp:positionV relativeFrom="page">
            <wp:posOffset>0</wp:posOffset>
          </wp:positionV>
          <wp:extent cx="7559675" cy="10692765"/>
          <wp:effectExtent l="0" t="0" r="317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CDF9" w14:textId="25A767D5"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9D465D">
      <w:rPr>
        <w:noProof/>
      </w:rPr>
      <w:t>January 2024</w:t>
    </w:r>
    <w:r w:rsidRPr="00943730">
      <w:fldChar w:fldCharType="end"/>
    </w:r>
    <w:r w:rsidRPr="00943730">
      <w:rPr>
        <w:noProof/>
        <w:lang w:val="en-AU" w:eastAsia="en-AU"/>
      </w:rPr>
      <w:drawing>
        <wp:anchor distT="0" distB="0" distL="114300" distR="114300" simplePos="0" relativeHeight="251657216" behindDoc="1" locked="1" layoutInCell="1" allowOverlap="1" wp14:anchorId="010727E0" wp14:editId="0A9175B3">
          <wp:simplePos x="0" y="0"/>
          <wp:positionH relativeFrom="page">
            <wp:posOffset>720090</wp:posOffset>
          </wp:positionH>
          <wp:positionV relativeFrom="page">
            <wp:posOffset>1043940</wp:posOffset>
          </wp:positionV>
          <wp:extent cx="3166920" cy="554400"/>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95D05C9" wp14:editId="50B3A003">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03D4C"/>
    <w:multiLevelType w:val="hybridMultilevel"/>
    <w:tmpl w:val="DA28C8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3C1EA7"/>
    <w:multiLevelType w:val="multilevel"/>
    <w:tmpl w:val="51963F56"/>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42E7399"/>
    <w:multiLevelType w:val="hybridMultilevel"/>
    <w:tmpl w:val="33D02C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B960C7"/>
    <w:multiLevelType w:val="hybridMultilevel"/>
    <w:tmpl w:val="EA8209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65819063">
    <w:abstractNumId w:val="21"/>
  </w:num>
  <w:num w:numId="2" w16cid:durableId="1307860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052416">
    <w:abstractNumId w:val="10"/>
  </w:num>
  <w:num w:numId="4" w16cid:durableId="856040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912670">
    <w:abstractNumId w:val="15"/>
  </w:num>
  <w:num w:numId="6" w16cid:durableId="1008406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193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750416">
    <w:abstractNumId w:val="12"/>
  </w:num>
  <w:num w:numId="9" w16cid:durableId="1755853919">
    <w:abstractNumId w:val="16"/>
  </w:num>
  <w:num w:numId="10" w16cid:durableId="2112966759">
    <w:abstractNumId w:val="18"/>
  </w:num>
  <w:num w:numId="11" w16cid:durableId="1362826879">
    <w:abstractNumId w:val="9"/>
  </w:num>
  <w:num w:numId="12" w16cid:durableId="707723558">
    <w:abstractNumId w:val="7"/>
  </w:num>
  <w:num w:numId="13" w16cid:durableId="2011714434">
    <w:abstractNumId w:val="6"/>
  </w:num>
  <w:num w:numId="14" w16cid:durableId="706023773">
    <w:abstractNumId w:val="5"/>
  </w:num>
  <w:num w:numId="15" w16cid:durableId="680277161">
    <w:abstractNumId w:val="4"/>
  </w:num>
  <w:num w:numId="16" w16cid:durableId="1101949559">
    <w:abstractNumId w:val="8"/>
  </w:num>
  <w:num w:numId="17" w16cid:durableId="296228738">
    <w:abstractNumId w:val="3"/>
  </w:num>
  <w:num w:numId="18" w16cid:durableId="726029721">
    <w:abstractNumId w:val="2"/>
  </w:num>
  <w:num w:numId="19" w16cid:durableId="1327173075">
    <w:abstractNumId w:val="1"/>
  </w:num>
  <w:num w:numId="20" w16cid:durableId="596981112">
    <w:abstractNumId w:val="0"/>
  </w:num>
  <w:num w:numId="21" w16cid:durableId="664165473">
    <w:abstractNumId w:val="17"/>
  </w:num>
  <w:num w:numId="22" w16cid:durableId="1556434396">
    <w:abstractNumId w:val="15"/>
  </w:num>
  <w:num w:numId="23" w16cid:durableId="291522040">
    <w:abstractNumId w:val="15"/>
  </w:num>
  <w:num w:numId="24" w16cid:durableId="1716462506">
    <w:abstractNumId w:val="17"/>
  </w:num>
  <w:num w:numId="25" w16cid:durableId="785470316">
    <w:abstractNumId w:val="17"/>
  </w:num>
  <w:num w:numId="26" w16cid:durableId="1488549014">
    <w:abstractNumId w:val="17"/>
  </w:num>
  <w:num w:numId="27" w16cid:durableId="169565849">
    <w:abstractNumId w:val="16"/>
  </w:num>
  <w:num w:numId="28" w16cid:durableId="295795588">
    <w:abstractNumId w:val="10"/>
  </w:num>
  <w:num w:numId="29" w16cid:durableId="1672372274">
    <w:abstractNumId w:val="10"/>
  </w:num>
  <w:num w:numId="30" w16cid:durableId="1429429439">
    <w:abstractNumId w:val="10"/>
  </w:num>
  <w:num w:numId="31" w16cid:durableId="559755192">
    <w:abstractNumId w:val="13"/>
  </w:num>
  <w:num w:numId="32" w16cid:durableId="1837302318">
    <w:abstractNumId w:val="22"/>
  </w:num>
  <w:num w:numId="33" w16cid:durableId="332538016">
    <w:abstractNumId w:val="14"/>
  </w:num>
  <w:num w:numId="34" w16cid:durableId="1982998706">
    <w:abstractNumId w:val="19"/>
  </w:num>
  <w:num w:numId="35" w16cid:durableId="397631005">
    <w:abstractNumId w:val="20"/>
  </w:num>
  <w:num w:numId="36" w16cid:durableId="1925257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AB"/>
    <w:rsid w:val="00001DA8"/>
    <w:rsid w:val="000020C1"/>
    <w:rsid w:val="000048C0"/>
    <w:rsid w:val="000154FF"/>
    <w:rsid w:val="0002080A"/>
    <w:rsid w:val="0002782F"/>
    <w:rsid w:val="00031486"/>
    <w:rsid w:val="00035BBF"/>
    <w:rsid w:val="00050806"/>
    <w:rsid w:val="000546D9"/>
    <w:rsid w:val="00054E4D"/>
    <w:rsid w:val="00060073"/>
    <w:rsid w:val="000616C6"/>
    <w:rsid w:val="0008308C"/>
    <w:rsid w:val="000854FD"/>
    <w:rsid w:val="0009481E"/>
    <w:rsid w:val="00096865"/>
    <w:rsid w:val="000A407E"/>
    <w:rsid w:val="000A6957"/>
    <w:rsid w:val="000B37F5"/>
    <w:rsid w:val="000D66D6"/>
    <w:rsid w:val="000E6399"/>
    <w:rsid w:val="00103CF5"/>
    <w:rsid w:val="00107D43"/>
    <w:rsid w:val="00113288"/>
    <w:rsid w:val="00114242"/>
    <w:rsid w:val="001214BE"/>
    <w:rsid w:val="0013101C"/>
    <w:rsid w:val="00137E17"/>
    <w:rsid w:val="001461D6"/>
    <w:rsid w:val="001541EA"/>
    <w:rsid w:val="0017306F"/>
    <w:rsid w:val="00180941"/>
    <w:rsid w:val="00186165"/>
    <w:rsid w:val="001A2492"/>
    <w:rsid w:val="001B2F92"/>
    <w:rsid w:val="001D4F5F"/>
    <w:rsid w:val="001D663E"/>
    <w:rsid w:val="001D738F"/>
    <w:rsid w:val="001E1DC0"/>
    <w:rsid w:val="001E6D20"/>
    <w:rsid w:val="002336AB"/>
    <w:rsid w:val="00244229"/>
    <w:rsid w:val="0028602A"/>
    <w:rsid w:val="002B0E09"/>
    <w:rsid w:val="002B5E10"/>
    <w:rsid w:val="002B7E31"/>
    <w:rsid w:val="002C4975"/>
    <w:rsid w:val="002C793D"/>
    <w:rsid w:val="002D5B25"/>
    <w:rsid w:val="002F4F2B"/>
    <w:rsid w:val="003002C0"/>
    <w:rsid w:val="00301144"/>
    <w:rsid w:val="0030209F"/>
    <w:rsid w:val="003031C6"/>
    <w:rsid w:val="00304984"/>
    <w:rsid w:val="003115BF"/>
    <w:rsid w:val="00312BF8"/>
    <w:rsid w:val="003148B7"/>
    <w:rsid w:val="003158C3"/>
    <w:rsid w:val="00316D8E"/>
    <w:rsid w:val="003274CD"/>
    <w:rsid w:val="00333501"/>
    <w:rsid w:val="003457C4"/>
    <w:rsid w:val="00346717"/>
    <w:rsid w:val="0035119D"/>
    <w:rsid w:val="0035392B"/>
    <w:rsid w:val="00355233"/>
    <w:rsid w:val="00372F2A"/>
    <w:rsid w:val="00387DA0"/>
    <w:rsid w:val="0039344A"/>
    <w:rsid w:val="0039380A"/>
    <w:rsid w:val="003B4F12"/>
    <w:rsid w:val="003C6C4F"/>
    <w:rsid w:val="003D7C76"/>
    <w:rsid w:val="003E15D9"/>
    <w:rsid w:val="003F2041"/>
    <w:rsid w:val="0040119E"/>
    <w:rsid w:val="00402ACC"/>
    <w:rsid w:val="004053B0"/>
    <w:rsid w:val="004120EC"/>
    <w:rsid w:val="004213F4"/>
    <w:rsid w:val="00423F31"/>
    <w:rsid w:val="00431899"/>
    <w:rsid w:val="00437534"/>
    <w:rsid w:val="00461529"/>
    <w:rsid w:val="00477A4C"/>
    <w:rsid w:val="00482AE8"/>
    <w:rsid w:val="00486804"/>
    <w:rsid w:val="004942F6"/>
    <w:rsid w:val="004B3775"/>
    <w:rsid w:val="004B5EEF"/>
    <w:rsid w:val="004D0BA0"/>
    <w:rsid w:val="004D3945"/>
    <w:rsid w:val="004D4683"/>
    <w:rsid w:val="004E058F"/>
    <w:rsid w:val="004E3B87"/>
    <w:rsid w:val="00510921"/>
    <w:rsid w:val="00510AD3"/>
    <w:rsid w:val="00513348"/>
    <w:rsid w:val="00513AD8"/>
    <w:rsid w:val="005204D2"/>
    <w:rsid w:val="00522396"/>
    <w:rsid w:val="005309C3"/>
    <w:rsid w:val="0053206C"/>
    <w:rsid w:val="00533B5D"/>
    <w:rsid w:val="005404CF"/>
    <w:rsid w:val="005519F2"/>
    <w:rsid w:val="00562FF9"/>
    <w:rsid w:val="005A20F6"/>
    <w:rsid w:val="005B2BA4"/>
    <w:rsid w:val="005D2646"/>
    <w:rsid w:val="005D3655"/>
    <w:rsid w:val="005E4830"/>
    <w:rsid w:val="005F5FE5"/>
    <w:rsid w:val="0061049F"/>
    <w:rsid w:val="00622B86"/>
    <w:rsid w:val="00623BA1"/>
    <w:rsid w:val="006346BC"/>
    <w:rsid w:val="006349E3"/>
    <w:rsid w:val="00661E06"/>
    <w:rsid w:val="00662D84"/>
    <w:rsid w:val="00665808"/>
    <w:rsid w:val="0066652A"/>
    <w:rsid w:val="006719C3"/>
    <w:rsid w:val="00680522"/>
    <w:rsid w:val="00682167"/>
    <w:rsid w:val="00684A58"/>
    <w:rsid w:val="00697F22"/>
    <w:rsid w:val="006C42AF"/>
    <w:rsid w:val="00704946"/>
    <w:rsid w:val="00711D8E"/>
    <w:rsid w:val="00712672"/>
    <w:rsid w:val="00733744"/>
    <w:rsid w:val="00734E3F"/>
    <w:rsid w:val="00736985"/>
    <w:rsid w:val="00743FD4"/>
    <w:rsid w:val="00745DF5"/>
    <w:rsid w:val="0074692E"/>
    <w:rsid w:val="00760027"/>
    <w:rsid w:val="0076250F"/>
    <w:rsid w:val="00780FA5"/>
    <w:rsid w:val="0078744D"/>
    <w:rsid w:val="007B6200"/>
    <w:rsid w:val="007E556D"/>
    <w:rsid w:val="007F0FB6"/>
    <w:rsid w:val="007F3395"/>
    <w:rsid w:val="00801B9F"/>
    <w:rsid w:val="0080204D"/>
    <w:rsid w:val="0084191E"/>
    <w:rsid w:val="008475F0"/>
    <w:rsid w:val="008557A7"/>
    <w:rsid w:val="00870928"/>
    <w:rsid w:val="00872AA6"/>
    <w:rsid w:val="008755F9"/>
    <w:rsid w:val="0089405C"/>
    <w:rsid w:val="00894237"/>
    <w:rsid w:val="00897FA2"/>
    <w:rsid w:val="008A5AFE"/>
    <w:rsid w:val="008B7838"/>
    <w:rsid w:val="008C5A0E"/>
    <w:rsid w:val="008E6128"/>
    <w:rsid w:val="008F5DE4"/>
    <w:rsid w:val="00900491"/>
    <w:rsid w:val="00943730"/>
    <w:rsid w:val="0096388D"/>
    <w:rsid w:val="00965398"/>
    <w:rsid w:val="00975CA5"/>
    <w:rsid w:val="009838B0"/>
    <w:rsid w:val="00986590"/>
    <w:rsid w:val="00992C76"/>
    <w:rsid w:val="009969D6"/>
    <w:rsid w:val="009A1861"/>
    <w:rsid w:val="009A2FA2"/>
    <w:rsid w:val="009B4D3B"/>
    <w:rsid w:val="009D3D32"/>
    <w:rsid w:val="009D465D"/>
    <w:rsid w:val="009D7407"/>
    <w:rsid w:val="009E0866"/>
    <w:rsid w:val="009E273C"/>
    <w:rsid w:val="009F1350"/>
    <w:rsid w:val="009F6423"/>
    <w:rsid w:val="00A24A62"/>
    <w:rsid w:val="00A269ED"/>
    <w:rsid w:val="00A31C9F"/>
    <w:rsid w:val="00A4144F"/>
    <w:rsid w:val="00A53203"/>
    <w:rsid w:val="00A55953"/>
    <w:rsid w:val="00A61B4D"/>
    <w:rsid w:val="00A75FFA"/>
    <w:rsid w:val="00A80F95"/>
    <w:rsid w:val="00A82C60"/>
    <w:rsid w:val="00A8436C"/>
    <w:rsid w:val="00A84997"/>
    <w:rsid w:val="00A97BF1"/>
    <w:rsid w:val="00AA298A"/>
    <w:rsid w:val="00AC164A"/>
    <w:rsid w:val="00AD72EA"/>
    <w:rsid w:val="00AE448A"/>
    <w:rsid w:val="00AE7080"/>
    <w:rsid w:val="00AF2050"/>
    <w:rsid w:val="00B02B2A"/>
    <w:rsid w:val="00B03CA8"/>
    <w:rsid w:val="00B33C0A"/>
    <w:rsid w:val="00B50222"/>
    <w:rsid w:val="00B55E19"/>
    <w:rsid w:val="00B66004"/>
    <w:rsid w:val="00B8172B"/>
    <w:rsid w:val="00B857E1"/>
    <w:rsid w:val="00B94423"/>
    <w:rsid w:val="00B94758"/>
    <w:rsid w:val="00B964C4"/>
    <w:rsid w:val="00BA3376"/>
    <w:rsid w:val="00BA4B6D"/>
    <w:rsid w:val="00BB26C5"/>
    <w:rsid w:val="00BE4BD1"/>
    <w:rsid w:val="00BF4DE6"/>
    <w:rsid w:val="00C0620C"/>
    <w:rsid w:val="00C06B13"/>
    <w:rsid w:val="00C27D25"/>
    <w:rsid w:val="00C35791"/>
    <w:rsid w:val="00C41D0E"/>
    <w:rsid w:val="00C42541"/>
    <w:rsid w:val="00C42CDE"/>
    <w:rsid w:val="00C42EB7"/>
    <w:rsid w:val="00C446DA"/>
    <w:rsid w:val="00C502A6"/>
    <w:rsid w:val="00C5182A"/>
    <w:rsid w:val="00C5564A"/>
    <w:rsid w:val="00C613BE"/>
    <w:rsid w:val="00C63DF6"/>
    <w:rsid w:val="00C63EE9"/>
    <w:rsid w:val="00C65ECF"/>
    <w:rsid w:val="00C82253"/>
    <w:rsid w:val="00CA16F3"/>
    <w:rsid w:val="00CA37B1"/>
    <w:rsid w:val="00CB1959"/>
    <w:rsid w:val="00CC741B"/>
    <w:rsid w:val="00CD0E4B"/>
    <w:rsid w:val="00CE4C89"/>
    <w:rsid w:val="00CF07BA"/>
    <w:rsid w:val="00D0296C"/>
    <w:rsid w:val="00D20BC3"/>
    <w:rsid w:val="00D303D0"/>
    <w:rsid w:val="00D32D6F"/>
    <w:rsid w:val="00D35C4E"/>
    <w:rsid w:val="00D37B04"/>
    <w:rsid w:val="00D540C6"/>
    <w:rsid w:val="00D64BD1"/>
    <w:rsid w:val="00D71A2E"/>
    <w:rsid w:val="00D7257E"/>
    <w:rsid w:val="00D74585"/>
    <w:rsid w:val="00D81253"/>
    <w:rsid w:val="00D81EE0"/>
    <w:rsid w:val="00D874F5"/>
    <w:rsid w:val="00D92254"/>
    <w:rsid w:val="00DB7A16"/>
    <w:rsid w:val="00DC1295"/>
    <w:rsid w:val="00DD43FC"/>
    <w:rsid w:val="00DD4F25"/>
    <w:rsid w:val="00DE084C"/>
    <w:rsid w:val="00DE66E9"/>
    <w:rsid w:val="00E14F51"/>
    <w:rsid w:val="00E310E8"/>
    <w:rsid w:val="00E357B7"/>
    <w:rsid w:val="00E53800"/>
    <w:rsid w:val="00E60105"/>
    <w:rsid w:val="00E6081F"/>
    <w:rsid w:val="00E8296D"/>
    <w:rsid w:val="00E8457B"/>
    <w:rsid w:val="00EA04B2"/>
    <w:rsid w:val="00EA20F3"/>
    <w:rsid w:val="00EA3357"/>
    <w:rsid w:val="00EA67A8"/>
    <w:rsid w:val="00ED2831"/>
    <w:rsid w:val="00ED4290"/>
    <w:rsid w:val="00ED43D1"/>
    <w:rsid w:val="00EE4EE1"/>
    <w:rsid w:val="00EF4574"/>
    <w:rsid w:val="00EF6FF8"/>
    <w:rsid w:val="00F05019"/>
    <w:rsid w:val="00F16260"/>
    <w:rsid w:val="00F21AB5"/>
    <w:rsid w:val="00F22771"/>
    <w:rsid w:val="00F25A93"/>
    <w:rsid w:val="00F2684E"/>
    <w:rsid w:val="00F275C0"/>
    <w:rsid w:val="00F33BF6"/>
    <w:rsid w:val="00F5404C"/>
    <w:rsid w:val="00F66769"/>
    <w:rsid w:val="00F67C6A"/>
    <w:rsid w:val="00F729EF"/>
    <w:rsid w:val="00F73B07"/>
    <w:rsid w:val="00F77CAE"/>
    <w:rsid w:val="00F82271"/>
    <w:rsid w:val="00F83428"/>
    <w:rsid w:val="00F96BB9"/>
    <w:rsid w:val="00FB0817"/>
    <w:rsid w:val="00FC546E"/>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C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6349E3"/>
    <w:pPr>
      <w:ind w:left="720"/>
      <w:contextualSpacing/>
    </w:pPr>
  </w:style>
  <w:style w:type="paragraph" w:customStyle="1" w:styleId="pf0">
    <w:name w:val="pf0"/>
    <w:basedOn w:val="Normal"/>
    <w:rsid w:val="003938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3938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1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4837</Characters>
  <Application>Microsoft Office Word</Application>
  <DocSecurity>4</DocSecurity>
  <Lines>118</Lines>
  <Paragraphs>32</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Facility Evaluation for the Australia Solomon Islands Resource Facility (ASIRF) 2023 - Managment response</dc:title>
  <dc:subject/>
  <dc:creator/>
  <cp:keywords>[SEC=OFFICIAL]</cp:keywords>
  <dc:description/>
  <cp:lastModifiedBy/>
  <cp:revision>1</cp:revision>
  <dcterms:created xsi:type="dcterms:W3CDTF">2024-01-16T04:39:00Z</dcterms:created>
  <dcterms:modified xsi:type="dcterms:W3CDTF">2024-01-16T04:39:00Z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v=2022.1;a=SHA256;h=9EFBD2B270248183FD2B18484EA6E054DB04AF4ADF751B6C0DFAD2881DA61FCE</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2023-11-20T04:38:20Z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EBD9B5C25713478096B298E323003958</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3A02792A9DDF36268F245A44E734D861</vt:lpwstr>
  </property>
  <property fmtid="{D5CDD505-2E9C-101B-9397-08002B2CF9AE}" pid="24" name="PM_Hash_Salt">
    <vt:lpwstr>DA09213A652D35747A17A7163AE5AE07</vt:lpwstr>
  </property>
  <property fmtid="{D5CDD505-2E9C-101B-9397-08002B2CF9AE}" pid="25" name="PM_Hash_SHA1">
    <vt:lpwstr>E3B64C79EC1B0D309ACE1CBF461E766A96444249</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