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646" w:rsidRPr="0096753F" w:rsidRDefault="00320633" w:rsidP="009300E8">
      <w:pPr>
        <w:jc w:val="center"/>
        <w:rPr>
          <w:b/>
          <w:sz w:val="28"/>
          <w:szCs w:val="28"/>
        </w:rPr>
      </w:pPr>
      <w:r>
        <w:rPr>
          <w:b/>
          <w:sz w:val="28"/>
          <w:szCs w:val="28"/>
        </w:rPr>
        <w:t>Australian Safeguards and Non-proliferation Office –</w:t>
      </w:r>
      <w:r w:rsidR="00606646" w:rsidRPr="0096753F">
        <w:rPr>
          <w:b/>
          <w:sz w:val="28"/>
          <w:szCs w:val="28"/>
        </w:rPr>
        <w:t xml:space="preserve"> Performance</w:t>
      </w:r>
      <w:r>
        <w:rPr>
          <w:b/>
          <w:sz w:val="28"/>
          <w:szCs w:val="28"/>
        </w:rPr>
        <w:t xml:space="preserve"> Framework</w:t>
      </w:r>
    </w:p>
    <w:p w:rsidR="00606646" w:rsidRDefault="00606646" w:rsidP="00606646"/>
    <w:tbl>
      <w:tblPr>
        <w:tblStyle w:val="TableGrid"/>
        <w:tblW w:w="14884" w:type="dxa"/>
        <w:tblInd w:w="-459" w:type="dxa"/>
        <w:tblLook w:val="04A0" w:firstRow="1" w:lastRow="0" w:firstColumn="1" w:lastColumn="0" w:noHBand="0" w:noVBand="1"/>
      </w:tblPr>
      <w:tblGrid>
        <w:gridCol w:w="2943"/>
        <w:gridCol w:w="1593"/>
        <w:gridCol w:w="10348"/>
      </w:tblGrid>
      <w:tr w:rsidR="00606646" w:rsidRPr="00D727C8" w:rsidTr="00320633">
        <w:tc>
          <w:tcPr>
            <w:tcW w:w="2943" w:type="dxa"/>
            <w:shd w:val="clear" w:color="auto" w:fill="FABF8F" w:themeFill="accent6" w:themeFillTint="99"/>
          </w:tcPr>
          <w:p w:rsidR="00606646" w:rsidRPr="00D727C8" w:rsidRDefault="00606646" w:rsidP="005E00E4">
            <w:pPr>
              <w:rPr>
                <w:b/>
              </w:rPr>
            </w:pPr>
            <w:r w:rsidRPr="00D727C8">
              <w:rPr>
                <w:b/>
              </w:rPr>
              <w:t>Key Performance Indicator</w:t>
            </w:r>
            <w:r>
              <w:rPr>
                <w:b/>
              </w:rPr>
              <w:t>s</w:t>
            </w:r>
          </w:p>
        </w:tc>
        <w:tc>
          <w:tcPr>
            <w:tcW w:w="1593" w:type="dxa"/>
            <w:shd w:val="clear" w:color="auto" w:fill="FABF8F" w:themeFill="accent6" w:themeFillTint="99"/>
          </w:tcPr>
          <w:p w:rsidR="009300E8" w:rsidRDefault="00606646" w:rsidP="00335A6B">
            <w:pPr>
              <w:rPr>
                <w:b/>
              </w:rPr>
            </w:pPr>
            <w:r w:rsidRPr="00D727C8">
              <w:rPr>
                <w:b/>
              </w:rPr>
              <w:t xml:space="preserve">Relevance </w:t>
            </w:r>
          </w:p>
          <w:p w:rsidR="00606646" w:rsidRPr="00D727C8" w:rsidRDefault="00606646" w:rsidP="00335A6B">
            <w:pPr>
              <w:rPr>
                <w:b/>
              </w:rPr>
            </w:pPr>
            <w:r w:rsidRPr="00D727C8">
              <w:rPr>
                <w:b/>
              </w:rPr>
              <w:t xml:space="preserve">to </w:t>
            </w:r>
            <w:r w:rsidR="00335A6B">
              <w:rPr>
                <w:b/>
              </w:rPr>
              <w:t>ASNO</w:t>
            </w:r>
          </w:p>
        </w:tc>
        <w:tc>
          <w:tcPr>
            <w:tcW w:w="10348" w:type="dxa"/>
            <w:shd w:val="clear" w:color="auto" w:fill="FABF8F" w:themeFill="accent6" w:themeFillTint="99"/>
          </w:tcPr>
          <w:p w:rsidR="00606646" w:rsidRPr="00D727C8" w:rsidRDefault="00606646" w:rsidP="005E00E4">
            <w:pPr>
              <w:rPr>
                <w:b/>
              </w:rPr>
            </w:pPr>
            <w:bookmarkStart w:id="0" w:name="_GoBack"/>
            <w:bookmarkEnd w:id="0"/>
            <w:r w:rsidRPr="00D727C8">
              <w:rPr>
                <w:b/>
              </w:rPr>
              <w:t>Metrics for Self-Assessment</w:t>
            </w:r>
          </w:p>
        </w:tc>
      </w:tr>
      <w:tr w:rsidR="00B63758" w:rsidRPr="00B63758" w:rsidTr="009300E8">
        <w:trPr>
          <w:trHeight w:val="1541"/>
        </w:trPr>
        <w:tc>
          <w:tcPr>
            <w:tcW w:w="2943" w:type="dxa"/>
          </w:tcPr>
          <w:p w:rsidR="00606646" w:rsidRPr="00B63758" w:rsidRDefault="00606646" w:rsidP="005E00E4">
            <w:r w:rsidRPr="00B63758">
              <w:rPr>
                <w:b/>
              </w:rPr>
              <w:t>KPI 1</w:t>
            </w:r>
            <w:r w:rsidRPr="00B63758">
              <w:t>: Regulators do not unnecessarily impede the efficient operation of regulated entities.</w:t>
            </w:r>
          </w:p>
        </w:tc>
        <w:tc>
          <w:tcPr>
            <w:tcW w:w="1593" w:type="dxa"/>
          </w:tcPr>
          <w:p w:rsidR="00606646" w:rsidRPr="00B63758" w:rsidRDefault="009300E8" w:rsidP="006006E3">
            <w:r>
              <w:t>Relevant</w:t>
            </w:r>
          </w:p>
        </w:tc>
        <w:tc>
          <w:tcPr>
            <w:tcW w:w="10348" w:type="dxa"/>
          </w:tcPr>
          <w:p w:rsidR="000E2EC1" w:rsidRPr="000E2EC1" w:rsidRDefault="000E2EC1" w:rsidP="000E2EC1">
            <w:pPr>
              <w:spacing w:before="40" w:after="40"/>
              <w:rPr>
                <w:b/>
                <w:bCs/>
              </w:rPr>
            </w:pPr>
            <w:r w:rsidRPr="000E2EC1">
              <w:rPr>
                <w:b/>
                <w:bCs/>
              </w:rPr>
              <w:t>Timely processing of permit applications and approvals.</w:t>
            </w:r>
          </w:p>
          <w:p w:rsidR="000E2EC1" w:rsidRPr="000E2EC1" w:rsidRDefault="000E2EC1" w:rsidP="000E2EC1">
            <w:pPr>
              <w:spacing w:before="40" w:after="40"/>
              <w:rPr>
                <w:bCs/>
              </w:rPr>
            </w:pPr>
            <w:r w:rsidRPr="000E2EC1">
              <w:rPr>
                <w:bCs/>
              </w:rPr>
              <w:t>Evidence: Document the time from receiving a complete permit application or approval form to finalisation.</w:t>
            </w:r>
          </w:p>
          <w:p w:rsidR="00335A6B" w:rsidRPr="000E2EC1" w:rsidRDefault="000E2EC1" w:rsidP="000E2EC1">
            <w:pPr>
              <w:pStyle w:val="ListParagraph"/>
              <w:numPr>
                <w:ilvl w:val="0"/>
                <w:numId w:val="24"/>
              </w:numPr>
              <w:spacing w:before="40" w:after="40"/>
              <w:rPr>
                <w:bCs/>
              </w:rPr>
            </w:pPr>
            <w:r w:rsidRPr="000E2EC1">
              <w:rPr>
                <w:bCs/>
              </w:rPr>
              <w:t>Considerations: Effective issuing of permits and processing approvals allows the stakeholder to continue with their business activities with minimal interruption.</w:t>
            </w:r>
            <w:r>
              <w:rPr>
                <w:bCs/>
              </w:rPr>
              <w:t xml:space="preserve">  </w:t>
            </w:r>
          </w:p>
          <w:p w:rsidR="009300E8" w:rsidRPr="00B63758" w:rsidRDefault="009300E8" w:rsidP="000E2EC1">
            <w:pPr>
              <w:pStyle w:val="ListParagraph"/>
              <w:ind w:left="567"/>
            </w:pPr>
          </w:p>
        </w:tc>
      </w:tr>
      <w:tr w:rsidR="00B63758" w:rsidRPr="00B63758" w:rsidTr="009300E8">
        <w:tc>
          <w:tcPr>
            <w:tcW w:w="2943" w:type="dxa"/>
          </w:tcPr>
          <w:p w:rsidR="00606646" w:rsidRPr="00B63758" w:rsidRDefault="00606646" w:rsidP="005E00E4">
            <w:r w:rsidRPr="00B63758">
              <w:rPr>
                <w:b/>
              </w:rPr>
              <w:t>KPI 2</w:t>
            </w:r>
            <w:r w:rsidRPr="00B63758">
              <w:t>: Communication with regulated entities is clear, targeted and effective.</w:t>
            </w:r>
          </w:p>
        </w:tc>
        <w:tc>
          <w:tcPr>
            <w:tcW w:w="1593" w:type="dxa"/>
          </w:tcPr>
          <w:p w:rsidR="00606646" w:rsidRPr="00B63758" w:rsidRDefault="009300E8" w:rsidP="000677A9">
            <w:r>
              <w:t>Relevant</w:t>
            </w:r>
          </w:p>
        </w:tc>
        <w:tc>
          <w:tcPr>
            <w:tcW w:w="10348" w:type="dxa"/>
          </w:tcPr>
          <w:p w:rsidR="000E2EC1" w:rsidRPr="000E2EC1" w:rsidRDefault="000E2EC1" w:rsidP="000E2EC1">
            <w:pPr>
              <w:spacing w:before="40" w:after="40"/>
              <w:rPr>
                <w:b/>
                <w:bCs/>
              </w:rPr>
            </w:pPr>
            <w:r w:rsidRPr="000E2EC1">
              <w:rPr>
                <w:b/>
                <w:bCs/>
              </w:rPr>
              <w:t>Regulations and permit conditions are reviewed for clarity and suitability.</w:t>
            </w:r>
          </w:p>
          <w:p w:rsidR="000E2EC1" w:rsidRPr="000E2EC1" w:rsidRDefault="000E2EC1" w:rsidP="000E2EC1">
            <w:pPr>
              <w:spacing w:before="40" w:after="40"/>
              <w:rPr>
                <w:bCs/>
              </w:rPr>
            </w:pPr>
            <w:r w:rsidRPr="000E2EC1">
              <w:rPr>
                <w:bCs/>
              </w:rPr>
              <w:t>Evidence: Describe actions taken to periodically review ASNO requirements as described in regulations, permit conditions and guidance in order to maintain effectiveness.</w:t>
            </w:r>
          </w:p>
          <w:p w:rsidR="008F4D85" w:rsidRPr="000E2EC1" w:rsidRDefault="000E2EC1" w:rsidP="000E2EC1">
            <w:pPr>
              <w:pStyle w:val="ListParagraph"/>
              <w:numPr>
                <w:ilvl w:val="0"/>
                <w:numId w:val="24"/>
              </w:numPr>
              <w:spacing w:before="40" w:after="40"/>
              <w:rPr>
                <w:bCs/>
              </w:rPr>
            </w:pPr>
            <w:r w:rsidRPr="000E2EC1">
              <w:rPr>
                <w:bCs/>
              </w:rPr>
              <w:t>Considerations: ASNO’s regulations, permits and approval forms are the primary means of communicating obligations to regulated entities. Periodically reviewing and upgrading these documents ensures that compliance requirements are suitable for the current environment and clarify actions required.</w:t>
            </w:r>
          </w:p>
          <w:p w:rsidR="000E2EC1" w:rsidRPr="000E2EC1" w:rsidRDefault="000E2EC1" w:rsidP="000E2EC1">
            <w:pPr>
              <w:spacing w:before="40" w:after="40"/>
              <w:rPr>
                <w:b/>
                <w:bCs/>
              </w:rPr>
            </w:pPr>
          </w:p>
        </w:tc>
      </w:tr>
      <w:tr w:rsidR="00785FB6" w:rsidRPr="00785FB6" w:rsidTr="009300E8">
        <w:trPr>
          <w:trHeight w:val="1270"/>
        </w:trPr>
        <w:tc>
          <w:tcPr>
            <w:tcW w:w="2943" w:type="dxa"/>
          </w:tcPr>
          <w:p w:rsidR="00606646" w:rsidRPr="00785FB6" w:rsidRDefault="00606646" w:rsidP="005E00E4">
            <w:r w:rsidRPr="00785FB6">
              <w:rPr>
                <w:b/>
              </w:rPr>
              <w:t>KPI 3</w:t>
            </w:r>
            <w:r w:rsidRPr="00785FB6">
              <w:t>: Actions undertaken by regulators are proportionate to the regulatory risk being managed.</w:t>
            </w:r>
          </w:p>
        </w:tc>
        <w:tc>
          <w:tcPr>
            <w:tcW w:w="1593" w:type="dxa"/>
          </w:tcPr>
          <w:p w:rsidR="002B75BF" w:rsidRPr="00785FB6" w:rsidRDefault="009300E8" w:rsidP="005E00E4">
            <w:r>
              <w:t>Relevant</w:t>
            </w:r>
          </w:p>
          <w:p w:rsidR="00606646" w:rsidRPr="00785FB6" w:rsidRDefault="00606646" w:rsidP="005E00E4"/>
        </w:tc>
        <w:tc>
          <w:tcPr>
            <w:tcW w:w="10348" w:type="dxa"/>
          </w:tcPr>
          <w:p w:rsidR="000E2EC1" w:rsidRPr="000E2EC1" w:rsidRDefault="000E2EC1" w:rsidP="000E2EC1">
            <w:pPr>
              <w:spacing w:before="40" w:after="40"/>
              <w:rPr>
                <w:b/>
                <w:bCs/>
              </w:rPr>
            </w:pPr>
            <w:r w:rsidRPr="000E2EC1">
              <w:rPr>
                <w:b/>
                <w:bCs/>
              </w:rPr>
              <w:t>Implement risk informed regulatory program.</w:t>
            </w:r>
          </w:p>
          <w:p w:rsidR="000E2EC1" w:rsidRPr="000E2EC1" w:rsidRDefault="000E2EC1" w:rsidP="000E2EC1">
            <w:pPr>
              <w:spacing w:before="40" w:after="40"/>
              <w:rPr>
                <w:bCs/>
              </w:rPr>
            </w:pPr>
            <w:r w:rsidRPr="000E2EC1">
              <w:rPr>
                <w:bCs/>
              </w:rPr>
              <w:t>Evidence: Document the activities relating to the implementation of the ASNO risk informed regulatory program.</w:t>
            </w:r>
          </w:p>
          <w:p w:rsidR="000E2EC1" w:rsidRPr="000E2EC1" w:rsidRDefault="000E2EC1" w:rsidP="000E2EC1">
            <w:pPr>
              <w:pStyle w:val="ListParagraph"/>
              <w:numPr>
                <w:ilvl w:val="0"/>
                <w:numId w:val="24"/>
              </w:numPr>
              <w:spacing w:before="40" w:after="40"/>
              <w:rPr>
                <w:bCs/>
              </w:rPr>
            </w:pPr>
            <w:r w:rsidRPr="000E2EC1">
              <w:rPr>
                <w:bCs/>
              </w:rPr>
              <w:t>Considerations: Applying risk informed policies and procedures to ASNO’s regulatory activities, including inspections, will ensure that only measured, appropriate actions with minimal stakeholder burden occur.</w:t>
            </w:r>
          </w:p>
          <w:p w:rsidR="005F5D3F" w:rsidRPr="00320633" w:rsidRDefault="005F5D3F" w:rsidP="000E2EC1">
            <w:pPr>
              <w:pStyle w:val="ListParagraph"/>
              <w:ind w:left="567"/>
              <w:rPr>
                <w:bCs/>
              </w:rPr>
            </w:pPr>
          </w:p>
        </w:tc>
      </w:tr>
      <w:tr w:rsidR="00606646" w:rsidTr="009300E8">
        <w:trPr>
          <w:trHeight w:val="2560"/>
        </w:trPr>
        <w:tc>
          <w:tcPr>
            <w:tcW w:w="2943" w:type="dxa"/>
          </w:tcPr>
          <w:p w:rsidR="00606646" w:rsidRPr="00C01487" w:rsidRDefault="00606646" w:rsidP="005E00E4">
            <w:pPr>
              <w:rPr>
                <w:color w:val="0000FF"/>
              </w:rPr>
            </w:pPr>
            <w:r w:rsidRPr="00C458DB">
              <w:rPr>
                <w:b/>
              </w:rPr>
              <w:t>KPI 4</w:t>
            </w:r>
            <w:r w:rsidRPr="00C458DB">
              <w:t xml:space="preserve">: Compliance and monitoring approaches are streamlined and </w:t>
            </w:r>
            <w:r w:rsidRPr="00D72D91">
              <w:t>coordinated.</w:t>
            </w:r>
          </w:p>
        </w:tc>
        <w:tc>
          <w:tcPr>
            <w:tcW w:w="1593" w:type="dxa"/>
          </w:tcPr>
          <w:p w:rsidR="00C458DB" w:rsidRDefault="009300E8" w:rsidP="002B75BF">
            <w:r>
              <w:rPr>
                <w:color w:val="000000"/>
              </w:rPr>
              <w:t>Relevant</w:t>
            </w:r>
          </w:p>
        </w:tc>
        <w:tc>
          <w:tcPr>
            <w:tcW w:w="10348" w:type="dxa"/>
          </w:tcPr>
          <w:p w:rsidR="000E2EC1" w:rsidRPr="000E2EC1" w:rsidRDefault="000E2EC1" w:rsidP="000E2EC1">
            <w:pPr>
              <w:spacing w:before="40" w:after="40"/>
              <w:rPr>
                <w:b/>
                <w:bCs/>
              </w:rPr>
            </w:pPr>
            <w:r w:rsidRPr="000E2EC1">
              <w:rPr>
                <w:b/>
                <w:bCs/>
              </w:rPr>
              <w:t>Establish streamlined compliance assessment and inspection processes.</w:t>
            </w:r>
          </w:p>
          <w:p w:rsidR="000E2EC1" w:rsidRPr="000E2EC1" w:rsidRDefault="000E2EC1" w:rsidP="000E2EC1">
            <w:pPr>
              <w:spacing w:before="40" w:after="40"/>
              <w:rPr>
                <w:bCs/>
              </w:rPr>
            </w:pPr>
            <w:r w:rsidRPr="000E2EC1">
              <w:rPr>
                <w:bCs/>
              </w:rPr>
              <w:t>Evidence: Note actions taken to implement procedures that lead to a streamlined compliance assessment and inspection process that fulfils ASNO regulatory objectives and reduces burden on permit holders.</w:t>
            </w:r>
          </w:p>
          <w:p w:rsidR="000E2EC1" w:rsidRPr="000E2EC1" w:rsidRDefault="000E2EC1" w:rsidP="000E2EC1">
            <w:pPr>
              <w:pStyle w:val="ListParagraph"/>
              <w:numPr>
                <w:ilvl w:val="0"/>
                <w:numId w:val="24"/>
              </w:numPr>
              <w:spacing w:before="40" w:after="40"/>
              <w:rPr>
                <w:bCs/>
              </w:rPr>
            </w:pPr>
            <w:r w:rsidRPr="000E2EC1">
              <w:rPr>
                <w:bCs/>
              </w:rPr>
              <w:t>Considerations: ASNO business processes drive regular and ongoing review of the plans and arrangements used by our regulatory teams to facilitate permit holder monitoring and inspections. Streamlining ASNO’s assessment and inspection processes will result in more efficient engagement with businesses.</w:t>
            </w:r>
          </w:p>
          <w:p w:rsidR="009300E8" w:rsidRPr="00320633" w:rsidRDefault="009300E8" w:rsidP="000E2EC1">
            <w:pPr>
              <w:pStyle w:val="ListParagraph"/>
              <w:ind w:left="567"/>
            </w:pPr>
          </w:p>
        </w:tc>
      </w:tr>
      <w:tr w:rsidR="00C458DB" w:rsidRPr="00C458DB" w:rsidTr="009300E8">
        <w:tc>
          <w:tcPr>
            <w:tcW w:w="2943" w:type="dxa"/>
          </w:tcPr>
          <w:p w:rsidR="00606646" w:rsidRPr="00C458DB" w:rsidRDefault="00606646" w:rsidP="005E00E4">
            <w:r w:rsidRPr="00C458DB">
              <w:rPr>
                <w:b/>
              </w:rPr>
              <w:lastRenderedPageBreak/>
              <w:t>KPI 5</w:t>
            </w:r>
            <w:r w:rsidRPr="00C458DB">
              <w:t>: Regulators are open and transparent in their dealings with regulated entities.</w:t>
            </w:r>
          </w:p>
        </w:tc>
        <w:tc>
          <w:tcPr>
            <w:tcW w:w="1593" w:type="dxa"/>
          </w:tcPr>
          <w:p w:rsidR="00063A81" w:rsidRPr="00C458DB" w:rsidRDefault="009300E8" w:rsidP="005E00E4">
            <w:r>
              <w:t>Relevant</w:t>
            </w:r>
          </w:p>
          <w:p w:rsidR="00606646" w:rsidRPr="00C458DB" w:rsidRDefault="00606646" w:rsidP="005E00E4"/>
        </w:tc>
        <w:tc>
          <w:tcPr>
            <w:tcW w:w="10348" w:type="dxa"/>
          </w:tcPr>
          <w:p w:rsidR="000E2EC1" w:rsidRPr="000E2EC1" w:rsidRDefault="000E2EC1" w:rsidP="000E2EC1">
            <w:pPr>
              <w:spacing w:before="40" w:after="40"/>
              <w:rPr>
                <w:b/>
                <w:bCs/>
              </w:rPr>
            </w:pPr>
            <w:r w:rsidRPr="000E2EC1">
              <w:rPr>
                <w:b/>
                <w:bCs/>
              </w:rPr>
              <w:t>Outreach activities cond</w:t>
            </w:r>
            <w:r>
              <w:rPr>
                <w:b/>
                <w:bCs/>
              </w:rPr>
              <w:t xml:space="preserve">ucted to communicate regulatory </w:t>
            </w:r>
            <w:r w:rsidRPr="000E2EC1">
              <w:rPr>
                <w:b/>
                <w:bCs/>
              </w:rPr>
              <w:t>requirements to stakeholders and receive feedback.</w:t>
            </w:r>
          </w:p>
          <w:p w:rsidR="000E2EC1" w:rsidRPr="000E2EC1" w:rsidRDefault="000E2EC1" w:rsidP="000E2EC1">
            <w:pPr>
              <w:spacing w:before="40" w:after="40"/>
              <w:rPr>
                <w:bCs/>
              </w:rPr>
            </w:pPr>
            <w:r w:rsidRPr="000E2EC1">
              <w:rPr>
                <w:bCs/>
              </w:rPr>
              <w:t>Evidence: Document outreach events where information is provided</w:t>
            </w:r>
            <w:r>
              <w:rPr>
                <w:bCs/>
              </w:rPr>
              <w:t xml:space="preserve"> </w:t>
            </w:r>
            <w:r w:rsidRPr="000E2EC1">
              <w:rPr>
                <w:bCs/>
              </w:rPr>
              <w:t>to stakeholders on regulatory requirements and discussion initiated.</w:t>
            </w:r>
            <w:r>
              <w:rPr>
                <w:bCs/>
              </w:rPr>
              <w:t xml:space="preserve"> </w:t>
            </w:r>
            <w:r w:rsidRPr="000E2EC1">
              <w:rPr>
                <w:bCs/>
              </w:rPr>
              <w:t>Includes discussions during inspections and on-site visits.</w:t>
            </w:r>
          </w:p>
          <w:p w:rsidR="000E2EC1" w:rsidRPr="000E2EC1" w:rsidRDefault="000E2EC1" w:rsidP="000E2EC1">
            <w:pPr>
              <w:pStyle w:val="ListParagraph"/>
              <w:numPr>
                <w:ilvl w:val="0"/>
                <w:numId w:val="24"/>
              </w:numPr>
              <w:spacing w:before="40" w:after="40"/>
              <w:rPr>
                <w:bCs/>
              </w:rPr>
            </w:pPr>
            <w:r w:rsidRPr="000E2EC1">
              <w:rPr>
                <w:bCs/>
              </w:rPr>
              <w:t>Consideration: As well as discussions during on-site visits, ASNO will take advantage of existing seminars/workshops/forums within relevant industries to directly communicate with businesses about nuclear and chemical regulatory requirements, and strategies for implementing good practice.</w:t>
            </w:r>
          </w:p>
          <w:p w:rsidR="009300E8" w:rsidRPr="00320633" w:rsidRDefault="009300E8" w:rsidP="000E2EC1"/>
        </w:tc>
      </w:tr>
      <w:tr w:rsidR="00B63758" w:rsidRPr="00B63758" w:rsidTr="009300E8">
        <w:trPr>
          <w:trHeight w:val="1419"/>
        </w:trPr>
        <w:tc>
          <w:tcPr>
            <w:tcW w:w="2943" w:type="dxa"/>
          </w:tcPr>
          <w:p w:rsidR="00606646" w:rsidRPr="00B63758" w:rsidRDefault="00606646" w:rsidP="005E00E4">
            <w:r w:rsidRPr="00B63758">
              <w:rPr>
                <w:b/>
              </w:rPr>
              <w:t>KPI 6</w:t>
            </w:r>
            <w:r w:rsidRPr="00B63758">
              <w:t xml:space="preserve">: Regulators actively contribute to the continuous improvement of regulatory frameworks. </w:t>
            </w:r>
          </w:p>
        </w:tc>
        <w:tc>
          <w:tcPr>
            <w:tcW w:w="1593" w:type="dxa"/>
          </w:tcPr>
          <w:p w:rsidR="00606646" w:rsidRPr="00B63758" w:rsidRDefault="009300E8" w:rsidP="002B75BF">
            <w:r>
              <w:t>Relevant</w:t>
            </w:r>
          </w:p>
        </w:tc>
        <w:tc>
          <w:tcPr>
            <w:tcW w:w="10348" w:type="dxa"/>
          </w:tcPr>
          <w:p w:rsidR="000E2EC1" w:rsidRPr="000E2EC1" w:rsidRDefault="000E2EC1" w:rsidP="000E2EC1">
            <w:pPr>
              <w:spacing w:before="40" w:after="40"/>
              <w:rPr>
                <w:b/>
                <w:bCs/>
              </w:rPr>
            </w:pPr>
            <w:r w:rsidRPr="000E2EC1">
              <w:rPr>
                <w:b/>
                <w:bCs/>
              </w:rPr>
              <w:t>Meetings attended to influence international policy.</w:t>
            </w:r>
          </w:p>
          <w:p w:rsidR="000E2EC1" w:rsidRPr="000E2EC1" w:rsidRDefault="000E2EC1" w:rsidP="000E2EC1">
            <w:pPr>
              <w:spacing w:before="40" w:after="40"/>
              <w:rPr>
                <w:bCs/>
              </w:rPr>
            </w:pPr>
            <w:r w:rsidRPr="000E2EC1">
              <w:rPr>
                <w:bCs/>
              </w:rPr>
              <w:t>Evidence: Document and describe activities where ASNO staff have</w:t>
            </w:r>
            <w:r>
              <w:rPr>
                <w:bCs/>
              </w:rPr>
              <w:t xml:space="preserve"> </w:t>
            </w:r>
            <w:r w:rsidRPr="000E2EC1">
              <w:rPr>
                <w:bCs/>
              </w:rPr>
              <w:t>participated in events that influence international policy relating to</w:t>
            </w:r>
            <w:r>
              <w:rPr>
                <w:bCs/>
              </w:rPr>
              <w:t xml:space="preserve"> </w:t>
            </w:r>
            <w:r w:rsidRPr="000E2EC1">
              <w:rPr>
                <w:bCs/>
              </w:rPr>
              <w:t>regulatory frameworks to the benefit of Australia stakeholders.</w:t>
            </w:r>
          </w:p>
          <w:p w:rsidR="000E2EC1" w:rsidRPr="000E2EC1" w:rsidRDefault="000E2EC1" w:rsidP="000E2EC1">
            <w:pPr>
              <w:pStyle w:val="ListParagraph"/>
              <w:numPr>
                <w:ilvl w:val="0"/>
                <w:numId w:val="24"/>
              </w:numPr>
              <w:spacing w:before="40" w:after="40"/>
              <w:rPr>
                <w:bCs/>
              </w:rPr>
            </w:pPr>
            <w:r w:rsidRPr="000E2EC1">
              <w:rPr>
                <w:bCs/>
              </w:rPr>
              <w:t>Consideration: ASNO will continue to actively engage relevant international organisation such as the Organisation for the Prohibition of Chemical Weapons, the International Atomic Energy Agency and Comprehensive Nuclear-Test-Ban Treaty Organization to shape policies and standards that ensure that, when implemented within Australia, the frameworks support business.</w:t>
            </w:r>
          </w:p>
          <w:p w:rsidR="000E2EC1" w:rsidRPr="000E2EC1" w:rsidRDefault="000E2EC1" w:rsidP="000E2EC1">
            <w:pPr>
              <w:spacing w:before="40" w:after="40"/>
              <w:rPr>
                <w:b/>
                <w:bCs/>
              </w:rPr>
            </w:pPr>
            <w:r w:rsidRPr="000E2EC1">
              <w:rPr>
                <w:b/>
                <w:bCs/>
              </w:rPr>
              <w:t>Engagement with other regulato</w:t>
            </w:r>
            <w:r>
              <w:rPr>
                <w:b/>
                <w:bCs/>
              </w:rPr>
              <w:t xml:space="preserve">rs to explore opportunities for </w:t>
            </w:r>
            <w:r w:rsidRPr="000E2EC1">
              <w:rPr>
                <w:b/>
                <w:bCs/>
              </w:rPr>
              <w:t>regulatory efficiencies.</w:t>
            </w:r>
          </w:p>
          <w:p w:rsidR="000E2EC1" w:rsidRPr="000E2EC1" w:rsidRDefault="000E2EC1" w:rsidP="000E2EC1">
            <w:pPr>
              <w:spacing w:before="40" w:after="40"/>
              <w:rPr>
                <w:bCs/>
              </w:rPr>
            </w:pPr>
            <w:r w:rsidRPr="000E2EC1">
              <w:rPr>
                <w:bCs/>
              </w:rPr>
              <w:t>Evidence: Document meetings and other joint activities with other</w:t>
            </w:r>
            <w:r>
              <w:rPr>
                <w:bCs/>
              </w:rPr>
              <w:t xml:space="preserve"> </w:t>
            </w:r>
            <w:r w:rsidRPr="000E2EC1">
              <w:rPr>
                <w:bCs/>
              </w:rPr>
              <w:t>Commonwealth and State regulators involving the evaluation of</w:t>
            </w:r>
            <w:r>
              <w:rPr>
                <w:bCs/>
              </w:rPr>
              <w:t xml:space="preserve"> </w:t>
            </w:r>
            <w:r w:rsidRPr="000E2EC1">
              <w:rPr>
                <w:bCs/>
              </w:rPr>
              <w:t>regulatory frameworks.</w:t>
            </w:r>
          </w:p>
          <w:p w:rsidR="000E2EC1" w:rsidRPr="000E2EC1" w:rsidRDefault="000E2EC1" w:rsidP="000E2EC1">
            <w:pPr>
              <w:pStyle w:val="ListParagraph"/>
              <w:numPr>
                <w:ilvl w:val="0"/>
                <w:numId w:val="24"/>
              </w:numPr>
              <w:spacing w:before="40" w:after="40"/>
              <w:rPr>
                <w:bCs/>
              </w:rPr>
            </w:pPr>
            <w:r w:rsidRPr="000E2EC1">
              <w:rPr>
                <w:bCs/>
              </w:rPr>
              <w:t>Consideration: Identify other national and state organisations that engage in nuclear and chemical governance. Share experiences with these stakeholders including discussion on efficiency strategies. Cooperate on regulatory programs.</w:t>
            </w:r>
          </w:p>
          <w:p w:rsidR="009300E8" w:rsidRPr="00320633" w:rsidRDefault="009300E8" w:rsidP="000E2EC1">
            <w:pPr>
              <w:pStyle w:val="ListParagraph"/>
              <w:ind w:left="567"/>
            </w:pPr>
          </w:p>
        </w:tc>
      </w:tr>
    </w:tbl>
    <w:p w:rsidR="00606646" w:rsidRPr="00B809F2" w:rsidRDefault="00606646" w:rsidP="009300E8">
      <w:pPr>
        <w:rPr>
          <w:sz w:val="28"/>
          <w:szCs w:val="28"/>
        </w:rPr>
      </w:pPr>
    </w:p>
    <w:sectPr w:rsidR="00606646" w:rsidRPr="00B809F2" w:rsidSect="007737B0">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5D1" w:rsidRDefault="009415D1" w:rsidP="00D60F0B">
      <w:r>
        <w:separator/>
      </w:r>
    </w:p>
  </w:endnote>
  <w:endnote w:type="continuationSeparator" w:id="0">
    <w:p w:rsidR="009415D1" w:rsidRDefault="009415D1" w:rsidP="00D60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5D1" w:rsidRDefault="009415D1" w:rsidP="00D60F0B">
      <w:r>
        <w:separator/>
      </w:r>
    </w:p>
  </w:footnote>
  <w:footnote w:type="continuationSeparator" w:id="0">
    <w:p w:rsidR="009415D1" w:rsidRDefault="009415D1" w:rsidP="00D60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2E7"/>
    <w:multiLevelType w:val="hybridMultilevel"/>
    <w:tmpl w:val="4282D2CA"/>
    <w:lvl w:ilvl="0" w:tplc="AD449F92">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61692"/>
    <w:multiLevelType w:val="multilevel"/>
    <w:tmpl w:val="12E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14EC8"/>
    <w:multiLevelType w:val="multilevel"/>
    <w:tmpl w:val="3FECCAF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0587452B"/>
    <w:multiLevelType w:val="multilevel"/>
    <w:tmpl w:val="3870A45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 w15:restartNumberingAfterBreak="0">
    <w:nsid w:val="07FF6B4F"/>
    <w:multiLevelType w:val="multilevel"/>
    <w:tmpl w:val="8A847B0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5" w15:restartNumberingAfterBreak="0">
    <w:nsid w:val="0CBF2CDA"/>
    <w:multiLevelType w:val="hybridMultilevel"/>
    <w:tmpl w:val="C91CB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CA76B6"/>
    <w:multiLevelType w:val="multilevel"/>
    <w:tmpl w:val="DA84A7B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7" w15:restartNumberingAfterBreak="0">
    <w:nsid w:val="24C26A8C"/>
    <w:multiLevelType w:val="multilevel"/>
    <w:tmpl w:val="0740710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8" w15:restartNumberingAfterBreak="0">
    <w:nsid w:val="329826AC"/>
    <w:multiLevelType w:val="hybridMultilevel"/>
    <w:tmpl w:val="C02C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156032"/>
    <w:multiLevelType w:val="hybridMultilevel"/>
    <w:tmpl w:val="5C324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4C5B01"/>
    <w:multiLevelType w:val="hybridMultilevel"/>
    <w:tmpl w:val="E648F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F5508"/>
    <w:multiLevelType w:val="multilevel"/>
    <w:tmpl w:val="C2EC8D1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B501C27"/>
    <w:multiLevelType w:val="hybridMultilevel"/>
    <w:tmpl w:val="95E27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02757F"/>
    <w:multiLevelType w:val="multilevel"/>
    <w:tmpl w:val="9000FC1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44262AA7"/>
    <w:multiLevelType w:val="multilevel"/>
    <w:tmpl w:val="E00005B6"/>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5AC0D98"/>
    <w:multiLevelType w:val="multilevel"/>
    <w:tmpl w:val="59D24E20"/>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6" w15:restartNumberingAfterBreak="0">
    <w:nsid w:val="47096024"/>
    <w:multiLevelType w:val="multilevel"/>
    <w:tmpl w:val="AD565C4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7" w15:restartNumberingAfterBreak="0">
    <w:nsid w:val="4F583833"/>
    <w:multiLevelType w:val="multilevel"/>
    <w:tmpl w:val="5462A43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50633C41"/>
    <w:multiLevelType w:val="multilevel"/>
    <w:tmpl w:val="FEAE181E"/>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9" w15:restartNumberingAfterBreak="0">
    <w:nsid w:val="548132DF"/>
    <w:multiLevelType w:val="multilevel"/>
    <w:tmpl w:val="D57EF28C"/>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0" w15:restartNumberingAfterBreak="0">
    <w:nsid w:val="56FF4143"/>
    <w:multiLevelType w:val="multilevel"/>
    <w:tmpl w:val="B0BEE40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1" w15:restartNumberingAfterBreak="0">
    <w:nsid w:val="575D5560"/>
    <w:multiLevelType w:val="multilevel"/>
    <w:tmpl w:val="B7C6B754"/>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2" w15:restartNumberingAfterBreak="0">
    <w:nsid w:val="6EFA4F25"/>
    <w:multiLevelType w:val="hybridMultilevel"/>
    <w:tmpl w:val="F69C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1F139E"/>
    <w:multiLevelType w:val="hybridMultilevel"/>
    <w:tmpl w:val="9258BE54"/>
    <w:lvl w:ilvl="0" w:tplc="AD449F92">
      <w:numFmt w:val="bullet"/>
      <w:lvlText w:val=""/>
      <w:lvlJc w:val="left"/>
      <w:pPr>
        <w:ind w:left="720" w:hanging="360"/>
      </w:pPr>
      <w:rPr>
        <w:rFonts w:ascii="Times New Roman" w:eastAsia="Times New Roman" w:hAnsi="Times New Roman"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314FFC"/>
    <w:multiLevelType w:val="hybridMultilevel"/>
    <w:tmpl w:val="9754F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C547DF9"/>
    <w:multiLevelType w:val="hybridMultilevel"/>
    <w:tmpl w:val="36DAB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24"/>
  </w:num>
  <w:num w:numId="5">
    <w:abstractNumId w:val="1"/>
  </w:num>
  <w:num w:numId="6">
    <w:abstractNumId w:val="5"/>
  </w:num>
  <w:num w:numId="7">
    <w:abstractNumId w:val="9"/>
  </w:num>
  <w:num w:numId="8">
    <w:abstractNumId w:val="22"/>
  </w:num>
  <w:num w:numId="9">
    <w:abstractNumId w:val="4"/>
  </w:num>
  <w:num w:numId="10">
    <w:abstractNumId w:val="15"/>
  </w:num>
  <w:num w:numId="11">
    <w:abstractNumId w:val="20"/>
  </w:num>
  <w:num w:numId="12">
    <w:abstractNumId w:val="14"/>
  </w:num>
  <w:num w:numId="13">
    <w:abstractNumId w:val="17"/>
  </w:num>
  <w:num w:numId="14">
    <w:abstractNumId w:val="2"/>
  </w:num>
  <w:num w:numId="15">
    <w:abstractNumId w:val="3"/>
  </w:num>
  <w:num w:numId="16">
    <w:abstractNumId w:val="21"/>
  </w:num>
  <w:num w:numId="17">
    <w:abstractNumId w:val="16"/>
  </w:num>
  <w:num w:numId="18">
    <w:abstractNumId w:val="19"/>
  </w:num>
  <w:num w:numId="19">
    <w:abstractNumId w:val="7"/>
  </w:num>
  <w:num w:numId="20">
    <w:abstractNumId w:val="18"/>
  </w:num>
  <w:num w:numId="21">
    <w:abstractNumId w:val="11"/>
  </w:num>
  <w:num w:numId="22">
    <w:abstractNumId w:val="6"/>
  </w:num>
  <w:num w:numId="23">
    <w:abstractNumId w:val="13"/>
  </w:num>
  <w:num w:numId="24">
    <w:abstractNumId w:val="8"/>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C8"/>
    <w:rsid w:val="000516AE"/>
    <w:rsid w:val="00052C42"/>
    <w:rsid w:val="00063A81"/>
    <w:rsid w:val="0006767D"/>
    <w:rsid w:val="000677A9"/>
    <w:rsid w:val="000C148F"/>
    <w:rsid w:val="000D6072"/>
    <w:rsid w:val="000D62A9"/>
    <w:rsid w:val="000E2EC1"/>
    <w:rsid w:val="000E7A79"/>
    <w:rsid w:val="000E7AD0"/>
    <w:rsid w:val="00143A3D"/>
    <w:rsid w:val="00171A0D"/>
    <w:rsid w:val="001D43C0"/>
    <w:rsid w:val="001F0A1D"/>
    <w:rsid w:val="002279F7"/>
    <w:rsid w:val="00266320"/>
    <w:rsid w:val="00296799"/>
    <w:rsid w:val="002A1B10"/>
    <w:rsid w:val="002B75BF"/>
    <w:rsid w:val="002D1A7E"/>
    <w:rsid w:val="002D62D9"/>
    <w:rsid w:val="003129EE"/>
    <w:rsid w:val="00320633"/>
    <w:rsid w:val="00335A6B"/>
    <w:rsid w:val="00344A74"/>
    <w:rsid w:val="00367C2D"/>
    <w:rsid w:val="00370B79"/>
    <w:rsid w:val="00382A8E"/>
    <w:rsid w:val="003963D8"/>
    <w:rsid w:val="003A2D6C"/>
    <w:rsid w:val="003B5C2B"/>
    <w:rsid w:val="00417258"/>
    <w:rsid w:val="004213DA"/>
    <w:rsid w:val="00452754"/>
    <w:rsid w:val="00476131"/>
    <w:rsid w:val="00480946"/>
    <w:rsid w:val="004975C4"/>
    <w:rsid w:val="004B449B"/>
    <w:rsid w:val="004F121D"/>
    <w:rsid w:val="00512814"/>
    <w:rsid w:val="00533D8A"/>
    <w:rsid w:val="00536998"/>
    <w:rsid w:val="00555882"/>
    <w:rsid w:val="005C3D38"/>
    <w:rsid w:val="005C7764"/>
    <w:rsid w:val="005F5D3F"/>
    <w:rsid w:val="006006E3"/>
    <w:rsid w:val="00606646"/>
    <w:rsid w:val="00614E2E"/>
    <w:rsid w:val="007013B8"/>
    <w:rsid w:val="007737B0"/>
    <w:rsid w:val="00785FB6"/>
    <w:rsid w:val="007B73BC"/>
    <w:rsid w:val="007C5D67"/>
    <w:rsid w:val="007F5ADA"/>
    <w:rsid w:val="00807DEE"/>
    <w:rsid w:val="00821A9C"/>
    <w:rsid w:val="00824BFB"/>
    <w:rsid w:val="00827AF6"/>
    <w:rsid w:val="0083199F"/>
    <w:rsid w:val="00844416"/>
    <w:rsid w:val="00860C71"/>
    <w:rsid w:val="00867168"/>
    <w:rsid w:val="00876978"/>
    <w:rsid w:val="008A2316"/>
    <w:rsid w:val="008B009A"/>
    <w:rsid w:val="008D7429"/>
    <w:rsid w:val="008F4D85"/>
    <w:rsid w:val="00905AE4"/>
    <w:rsid w:val="00911D03"/>
    <w:rsid w:val="00913F38"/>
    <w:rsid w:val="009300E8"/>
    <w:rsid w:val="009415D1"/>
    <w:rsid w:val="00952ED4"/>
    <w:rsid w:val="00965166"/>
    <w:rsid w:val="0096753F"/>
    <w:rsid w:val="00983E53"/>
    <w:rsid w:val="009A66D3"/>
    <w:rsid w:val="009B317D"/>
    <w:rsid w:val="00A14383"/>
    <w:rsid w:val="00A16EDF"/>
    <w:rsid w:val="00A3749F"/>
    <w:rsid w:val="00A53036"/>
    <w:rsid w:val="00A62BB0"/>
    <w:rsid w:val="00A63BFB"/>
    <w:rsid w:val="00A67B2A"/>
    <w:rsid w:val="00A97EE1"/>
    <w:rsid w:val="00AC104B"/>
    <w:rsid w:val="00AC13BC"/>
    <w:rsid w:val="00B00D5D"/>
    <w:rsid w:val="00B465D5"/>
    <w:rsid w:val="00B62778"/>
    <w:rsid w:val="00B63758"/>
    <w:rsid w:val="00B73853"/>
    <w:rsid w:val="00B809F2"/>
    <w:rsid w:val="00BD5A3E"/>
    <w:rsid w:val="00C01487"/>
    <w:rsid w:val="00C17DEB"/>
    <w:rsid w:val="00C458DB"/>
    <w:rsid w:val="00C5592D"/>
    <w:rsid w:val="00C63A5F"/>
    <w:rsid w:val="00C71E2A"/>
    <w:rsid w:val="00C91553"/>
    <w:rsid w:val="00C91CE5"/>
    <w:rsid w:val="00C97C8B"/>
    <w:rsid w:val="00CA6A87"/>
    <w:rsid w:val="00D03DA8"/>
    <w:rsid w:val="00D45077"/>
    <w:rsid w:val="00D60F0B"/>
    <w:rsid w:val="00D64185"/>
    <w:rsid w:val="00D70D86"/>
    <w:rsid w:val="00D727C8"/>
    <w:rsid w:val="00D72D91"/>
    <w:rsid w:val="00D81864"/>
    <w:rsid w:val="00DC6833"/>
    <w:rsid w:val="00DE64ED"/>
    <w:rsid w:val="00DF0104"/>
    <w:rsid w:val="00E40382"/>
    <w:rsid w:val="00E75068"/>
    <w:rsid w:val="00E87828"/>
    <w:rsid w:val="00E9527C"/>
    <w:rsid w:val="00EC1A4A"/>
    <w:rsid w:val="00EC7B79"/>
    <w:rsid w:val="00EF45B3"/>
    <w:rsid w:val="00F2270A"/>
    <w:rsid w:val="00F2627C"/>
    <w:rsid w:val="00F46D07"/>
    <w:rsid w:val="00F61318"/>
    <w:rsid w:val="00F758FF"/>
    <w:rsid w:val="00F765EE"/>
    <w:rsid w:val="00F84039"/>
    <w:rsid w:val="00FA0F99"/>
    <w:rsid w:val="00FA4333"/>
    <w:rsid w:val="00FC1318"/>
    <w:rsid w:val="00FD03D5"/>
    <w:rsid w:val="00FD1016"/>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0B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96753F"/>
    <w:pPr>
      <w:keepNext/>
      <w:keepLines/>
      <w:spacing w:before="480"/>
      <w:outlineLvl w:val="0"/>
    </w:pPr>
    <w:rPr>
      <w:rFonts w:ascii="Cambria" w:hAnsi="Cambria"/>
      <w:b/>
      <w:bCs/>
      <w:color w:val="365F91"/>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7B0"/>
    <w:pPr>
      <w:ind w:left="720"/>
      <w:contextualSpacing/>
    </w:pPr>
  </w:style>
  <w:style w:type="paragraph" w:styleId="BalloonText">
    <w:name w:val="Balloon Text"/>
    <w:basedOn w:val="Normal"/>
    <w:link w:val="BalloonTextChar"/>
    <w:rsid w:val="00A16EDF"/>
    <w:rPr>
      <w:rFonts w:ascii="Tahoma" w:hAnsi="Tahoma" w:cs="Tahoma"/>
      <w:sz w:val="16"/>
      <w:szCs w:val="16"/>
    </w:rPr>
  </w:style>
  <w:style w:type="character" w:customStyle="1" w:styleId="BalloonTextChar">
    <w:name w:val="Balloon Text Char"/>
    <w:basedOn w:val="DefaultParagraphFont"/>
    <w:link w:val="BalloonText"/>
    <w:rsid w:val="00A16EDF"/>
    <w:rPr>
      <w:rFonts w:ascii="Tahoma" w:hAnsi="Tahoma" w:cs="Tahoma"/>
      <w:sz w:val="16"/>
      <w:szCs w:val="16"/>
      <w:lang w:eastAsia="en-US"/>
    </w:rPr>
  </w:style>
  <w:style w:type="paragraph" w:styleId="Header">
    <w:name w:val="header"/>
    <w:basedOn w:val="Normal"/>
    <w:link w:val="HeaderChar"/>
    <w:rsid w:val="00D60F0B"/>
    <w:pPr>
      <w:tabs>
        <w:tab w:val="center" w:pos="4513"/>
        <w:tab w:val="right" w:pos="9026"/>
      </w:tabs>
    </w:pPr>
  </w:style>
  <w:style w:type="character" w:customStyle="1" w:styleId="HeaderChar">
    <w:name w:val="Header Char"/>
    <w:basedOn w:val="DefaultParagraphFont"/>
    <w:link w:val="Header"/>
    <w:rsid w:val="00D60F0B"/>
    <w:rPr>
      <w:sz w:val="24"/>
      <w:szCs w:val="24"/>
      <w:lang w:eastAsia="en-US"/>
    </w:rPr>
  </w:style>
  <w:style w:type="paragraph" w:styleId="Footer">
    <w:name w:val="footer"/>
    <w:basedOn w:val="Normal"/>
    <w:link w:val="FooterChar"/>
    <w:rsid w:val="00D60F0B"/>
    <w:pPr>
      <w:tabs>
        <w:tab w:val="center" w:pos="4513"/>
        <w:tab w:val="right" w:pos="9026"/>
      </w:tabs>
    </w:pPr>
  </w:style>
  <w:style w:type="character" w:customStyle="1" w:styleId="FooterChar">
    <w:name w:val="Footer Char"/>
    <w:basedOn w:val="DefaultParagraphFont"/>
    <w:link w:val="Footer"/>
    <w:uiPriority w:val="99"/>
    <w:rsid w:val="00D60F0B"/>
    <w:rPr>
      <w:sz w:val="24"/>
      <w:szCs w:val="24"/>
      <w:lang w:eastAsia="en-US"/>
    </w:rPr>
  </w:style>
  <w:style w:type="character" w:customStyle="1" w:styleId="apple-converted-space">
    <w:name w:val="apple-converted-space"/>
    <w:basedOn w:val="DefaultParagraphFont"/>
    <w:rsid w:val="00C71E2A"/>
  </w:style>
  <w:style w:type="paragraph" w:styleId="NormalWeb">
    <w:name w:val="Normal (Web)"/>
    <w:basedOn w:val="Normal"/>
    <w:uiPriority w:val="99"/>
    <w:semiHidden/>
    <w:unhideWhenUsed/>
    <w:rsid w:val="00C71E2A"/>
    <w:pPr>
      <w:spacing w:before="100" w:beforeAutospacing="1" w:after="100" w:afterAutospacing="1"/>
    </w:pPr>
    <w:rPr>
      <w:lang w:eastAsia="en-AU"/>
    </w:rPr>
  </w:style>
  <w:style w:type="character" w:styleId="Hyperlink">
    <w:name w:val="Hyperlink"/>
    <w:basedOn w:val="DefaultParagraphFont"/>
    <w:uiPriority w:val="99"/>
    <w:semiHidden/>
    <w:unhideWhenUsed/>
    <w:rsid w:val="00C71E2A"/>
    <w:rPr>
      <w:color w:val="0000FF"/>
      <w:u w:val="single"/>
    </w:rPr>
  </w:style>
  <w:style w:type="character" w:customStyle="1" w:styleId="Heading1Char">
    <w:name w:val="Heading 1 Char"/>
    <w:basedOn w:val="DefaultParagraphFont"/>
    <w:link w:val="Heading1"/>
    <w:rsid w:val="0096753F"/>
    <w:rPr>
      <w:rFonts w:ascii="Cambria" w:hAnsi="Cambria"/>
      <w:b/>
      <w:bCs/>
      <w:color w:val="365F91"/>
      <w:sz w:val="28"/>
      <w:szCs w:val="28"/>
    </w:rPr>
  </w:style>
  <w:style w:type="paragraph" w:customStyle="1" w:styleId="Default">
    <w:name w:val="Default"/>
    <w:rsid w:val="007B73B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20592">
      <w:bodyDiv w:val="1"/>
      <w:marLeft w:val="0"/>
      <w:marRight w:val="0"/>
      <w:marTop w:val="0"/>
      <w:marBottom w:val="0"/>
      <w:divBdr>
        <w:top w:val="none" w:sz="0" w:space="0" w:color="auto"/>
        <w:left w:val="none" w:sz="0" w:space="0" w:color="auto"/>
        <w:bottom w:val="none" w:sz="0" w:space="0" w:color="auto"/>
        <w:right w:val="none" w:sz="0" w:space="0" w:color="auto"/>
      </w:divBdr>
    </w:div>
    <w:div w:id="89280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C854D524D61E45ABD0AE72A95E1425" ma:contentTypeVersion="1" ma:contentTypeDescription="Create a new document." ma:contentTypeScope="" ma:versionID="e56659a6416d11f98fbacf42a8454d3a">
  <xsd:schema xmlns:xsd="http://www.w3.org/2001/XMLSchema" xmlns:xs="http://www.w3.org/2001/XMLSchema" xmlns:p="http://schemas.microsoft.com/office/2006/metadata/properties" xmlns:ns1="http://schemas.microsoft.com/sharepoint/v3" targetNamespace="http://schemas.microsoft.com/office/2006/metadata/properties" ma:root="true" ma:fieldsID="360e4f17ba2d82b1ca8e0f0e60bc4a4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B80E-148F-41A4-822E-C21AD648D3EB}"/>
</file>

<file path=customXml/itemProps2.xml><?xml version="1.0" encoding="utf-8"?>
<ds:datastoreItem xmlns:ds="http://schemas.openxmlformats.org/officeDocument/2006/customXml" ds:itemID="{C49341D5-A352-4D37-B814-10F9A387262D}"/>
</file>

<file path=customXml/itemProps3.xml><?xml version="1.0" encoding="utf-8"?>
<ds:datastoreItem xmlns:ds="http://schemas.openxmlformats.org/officeDocument/2006/customXml" ds:itemID="{71A99BED-A85B-47A7-840C-A989E520D4C4}"/>
</file>

<file path=customXml/itemProps4.xml><?xml version="1.0" encoding="utf-8"?>
<ds:datastoreItem xmlns:ds="http://schemas.openxmlformats.org/officeDocument/2006/customXml" ds:itemID="{72BA4D00-8C4C-43F7-A7AF-BEF7F9012571}"/>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2017-10-26T01:01:00Z</dcterms:created>
  <dcterms:modified xsi:type="dcterms:W3CDTF">2017-10-26T01:54:00Z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0x010100B4C854D524D61E45ABD0AE72A95E1425</vt:lpwstr>
  </property>
  <property fmtid="{D5CDD505-2E9C-101B-9397-08002B2CF9AE}" pid="3" name="Order">
    <vt:r8>945400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TitusGUID">
    <vt:lpwstr>727d5e10-0de4-42d1-b1f9-331d3506a7b2</vt:lpwstr>
  </property>
  <property fmtid="{D5CDD505-2E9C-101B-9397-08002B2CF9AE}" pid="10" name="SEC">
    <vt:lpwstr>UNCLASSIFIED</vt:lpwstr>
  </property>
  <property fmtid="{D5CDD505-2E9C-101B-9397-08002B2CF9AE}" pid="11" name="DLM">
    <vt:lpwstr>No DLM</vt:lpwstr>
  </property>
</Properties>
</file>