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D5825B" w14:textId="152D488F" w:rsidR="00E72B93" w:rsidRPr="00004418" w:rsidRDefault="0049538D" w:rsidP="00004418">
      <w:pPr>
        <w:pStyle w:val="Heading1"/>
      </w:pPr>
      <w:r w:rsidRPr="00004418">
        <w:t xml:space="preserve">Attachment </w:t>
      </w:r>
      <w:r w:rsidR="001F5591" w:rsidRPr="00004418">
        <w:t>B</w:t>
      </w:r>
      <w:r w:rsidRPr="00004418">
        <w:t xml:space="preserve">: </w:t>
      </w:r>
      <w:r w:rsidR="00B35DBA" w:rsidRPr="00004418">
        <w:t>E</w:t>
      </w:r>
      <w:r w:rsidR="00CF497C" w:rsidRPr="00004418">
        <w:t>xport Finance Australia:</w:t>
      </w:r>
      <w:r w:rsidR="00B35DBA" w:rsidRPr="00004418">
        <w:t xml:space="preserve"> </w:t>
      </w:r>
      <w:r w:rsidR="007A69CE" w:rsidRPr="00004418">
        <w:t>independent review of overseas infrastructure financing powers</w:t>
      </w:r>
      <w:r w:rsidR="00B35DBA" w:rsidRPr="00004418">
        <w:t xml:space="preserve"> – </w:t>
      </w:r>
      <w:r w:rsidRPr="00004418">
        <w:t xml:space="preserve">summary of </w:t>
      </w:r>
      <w:r w:rsidR="00AA3FCD" w:rsidRPr="00004418">
        <w:t>a</w:t>
      </w:r>
      <w:r w:rsidRPr="00004418">
        <w:t>mendments to</w:t>
      </w:r>
      <w:r w:rsidR="007A69CE" w:rsidRPr="00004418">
        <w:t xml:space="preserve"> the Export Finance and Insurance Corporation Act 1991 (</w:t>
      </w:r>
      <w:proofErr w:type="spellStart"/>
      <w:r w:rsidRPr="00004418">
        <w:t>Efic</w:t>
      </w:r>
      <w:proofErr w:type="spellEnd"/>
      <w:r w:rsidRPr="00004418">
        <w:t xml:space="preserve"> Act</w:t>
      </w:r>
      <w:r w:rsidR="007A69CE" w:rsidRPr="00004418">
        <w:t>)</w:t>
      </w:r>
    </w:p>
    <w:p w14:paraId="3ADB2649" w14:textId="77777777" w:rsidR="0049538D" w:rsidRDefault="0049538D" w:rsidP="00465C5E">
      <w:pPr>
        <w:ind w:left="357"/>
        <w:rPr>
          <w:sz w:val="24"/>
          <w:u w:val="single"/>
        </w:rPr>
      </w:pPr>
    </w:p>
    <w:p w14:paraId="544A2136" w14:textId="58908214" w:rsidR="00465C5E" w:rsidRPr="00004418" w:rsidRDefault="00465C5E" w:rsidP="00004418">
      <w:pPr>
        <w:pStyle w:val="Heading2"/>
      </w:pPr>
      <w:r w:rsidRPr="00004418">
        <w:t xml:space="preserve">Table 1: Summary of </w:t>
      </w:r>
      <w:proofErr w:type="spellStart"/>
      <w:r w:rsidRPr="00004418">
        <w:t>Efic</w:t>
      </w:r>
      <w:proofErr w:type="spellEnd"/>
      <w:r w:rsidRPr="00004418">
        <w:t xml:space="preserve"> Act amendments made by</w:t>
      </w:r>
      <w:r w:rsidR="00F04379" w:rsidRPr="00004418">
        <w:t xml:space="preserve"> the Bill.</w:t>
      </w:r>
    </w:p>
    <w:tbl>
      <w:tblPr>
        <w:tblStyle w:val="TableGrid"/>
        <w:tblW w:w="9277" w:type="dxa"/>
        <w:tblInd w:w="357" w:type="dxa"/>
        <w:tblLook w:val="04A0" w:firstRow="1" w:lastRow="0" w:firstColumn="1" w:lastColumn="0" w:noHBand="0" w:noVBand="1"/>
      </w:tblPr>
      <w:tblGrid>
        <w:gridCol w:w="2757"/>
        <w:gridCol w:w="6520"/>
      </w:tblGrid>
      <w:tr w:rsidR="00465C5E" w:rsidRPr="00F50B0A" w14:paraId="4C596303" w14:textId="77777777" w:rsidTr="00004418">
        <w:trPr>
          <w:trHeight w:val="283"/>
          <w:tblHeader/>
        </w:trPr>
        <w:tc>
          <w:tcPr>
            <w:tcW w:w="2757" w:type="dxa"/>
            <w:shd w:val="clear" w:color="auto" w:fill="D0CECE" w:themeFill="background2" w:themeFillShade="E6"/>
          </w:tcPr>
          <w:p w14:paraId="3AE90383" w14:textId="6FDC9403" w:rsidR="00465C5E" w:rsidRPr="00F50B0A" w:rsidRDefault="009D707D" w:rsidP="009225FF">
            <w:pPr>
              <w:rPr>
                <w:b/>
              </w:rPr>
            </w:pPr>
            <w:r w:rsidRPr="00F50B0A">
              <w:rPr>
                <w:b/>
                <w:iCs/>
              </w:rPr>
              <w:t>I</w:t>
            </w:r>
            <w:r w:rsidR="00465C5E" w:rsidRPr="00F50B0A">
              <w:rPr>
                <w:b/>
                <w:iCs/>
              </w:rPr>
              <w:t xml:space="preserve">tem </w:t>
            </w:r>
            <w:r w:rsidRPr="00F50B0A">
              <w:rPr>
                <w:b/>
                <w:iCs/>
              </w:rPr>
              <w:t xml:space="preserve">number </w:t>
            </w:r>
            <w:r w:rsidR="00465C5E" w:rsidRPr="00F50B0A">
              <w:rPr>
                <w:b/>
                <w:iCs/>
              </w:rPr>
              <w:t xml:space="preserve">in the Bill </w:t>
            </w:r>
          </w:p>
        </w:tc>
        <w:tc>
          <w:tcPr>
            <w:tcW w:w="6520" w:type="dxa"/>
            <w:shd w:val="clear" w:color="auto" w:fill="D0CECE" w:themeFill="background2" w:themeFillShade="E6"/>
          </w:tcPr>
          <w:p w14:paraId="18388BD7" w14:textId="77777777" w:rsidR="00465C5E" w:rsidRPr="00F50B0A" w:rsidRDefault="00465C5E" w:rsidP="009225FF">
            <w:pPr>
              <w:rPr>
                <w:b/>
              </w:rPr>
            </w:pPr>
            <w:r w:rsidRPr="00F50B0A">
              <w:rPr>
                <w:b/>
              </w:rPr>
              <w:t>Summary of amendment</w:t>
            </w:r>
          </w:p>
        </w:tc>
      </w:tr>
      <w:tr w:rsidR="00465C5E" w:rsidRPr="00F50B0A" w14:paraId="36E41408" w14:textId="77777777" w:rsidTr="00F50B0A">
        <w:trPr>
          <w:trHeight w:val="1426"/>
        </w:trPr>
        <w:tc>
          <w:tcPr>
            <w:tcW w:w="2757" w:type="dxa"/>
          </w:tcPr>
          <w:p w14:paraId="1C3854DD" w14:textId="77777777" w:rsidR="00465C5E" w:rsidRPr="00F50B0A" w:rsidRDefault="00465C5E" w:rsidP="009225FF">
            <w:r w:rsidRPr="00F50B0A">
              <w:t>Item 1</w:t>
            </w:r>
          </w:p>
        </w:tc>
        <w:tc>
          <w:tcPr>
            <w:tcW w:w="6520" w:type="dxa"/>
          </w:tcPr>
          <w:p w14:paraId="381C75E8" w14:textId="184ED441" w:rsidR="00465C5E" w:rsidRPr="00F50B0A" w:rsidRDefault="00465C5E" w:rsidP="00040F40">
            <w:r w:rsidRPr="00F50B0A">
              <w:t xml:space="preserve">Amends the title of the </w:t>
            </w:r>
            <w:proofErr w:type="spellStart"/>
            <w:r w:rsidRPr="00F50B0A">
              <w:t>Efic</w:t>
            </w:r>
            <w:proofErr w:type="spellEnd"/>
            <w:r w:rsidRPr="00F50B0A">
              <w:t xml:space="preserve"> Act to include </w:t>
            </w:r>
            <w:r w:rsidR="00040F40" w:rsidRPr="00F50B0A">
              <w:t>‘</w:t>
            </w:r>
            <w:r w:rsidRPr="00F50B0A">
              <w:t>overseas infrastructure development.</w:t>
            </w:r>
            <w:r w:rsidR="00040F40" w:rsidRPr="00F50B0A">
              <w:t>’</w:t>
            </w:r>
            <w:r w:rsidRPr="00F50B0A">
              <w:t xml:space="preserve"> </w:t>
            </w:r>
            <w:r w:rsidR="00B12907" w:rsidRPr="00F50B0A">
              <w:t xml:space="preserve"> </w:t>
            </w:r>
            <w:r w:rsidRPr="00F50B0A">
              <w:t xml:space="preserve">The </w:t>
            </w:r>
            <w:proofErr w:type="spellStart"/>
            <w:r w:rsidRPr="00F50B0A">
              <w:t>Efic</w:t>
            </w:r>
            <w:proofErr w:type="spellEnd"/>
            <w:r w:rsidRPr="00F50B0A">
              <w:t xml:space="preserve"> Act title now reads</w:t>
            </w:r>
            <w:r w:rsidR="00B12907" w:rsidRPr="00F50B0A">
              <w:t> </w:t>
            </w:r>
            <w:r w:rsidRPr="00F50B0A">
              <w:t xml:space="preserve">as </w:t>
            </w:r>
            <w:r w:rsidR="00040F40" w:rsidRPr="00F50B0A">
              <w:t>‘</w:t>
            </w:r>
            <w:r w:rsidRPr="00F50B0A">
              <w:t>An</w:t>
            </w:r>
            <w:r w:rsidR="00D555C6" w:rsidRPr="00F50B0A">
              <w:t> </w:t>
            </w:r>
            <w:r w:rsidRPr="00F50B0A">
              <w:t>Act to establish an Export Finance and Insurance Corporation for the purpose of facilitating and</w:t>
            </w:r>
            <w:r w:rsidR="00B12907" w:rsidRPr="00F50B0A">
              <w:t> </w:t>
            </w:r>
            <w:r w:rsidRPr="00F50B0A">
              <w:t xml:space="preserve">encouraging Australian export trade and overseas infrastructure development, and for related </w:t>
            </w:r>
            <w:proofErr w:type="gramStart"/>
            <w:r w:rsidRPr="00F50B0A">
              <w:t>purposes</w:t>
            </w:r>
            <w:r w:rsidR="00040F40" w:rsidRPr="00F50B0A">
              <w:t>’</w:t>
            </w:r>
            <w:proofErr w:type="gramEnd"/>
            <w:r w:rsidRPr="00F50B0A">
              <w:t>.</w:t>
            </w:r>
          </w:p>
        </w:tc>
      </w:tr>
      <w:tr w:rsidR="00465C5E" w:rsidRPr="00F50B0A" w14:paraId="5360B132" w14:textId="77777777" w:rsidTr="007C5AC2">
        <w:trPr>
          <w:trHeight w:val="550"/>
        </w:trPr>
        <w:tc>
          <w:tcPr>
            <w:tcW w:w="2757" w:type="dxa"/>
          </w:tcPr>
          <w:p w14:paraId="66E14D12" w14:textId="77777777" w:rsidR="00465C5E" w:rsidRPr="00F50B0A" w:rsidRDefault="00465C5E" w:rsidP="009225FF">
            <w:r w:rsidRPr="00F50B0A">
              <w:t>Item 2</w:t>
            </w:r>
          </w:p>
        </w:tc>
        <w:tc>
          <w:tcPr>
            <w:tcW w:w="6520" w:type="dxa"/>
          </w:tcPr>
          <w:p w14:paraId="6C56A765" w14:textId="2670ACA0" w:rsidR="00465C5E" w:rsidRPr="00F50B0A" w:rsidRDefault="00465C5E" w:rsidP="009225FF">
            <w:r w:rsidRPr="00F50B0A">
              <w:t xml:space="preserve">Adds new definitions to the </w:t>
            </w:r>
            <w:proofErr w:type="spellStart"/>
            <w:r w:rsidRPr="00F50B0A">
              <w:t>Efic</w:t>
            </w:r>
            <w:proofErr w:type="spellEnd"/>
            <w:r w:rsidRPr="00F50B0A">
              <w:t xml:space="preserve"> Act, including ‘Australian</w:t>
            </w:r>
            <w:r w:rsidR="00B12907" w:rsidRPr="00F50B0A">
              <w:t> </w:t>
            </w:r>
            <w:r w:rsidRPr="00F50B0A">
              <w:t xml:space="preserve">benefit’, </w:t>
            </w:r>
            <w:r w:rsidR="00302715" w:rsidRPr="00F50B0A">
              <w:t xml:space="preserve">‘EFIC’s overseas infrastructure financing functions’, </w:t>
            </w:r>
            <w:r w:rsidRPr="00F50B0A">
              <w:t>‘overseas</w:t>
            </w:r>
            <w:r w:rsidR="00302715" w:rsidRPr="00F50B0A">
              <w:t xml:space="preserve"> infrastructure development’, ‘overseas infrastructure financing’, and</w:t>
            </w:r>
            <w:r w:rsidR="00B12907" w:rsidRPr="00F50B0A">
              <w:t> </w:t>
            </w:r>
            <w:r w:rsidR="00302715" w:rsidRPr="00F50B0A">
              <w:t xml:space="preserve">ADI (authorised deposit-taking </w:t>
            </w:r>
            <w:r w:rsidR="00040F40" w:rsidRPr="00F50B0A">
              <w:t>institution</w:t>
            </w:r>
            <w:r w:rsidR="00302715" w:rsidRPr="00F50B0A">
              <w:t>)</w:t>
            </w:r>
            <w:r w:rsidRPr="00F50B0A">
              <w:t>.</w:t>
            </w:r>
          </w:p>
        </w:tc>
      </w:tr>
      <w:tr w:rsidR="00465C5E" w:rsidRPr="00F50B0A" w14:paraId="187F2B6A" w14:textId="77777777" w:rsidTr="007C5AC2">
        <w:trPr>
          <w:trHeight w:val="566"/>
        </w:trPr>
        <w:tc>
          <w:tcPr>
            <w:tcW w:w="2757" w:type="dxa"/>
          </w:tcPr>
          <w:p w14:paraId="3F7AAD65" w14:textId="115D897D" w:rsidR="00465C5E" w:rsidRPr="00F50B0A" w:rsidRDefault="00465C5E" w:rsidP="009225FF">
            <w:r w:rsidRPr="00F50B0A">
              <w:t xml:space="preserve">Item </w:t>
            </w:r>
            <w:r w:rsidR="00B12907" w:rsidRPr="00F50B0A">
              <w:t>3</w:t>
            </w:r>
            <w:r w:rsidRPr="00F50B0A">
              <w:t xml:space="preserve"> </w:t>
            </w:r>
          </w:p>
        </w:tc>
        <w:tc>
          <w:tcPr>
            <w:tcW w:w="6520" w:type="dxa"/>
          </w:tcPr>
          <w:p w14:paraId="605ADA8D" w14:textId="1AEE06BD" w:rsidR="00465C5E" w:rsidRPr="00F50B0A" w:rsidRDefault="00465C5E" w:rsidP="00040F40">
            <w:r w:rsidRPr="00F50B0A">
              <w:t xml:space="preserve">Adds </w:t>
            </w:r>
            <w:r w:rsidR="00040F40" w:rsidRPr="00F50B0A">
              <w:t>‘</w:t>
            </w:r>
            <w:r w:rsidRPr="00F50B0A">
              <w:t>to encourage and facilitate overseas infrastructure</w:t>
            </w:r>
            <w:r w:rsidR="00B12907" w:rsidRPr="00F50B0A">
              <w:t> </w:t>
            </w:r>
            <w:r w:rsidRPr="00F50B0A">
              <w:t>financing</w:t>
            </w:r>
            <w:r w:rsidR="00040F40" w:rsidRPr="00F50B0A">
              <w:t>’</w:t>
            </w:r>
            <w:r w:rsidRPr="00F50B0A">
              <w:t xml:space="preserve"> to EFA’s functions.</w:t>
            </w:r>
          </w:p>
        </w:tc>
      </w:tr>
      <w:tr w:rsidR="00465C5E" w:rsidRPr="00F50B0A" w14:paraId="477EB874" w14:textId="77777777" w:rsidTr="007C5AC2">
        <w:trPr>
          <w:trHeight w:val="550"/>
        </w:trPr>
        <w:tc>
          <w:tcPr>
            <w:tcW w:w="2757" w:type="dxa"/>
          </w:tcPr>
          <w:p w14:paraId="61B15354" w14:textId="0652AAD9" w:rsidR="00465C5E" w:rsidRPr="00F50B0A" w:rsidRDefault="00465C5E" w:rsidP="009225FF">
            <w:r w:rsidRPr="00F50B0A">
              <w:t xml:space="preserve">Item </w:t>
            </w:r>
            <w:r w:rsidR="00B12907" w:rsidRPr="00F50B0A">
              <w:t>4</w:t>
            </w:r>
            <w:r w:rsidRPr="00F50B0A">
              <w:t xml:space="preserve"> </w:t>
            </w:r>
          </w:p>
        </w:tc>
        <w:tc>
          <w:tcPr>
            <w:tcW w:w="6520" w:type="dxa"/>
          </w:tcPr>
          <w:p w14:paraId="6AD6A4D7" w14:textId="6D94C1B0" w:rsidR="00465C5E" w:rsidRPr="00F50B0A" w:rsidRDefault="00465C5E" w:rsidP="009225FF">
            <w:r w:rsidRPr="00F50B0A">
              <w:t>Adds ‘overseas infrastructure financing that results in</w:t>
            </w:r>
            <w:r w:rsidR="00B12907" w:rsidRPr="00F50B0A">
              <w:t> </w:t>
            </w:r>
            <w:r w:rsidRPr="00F50B0A">
              <w:t>Australian benefit’ as one of EFA’s duties.</w:t>
            </w:r>
          </w:p>
        </w:tc>
      </w:tr>
      <w:tr w:rsidR="00465C5E" w:rsidRPr="00F50B0A" w14:paraId="56EFBF31" w14:textId="77777777" w:rsidTr="007C5AC2">
        <w:trPr>
          <w:trHeight w:val="566"/>
        </w:trPr>
        <w:tc>
          <w:tcPr>
            <w:tcW w:w="2757" w:type="dxa"/>
          </w:tcPr>
          <w:p w14:paraId="637706CA" w14:textId="0767618B" w:rsidR="00465C5E" w:rsidRPr="00F50B0A" w:rsidRDefault="00465C5E" w:rsidP="009225FF">
            <w:r w:rsidRPr="00F50B0A">
              <w:t xml:space="preserve">Item </w:t>
            </w:r>
            <w:r w:rsidR="00B12907" w:rsidRPr="00F50B0A">
              <w:t>5</w:t>
            </w:r>
            <w:r w:rsidRPr="00F50B0A">
              <w:t xml:space="preserve"> </w:t>
            </w:r>
          </w:p>
        </w:tc>
        <w:tc>
          <w:tcPr>
            <w:tcW w:w="6520" w:type="dxa"/>
          </w:tcPr>
          <w:p w14:paraId="684C6C9D" w14:textId="77777777" w:rsidR="00465C5E" w:rsidRPr="00F50B0A" w:rsidRDefault="00465C5E" w:rsidP="009225FF">
            <w:r w:rsidRPr="00F50B0A">
              <w:t>Enables EFA to provide guarantees to co-lenders in connection with its new infrastructure financing power.</w:t>
            </w:r>
          </w:p>
        </w:tc>
      </w:tr>
      <w:tr w:rsidR="00465C5E" w:rsidRPr="00F50B0A" w14:paraId="6E91C8D7" w14:textId="77777777" w:rsidTr="007C5AC2">
        <w:trPr>
          <w:trHeight w:val="844"/>
        </w:trPr>
        <w:tc>
          <w:tcPr>
            <w:tcW w:w="2757" w:type="dxa"/>
          </w:tcPr>
          <w:p w14:paraId="468693D1" w14:textId="7448FE12" w:rsidR="00465C5E" w:rsidRPr="00F50B0A" w:rsidRDefault="00465C5E" w:rsidP="009225FF">
            <w:r w:rsidRPr="00F50B0A">
              <w:t xml:space="preserve">Item </w:t>
            </w:r>
            <w:r w:rsidR="00B12907" w:rsidRPr="00F50B0A">
              <w:t>6</w:t>
            </w:r>
            <w:r w:rsidRPr="00F50B0A">
              <w:t xml:space="preserve"> </w:t>
            </w:r>
          </w:p>
        </w:tc>
        <w:tc>
          <w:tcPr>
            <w:tcW w:w="6520" w:type="dxa"/>
          </w:tcPr>
          <w:p w14:paraId="33E18AAC" w14:textId="77777777" w:rsidR="00465C5E" w:rsidRPr="00F50B0A" w:rsidRDefault="00465C5E" w:rsidP="009225FF">
            <w:r w:rsidRPr="00F50B0A">
              <w:t>Clarifies EFA’s ability to provide financial accommodation, in any form, to eligible export transactions under its new infrastructure financing power.</w:t>
            </w:r>
          </w:p>
        </w:tc>
      </w:tr>
      <w:tr w:rsidR="00465C5E" w:rsidRPr="00F50B0A" w14:paraId="0C3200BC" w14:textId="77777777" w:rsidTr="007C5AC2">
        <w:trPr>
          <w:trHeight w:val="849"/>
        </w:trPr>
        <w:tc>
          <w:tcPr>
            <w:tcW w:w="2757" w:type="dxa"/>
          </w:tcPr>
          <w:p w14:paraId="69D2D092" w14:textId="7729E240" w:rsidR="00465C5E" w:rsidRPr="00F50B0A" w:rsidRDefault="00465C5E" w:rsidP="009225FF">
            <w:r w:rsidRPr="00F50B0A">
              <w:t xml:space="preserve">Item </w:t>
            </w:r>
            <w:r w:rsidR="00B12907" w:rsidRPr="00F50B0A">
              <w:t>7</w:t>
            </w:r>
            <w:r w:rsidRPr="00F50B0A">
              <w:t xml:space="preserve"> </w:t>
            </w:r>
          </w:p>
        </w:tc>
        <w:tc>
          <w:tcPr>
            <w:tcW w:w="6520" w:type="dxa"/>
          </w:tcPr>
          <w:p w14:paraId="5798639A" w14:textId="20A0AA7F" w:rsidR="00465C5E" w:rsidRPr="00F50B0A" w:rsidRDefault="00465C5E" w:rsidP="009225FF">
            <w:r w:rsidRPr="00F50B0A">
              <w:t>Inserts a new section (23A), which enables EFA to provide</w:t>
            </w:r>
            <w:r w:rsidR="00B12907" w:rsidRPr="00F50B0A">
              <w:t> </w:t>
            </w:r>
            <w:r w:rsidRPr="00F50B0A">
              <w:t>financial accommodation, in any form, under its</w:t>
            </w:r>
            <w:r w:rsidR="00B12907" w:rsidRPr="00F50B0A">
              <w:t> </w:t>
            </w:r>
            <w:r w:rsidRPr="00F50B0A">
              <w:t>new overseas infrastructure financing power.</w:t>
            </w:r>
          </w:p>
        </w:tc>
      </w:tr>
      <w:tr w:rsidR="00465C5E" w:rsidRPr="00F50B0A" w14:paraId="59BF974E" w14:textId="77777777" w:rsidTr="007C5AC2">
        <w:trPr>
          <w:trHeight w:val="1117"/>
        </w:trPr>
        <w:tc>
          <w:tcPr>
            <w:tcW w:w="2757" w:type="dxa"/>
          </w:tcPr>
          <w:p w14:paraId="7552F473" w14:textId="64FB3229" w:rsidR="00465C5E" w:rsidRPr="00F50B0A" w:rsidRDefault="00465C5E" w:rsidP="009225FF">
            <w:r w:rsidRPr="00F50B0A">
              <w:t xml:space="preserve">Item </w:t>
            </w:r>
            <w:r w:rsidR="00B12907" w:rsidRPr="00F50B0A">
              <w:t>8</w:t>
            </w:r>
          </w:p>
        </w:tc>
        <w:tc>
          <w:tcPr>
            <w:tcW w:w="6520" w:type="dxa"/>
          </w:tcPr>
          <w:p w14:paraId="0A78DCE9" w14:textId="3A4931D5" w:rsidR="00465C5E" w:rsidRPr="00F50B0A" w:rsidRDefault="00465C5E" w:rsidP="009225FF">
            <w:r w:rsidRPr="00F50B0A">
              <w:t xml:space="preserve">Enables the Minister for Trade, </w:t>
            </w:r>
            <w:proofErr w:type="gramStart"/>
            <w:r w:rsidRPr="00F50B0A">
              <w:t>Tourism</w:t>
            </w:r>
            <w:proofErr w:type="gramEnd"/>
            <w:r w:rsidRPr="00F50B0A">
              <w:t xml:space="preserve"> and Investment (the</w:t>
            </w:r>
            <w:r w:rsidR="00D555C6" w:rsidRPr="00F50B0A">
              <w:t> </w:t>
            </w:r>
            <w:r w:rsidRPr="00F50B0A">
              <w:t>Minister) to approve EFA providing finance for overseas infrastructure projects on the National Interest Account under EFA’s new infrastructure financing power.</w:t>
            </w:r>
          </w:p>
        </w:tc>
      </w:tr>
      <w:tr w:rsidR="00465C5E" w:rsidRPr="00F50B0A" w14:paraId="4AD749E4" w14:textId="77777777" w:rsidTr="007C5AC2">
        <w:trPr>
          <w:trHeight w:val="1121"/>
        </w:trPr>
        <w:tc>
          <w:tcPr>
            <w:tcW w:w="2757" w:type="dxa"/>
          </w:tcPr>
          <w:p w14:paraId="261C822D" w14:textId="21FC96BB" w:rsidR="00465C5E" w:rsidRPr="00F50B0A" w:rsidRDefault="00465C5E" w:rsidP="009225FF">
            <w:r w:rsidRPr="00F50B0A">
              <w:t xml:space="preserve">Item </w:t>
            </w:r>
            <w:r w:rsidR="00B12907" w:rsidRPr="00F50B0A">
              <w:t>9</w:t>
            </w:r>
          </w:p>
        </w:tc>
        <w:tc>
          <w:tcPr>
            <w:tcW w:w="6520" w:type="dxa"/>
          </w:tcPr>
          <w:p w14:paraId="2EBAAEF9" w14:textId="3E6232B5" w:rsidR="00465C5E" w:rsidRPr="00F50B0A" w:rsidRDefault="00465C5E" w:rsidP="009225FF">
            <w:r w:rsidRPr="00F50B0A">
              <w:t>Expands the Minister’s existing authority to determine principles under which the Commonwealth will pay EFA a</w:t>
            </w:r>
            <w:r w:rsidR="00B12907" w:rsidRPr="00F50B0A">
              <w:t> </w:t>
            </w:r>
            <w:r w:rsidRPr="00F50B0A">
              <w:t>subsidy for eligible export transactions to also include exercise of EFA’s new overseas infrastructure financing power.</w:t>
            </w:r>
          </w:p>
        </w:tc>
      </w:tr>
      <w:tr w:rsidR="00465C5E" w:rsidRPr="00F50B0A" w14:paraId="241FD076" w14:textId="77777777" w:rsidTr="007C5AC2">
        <w:trPr>
          <w:trHeight w:val="1117"/>
        </w:trPr>
        <w:tc>
          <w:tcPr>
            <w:tcW w:w="2757" w:type="dxa"/>
          </w:tcPr>
          <w:p w14:paraId="403A9BF3" w14:textId="1D8C4DD9" w:rsidR="00465C5E" w:rsidRPr="00F50B0A" w:rsidRDefault="00465C5E" w:rsidP="009225FF">
            <w:r w:rsidRPr="00F50B0A">
              <w:t>Item 1</w:t>
            </w:r>
            <w:r w:rsidR="00B12907" w:rsidRPr="00F50B0A">
              <w:t>0</w:t>
            </w:r>
          </w:p>
        </w:tc>
        <w:tc>
          <w:tcPr>
            <w:tcW w:w="6520" w:type="dxa"/>
          </w:tcPr>
          <w:p w14:paraId="237D973D" w14:textId="0385495E" w:rsidR="00465C5E" w:rsidRPr="00F50B0A" w:rsidRDefault="00465C5E" w:rsidP="009225FF">
            <w:r w:rsidRPr="00F50B0A">
              <w:t>Expands existing authority for the Commonwealth to pay</w:t>
            </w:r>
            <w:r w:rsidR="00B12907" w:rsidRPr="00F50B0A">
              <w:t> </w:t>
            </w:r>
            <w:r w:rsidRPr="00F50B0A">
              <w:t>EFA a subsidy – in line with the principles described in</w:t>
            </w:r>
            <w:r w:rsidR="00B12907" w:rsidRPr="00F50B0A">
              <w:t> </w:t>
            </w:r>
            <w:r w:rsidRPr="00F50B0A">
              <w:t>Item 11 above – beyond eligible export transactions to</w:t>
            </w:r>
            <w:r w:rsidR="00B12907" w:rsidRPr="00F50B0A">
              <w:t> </w:t>
            </w:r>
            <w:r w:rsidRPr="00F50B0A">
              <w:t>also include overseas infrastructure development.</w:t>
            </w:r>
          </w:p>
        </w:tc>
      </w:tr>
    </w:tbl>
    <w:p w14:paraId="6258116A" w14:textId="4FF35A8D" w:rsidR="00D71C4F" w:rsidRPr="00F50B0A" w:rsidRDefault="00D71C4F" w:rsidP="00004418">
      <w:pPr>
        <w:rPr>
          <w:rFonts w:asciiTheme="majorHAnsi" w:eastAsiaTheme="majorEastAsia" w:hAnsiTheme="majorHAnsi" w:cstheme="majorBidi"/>
          <w:color w:val="2E74B5" w:themeColor="accent1" w:themeShade="BF"/>
        </w:rPr>
      </w:pPr>
    </w:p>
    <w:sectPr w:rsidR="00D71C4F" w:rsidRPr="00F50B0A" w:rsidSect="007D431E">
      <w:headerReference w:type="default" r:id="rId7"/>
      <w:footerReference w:type="default" r:id="rId8"/>
      <w:pgSz w:w="11906" w:h="16838"/>
      <w:pgMar w:top="1134" w:right="1440" w:bottom="170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1AA635" w14:textId="77777777" w:rsidR="006F5CD0" w:rsidRDefault="006F5CD0" w:rsidP="006F5CD0">
      <w:pPr>
        <w:spacing w:after="0" w:line="240" w:lineRule="auto"/>
      </w:pPr>
      <w:r>
        <w:separator/>
      </w:r>
    </w:p>
  </w:endnote>
  <w:endnote w:type="continuationSeparator" w:id="0">
    <w:p w14:paraId="1BC4222A" w14:textId="77777777" w:rsidR="006F5CD0" w:rsidRDefault="006F5CD0" w:rsidP="006F5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D2E113" w14:textId="77137A69" w:rsidR="006F5CD0" w:rsidRPr="006F5CD0" w:rsidRDefault="006F5CD0" w:rsidP="006F5CD0">
    <w:pPr>
      <w:pStyle w:val="Footer"/>
      <w:jc w:val="center"/>
      <w:rPr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7D0B8F" w14:textId="77777777" w:rsidR="006F5CD0" w:rsidRDefault="006F5CD0" w:rsidP="006F5CD0">
      <w:pPr>
        <w:spacing w:after="0" w:line="240" w:lineRule="auto"/>
      </w:pPr>
      <w:r>
        <w:separator/>
      </w:r>
    </w:p>
  </w:footnote>
  <w:footnote w:type="continuationSeparator" w:id="0">
    <w:p w14:paraId="2247DE25" w14:textId="77777777" w:rsidR="006F5CD0" w:rsidRDefault="006F5CD0" w:rsidP="006F5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F246E5" w14:textId="17F6EDF4" w:rsidR="006F5CD0" w:rsidRPr="006F5CD0" w:rsidRDefault="006F5CD0" w:rsidP="006F5CD0">
    <w:pPr>
      <w:pStyle w:val="Header"/>
      <w:jc w:val="center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B4203"/>
    <w:multiLevelType w:val="hybridMultilevel"/>
    <w:tmpl w:val="7CBA4D1A"/>
    <w:lvl w:ilvl="0" w:tplc="1278C772">
      <w:start w:val="1"/>
      <w:numFmt w:val="bullet"/>
      <w:lvlText w:val="­"/>
      <w:lvlJc w:val="left"/>
      <w:pPr>
        <w:ind w:left="717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" w15:restartNumberingAfterBreak="0">
    <w:nsid w:val="127134CA"/>
    <w:multiLevelType w:val="hybridMultilevel"/>
    <w:tmpl w:val="C53C30D2"/>
    <w:lvl w:ilvl="0" w:tplc="578C1322">
      <w:start w:val="1"/>
      <w:numFmt w:val="lowerLetter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2152A"/>
    <w:multiLevelType w:val="hybridMultilevel"/>
    <w:tmpl w:val="5C84BAE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1A1331A"/>
    <w:multiLevelType w:val="hybridMultilevel"/>
    <w:tmpl w:val="7C6226A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2577E95"/>
    <w:multiLevelType w:val="hybridMultilevel"/>
    <w:tmpl w:val="CF685D1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4E86F14"/>
    <w:multiLevelType w:val="hybridMultilevel"/>
    <w:tmpl w:val="258E0BE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2D57328"/>
    <w:multiLevelType w:val="hybridMultilevel"/>
    <w:tmpl w:val="0E00620A"/>
    <w:lvl w:ilvl="0" w:tplc="0C090003">
      <w:start w:val="1"/>
      <w:numFmt w:val="bullet"/>
      <w:lvlText w:val="o"/>
      <w:lvlJc w:val="left"/>
      <w:pPr>
        <w:ind w:left="71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7" w15:restartNumberingAfterBreak="0">
    <w:nsid w:val="694F3C5A"/>
    <w:multiLevelType w:val="hybridMultilevel"/>
    <w:tmpl w:val="0468748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E5B78D4"/>
    <w:multiLevelType w:val="hybridMultilevel"/>
    <w:tmpl w:val="3F0655E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7"/>
  </w:num>
  <w:num w:numId="5">
    <w:abstractNumId w:val="8"/>
  </w:num>
  <w:num w:numId="6">
    <w:abstractNumId w:val="3"/>
  </w:num>
  <w:num w:numId="7">
    <w:abstractNumId w:val="6"/>
  </w:num>
  <w:num w:numId="8">
    <w:abstractNumId w:val="0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QyM7M0MLU0tDC2MDNS0lEKTi0uzszPAykwqgUAKx1CLywAAAA="/>
  </w:docVars>
  <w:rsids>
    <w:rsidRoot w:val="00B35DBA"/>
    <w:rsid w:val="00004418"/>
    <w:rsid w:val="0000453E"/>
    <w:rsid w:val="00005EB8"/>
    <w:rsid w:val="0000605C"/>
    <w:rsid w:val="00022A92"/>
    <w:rsid w:val="00040F40"/>
    <w:rsid w:val="00047CFB"/>
    <w:rsid w:val="000643D3"/>
    <w:rsid w:val="00072015"/>
    <w:rsid w:val="000B08E6"/>
    <w:rsid w:val="000B2239"/>
    <w:rsid w:val="000D61F6"/>
    <w:rsid w:val="001100D7"/>
    <w:rsid w:val="00175ECC"/>
    <w:rsid w:val="001C0327"/>
    <w:rsid w:val="001E384A"/>
    <w:rsid w:val="001F5591"/>
    <w:rsid w:val="001F6F63"/>
    <w:rsid w:val="00220C6C"/>
    <w:rsid w:val="00252395"/>
    <w:rsid w:val="00254BE3"/>
    <w:rsid w:val="00294CD3"/>
    <w:rsid w:val="002965F3"/>
    <w:rsid w:val="002970FE"/>
    <w:rsid w:val="002A69A3"/>
    <w:rsid w:val="002E30D4"/>
    <w:rsid w:val="00302715"/>
    <w:rsid w:val="00303930"/>
    <w:rsid w:val="003216C7"/>
    <w:rsid w:val="00351C4B"/>
    <w:rsid w:val="00360567"/>
    <w:rsid w:val="003A2C1F"/>
    <w:rsid w:val="003A47CB"/>
    <w:rsid w:val="003B09B0"/>
    <w:rsid w:val="003B67F4"/>
    <w:rsid w:val="003F2927"/>
    <w:rsid w:val="003F3EFA"/>
    <w:rsid w:val="004155D5"/>
    <w:rsid w:val="00424CC6"/>
    <w:rsid w:val="0043530F"/>
    <w:rsid w:val="00442309"/>
    <w:rsid w:val="00465C5E"/>
    <w:rsid w:val="00480FD8"/>
    <w:rsid w:val="0049538D"/>
    <w:rsid w:val="004C1B13"/>
    <w:rsid w:val="004C61FD"/>
    <w:rsid w:val="0050224A"/>
    <w:rsid w:val="0051667F"/>
    <w:rsid w:val="0052359A"/>
    <w:rsid w:val="00525A8D"/>
    <w:rsid w:val="00593202"/>
    <w:rsid w:val="005C3926"/>
    <w:rsid w:val="005D0B31"/>
    <w:rsid w:val="005E0836"/>
    <w:rsid w:val="0065566A"/>
    <w:rsid w:val="00675BEC"/>
    <w:rsid w:val="00676EBF"/>
    <w:rsid w:val="006C6976"/>
    <w:rsid w:val="006D090A"/>
    <w:rsid w:val="006F5CD0"/>
    <w:rsid w:val="00736272"/>
    <w:rsid w:val="00744C85"/>
    <w:rsid w:val="00750D2D"/>
    <w:rsid w:val="00795D09"/>
    <w:rsid w:val="007A69CE"/>
    <w:rsid w:val="007B253E"/>
    <w:rsid w:val="007C518D"/>
    <w:rsid w:val="007C5632"/>
    <w:rsid w:val="007C5AC2"/>
    <w:rsid w:val="007D431E"/>
    <w:rsid w:val="007F7EF9"/>
    <w:rsid w:val="0083294A"/>
    <w:rsid w:val="00850971"/>
    <w:rsid w:val="0085611E"/>
    <w:rsid w:val="00862358"/>
    <w:rsid w:val="00862B6D"/>
    <w:rsid w:val="0088479F"/>
    <w:rsid w:val="008C6806"/>
    <w:rsid w:val="008D6E7A"/>
    <w:rsid w:val="008E2D81"/>
    <w:rsid w:val="008E6565"/>
    <w:rsid w:val="00996055"/>
    <w:rsid w:val="009A05BD"/>
    <w:rsid w:val="009A0D0E"/>
    <w:rsid w:val="009C6AE6"/>
    <w:rsid w:val="009D707D"/>
    <w:rsid w:val="009E5EBC"/>
    <w:rsid w:val="00A239AA"/>
    <w:rsid w:val="00A35DFF"/>
    <w:rsid w:val="00A371D6"/>
    <w:rsid w:val="00A744C8"/>
    <w:rsid w:val="00AA0A83"/>
    <w:rsid w:val="00AA3AF0"/>
    <w:rsid w:val="00AA3FCD"/>
    <w:rsid w:val="00AC1303"/>
    <w:rsid w:val="00AE00B4"/>
    <w:rsid w:val="00B12907"/>
    <w:rsid w:val="00B13CBB"/>
    <w:rsid w:val="00B31ED3"/>
    <w:rsid w:val="00B35DBA"/>
    <w:rsid w:val="00B36095"/>
    <w:rsid w:val="00B5646D"/>
    <w:rsid w:val="00B6493C"/>
    <w:rsid w:val="00B66908"/>
    <w:rsid w:val="00B9590D"/>
    <w:rsid w:val="00C05F72"/>
    <w:rsid w:val="00C43F0D"/>
    <w:rsid w:val="00C55902"/>
    <w:rsid w:val="00C60E30"/>
    <w:rsid w:val="00C85A95"/>
    <w:rsid w:val="00CC3CA8"/>
    <w:rsid w:val="00CD1B10"/>
    <w:rsid w:val="00CD2426"/>
    <w:rsid w:val="00CE62A7"/>
    <w:rsid w:val="00CF497C"/>
    <w:rsid w:val="00D226CB"/>
    <w:rsid w:val="00D22D99"/>
    <w:rsid w:val="00D555C6"/>
    <w:rsid w:val="00D70883"/>
    <w:rsid w:val="00D71C4F"/>
    <w:rsid w:val="00D82EE7"/>
    <w:rsid w:val="00DC6F0F"/>
    <w:rsid w:val="00DD5D95"/>
    <w:rsid w:val="00DE19F9"/>
    <w:rsid w:val="00E10C23"/>
    <w:rsid w:val="00E14A8E"/>
    <w:rsid w:val="00E208C9"/>
    <w:rsid w:val="00E73A61"/>
    <w:rsid w:val="00EB34C4"/>
    <w:rsid w:val="00EC1EA9"/>
    <w:rsid w:val="00EC674F"/>
    <w:rsid w:val="00EE612A"/>
    <w:rsid w:val="00EF26F8"/>
    <w:rsid w:val="00F03A97"/>
    <w:rsid w:val="00F04196"/>
    <w:rsid w:val="00F04379"/>
    <w:rsid w:val="00F15DA7"/>
    <w:rsid w:val="00F27D1D"/>
    <w:rsid w:val="00F35239"/>
    <w:rsid w:val="00F479DC"/>
    <w:rsid w:val="00F50B0A"/>
    <w:rsid w:val="00F54CED"/>
    <w:rsid w:val="00FA220D"/>
    <w:rsid w:val="00FC03BD"/>
    <w:rsid w:val="00FE6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56B7A2A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5C5E"/>
  </w:style>
  <w:style w:type="paragraph" w:styleId="Heading1">
    <w:name w:val="heading 1"/>
    <w:basedOn w:val="Title"/>
    <w:next w:val="Normal"/>
    <w:link w:val="Heading1Char"/>
    <w:uiPriority w:val="9"/>
    <w:qFormat/>
    <w:rsid w:val="00004418"/>
    <w:pPr>
      <w:outlineLvl w:val="0"/>
    </w:pPr>
    <w:rPr>
      <w:b/>
      <w:bCs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4418"/>
    <w:pPr>
      <w:ind w:left="357"/>
      <w:outlineLvl w:val="1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4418"/>
    <w:rPr>
      <w:rFonts w:asciiTheme="majorHAnsi" w:eastAsiaTheme="majorEastAsia" w:hAnsiTheme="majorHAnsi" w:cstheme="majorBidi"/>
      <w:b/>
      <w:bCs/>
      <w:color w:val="2E74B5" w:themeColor="accent1" w:themeShade="BF"/>
      <w:spacing w:val="-10"/>
      <w:kern w:val="28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B35DB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5D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004418"/>
    <w:rPr>
      <w:u w:val="single"/>
    </w:rPr>
  </w:style>
  <w:style w:type="paragraph" w:styleId="Header">
    <w:name w:val="header"/>
    <w:basedOn w:val="Normal"/>
    <w:link w:val="HeaderChar"/>
    <w:uiPriority w:val="99"/>
    <w:unhideWhenUsed/>
    <w:rsid w:val="006F5C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5CD0"/>
  </w:style>
  <w:style w:type="paragraph" w:styleId="Footer">
    <w:name w:val="footer"/>
    <w:basedOn w:val="Normal"/>
    <w:link w:val="FooterChar"/>
    <w:uiPriority w:val="99"/>
    <w:unhideWhenUsed/>
    <w:rsid w:val="006F5C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5CD0"/>
  </w:style>
  <w:style w:type="paragraph" w:styleId="ListParagraph">
    <w:name w:val="List Paragraph"/>
    <w:basedOn w:val="Normal"/>
    <w:uiPriority w:val="34"/>
    <w:qFormat/>
    <w:rsid w:val="006F5CD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49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97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24C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4C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4C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4C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4CC6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0D61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C39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32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2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1888</Characters>
  <Application>Microsoft Office Word</Application>
  <DocSecurity>0</DocSecurity>
  <Lines>50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B: Export Finance Australia: independent review of overseas infrastructure financing powers – summary of amendments to the Export Finance and Insurance Corporation Act 1991 (Efic Act)</dc:title>
  <dc:subject/>
  <dc:creator/>
  <cp:keywords/>
  <dc:description/>
  <cp:lastModifiedBy/>
  <cp:revision>1</cp:revision>
  <dcterms:created xsi:type="dcterms:W3CDTF">2021-06-17T04:02:00Z</dcterms:created>
  <dcterms:modified xsi:type="dcterms:W3CDTF">2021-06-17T04:02:00Z</dcterms:modified>
  <cp:category/>
</cp:coreProperties>
</file>