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27F99" w14:textId="1E355BF9" w:rsidR="00F338DC" w:rsidRDefault="00F338DC" w:rsidP="00DA2B0C">
      <w:pPr>
        <w:spacing w:line="259" w:lineRule="auto"/>
        <w:jc w:val="center"/>
        <w:rPr>
          <w:b/>
          <w:bCs/>
        </w:rPr>
      </w:pPr>
      <w:r w:rsidRPr="00233B94">
        <w:rPr>
          <w:b/>
          <w:bCs/>
        </w:rPr>
        <w:t>A</w:t>
      </w:r>
      <w:r>
        <w:rPr>
          <w:b/>
          <w:bCs/>
        </w:rPr>
        <w:t>NNEX</w:t>
      </w:r>
      <w:r w:rsidRPr="00233B94">
        <w:rPr>
          <w:b/>
          <w:bCs/>
        </w:rPr>
        <w:t xml:space="preserve"> </w:t>
      </w:r>
      <w:r w:rsidR="00ED5543" w:rsidRPr="00233B94">
        <w:rPr>
          <w:b/>
          <w:bCs/>
        </w:rPr>
        <w:t>III</w:t>
      </w:r>
    </w:p>
    <w:p w14:paraId="3C20090E" w14:textId="1D94C157" w:rsidR="00F338DC" w:rsidRDefault="00F338DC" w:rsidP="00F338DC">
      <w:pPr>
        <w:spacing w:line="259" w:lineRule="auto"/>
        <w:jc w:val="center"/>
        <w:rPr>
          <w:b/>
          <w:bCs/>
        </w:rPr>
      </w:pPr>
    </w:p>
    <w:p w14:paraId="3908DFC6" w14:textId="5877FBB8" w:rsidR="00F338DC" w:rsidRPr="00233B94" w:rsidRDefault="00F338DC" w:rsidP="00233B94">
      <w:pPr>
        <w:spacing w:line="259" w:lineRule="auto"/>
        <w:jc w:val="center"/>
        <w:rPr>
          <w:b/>
          <w:bCs/>
        </w:rPr>
      </w:pPr>
      <w:r>
        <w:rPr>
          <w:b/>
          <w:bCs/>
        </w:rPr>
        <w:t>SCHEDULE OF AUSTRALIA</w:t>
      </w:r>
    </w:p>
    <w:p w14:paraId="4CD3A708" w14:textId="4F1D0C4E" w:rsidR="00F338DC" w:rsidRDefault="00F338DC" w:rsidP="00DA2B0C">
      <w:pPr>
        <w:spacing w:line="259" w:lineRule="auto"/>
        <w:jc w:val="center"/>
        <w:rPr>
          <w:b/>
          <w:bCs/>
        </w:rPr>
      </w:pPr>
    </w:p>
    <w:p w14:paraId="286DE73A" w14:textId="77777777" w:rsidR="00186C5E" w:rsidRDefault="00186C5E" w:rsidP="00DA2B0C">
      <w:pPr>
        <w:spacing w:line="259" w:lineRule="auto"/>
        <w:jc w:val="center"/>
        <w:rPr>
          <w:b/>
          <w:bCs/>
        </w:rPr>
      </w:pPr>
    </w:p>
    <w:p w14:paraId="2F8CC312" w14:textId="351A0E51" w:rsidR="00627A14" w:rsidRPr="00233B94" w:rsidRDefault="00F338DC" w:rsidP="00DA2B0C">
      <w:pPr>
        <w:spacing w:line="259" w:lineRule="auto"/>
        <w:jc w:val="center"/>
        <w:rPr>
          <w:b/>
          <w:bCs/>
        </w:rPr>
      </w:pPr>
      <w:r w:rsidRPr="00F338DC">
        <w:rPr>
          <w:b/>
          <w:bCs/>
        </w:rPr>
        <w:t>INTRODUCTORY NOTES</w:t>
      </w:r>
    </w:p>
    <w:p w14:paraId="63C02177" w14:textId="77777777" w:rsidR="00F338DC" w:rsidRPr="00233B94" w:rsidRDefault="00F338DC" w:rsidP="00233B94">
      <w:pPr>
        <w:spacing w:line="259" w:lineRule="auto"/>
        <w:jc w:val="both"/>
        <w:rPr>
          <w:b/>
          <w:bCs/>
        </w:rPr>
      </w:pPr>
    </w:p>
    <w:p w14:paraId="3964BBF8" w14:textId="166D62C5" w:rsidR="00D92EC5" w:rsidRDefault="00D92EC5" w:rsidP="00233B94">
      <w:pPr>
        <w:ind w:left="720" w:hanging="720"/>
        <w:jc w:val="both"/>
      </w:pPr>
      <w:r w:rsidRPr="00A724B5">
        <w:t>1.</w:t>
      </w:r>
      <w:r w:rsidRPr="00D92EC5">
        <w:t xml:space="preserve"> </w:t>
      </w:r>
      <w:r w:rsidR="00A724B5">
        <w:tab/>
      </w:r>
      <w:r w:rsidR="00B7350D">
        <w:t>For</w:t>
      </w:r>
      <w:r w:rsidR="00374545">
        <w:t xml:space="preserve"> Section A</w:t>
      </w:r>
      <w:r w:rsidR="00B7350D">
        <w:t xml:space="preserve"> of this </w:t>
      </w:r>
      <w:r w:rsidR="00587209">
        <w:t>S</w:t>
      </w:r>
      <w:r w:rsidR="00B7350D">
        <w:t>chedule</w:t>
      </w:r>
      <w:r w:rsidR="00374545">
        <w:t xml:space="preserve">, </w:t>
      </w:r>
      <w:r>
        <w:t>“</w:t>
      </w:r>
      <w:r w:rsidRPr="00D92EC5">
        <w:t>Description</w:t>
      </w:r>
      <w:r>
        <w:t>”</w:t>
      </w:r>
      <w:r w:rsidRPr="00D92EC5">
        <w:t xml:space="preserve"> sets out the non-conforming measure for which the entry is made.</w:t>
      </w:r>
    </w:p>
    <w:p w14:paraId="63E2581F" w14:textId="77777777" w:rsidR="00D92EC5" w:rsidRPr="00D92EC5" w:rsidRDefault="00D92EC5" w:rsidP="00233B94">
      <w:pPr>
        <w:jc w:val="both"/>
      </w:pPr>
    </w:p>
    <w:p w14:paraId="688BDC87" w14:textId="7D72E4A6" w:rsidR="00D92EC5" w:rsidRDefault="00D92EC5" w:rsidP="00233B94">
      <w:pPr>
        <w:ind w:left="720" w:hanging="720"/>
        <w:jc w:val="both"/>
      </w:pPr>
      <w:r w:rsidRPr="00D92EC5">
        <w:t xml:space="preserve">2. </w:t>
      </w:r>
      <w:r w:rsidR="00A724B5">
        <w:tab/>
      </w:r>
      <w:r w:rsidR="00B7350D">
        <w:t xml:space="preserve">For Section A of this </w:t>
      </w:r>
      <w:r w:rsidR="00587209">
        <w:t>S</w:t>
      </w:r>
      <w:r w:rsidR="00B7350D">
        <w:t>chedule</w:t>
      </w:r>
      <w:r w:rsidR="00C85E03">
        <w:t>, i</w:t>
      </w:r>
      <w:r w:rsidRPr="00D92EC5">
        <w:t>n accordance with Article 9.10 (Non-Conforming Measures</w:t>
      </w:r>
      <w:r w:rsidR="004642AA">
        <w:t xml:space="preserve"> – Financial Services</w:t>
      </w:r>
      <w:r w:rsidRPr="00D92EC5">
        <w:t xml:space="preserve">), the articles of this Agreement specified in the </w:t>
      </w:r>
      <w:r>
        <w:t>“</w:t>
      </w:r>
      <w:r w:rsidRPr="00D92EC5">
        <w:t>Obligations concerned</w:t>
      </w:r>
      <w:r>
        <w:t>”</w:t>
      </w:r>
      <w:r w:rsidRPr="00D92EC5">
        <w:t xml:space="preserve"> element of an entry do not apply to the non-conforming measures identified in the </w:t>
      </w:r>
      <w:r>
        <w:t>“</w:t>
      </w:r>
      <w:r w:rsidRPr="00D92EC5">
        <w:t>Description</w:t>
      </w:r>
      <w:r>
        <w:t>”</w:t>
      </w:r>
      <w:r w:rsidRPr="00D92EC5">
        <w:t xml:space="preserve"> element of that entry.</w:t>
      </w:r>
    </w:p>
    <w:p w14:paraId="3C5ECACD" w14:textId="77777777" w:rsidR="00D92EC5" w:rsidRPr="00D92EC5" w:rsidRDefault="00D92EC5" w:rsidP="00233B94">
      <w:pPr>
        <w:jc w:val="both"/>
      </w:pPr>
    </w:p>
    <w:p w14:paraId="5898132A" w14:textId="0A3CCAE5" w:rsidR="00D92EC5" w:rsidRDefault="00D92EC5" w:rsidP="00836232">
      <w:pPr>
        <w:ind w:left="720" w:hanging="720"/>
        <w:jc w:val="both"/>
      </w:pPr>
      <w:r w:rsidRPr="00D92EC5">
        <w:t xml:space="preserve">3. </w:t>
      </w:r>
      <w:r w:rsidR="00A724B5">
        <w:tab/>
      </w:r>
      <w:r w:rsidRPr="00D92EC5">
        <w:t xml:space="preserve">Australia reserves the right to maintain and to add to </w:t>
      </w:r>
      <w:r w:rsidR="00587209">
        <w:t>Section A of this Schedule</w:t>
      </w:r>
      <w:r w:rsidRPr="00D92EC5">
        <w:t xml:space="preserve"> any non</w:t>
      </w:r>
      <w:r w:rsidR="00836232">
        <w:noBreakHyphen/>
      </w:r>
      <w:r w:rsidRPr="00D92EC5">
        <w:t xml:space="preserve">conforming measure at the regional level of government that existed </w:t>
      </w:r>
      <w:proofErr w:type="gramStart"/>
      <w:r w:rsidRPr="00D92EC5">
        <w:t>at</w:t>
      </w:r>
      <w:proofErr w:type="gramEnd"/>
      <w:r w:rsidRPr="00D92EC5">
        <w:t xml:space="preserve"> </w:t>
      </w:r>
      <w:r w:rsidR="00836232" w:rsidRPr="00D92EC5">
        <w:t>1</w:t>
      </w:r>
      <w:r w:rsidR="00836232">
        <w:t> </w:t>
      </w:r>
      <w:r w:rsidRPr="00D92EC5">
        <w:t xml:space="preserve">January 2005, but was not listed in this Schedule at the date of entry into force of this Agreement against the following obligations: </w:t>
      </w:r>
    </w:p>
    <w:p w14:paraId="0B15DC7E" w14:textId="77777777" w:rsidR="00D92EC5" w:rsidRPr="00D92EC5" w:rsidRDefault="00D92EC5" w:rsidP="00233B94">
      <w:pPr>
        <w:jc w:val="both"/>
      </w:pPr>
    </w:p>
    <w:p w14:paraId="5D241037" w14:textId="6693A5CC" w:rsidR="00D92EC5" w:rsidRDefault="00D92EC5" w:rsidP="00233B94">
      <w:pPr>
        <w:ind w:left="720"/>
        <w:jc w:val="both"/>
      </w:pPr>
      <w:r w:rsidRPr="00D92EC5">
        <w:t xml:space="preserve">(a) </w:t>
      </w:r>
      <w:r w:rsidR="00A724B5">
        <w:tab/>
      </w:r>
      <w:r w:rsidRPr="00D92EC5">
        <w:t>Article 9.5 (National Treatment</w:t>
      </w:r>
      <w:r w:rsidR="004642AA">
        <w:t xml:space="preserve"> – Financial Services</w:t>
      </w:r>
      <w:proofErr w:type="gramStart"/>
      <w:r w:rsidRPr="00D92EC5">
        <w:t>)</w:t>
      </w:r>
      <w:r w:rsidR="00C528A7">
        <w:t>;</w:t>
      </w:r>
      <w:proofErr w:type="gramEnd"/>
    </w:p>
    <w:p w14:paraId="4C198D34" w14:textId="77777777" w:rsidR="00D92EC5" w:rsidRPr="00D92EC5" w:rsidRDefault="00D92EC5" w:rsidP="00233B94">
      <w:pPr>
        <w:ind w:left="720"/>
        <w:jc w:val="both"/>
      </w:pPr>
    </w:p>
    <w:p w14:paraId="4B8F05A4" w14:textId="58E9A7D4" w:rsidR="00D92EC5" w:rsidRDefault="00D92EC5" w:rsidP="00233B94">
      <w:pPr>
        <w:ind w:left="720"/>
        <w:jc w:val="both"/>
      </w:pPr>
      <w:r w:rsidRPr="00D92EC5">
        <w:t xml:space="preserve">(b) </w:t>
      </w:r>
      <w:r w:rsidR="00A724B5">
        <w:tab/>
      </w:r>
      <w:r w:rsidRPr="00D92EC5">
        <w:t>Article 9.6 (Market Access</w:t>
      </w:r>
      <w:r w:rsidR="004642AA">
        <w:t xml:space="preserve"> – Financial Services</w:t>
      </w:r>
      <w:proofErr w:type="gramStart"/>
      <w:r w:rsidRPr="00D92EC5">
        <w:t>)</w:t>
      </w:r>
      <w:r w:rsidR="00C528A7">
        <w:t>;</w:t>
      </w:r>
      <w:proofErr w:type="gramEnd"/>
    </w:p>
    <w:p w14:paraId="5137AB78" w14:textId="77777777" w:rsidR="00D92EC5" w:rsidRPr="00D92EC5" w:rsidRDefault="00D92EC5" w:rsidP="00233B94">
      <w:pPr>
        <w:ind w:left="720"/>
        <w:jc w:val="both"/>
      </w:pPr>
    </w:p>
    <w:p w14:paraId="48D8417D" w14:textId="6469DD16" w:rsidR="00D92EC5" w:rsidRPr="00D92EC5" w:rsidRDefault="00D92EC5" w:rsidP="00233B94">
      <w:pPr>
        <w:ind w:left="720"/>
        <w:jc w:val="both"/>
      </w:pPr>
      <w:r w:rsidRPr="00D92EC5">
        <w:t xml:space="preserve">(c) </w:t>
      </w:r>
      <w:r w:rsidR="00A724B5">
        <w:tab/>
      </w:r>
      <w:r w:rsidRPr="00D92EC5">
        <w:t>Article 9.7 (</w:t>
      </w:r>
      <w:r w:rsidR="00F52EEC">
        <w:t>Local Presence</w:t>
      </w:r>
      <w:r w:rsidR="004642AA">
        <w:t xml:space="preserve"> – Financial Services</w:t>
      </w:r>
      <w:proofErr w:type="gramStart"/>
      <w:r w:rsidRPr="00D92EC5">
        <w:t>)</w:t>
      </w:r>
      <w:r w:rsidR="00C528A7">
        <w:t>;</w:t>
      </w:r>
      <w:proofErr w:type="gramEnd"/>
    </w:p>
    <w:p w14:paraId="7BF45737" w14:textId="77777777" w:rsidR="00D92EC5" w:rsidRDefault="00D92EC5" w:rsidP="00233B94">
      <w:pPr>
        <w:ind w:left="720"/>
        <w:jc w:val="both"/>
      </w:pPr>
    </w:p>
    <w:p w14:paraId="2B553B3E" w14:textId="6FFC936B" w:rsidR="00D92EC5" w:rsidRPr="00D92EC5" w:rsidRDefault="00D92EC5" w:rsidP="00426191">
      <w:pPr>
        <w:ind w:left="1440" w:hanging="720"/>
        <w:jc w:val="both"/>
      </w:pPr>
      <w:r w:rsidRPr="00D92EC5">
        <w:t xml:space="preserve">(d) </w:t>
      </w:r>
      <w:r w:rsidR="00A724B5">
        <w:tab/>
      </w:r>
      <w:r w:rsidRPr="00D92EC5">
        <w:t>Article 9.8 (</w:t>
      </w:r>
      <w:r w:rsidR="00F52EEC">
        <w:t>Most-Favoured-Nation Treatment</w:t>
      </w:r>
      <w:r w:rsidR="004642AA">
        <w:t xml:space="preserve"> – Financial Services</w:t>
      </w:r>
      <w:r w:rsidR="00F52EEC">
        <w:t>)</w:t>
      </w:r>
      <w:r>
        <w:t>; and</w:t>
      </w:r>
    </w:p>
    <w:p w14:paraId="3B0C9B0F" w14:textId="77777777" w:rsidR="00D92EC5" w:rsidRDefault="00D92EC5" w:rsidP="00233B94">
      <w:pPr>
        <w:ind w:left="720"/>
        <w:jc w:val="both"/>
      </w:pPr>
    </w:p>
    <w:p w14:paraId="7FCE8366" w14:textId="211E2113" w:rsidR="00D92EC5" w:rsidRPr="00D92EC5" w:rsidRDefault="00D92EC5" w:rsidP="00233B94">
      <w:pPr>
        <w:ind w:left="1440" w:hanging="720"/>
        <w:jc w:val="both"/>
      </w:pPr>
      <w:r w:rsidRPr="00D92EC5">
        <w:t xml:space="preserve">(e) </w:t>
      </w:r>
      <w:r w:rsidR="00A724B5">
        <w:tab/>
      </w:r>
      <w:r w:rsidRPr="00D92EC5">
        <w:t>Article 9.9 (Senior Management and Boards of Directors</w:t>
      </w:r>
      <w:r w:rsidR="004642AA">
        <w:t xml:space="preserve"> – Financial Services</w:t>
      </w:r>
      <w:r w:rsidRPr="00D92EC5">
        <w:t>)</w:t>
      </w:r>
      <w:r>
        <w:t>.</w:t>
      </w:r>
    </w:p>
    <w:p w14:paraId="2434640A" w14:textId="77777777" w:rsidR="00D92EC5" w:rsidRDefault="00D92EC5" w:rsidP="00233B94">
      <w:pPr>
        <w:jc w:val="both"/>
      </w:pPr>
    </w:p>
    <w:p w14:paraId="3093E401" w14:textId="0EB4C1AA" w:rsidR="00D92EC5" w:rsidRPr="00D92EC5" w:rsidRDefault="00D92EC5" w:rsidP="00233B94">
      <w:pPr>
        <w:ind w:left="720" w:hanging="720"/>
        <w:jc w:val="both"/>
      </w:pPr>
      <w:r w:rsidRPr="00D92EC5">
        <w:t xml:space="preserve">4. </w:t>
      </w:r>
      <w:r w:rsidR="00A724B5">
        <w:tab/>
      </w:r>
      <w:r w:rsidRPr="00D92EC5">
        <w:t>Any existing non-conforming measure that is maintained and added to this Schedule pursuant to paragraph 3 shall include any amendment to that non</w:t>
      </w:r>
      <w:r w:rsidR="004A00D7">
        <w:noBreakHyphen/>
      </w:r>
      <w:r w:rsidRPr="00D92EC5">
        <w:t>conforming measure since 1 January 2005, to the extent that the amendment does not decrease the conformity of the measure, as it existed immediately before the amendment.</w:t>
      </w:r>
    </w:p>
    <w:p w14:paraId="469BD6FA" w14:textId="77777777" w:rsidR="00D92EC5" w:rsidRDefault="00D92EC5" w:rsidP="00233B94">
      <w:pPr>
        <w:jc w:val="both"/>
      </w:pPr>
    </w:p>
    <w:p w14:paraId="349ECF42" w14:textId="1ACF1328" w:rsidR="00D92EC5" w:rsidRPr="00D92EC5" w:rsidRDefault="00D92EC5" w:rsidP="00233B94">
      <w:pPr>
        <w:ind w:left="720" w:hanging="720"/>
        <w:jc w:val="both"/>
      </w:pPr>
      <w:r w:rsidRPr="00D92EC5">
        <w:t xml:space="preserve">5. </w:t>
      </w:r>
      <w:r w:rsidR="00A724B5">
        <w:tab/>
      </w:r>
      <w:r w:rsidRPr="00D92EC5">
        <w:t>For greater certainty, where Australia has more than one entry in Annex III – Section B that could apply to a measure, each entry is to be read independently, and is without prejudice to the application of any other entry to the measure.</w:t>
      </w:r>
    </w:p>
    <w:p w14:paraId="193F16BF" w14:textId="77777777" w:rsidR="00D92EC5" w:rsidRDefault="00D92EC5" w:rsidP="00233B94">
      <w:pPr>
        <w:jc w:val="both"/>
      </w:pPr>
    </w:p>
    <w:p w14:paraId="48A4F63F" w14:textId="54CA4D19" w:rsidR="00C45157" w:rsidRDefault="00D92EC5" w:rsidP="00426191">
      <w:pPr>
        <w:jc w:val="both"/>
        <w:rPr>
          <w:sz w:val="32"/>
          <w:szCs w:val="32"/>
        </w:rPr>
      </w:pPr>
      <w:r w:rsidRPr="00D92EC5">
        <w:t xml:space="preserve">6. </w:t>
      </w:r>
      <w:r w:rsidR="00F338DC">
        <w:tab/>
      </w:r>
      <w:r w:rsidRPr="00D92EC5">
        <w:t>All dollar figures are in Australian dollars unless specified otherwise.</w:t>
      </w:r>
      <w:bookmarkStart w:id="0" w:name="_Toc82512113"/>
      <w:r w:rsidR="00C45157">
        <w:rPr>
          <w:sz w:val="32"/>
          <w:szCs w:val="32"/>
        </w:rPr>
        <w:br w:type="page"/>
      </w:r>
    </w:p>
    <w:p w14:paraId="56062567" w14:textId="1B5C60BE" w:rsidR="00C45157" w:rsidRDefault="00C45157" w:rsidP="004A00D7">
      <w:pPr>
        <w:spacing w:line="259" w:lineRule="auto"/>
        <w:jc w:val="center"/>
        <w:rPr>
          <w:b/>
          <w:bCs/>
        </w:rPr>
      </w:pPr>
      <w:r w:rsidRPr="004A00D7">
        <w:rPr>
          <w:b/>
          <w:bCs/>
        </w:rPr>
        <w:lastRenderedPageBreak/>
        <w:t>Section A</w:t>
      </w:r>
    </w:p>
    <w:p w14:paraId="41F820A8" w14:textId="77777777" w:rsidR="004A00D7" w:rsidRPr="004A00D7" w:rsidRDefault="004A00D7" w:rsidP="004A00D7">
      <w:pPr>
        <w:spacing w:line="259" w:lineRule="auto"/>
        <w:jc w:val="center"/>
        <w:rPr>
          <w:b/>
          <w:bCs/>
        </w:rPr>
      </w:pPr>
    </w:p>
    <w:tbl>
      <w:tblPr>
        <w:tblStyle w:val="TableGrid"/>
        <w:tblW w:w="0" w:type="auto"/>
        <w:tblLook w:val="04A0" w:firstRow="1" w:lastRow="0" w:firstColumn="1" w:lastColumn="0" w:noHBand="0" w:noVBand="1"/>
      </w:tblPr>
      <w:tblGrid>
        <w:gridCol w:w="336"/>
        <w:gridCol w:w="2069"/>
        <w:gridCol w:w="5069"/>
      </w:tblGrid>
      <w:tr w:rsidR="008E35CB" w:rsidRPr="00D92EC5" w14:paraId="0180F7D9" w14:textId="77777777" w:rsidTr="008E35CB">
        <w:tc>
          <w:tcPr>
            <w:tcW w:w="336" w:type="dxa"/>
          </w:tcPr>
          <w:p w14:paraId="5484CFC0" w14:textId="2972C2EF" w:rsidR="008E35CB" w:rsidRPr="00D92EC5" w:rsidRDefault="00D92EC5" w:rsidP="00D92EC5">
            <w:r>
              <w:br w:type="page"/>
            </w:r>
            <w:bookmarkEnd w:id="0"/>
            <w:r w:rsidR="008E35CB">
              <w:t>1</w:t>
            </w:r>
          </w:p>
        </w:tc>
        <w:tc>
          <w:tcPr>
            <w:tcW w:w="2069" w:type="dxa"/>
          </w:tcPr>
          <w:p w14:paraId="4892434C" w14:textId="15D2D6BD" w:rsidR="008E35CB" w:rsidRPr="00D92EC5" w:rsidRDefault="008E35CB" w:rsidP="00D92EC5">
            <w:r w:rsidRPr="00D92EC5">
              <w:t>Sector</w:t>
            </w:r>
          </w:p>
        </w:tc>
        <w:tc>
          <w:tcPr>
            <w:tcW w:w="5069" w:type="dxa"/>
          </w:tcPr>
          <w:p w14:paraId="2998A159" w14:textId="77777777" w:rsidR="008E35CB" w:rsidRDefault="008E35CB">
            <w:r w:rsidRPr="00D92EC5">
              <w:t>Financial Services</w:t>
            </w:r>
          </w:p>
          <w:p w14:paraId="2E2CA349" w14:textId="6EC22880" w:rsidR="004642AA" w:rsidRPr="00D92EC5" w:rsidRDefault="004642AA" w:rsidP="00233B94"/>
        </w:tc>
      </w:tr>
      <w:tr w:rsidR="008E35CB" w:rsidRPr="00D92EC5" w14:paraId="3A637974" w14:textId="77777777" w:rsidTr="008E35CB">
        <w:tc>
          <w:tcPr>
            <w:tcW w:w="336" w:type="dxa"/>
          </w:tcPr>
          <w:p w14:paraId="6CE4EA77" w14:textId="77777777" w:rsidR="008E35CB" w:rsidRPr="00D92EC5" w:rsidRDefault="008E35CB" w:rsidP="00D92EC5"/>
        </w:tc>
        <w:tc>
          <w:tcPr>
            <w:tcW w:w="2069" w:type="dxa"/>
          </w:tcPr>
          <w:p w14:paraId="5A93E5EF" w14:textId="020DF7B7" w:rsidR="008E35CB" w:rsidRPr="00D92EC5" w:rsidRDefault="008E35CB" w:rsidP="00D92EC5">
            <w:r w:rsidRPr="00D92EC5">
              <w:t>Obligations concerned</w:t>
            </w:r>
          </w:p>
        </w:tc>
        <w:tc>
          <w:tcPr>
            <w:tcW w:w="5069" w:type="dxa"/>
          </w:tcPr>
          <w:p w14:paraId="7FEAC780" w14:textId="37311455" w:rsidR="008E35CB" w:rsidRPr="00D92EC5" w:rsidRDefault="008E35CB" w:rsidP="00233B94">
            <w:r w:rsidRPr="00D92EC5">
              <w:t xml:space="preserve">National Treatment  </w:t>
            </w:r>
          </w:p>
          <w:p w14:paraId="4D8CC11B" w14:textId="70E5CF67" w:rsidR="008E35CB" w:rsidRDefault="008E35CB">
            <w:r w:rsidRPr="00D92EC5">
              <w:t xml:space="preserve">Market Access </w:t>
            </w:r>
          </w:p>
          <w:p w14:paraId="62282D6C" w14:textId="5F72AE12" w:rsidR="004642AA" w:rsidRPr="00D92EC5" w:rsidRDefault="004642AA" w:rsidP="00233B94"/>
        </w:tc>
      </w:tr>
      <w:tr w:rsidR="008E35CB" w:rsidRPr="00D92EC5" w14:paraId="5D67BD3C" w14:textId="77777777" w:rsidTr="008E35CB">
        <w:tc>
          <w:tcPr>
            <w:tcW w:w="336" w:type="dxa"/>
          </w:tcPr>
          <w:p w14:paraId="7B6618BC" w14:textId="77777777" w:rsidR="008E35CB" w:rsidRPr="00D92EC5" w:rsidRDefault="008E35CB" w:rsidP="00D92EC5"/>
        </w:tc>
        <w:tc>
          <w:tcPr>
            <w:tcW w:w="2069" w:type="dxa"/>
          </w:tcPr>
          <w:p w14:paraId="3D8CBFE5" w14:textId="77777777" w:rsidR="008E35CB" w:rsidRDefault="008E35CB" w:rsidP="00D92EC5">
            <w:r w:rsidRPr="00D92EC5">
              <w:t>Level of government</w:t>
            </w:r>
          </w:p>
          <w:p w14:paraId="15371C3A" w14:textId="2BD8F71C" w:rsidR="004642AA" w:rsidRPr="00D92EC5" w:rsidRDefault="004642AA" w:rsidP="00D92EC5"/>
        </w:tc>
        <w:tc>
          <w:tcPr>
            <w:tcW w:w="5069" w:type="dxa"/>
          </w:tcPr>
          <w:p w14:paraId="7E42A2AD" w14:textId="77777777" w:rsidR="008E35CB" w:rsidRPr="00D92EC5" w:rsidRDefault="008E35CB" w:rsidP="00233B94">
            <w:r w:rsidRPr="00D92EC5">
              <w:t>Central</w:t>
            </w:r>
          </w:p>
        </w:tc>
      </w:tr>
      <w:tr w:rsidR="008E35CB" w:rsidRPr="00D92EC5" w14:paraId="5EFB95B6" w14:textId="77777777" w:rsidTr="008E35CB">
        <w:tc>
          <w:tcPr>
            <w:tcW w:w="336" w:type="dxa"/>
          </w:tcPr>
          <w:p w14:paraId="5722DB1B" w14:textId="77777777" w:rsidR="008E35CB" w:rsidRPr="00D92EC5" w:rsidRDefault="008E35CB" w:rsidP="00D92EC5"/>
        </w:tc>
        <w:tc>
          <w:tcPr>
            <w:tcW w:w="2069" w:type="dxa"/>
          </w:tcPr>
          <w:p w14:paraId="6FD38055" w14:textId="5E3FF83B" w:rsidR="008E35CB" w:rsidRPr="00D92EC5" w:rsidRDefault="008E35CB" w:rsidP="00D92EC5">
            <w:r w:rsidRPr="00D92EC5">
              <w:t>Measures</w:t>
            </w:r>
          </w:p>
        </w:tc>
        <w:tc>
          <w:tcPr>
            <w:tcW w:w="5069" w:type="dxa"/>
          </w:tcPr>
          <w:p w14:paraId="1FEF3F68" w14:textId="77777777" w:rsidR="008E35CB" w:rsidRPr="00D92EC5" w:rsidRDefault="008E35CB" w:rsidP="00233B94">
            <w:r w:rsidRPr="008E35CB">
              <w:rPr>
                <w:i/>
                <w:iCs/>
              </w:rPr>
              <w:t>Banking Act 1959</w:t>
            </w:r>
            <w:r w:rsidRPr="00D92EC5">
              <w:t xml:space="preserve"> (</w:t>
            </w:r>
            <w:proofErr w:type="spellStart"/>
            <w:r w:rsidRPr="00D92EC5">
              <w:t>Cth</w:t>
            </w:r>
            <w:proofErr w:type="spellEnd"/>
            <w:r w:rsidRPr="00D92EC5">
              <w:t>)</w:t>
            </w:r>
          </w:p>
          <w:p w14:paraId="3665B99E" w14:textId="77777777" w:rsidR="008E35CB" w:rsidRDefault="008E35CB">
            <w:r w:rsidRPr="008E35CB">
              <w:rPr>
                <w:i/>
                <w:iCs/>
              </w:rPr>
              <w:t>Payment Systems (Regulation) Act 1998</w:t>
            </w:r>
            <w:r w:rsidRPr="00D92EC5">
              <w:t xml:space="preserve"> (</w:t>
            </w:r>
            <w:proofErr w:type="spellStart"/>
            <w:r w:rsidRPr="00D92EC5">
              <w:t>Cth</w:t>
            </w:r>
            <w:proofErr w:type="spellEnd"/>
            <w:r w:rsidRPr="00D92EC5">
              <w:t>)</w:t>
            </w:r>
          </w:p>
          <w:p w14:paraId="38603C71" w14:textId="5BAA7C0C" w:rsidR="004642AA" w:rsidRPr="00D92EC5" w:rsidRDefault="004642AA" w:rsidP="00233B94"/>
        </w:tc>
      </w:tr>
      <w:tr w:rsidR="008E35CB" w:rsidRPr="00D92EC5" w14:paraId="41F9599C" w14:textId="77777777" w:rsidTr="008E35CB">
        <w:tc>
          <w:tcPr>
            <w:tcW w:w="336" w:type="dxa"/>
          </w:tcPr>
          <w:p w14:paraId="4800E49D" w14:textId="77777777" w:rsidR="008E35CB" w:rsidRPr="00D92EC5" w:rsidRDefault="008E35CB" w:rsidP="00D92EC5"/>
        </w:tc>
        <w:tc>
          <w:tcPr>
            <w:tcW w:w="2069" w:type="dxa"/>
          </w:tcPr>
          <w:p w14:paraId="74AB5F13" w14:textId="74BE6A4C" w:rsidR="008E35CB" w:rsidRPr="00D92EC5" w:rsidRDefault="008E35CB" w:rsidP="00D92EC5">
            <w:r w:rsidRPr="00D92EC5">
              <w:t>Description</w:t>
            </w:r>
          </w:p>
        </w:tc>
        <w:tc>
          <w:tcPr>
            <w:tcW w:w="5069" w:type="dxa"/>
          </w:tcPr>
          <w:p w14:paraId="60ACF435" w14:textId="77777777" w:rsidR="008E35CB" w:rsidRPr="00D92EC5" w:rsidRDefault="008E35CB" w:rsidP="00233B94">
            <w:pPr>
              <w:jc w:val="both"/>
            </w:pPr>
            <w:r w:rsidRPr="00D92EC5">
              <w:t xml:space="preserve">A foreign bank located overseas is able to offer its services to Australian </w:t>
            </w:r>
            <w:proofErr w:type="gramStart"/>
            <w:r w:rsidRPr="00D92EC5">
              <w:t>enterprises, but</w:t>
            </w:r>
            <w:proofErr w:type="gramEnd"/>
            <w:r w:rsidRPr="00D92EC5">
              <w:t xml:space="preserve"> is not allowed to raise deposit funds in Australia or undertake business within Australia unless it is an authorised bank (or establishes a money market corporation, subsidiary, etc.).</w:t>
            </w:r>
          </w:p>
          <w:p w14:paraId="66218545" w14:textId="77777777" w:rsidR="008E35CB" w:rsidRPr="00D92EC5" w:rsidRDefault="008E35CB" w:rsidP="00233B94">
            <w:pPr>
              <w:jc w:val="both"/>
            </w:pPr>
          </w:p>
          <w:p w14:paraId="2F02971D" w14:textId="594064F1" w:rsidR="008E35CB" w:rsidRPr="00D92EC5" w:rsidRDefault="008E35CB" w:rsidP="00233B94">
            <w:pPr>
              <w:jc w:val="both"/>
            </w:pPr>
            <w:r w:rsidRPr="00D92EC5">
              <w:t xml:space="preserve">Foreign banks located overseas may only raise funds in Australia through the issue of debt securities provided those securities are offered or traded in parcels of not less than $500,000 and the securities and any associated information memoranda clearly state the issuing bank is not authorised under the </w:t>
            </w:r>
            <w:r w:rsidRPr="00233B94">
              <w:rPr>
                <w:i/>
                <w:iCs/>
              </w:rPr>
              <w:t>Banking Act 1959</w:t>
            </w:r>
            <w:r w:rsidRPr="00D92EC5">
              <w:t xml:space="preserve"> (</w:t>
            </w:r>
            <w:proofErr w:type="spellStart"/>
            <w:r w:rsidRPr="00D92EC5">
              <w:t>Cth</w:t>
            </w:r>
            <w:proofErr w:type="spellEnd"/>
            <w:r w:rsidRPr="00D92EC5">
              <w:t>) in Australia.</w:t>
            </w:r>
          </w:p>
          <w:p w14:paraId="116BEE5B" w14:textId="77777777" w:rsidR="008E35CB" w:rsidRPr="00D92EC5" w:rsidRDefault="008E35CB" w:rsidP="00233B94">
            <w:pPr>
              <w:jc w:val="both"/>
            </w:pPr>
          </w:p>
          <w:p w14:paraId="74A3E316" w14:textId="77777777" w:rsidR="008E35CB" w:rsidRPr="00D92EC5" w:rsidRDefault="008E35CB" w:rsidP="00233B94">
            <w:pPr>
              <w:jc w:val="both"/>
            </w:pPr>
            <w:r w:rsidRPr="00D92EC5">
              <w:t>To undertake banking business in Australia an entity must be a body corporate and authorised as an authorised deposit-taking institution (ADI).</w:t>
            </w:r>
          </w:p>
          <w:p w14:paraId="4E4BAE84" w14:textId="77777777" w:rsidR="008E35CB" w:rsidRPr="00D92EC5" w:rsidRDefault="008E35CB" w:rsidP="00233B94">
            <w:pPr>
              <w:jc w:val="both"/>
            </w:pPr>
          </w:p>
          <w:p w14:paraId="4872CA9B" w14:textId="77777777" w:rsidR="008E35CB" w:rsidRPr="00D92EC5" w:rsidRDefault="008E35CB" w:rsidP="00233B94">
            <w:pPr>
              <w:jc w:val="both"/>
            </w:pPr>
            <w:r w:rsidRPr="00D92EC5">
              <w:t>Foreign deposit-taking institutions (including foreign banks) may only operate a banking business in Australia through locally incorporated deposit-taking subsidiaries or authorised branches (foreign ADIs), or through both structures.</w:t>
            </w:r>
          </w:p>
          <w:p w14:paraId="76D36F2D" w14:textId="77777777" w:rsidR="008E35CB" w:rsidRPr="00D92EC5" w:rsidRDefault="008E35CB" w:rsidP="00233B94">
            <w:pPr>
              <w:jc w:val="both"/>
            </w:pPr>
          </w:p>
          <w:p w14:paraId="285D0D81" w14:textId="77777777" w:rsidR="008E35CB" w:rsidRPr="00D92EC5" w:rsidRDefault="008E35CB" w:rsidP="00233B94">
            <w:pPr>
              <w:jc w:val="both"/>
            </w:pPr>
            <w:r w:rsidRPr="00D92EC5">
              <w:t>A branch of a foreign bank that is authorised as a deposit-taking institution in Australia (foreign ADI) is not permitted to accept initial deposits (and other funds) from individuals and non-corporate institutions of less than $250,000.</w:t>
            </w:r>
          </w:p>
          <w:p w14:paraId="14DBE6F5" w14:textId="77777777" w:rsidR="008E35CB" w:rsidRPr="00D92EC5" w:rsidRDefault="008E35CB" w:rsidP="00233B94">
            <w:pPr>
              <w:jc w:val="both"/>
            </w:pPr>
          </w:p>
          <w:p w14:paraId="2DD43B72" w14:textId="176C0780" w:rsidR="008E35CB" w:rsidRPr="00D92EC5" w:rsidRDefault="008E35CB" w:rsidP="00233B94">
            <w:pPr>
              <w:jc w:val="both"/>
            </w:pPr>
            <w:r w:rsidRPr="00D92EC5">
              <w:lastRenderedPageBreak/>
              <w:t>A representative office of a foreign bank is not permitted to undertake any banking business, including advertising for deposits, in Australia.</w:t>
            </w:r>
            <w:r w:rsidR="00C6368A">
              <w:t xml:space="preserve"> </w:t>
            </w:r>
            <w:r w:rsidRPr="00D92EC5">
              <w:t xml:space="preserve"> Such a representative office is only permitted to act as a liaison point.</w:t>
            </w:r>
          </w:p>
        </w:tc>
      </w:tr>
    </w:tbl>
    <w:p w14:paraId="15EF7D4E" w14:textId="5985F4D4" w:rsidR="00DA2B0C" w:rsidRDefault="00DA2B0C" w:rsidP="00D92EC5"/>
    <w:p w14:paraId="030E49C1" w14:textId="77777777" w:rsidR="00DA2B0C" w:rsidRDefault="00DA2B0C">
      <w:pPr>
        <w:spacing w:after="160" w:line="259" w:lineRule="auto"/>
      </w:pPr>
      <w:r>
        <w:br w:type="page"/>
      </w:r>
    </w:p>
    <w:p w14:paraId="6B2A86E5" w14:textId="77777777" w:rsidR="00FF3A88" w:rsidRPr="00D92EC5" w:rsidRDefault="00FF3A88" w:rsidP="00D92EC5"/>
    <w:tbl>
      <w:tblPr>
        <w:tblStyle w:val="TableGrid"/>
        <w:tblW w:w="0" w:type="auto"/>
        <w:tblLook w:val="04A0" w:firstRow="1" w:lastRow="0" w:firstColumn="1" w:lastColumn="0" w:noHBand="0" w:noVBand="1"/>
      </w:tblPr>
      <w:tblGrid>
        <w:gridCol w:w="336"/>
        <w:gridCol w:w="2069"/>
        <w:gridCol w:w="5069"/>
      </w:tblGrid>
      <w:tr w:rsidR="008E35CB" w:rsidRPr="00D92EC5" w14:paraId="009CB286" w14:textId="77777777" w:rsidTr="000416E7">
        <w:tc>
          <w:tcPr>
            <w:tcW w:w="336" w:type="dxa"/>
          </w:tcPr>
          <w:p w14:paraId="31457B16" w14:textId="08AD37E5" w:rsidR="008E35CB" w:rsidRPr="00D92EC5" w:rsidRDefault="008E35CB" w:rsidP="000416E7">
            <w:r>
              <w:t>2</w:t>
            </w:r>
          </w:p>
        </w:tc>
        <w:tc>
          <w:tcPr>
            <w:tcW w:w="2069" w:type="dxa"/>
          </w:tcPr>
          <w:p w14:paraId="518FB715" w14:textId="77777777" w:rsidR="008E35CB" w:rsidRPr="00D92EC5" w:rsidRDefault="008E35CB" w:rsidP="000416E7">
            <w:r w:rsidRPr="00D92EC5">
              <w:t>Sector</w:t>
            </w:r>
          </w:p>
        </w:tc>
        <w:tc>
          <w:tcPr>
            <w:tcW w:w="5069" w:type="dxa"/>
          </w:tcPr>
          <w:p w14:paraId="38851118" w14:textId="77777777" w:rsidR="008E35CB" w:rsidRDefault="008E35CB">
            <w:pPr>
              <w:jc w:val="both"/>
            </w:pPr>
            <w:r w:rsidRPr="00D92EC5">
              <w:t>Financial Services</w:t>
            </w:r>
          </w:p>
          <w:p w14:paraId="116F9465" w14:textId="778EB365" w:rsidR="004642AA" w:rsidRPr="00D92EC5" w:rsidRDefault="004642AA" w:rsidP="00233B94">
            <w:pPr>
              <w:jc w:val="both"/>
            </w:pPr>
          </w:p>
        </w:tc>
      </w:tr>
      <w:tr w:rsidR="008E35CB" w:rsidRPr="00D92EC5" w14:paraId="2CD5218F" w14:textId="77777777" w:rsidTr="000416E7">
        <w:tc>
          <w:tcPr>
            <w:tcW w:w="336" w:type="dxa"/>
          </w:tcPr>
          <w:p w14:paraId="16796B44" w14:textId="77777777" w:rsidR="008E35CB" w:rsidRPr="00D92EC5" w:rsidRDefault="008E35CB" w:rsidP="000416E7"/>
        </w:tc>
        <w:tc>
          <w:tcPr>
            <w:tcW w:w="2069" w:type="dxa"/>
          </w:tcPr>
          <w:p w14:paraId="4B14C61A" w14:textId="77777777" w:rsidR="008E35CB" w:rsidRPr="00D92EC5" w:rsidRDefault="008E35CB" w:rsidP="000416E7">
            <w:r w:rsidRPr="00D92EC5">
              <w:t>Obligations concerned</w:t>
            </w:r>
          </w:p>
        </w:tc>
        <w:tc>
          <w:tcPr>
            <w:tcW w:w="5069" w:type="dxa"/>
          </w:tcPr>
          <w:p w14:paraId="3D201CC9" w14:textId="6886A9ED" w:rsidR="008E35CB" w:rsidRPr="00D92EC5" w:rsidRDefault="008E35CB" w:rsidP="00233B94">
            <w:pPr>
              <w:jc w:val="both"/>
            </w:pPr>
            <w:r w:rsidRPr="00D92EC5">
              <w:t xml:space="preserve">National Treatment </w:t>
            </w:r>
          </w:p>
          <w:p w14:paraId="13FD12A7" w14:textId="1131D273" w:rsidR="008E35CB" w:rsidRPr="00D92EC5" w:rsidRDefault="008E35CB" w:rsidP="00233B94">
            <w:pPr>
              <w:jc w:val="both"/>
            </w:pPr>
            <w:r w:rsidRPr="00D92EC5">
              <w:t xml:space="preserve">Market Access </w:t>
            </w:r>
          </w:p>
          <w:p w14:paraId="2C2098DE" w14:textId="3F634817" w:rsidR="008E35CB" w:rsidRDefault="008E35CB">
            <w:pPr>
              <w:jc w:val="both"/>
            </w:pPr>
            <w:r w:rsidRPr="00D92EC5">
              <w:t xml:space="preserve">Local Presence </w:t>
            </w:r>
          </w:p>
          <w:p w14:paraId="71001FE9" w14:textId="63ED92AB" w:rsidR="004642AA" w:rsidRPr="00D92EC5" w:rsidRDefault="004642AA" w:rsidP="00233B94">
            <w:pPr>
              <w:jc w:val="both"/>
            </w:pPr>
          </w:p>
        </w:tc>
      </w:tr>
      <w:tr w:rsidR="008E35CB" w:rsidRPr="00D92EC5" w14:paraId="43B3638C" w14:textId="77777777" w:rsidTr="000416E7">
        <w:tc>
          <w:tcPr>
            <w:tcW w:w="336" w:type="dxa"/>
          </w:tcPr>
          <w:p w14:paraId="077544CB" w14:textId="77777777" w:rsidR="008E35CB" w:rsidRPr="00D92EC5" w:rsidRDefault="008E35CB" w:rsidP="000416E7"/>
        </w:tc>
        <w:tc>
          <w:tcPr>
            <w:tcW w:w="2069" w:type="dxa"/>
          </w:tcPr>
          <w:p w14:paraId="6E102E84" w14:textId="77777777" w:rsidR="008E35CB" w:rsidRDefault="008E35CB" w:rsidP="000416E7">
            <w:r w:rsidRPr="00D92EC5">
              <w:t>Level of government</w:t>
            </w:r>
          </w:p>
          <w:p w14:paraId="38DCCB0E" w14:textId="799541F4" w:rsidR="004642AA" w:rsidRPr="00D92EC5" w:rsidRDefault="004642AA" w:rsidP="000416E7"/>
        </w:tc>
        <w:tc>
          <w:tcPr>
            <w:tcW w:w="5069" w:type="dxa"/>
          </w:tcPr>
          <w:p w14:paraId="0966B17B" w14:textId="77777777" w:rsidR="008E35CB" w:rsidRPr="00D92EC5" w:rsidRDefault="008E35CB" w:rsidP="00233B94">
            <w:pPr>
              <w:jc w:val="both"/>
            </w:pPr>
            <w:r w:rsidRPr="00D92EC5">
              <w:t>Central</w:t>
            </w:r>
          </w:p>
        </w:tc>
      </w:tr>
      <w:tr w:rsidR="008E35CB" w:rsidRPr="00D92EC5" w14:paraId="71125755" w14:textId="77777777" w:rsidTr="000416E7">
        <w:tc>
          <w:tcPr>
            <w:tcW w:w="336" w:type="dxa"/>
          </w:tcPr>
          <w:p w14:paraId="53FEBD9C" w14:textId="77777777" w:rsidR="008E35CB" w:rsidRPr="00D92EC5" w:rsidRDefault="008E35CB" w:rsidP="000416E7"/>
        </w:tc>
        <w:tc>
          <w:tcPr>
            <w:tcW w:w="2069" w:type="dxa"/>
          </w:tcPr>
          <w:p w14:paraId="6EBCFC03" w14:textId="77777777" w:rsidR="008E35CB" w:rsidRPr="00D92EC5" w:rsidRDefault="008E35CB" w:rsidP="000416E7">
            <w:r w:rsidRPr="00D92EC5">
              <w:t>Measures</w:t>
            </w:r>
          </w:p>
        </w:tc>
        <w:tc>
          <w:tcPr>
            <w:tcW w:w="5069" w:type="dxa"/>
          </w:tcPr>
          <w:p w14:paraId="7F02BC8E" w14:textId="77777777" w:rsidR="008E35CB" w:rsidRDefault="008E35CB">
            <w:pPr>
              <w:jc w:val="both"/>
            </w:pPr>
            <w:r w:rsidRPr="008E35CB">
              <w:rPr>
                <w:i/>
                <w:iCs/>
              </w:rPr>
              <w:t>Life Insurance Act 1995</w:t>
            </w:r>
            <w:r w:rsidRPr="00D92EC5">
              <w:t xml:space="preserve"> (</w:t>
            </w:r>
            <w:proofErr w:type="spellStart"/>
            <w:r w:rsidRPr="00D92EC5">
              <w:t>C</w:t>
            </w:r>
            <w:r>
              <w:t>th</w:t>
            </w:r>
            <w:proofErr w:type="spellEnd"/>
            <w:r w:rsidRPr="00D92EC5">
              <w:t>)</w:t>
            </w:r>
          </w:p>
          <w:p w14:paraId="65C9280D" w14:textId="7DD567F9" w:rsidR="004642AA" w:rsidRPr="00D92EC5" w:rsidRDefault="004642AA" w:rsidP="00233B94">
            <w:pPr>
              <w:jc w:val="both"/>
            </w:pPr>
          </w:p>
        </w:tc>
      </w:tr>
      <w:tr w:rsidR="008E35CB" w:rsidRPr="00D92EC5" w14:paraId="5E27FAFD" w14:textId="77777777" w:rsidTr="000416E7">
        <w:tc>
          <w:tcPr>
            <w:tcW w:w="336" w:type="dxa"/>
          </w:tcPr>
          <w:p w14:paraId="67AD4532" w14:textId="77777777" w:rsidR="008E35CB" w:rsidRPr="00D92EC5" w:rsidRDefault="008E35CB" w:rsidP="000416E7"/>
        </w:tc>
        <w:tc>
          <w:tcPr>
            <w:tcW w:w="2069" w:type="dxa"/>
          </w:tcPr>
          <w:p w14:paraId="7D448FF6" w14:textId="77777777" w:rsidR="008E35CB" w:rsidRPr="00D92EC5" w:rsidRDefault="008E35CB" w:rsidP="000416E7">
            <w:r w:rsidRPr="00D92EC5">
              <w:t>Description</w:t>
            </w:r>
          </w:p>
        </w:tc>
        <w:tc>
          <w:tcPr>
            <w:tcW w:w="5069" w:type="dxa"/>
          </w:tcPr>
          <w:p w14:paraId="28584A52" w14:textId="78DB9C2E" w:rsidR="008E35CB" w:rsidRPr="00D92EC5" w:rsidRDefault="008E35CB" w:rsidP="00233B94">
            <w:pPr>
              <w:jc w:val="both"/>
            </w:pPr>
            <w:r w:rsidRPr="00D92EC5">
              <w:t>Approval of non-resident life insurers is restricted to subsidiaries incorporated under Australian law.</w:t>
            </w:r>
          </w:p>
        </w:tc>
      </w:tr>
    </w:tbl>
    <w:p w14:paraId="56F8AD9C" w14:textId="45CF061B" w:rsidR="00FF3A88" w:rsidRDefault="00FF3A88" w:rsidP="00D92EC5"/>
    <w:p w14:paraId="38C122FA" w14:textId="77777777" w:rsidR="00C45157" w:rsidRDefault="00C45157">
      <w:bookmarkStart w:id="1" w:name="_Toc31966325"/>
      <w:r>
        <w:br w:type="page"/>
      </w:r>
    </w:p>
    <w:tbl>
      <w:tblPr>
        <w:tblStyle w:val="TableGrid"/>
        <w:tblW w:w="0" w:type="auto"/>
        <w:tblLook w:val="04A0" w:firstRow="1" w:lastRow="0" w:firstColumn="1" w:lastColumn="0" w:noHBand="0" w:noVBand="1"/>
      </w:tblPr>
      <w:tblGrid>
        <w:gridCol w:w="421"/>
        <w:gridCol w:w="1984"/>
        <w:gridCol w:w="5069"/>
      </w:tblGrid>
      <w:tr w:rsidR="008E35CB" w:rsidRPr="00D92EC5" w14:paraId="69B6A3F2" w14:textId="77777777" w:rsidTr="008E35CB">
        <w:tc>
          <w:tcPr>
            <w:tcW w:w="421" w:type="dxa"/>
          </w:tcPr>
          <w:p w14:paraId="37F85223" w14:textId="5A639111" w:rsidR="008E35CB" w:rsidRPr="00D92EC5" w:rsidRDefault="008E35CB" w:rsidP="00D92EC5">
            <w:r>
              <w:lastRenderedPageBreak/>
              <w:t>3</w:t>
            </w:r>
          </w:p>
        </w:tc>
        <w:tc>
          <w:tcPr>
            <w:tcW w:w="1984" w:type="dxa"/>
          </w:tcPr>
          <w:p w14:paraId="51C93C87" w14:textId="2E4C1618" w:rsidR="008E35CB" w:rsidRPr="00D92EC5" w:rsidRDefault="008E35CB" w:rsidP="00D92EC5">
            <w:r w:rsidRPr="00D92EC5">
              <w:t>Sector</w:t>
            </w:r>
          </w:p>
        </w:tc>
        <w:tc>
          <w:tcPr>
            <w:tcW w:w="5069" w:type="dxa"/>
          </w:tcPr>
          <w:p w14:paraId="4AC9D768" w14:textId="77777777" w:rsidR="008E35CB" w:rsidRDefault="008E35CB">
            <w:pPr>
              <w:jc w:val="both"/>
            </w:pPr>
            <w:r w:rsidRPr="00D92EC5">
              <w:t>Financial Services</w:t>
            </w:r>
          </w:p>
          <w:p w14:paraId="3023D532" w14:textId="0A5DC7E2" w:rsidR="004642AA" w:rsidRPr="00D92EC5" w:rsidRDefault="004642AA" w:rsidP="00233B94">
            <w:pPr>
              <w:jc w:val="both"/>
            </w:pPr>
          </w:p>
        </w:tc>
      </w:tr>
      <w:tr w:rsidR="008E35CB" w:rsidRPr="00D92EC5" w14:paraId="105697A5" w14:textId="77777777" w:rsidTr="008E35CB">
        <w:tc>
          <w:tcPr>
            <w:tcW w:w="421" w:type="dxa"/>
          </w:tcPr>
          <w:p w14:paraId="05BC2CA3" w14:textId="77777777" w:rsidR="008E35CB" w:rsidRPr="00D92EC5" w:rsidRDefault="008E35CB" w:rsidP="00D92EC5"/>
        </w:tc>
        <w:tc>
          <w:tcPr>
            <w:tcW w:w="1984" w:type="dxa"/>
          </w:tcPr>
          <w:p w14:paraId="539D769F" w14:textId="77777777" w:rsidR="008E35CB" w:rsidRDefault="008E35CB" w:rsidP="00D92EC5">
            <w:r w:rsidRPr="00D92EC5">
              <w:t>Obligations concerned</w:t>
            </w:r>
          </w:p>
          <w:p w14:paraId="1EBC7161" w14:textId="3C59945D" w:rsidR="004642AA" w:rsidRPr="00D92EC5" w:rsidRDefault="004642AA" w:rsidP="00D92EC5"/>
        </w:tc>
        <w:tc>
          <w:tcPr>
            <w:tcW w:w="5069" w:type="dxa"/>
          </w:tcPr>
          <w:p w14:paraId="3E565062" w14:textId="22F66443" w:rsidR="008E35CB" w:rsidRPr="00D92EC5" w:rsidRDefault="008E35CB" w:rsidP="00233B94">
            <w:pPr>
              <w:jc w:val="both"/>
            </w:pPr>
            <w:r w:rsidRPr="00D92EC5">
              <w:t xml:space="preserve">National Treatment </w:t>
            </w:r>
          </w:p>
        </w:tc>
      </w:tr>
      <w:tr w:rsidR="008E35CB" w:rsidRPr="00D92EC5" w14:paraId="44B9FDF1" w14:textId="77777777" w:rsidTr="008E35CB">
        <w:tc>
          <w:tcPr>
            <w:tcW w:w="421" w:type="dxa"/>
          </w:tcPr>
          <w:p w14:paraId="0FA4C471" w14:textId="77777777" w:rsidR="008E35CB" w:rsidRPr="00D92EC5" w:rsidRDefault="008E35CB" w:rsidP="00D92EC5"/>
        </w:tc>
        <w:tc>
          <w:tcPr>
            <w:tcW w:w="1984" w:type="dxa"/>
          </w:tcPr>
          <w:p w14:paraId="5A06E310" w14:textId="77777777" w:rsidR="008E35CB" w:rsidRDefault="008E35CB" w:rsidP="00D92EC5">
            <w:r w:rsidRPr="00D92EC5">
              <w:t>Level of government</w:t>
            </w:r>
          </w:p>
          <w:p w14:paraId="650458D3" w14:textId="5ADC8C80" w:rsidR="004642AA" w:rsidRPr="00D92EC5" w:rsidRDefault="004642AA" w:rsidP="00D92EC5"/>
        </w:tc>
        <w:tc>
          <w:tcPr>
            <w:tcW w:w="5069" w:type="dxa"/>
          </w:tcPr>
          <w:p w14:paraId="72D08638" w14:textId="77777777" w:rsidR="008E35CB" w:rsidRPr="00D92EC5" w:rsidRDefault="008E35CB" w:rsidP="00233B94">
            <w:pPr>
              <w:jc w:val="both"/>
            </w:pPr>
            <w:r w:rsidRPr="00D92EC5">
              <w:t>Central</w:t>
            </w:r>
          </w:p>
        </w:tc>
      </w:tr>
      <w:tr w:rsidR="008E35CB" w:rsidRPr="00D92EC5" w14:paraId="5AB6D093" w14:textId="77777777" w:rsidTr="008E35CB">
        <w:tc>
          <w:tcPr>
            <w:tcW w:w="421" w:type="dxa"/>
          </w:tcPr>
          <w:p w14:paraId="20CB278A" w14:textId="77777777" w:rsidR="008E35CB" w:rsidRPr="00D92EC5" w:rsidRDefault="008E35CB" w:rsidP="00D92EC5"/>
        </w:tc>
        <w:tc>
          <w:tcPr>
            <w:tcW w:w="1984" w:type="dxa"/>
          </w:tcPr>
          <w:p w14:paraId="2E4FDA19" w14:textId="75BE4E34" w:rsidR="008E35CB" w:rsidRPr="00D92EC5" w:rsidRDefault="008E35CB" w:rsidP="00D92EC5">
            <w:r w:rsidRPr="00D92EC5">
              <w:t>Measures</w:t>
            </w:r>
          </w:p>
        </w:tc>
        <w:tc>
          <w:tcPr>
            <w:tcW w:w="5069" w:type="dxa"/>
          </w:tcPr>
          <w:p w14:paraId="590E080A" w14:textId="77777777" w:rsidR="008E35CB" w:rsidRDefault="008E35CB">
            <w:pPr>
              <w:jc w:val="both"/>
            </w:pPr>
            <w:r w:rsidRPr="008E35CB">
              <w:rPr>
                <w:i/>
                <w:iCs/>
              </w:rPr>
              <w:t>Commonwealth Banks Act 1959</w:t>
            </w:r>
            <w:r w:rsidRPr="00D92EC5">
              <w:t xml:space="preserve"> (</w:t>
            </w:r>
            <w:proofErr w:type="spellStart"/>
            <w:r w:rsidRPr="00D92EC5">
              <w:t>Cth</w:t>
            </w:r>
            <w:proofErr w:type="spellEnd"/>
            <w:r w:rsidRPr="00D92EC5">
              <w:t>)</w:t>
            </w:r>
          </w:p>
          <w:p w14:paraId="486EB8DD" w14:textId="5541D17A" w:rsidR="004642AA" w:rsidRPr="00D92EC5" w:rsidRDefault="004642AA" w:rsidP="00233B94">
            <w:pPr>
              <w:jc w:val="both"/>
            </w:pPr>
          </w:p>
        </w:tc>
      </w:tr>
      <w:tr w:rsidR="008E35CB" w:rsidRPr="00D92EC5" w14:paraId="79162509" w14:textId="77777777" w:rsidTr="008E35CB">
        <w:tc>
          <w:tcPr>
            <w:tcW w:w="421" w:type="dxa"/>
          </w:tcPr>
          <w:p w14:paraId="4CCFA53A" w14:textId="77777777" w:rsidR="008E35CB" w:rsidRPr="00D92EC5" w:rsidRDefault="008E35CB" w:rsidP="00D92EC5"/>
        </w:tc>
        <w:tc>
          <w:tcPr>
            <w:tcW w:w="1984" w:type="dxa"/>
          </w:tcPr>
          <w:p w14:paraId="326C6C86" w14:textId="1CB0FC66" w:rsidR="008E35CB" w:rsidRPr="00D92EC5" w:rsidRDefault="008E35CB" w:rsidP="00D92EC5">
            <w:r w:rsidRPr="00D92EC5">
              <w:t>Description</w:t>
            </w:r>
          </w:p>
        </w:tc>
        <w:tc>
          <w:tcPr>
            <w:tcW w:w="5069" w:type="dxa"/>
          </w:tcPr>
          <w:p w14:paraId="0C822D72" w14:textId="3E72B375" w:rsidR="008E35CB" w:rsidRPr="00D92EC5" w:rsidRDefault="008E35CB" w:rsidP="00233B94">
            <w:pPr>
              <w:jc w:val="both"/>
            </w:pPr>
            <w:r w:rsidRPr="00D92EC5">
              <w:t>Liabilities of the Commonwealth Bank, previously</w:t>
            </w:r>
            <w:r w:rsidR="004A00D7">
              <w:t xml:space="preserve"> </w:t>
            </w:r>
            <w:r w:rsidRPr="00D92EC5">
              <w:t>Commonwealth Government-owned, are covered by transitional guarantee arrangements.</w:t>
            </w:r>
          </w:p>
        </w:tc>
      </w:tr>
    </w:tbl>
    <w:p w14:paraId="6197B411" w14:textId="77777777" w:rsidR="00D60DE1" w:rsidRPr="00D92EC5" w:rsidRDefault="00D60DE1" w:rsidP="00D92EC5"/>
    <w:p w14:paraId="750889B9" w14:textId="77777777" w:rsidR="00C45157" w:rsidRDefault="00C45157">
      <w:r>
        <w:br w:type="page"/>
      </w:r>
    </w:p>
    <w:tbl>
      <w:tblPr>
        <w:tblStyle w:val="TableGrid"/>
        <w:tblW w:w="0" w:type="auto"/>
        <w:tblLook w:val="04A0" w:firstRow="1" w:lastRow="0" w:firstColumn="1" w:lastColumn="0" w:noHBand="0" w:noVBand="1"/>
      </w:tblPr>
      <w:tblGrid>
        <w:gridCol w:w="421"/>
        <w:gridCol w:w="1984"/>
        <w:gridCol w:w="5069"/>
      </w:tblGrid>
      <w:tr w:rsidR="008E35CB" w:rsidRPr="00D92EC5" w14:paraId="3D017997" w14:textId="77777777" w:rsidTr="008E35CB">
        <w:tc>
          <w:tcPr>
            <w:tcW w:w="421" w:type="dxa"/>
          </w:tcPr>
          <w:p w14:paraId="7763123C" w14:textId="05CAEE2F" w:rsidR="008E35CB" w:rsidRPr="00D92EC5" w:rsidRDefault="008E35CB" w:rsidP="00D92EC5">
            <w:r>
              <w:lastRenderedPageBreak/>
              <w:t>4</w:t>
            </w:r>
          </w:p>
        </w:tc>
        <w:tc>
          <w:tcPr>
            <w:tcW w:w="1984" w:type="dxa"/>
          </w:tcPr>
          <w:p w14:paraId="3DE8C76E" w14:textId="0D3CFA82" w:rsidR="008E35CB" w:rsidRPr="00D92EC5" w:rsidRDefault="008E35CB" w:rsidP="00D92EC5">
            <w:r w:rsidRPr="00D92EC5">
              <w:t>Sector</w:t>
            </w:r>
          </w:p>
        </w:tc>
        <w:tc>
          <w:tcPr>
            <w:tcW w:w="5069" w:type="dxa"/>
          </w:tcPr>
          <w:p w14:paraId="53856D74" w14:textId="77777777" w:rsidR="008E35CB" w:rsidRDefault="008E35CB">
            <w:pPr>
              <w:jc w:val="both"/>
            </w:pPr>
            <w:r w:rsidRPr="00D92EC5">
              <w:t>Financial Services</w:t>
            </w:r>
          </w:p>
          <w:p w14:paraId="263792A5" w14:textId="0A5755DB" w:rsidR="004642AA" w:rsidRPr="00D92EC5" w:rsidRDefault="004642AA" w:rsidP="00233B94">
            <w:pPr>
              <w:jc w:val="both"/>
            </w:pPr>
          </w:p>
        </w:tc>
      </w:tr>
      <w:tr w:rsidR="008E35CB" w:rsidRPr="00D92EC5" w14:paraId="70B0FF91" w14:textId="77777777" w:rsidTr="008E35CB">
        <w:tc>
          <w:tcPr>
            <w:tcW w:w="421" w:type="dxa"/>
          </w:tcPr>
          <w:p w14:paraId="4CF529FF" w14:textId="77777777" w:rsidR="008E35CB" w:rsidRPr="00D92EC5" w:rsidRDefault="008E35CB" w:rsidP="00D92EC5"/>
        </w:tc>
        <w:tc>
          <w:tcPr>
            <w:tcW w:w="1984" w:type="dxa"/>
          </w:tcPr>
          <w:p w14:paraId="7CA271CA" w14:textId="0BC62E91" w:rsidR="008E35CB" w:rsidRPr="00D92EC5" w:rsidRDefault="008E35CB" w:rsidP="00D92EC5">
            <w:r w:rsidRPr="00D92EC5">
              <w:t>Obligations concerned</w:t>
            </w:r>
          </w:p>
        </w:tc>
        <w:tc>
          <w:tcPr>
            <w:tcW w:w="5069" w:type="dxa"/>
          </w:tcPr>
          <w:p w14:paraId="7EF44DB6" w14:textId="3991F5E7" w:rsidR="008E35CB" w:rsidRPr="00D92EC5" w:rsidRDefault="008E35CB" w:rsidP="00233B94">
            <w:pPr>
              <w:jc w:val="both"/>
            </w:pPr>
            <w:r w:rsidRPr="00D92EC5">
              <w:t xml:space="preserve">National Treatment </w:t>
            </w:r>
          </w:p>
          <w:p w14:paraId="58D8421D" w14:textId="2F936BDF" w:rsidR="008E35CB" w:rsidRDefault="008E35CB">
            <w:pPr>
              <w:jc w:val="both"/>
            </w:pPr>
            <w:r w:rsidRPr="00D92EC5">
              <w:t xml:space="preserve">Senior Management and Boards of Directors </w:t>
            </w:r>
          </w:p>
          <w:p w14:paraId="7D563EB7" w14:textId="40C4CC23" w:rsidR="004642AA" w:rsidRPr="00D92EC5" w:rsidRDefault="004642AA" w:rsidP="00233B94">
            <w:pPr>
              <w:jc w:val="both"/>
            </w:pPr>
          </w:p>
        </w:tc>
      </w:tr>
      <w:tr w:rsidR="008E35CB" w:rsidRPr="00D92EC5" w14:paraId="2706DDA8" w14:textId="77777777" w:rsidTr="008E35CB">
        <w:tc>
          <w:tcPr>
            <w:tcW w:w="421" w:type="dxa"/>
          </w:tcPr>
          <w:p w14:paraId="5E88C43D" w14:textId="77777777" w:rsidR="008E35CB" w:rsidRPr="00D92EC5" w:rsidRDefault="008E35CB" w:rsidP="00D92EC5"/>
        </w:tc>
        <w:tc>
          <w:tcPr>
            <w:tcW w:w="1984" w:type="dxa"/>
          </w:tcPr>
          <w:p w14:paraId="2A1D8494" w14:textId="77777777" w:rsidR="008E35CB" w:rsidRDefault="008E35CB" w:rsidP="00D92EC5">
            <w:r w:rsidRPr="00D92EC5">
              <w:t>Level of government</w:t>
            </w:r>
          </w:p>
          <w:p w14:paraId="51495F14" w14:textId="7B6D45D9" w:rsidR="004642AA" w:rsidRPr="00D92EC5" w:rsidRDefault="004642AA" w:rsidP="00D92EC5"/>
        </w:tc>
        <w:tc>
          <w:tcPr>
            <w:tcW w:w="5069" w:type="dxa"/>
          </w:tcPr>
          <w:p w14:paraId="06D1506B" w14:textId="77777777" w:rsidR="008E35CB" w:rsidRPr="00D92EC5" w:rsidRDefault="008E35CB" w:rsidP="00233B94">
            <w:pPr>
              <w:jc w:val="both"/>
            </w:pPr>
            <w:r w:rsidRPr="00D92EC5">
              <w:t>Central</w:t>
            </w:r>
          </w:p>
        </w:tc>
      </w:tr>
      <w:tr w:rsidR="008E35CB" w:rsidRPr="00D92EC5" w14:paraId="43DB4899" w14:textId="77777777" w:rsidTr="008E35CB">
        <w:tc>
          <w:tcPr>
            <w:tcW w:w="421" w:type="dxa"/>
          </w:tcPr>
          <w:p w14:paraId="76BCC29C" w14:textId="77777777" w:rsidR="008E35CB" w:rsidRPr="00D92EC5" w:rsidRDefault="008E35CB" w:rsidP="00D92EC5"/>
        </w:tc>
        <w:tc>
          <w:tcPr>
            <w:tcW w:w="1984" w:type="dxa"/>
          </w:tcPr>
          <w:p w14:paraId="4D724621" w14:textId="377AA29A" w:rsidR="008E35CB" w:rsidRPr="00D92EC5" w:rsidRDefault="008E35CB" w:rsidP="00D92EC5">
            <w:r w:rsidRPr="00D92EC5">
              <w:t>Measures</w:t>
            </w:r>
          </w:p>
        </w:tc>
        <w:tc>
          <w:tcPr>
            <w:tcW w:w="5069" w:type="dxa"/>
          </w:tcPr>
          <w:p w14:paraId="33F9407F" w14:textId="77777777" w:rsidR="008E35CB" w:rsidRPr="00D92EC5" w:rsidRDefault="008E35CB" w:rsidP="00233B94">
            <w:pPr>
              <w:jc w:val="both"/>
            </w:pPr>
            <w:r w:rsidRPr="008E35CB">
              <w:rPr>
                <w:i/>
                <w:iCs/>
              </w:rPr>
              <w:t>Corporations Act 2001</w:t>
            </w:r>
            <w:r w:rsidRPr="00D92EC5">
              <w:t xml:space="preserve"> (</w:t>
            </w:r>
            <w:proofErr w:type="spellStart"/>
            <w:r w:rsidRPr="00D92EC5">
              <w:t>Cth</w:t>
            </w:r>
            <w:proofErr w:type="spellEnd"/>
            <w:r w:rsidRPr="00D92EC5">
              <w:t xml:space="preserve">) </w:t>
            </w:r>
          </w:p>
          <w:p w14:paraId="7E7A5E27" w14:textId="77777777" w:rsidR="008E35CB" w:rsidRDefault="008E35CB">
            <w:pPr>
              <w:jc w:val="both"/>
            </w:pPr>
            <w:r w:rsidRPr="008E35CB">
              <w:rPr>
                <w:i/>
                <w:iCs/>
              </w:rPr>
              <w:t>Corporations Regulations 2001</w:t>
            </w:r>
            <w:r w:rsidRPr="00D92EC5">
              <w:t xml:space="preserve"> (</w:t>
            </w:r>
            <w:proofErr w:type="spellStart"/>
            <w:r w:rsidRPr="00D92EC5">
              <w:t>Cth</w:t>
            </w:r>
            <w:proofErr w:type="spellEnd"/>
            <w:r w:rsidRPr="00D92EC5">
              <w:t>)</w:t>
            </w:r>
          </w:p>
          <w:p w14:paraId="7C2C202D" w14:textId="4973E739" w:rsidR="004642AA" w:rsidRPr="00D92EC5" w:rsidRDefault="004642AA" w:rsidP="00233B94">
            <w:pPr>
              <w:jc w:val="both"/>
            </w:pPr>
          </w:p>
        </w:tc>
      </w:tr>
      <w:tr w:rsidR="008E35CB" w:rsidRPr="00D92EC5" w14:paraId="1556FBD4" w14:textId="77777777" w:rsidTr="008E35CB">
        <w:tc>
          <w:tcPr>
            <w:tcW w:w="421" w:type="dxa"/>
          </w:tcPr>
          <w:p w14:paraId="5F61A639" w14:textId="77777777" w:rsidR="008E35CB" w:rsidRPr="00D92EC5" w:rsidRDefault="008E35CB" w:rsidP="00D92EC5"/>
        </w:tc>
        <w:tc>
          <w:tcPr>
            <w:tcW w:w="1984" w:type="dxa"/>
          </w:tcPr>
          <w:p w14:paraId="4E7CDEF0" w14:textId="570E6C68" w:rsidR="008E35CB" w:rsidRPr="00D92EC5" w:rsidRDefault="008E35CB" w:rsidP="00D92EC5">
            <w:r w:rsidRPr="00D92EC5">
              <w:t>Description</w:t>
            </w:r>
          </w:p>
        </w:tc>
        <w:tc>
          <w:tcPr>
            <w:tcW w:w="5069" w:type="dxa"/>
          </w:tcPr>
          <w:p w14:paraId="2781705C" w14:textId="77777777" w:rsidR="008E35CB" w:rsidRPr="00D92EC5" w:rsidRDefault="008E35CB" w:rsidP="00233B94">
            <w:pPr>
              <w:jc w:val="both"/>
            </w:pPr>
            <w:r w:rsidRPr="00D92EC5">
              <w:t>At least one director of a private company must be ordinarily resident in Australia.</w:t>
            </w:r>
          </w:p>
          <w:p w14:paraId="2BC044BA" w14:textId="77777777" w:rsidR="008E35CB" w:rsidRPr="00D92EC5" w:rsidRDefault="008E35CB" w:rsidP="00233B94">
            <w:pPr>
              <w:jc w:val="both"/>
            </w:pPr>
          </w:p>
          <w:p w14:paraId="58998A2E" w14:textId="1EF3F9BC" w:rsidR="008E35CB" w:rsidRPr="00D92EC5" w:rsidRDefault="008E35CB" w:rsidP="00233B94">
            <w:pPr>
              <w:jc w:val="both"/>
            </w:pPr>
            <w:r w:rsidRPr="00D92EC5">
              <w:t>At least two directors of a public company must be ordinarily resident in Australia.</w:t>
            </w:r>
          </w:p>
        </w:tc>
      </w:tr>
    </w:tbl>
    <w:p w14:paraId="4507A3D2" w14:textId="77777777" w:rsidR="00D60DE1" w:rsidRPr="00D92EC5" w:rsidRDefault="00D60DE1" w:rsidP="00D92EC5"/>
    <w:p w14:paraId="6AEEA2A2" w14:textId="77777777" w:rsidR="00C45157" w:rsidRDefault="00C45157">
      <w:r>
        <w:br w:type="page"/>
      </w:r>
    </w:p>
    <w:tbl>
      <w:tblPr>
        <w:tblStyle w:val="TableGrid"/>
        <w:tblW w:w="0" w:type="auto"/>
        <w:tblLook w:val="04A0" w:firstRow="1" w:lastRow="0" w:firstColumn="1" w:lastColumn="0" w:noHBand="0" w:noVBand="1"/>
      </w:tblPr>
      <w:tblGrid>
        <w:gridCol w:w="421"/>
        <w:gridCol w:w="1984"/>
        <w:gridCol w:w="5069"/>
      </w:tblGrid>
      <w:tr w:rsidR="008E35CB" w:rsidRPr="00D92EC5" w14:paraId="71E72B33" w14:textId="77777777" w:rsidTr="008E35CB">
        <w:tc>
          <w:tcPr>
            <w:tcW w:w="421" w:type="dxa"/>
          </w:tcPr>
          <w:p w14:paraId="15AFED62" w14:textId="552042DC" w:rsidR="008E35CB" w:rsidRPr="00D92EC5" w:rsidRDefault="008E35CB" w:rsidP="00D92EC5">
            <w:r>
              <w:lastRenderedPageBreak/>
              <w:t xml:space="preserve">5 </w:t>
            </w:r>
          </w:p>
        </w:tc>
        <w:tc>
          <w:tcPr>
            <w:tcW w:w="1984" w:type="dxa"/>
          </w:tcPr>
          <w:p w14:paraId="123C16B4" w14:textId="12C11E31" w:rsidR="008E35CB" w:rsidRPr="00D92EC5" w:rsidRDefault="008E35CB" w:rsidP="00D92EC5">
            <w:r w:rsidRPr="00D92EC5">
              <w:t>Sector</w:t>
            </w:r>
          </w:p>
        </w:tc>
        <w:tc>
          <w:tcPr>
            <w:tcW w:w="5069" w:type="dxa"/>
          </w:tcPr>
          <w:p w14:paraId="7BA17A45" w14:textId="77777777" w:rsidR="008E35CB" w:rsidRDefault="008E35CB">
            <w:pPr>
              <w:jc w:val="both"/>
            </w:pPr>
            <w:r w:rsidRPr="00D92EC5">
              <w:t>Financial Services</w:t>
            </w:r>
          </w:p>
          <w:p w14:paraId="263F9FEE" w14:textId="28DB2EDC" w:rsidR="004642AA" w:rsidRPr="00D92EC5" w:rsidRDefault="004642AA" w:rsidP="00233B94">
            <w:pPr>
              <w:jc w:val="both"/>
            </w:pPr>
          </w:p>
        </w:tc>
      </w:tr>
      <w:tr w:rsidR="008E35CB" w:rsidRPr="00D92EC5" w14:paraId="4B162BF0" w14:textId="77777777" w:rsidTr="008E35CB">
        <w:tc>
          <w:tcPr>
            <w:tcW w:w="421" w:type="dxa"/>
          </w:tcPr>
          <w:p w14:paraId="3AC01B7A" w14:textId="77777777" w:rsidR="008E35CB" w:rsidRPr="00D92EC5" w:rsidRDefault="008E35CB" w:rsidP="00D92EC5"/>
        </w:tc>
        <w:tc>
          <w:tcPr>
            <w:tcW w:w="1984" w:type="dxa"/>
          </w:tcPr>
          <w:p w14:paraId="38DDA7D0" w14:textId="77777777" w:rsidR="008E35CB" w:rsidRDefault="008E35CB" w:rsidP="00D92EC5">
            <w:r w:rsidRPr="00D92EC5">
              <w:t>Obligations concerned</w:t>
            </w:r>
          </w:p>
          <w:p w14:paraId="4C713724" w14:textId="7CDCACC9" w:rsidR="004642AA" w:rsidRPr="00D92EC5" w:rsidRDefault="004642AA" w:rsidP="00D92EC5"/>
        </w:tc>
        <w:tc>
          <w:tcPr>
            <w:tcW w:w="5069" w:type="dxa"/>
          </w:tcPr>
          <w:p w14:paraId="2E5D4469" w14:textId="5C347200" w:rsidR="008E35CB" w:rsidRPr="00D92EC5" w:rsidRDefault="008E35CB" w:rsidP="00233B94">
            <w:pPr>
              <w:jc w:val="both"/>
            </w:pPr>
            <w:r w:rsidRPr="00D92EC5">
              <w:t xml:space="preserve">Market Access </w:t>
            </w:r>
          </w:p>
        </w:tc>
      </w:tr>
      <w:tr w:rsidR="008E35CB" w:rsidRPr="00D92EC5" w14:paraId="5793EC36" w14:textId="77777777" w:rsidTr="008E35CB">
        <w:tc>
          <w:tcPr>
            <w:tcW w:w="421" w:type="dxa"/>
          </w:tcPr>
          <w:p w14:paraId="0D189C77" w14:textId="77777777" w:rsidR="008E35CB" w:rsidRPr="00D92EC5" w:rsidRDefault="008E35CB" w:rsidP="00D92EC5"/>
        </w:tc>
        <w:tc>
          <w:tcPr>
            <w:tcW w:w="1984" w:type="dxa"/>
          </w:tcPr>
          <w:p w14:paraId="622BDF21" w14:textId="77777777" w:rsidR="008E35CB" w:rsidRDefault="008E35CB" w:rsidP="00D92EC5">
            <w:r w:rsidRPr="00D92EC5">
              <w:t>Level of government</w:t>
            </w:r>
          </w:p>
          <w:p w14:paraId="2CA06E14" w14:textId="2A7B95BB" w:rsidR="004642AA" w:rsidRPr="00D92EC5" w:rsidRDefault="004642AA" w:rsidP="00D92EC5"/>
        </w:tc>
        <w:tc>
          <w:tcPr>
            <w:tcW w:w="5069" w:type="dxa"/>
          </w:tcPr>
          <w:p w14:paraId="21ABD194" w14:textId="77777777" w:rsidR="008E35CB" w:rsidRPr="00D92EC5" w:rsidRDefault="008E35CB" w:rsidP="00233B94">
            <w:pPr>
              <w:jc w:val="both"/>
            </w:pPr>
            <w:r w:rsidRPr="00D92EC5">
              <w:t xml:space="preserve">Regional </w:t>
            </w:r>
          </w:p>
        </w:tc>
      </w:tr>
      <w:tr w:rsidR="008E35CB" w:rsidRPr="00D92EC5" w14:paraId="118803EC" w14:textId="77777777" w:rsidTr="008E35CB">
        <w:tc>
          <w:tcPr>
            <w:tcW w:w="421" w:type="dxa"/>
          </w:tcPr>
          <w:p w14:paraId="3CFF97AC" w14:textId="77777777" w:rsidR="008E35CB" w:rsidRPr="00D92EC5" w:rsidRDefault="008E35CB" w:rsidP="00D92EC5"/>
        </w:tc>
        <w:tc>
          <w:tcPr>
            <w:tcW w:w="1984" w:type="dxa"/>
          </w:tcPr>
          <w:p w14:paraId="6F2D9D6D" w14:textId="77777777" w:rsidR="008E35CB" w:rsidRDefault="008E35CB" w:rsidP="00D92EC5">
            <w:r w:rsidRPr="00D92EC5">
              <w:t>Measures</w:t>
            </w:r>
          </w:p>
          <w:p w14:paraId="60D9BE77" w14:textId="481BD7AB" w:rsidR="004642AA" w:rsidRPr="00D92EC5" w:rsidRDefault="004642AA" w:rsidP="00D92EC5"/>
        </w:tc>
        <w:tc>
          <w:tcPr>
            <w:tcW w:w="5069" w:type="dxa"/>
          </w:tcPr>
          <w:p w14:paraId="1C6CB5D2" w14:textId="77777777" w:rsidR="008E35CB" w:rsidRPr="00D92EC5" w:rsidRDefault="008E35CB" w:rsidP="00233B94">
            <w:pPr>
              <w:jc w:val="both"/>
            </w:pPr>
          </w:p>
        </w:tc>
      </w:tr>
      <w:tr w:rsidR="008E35CB" w:rsidRPr="00D92EC5" w14:paraId="28D69750" w14:textId="77777777" w:rsidTr="008E35CB">
        <w:tc>
          <w:tcPr>
            <w:tcW w:w="421" w:type="dxa"/>
          </w:tcPr>
          <w:p w14:paraId="6D5A82B5" w14:textId="77777777" w:rsidR="008E35CB" w:rsidRPr="00D92EC5" w:rsidRDefault="008E35CB" w:rsidP="00D92EC5"/>
        </w:tc>
        <w:tc>
          <w:tcPr>
            <w:tcW w:w="1984" w:type="dxa"/>
          </w:tcPr>
          <w:p w14:paraId="2A0B24EA" w14:textId="664B2F17" w:rsidR="008E35CB" w:rsidRPr="00D92EC5" w:rsidRDefault="008E35CB" w:rsidP="00D92EC5">
            <w:r w:rsidRPr="00D92EC5">
              <w:t>Description</w:t>
            </w:r>
          </w:p>
        </w:tc>
        <w:tc>
          <w:tcPr>
            <w:tcW w:w="5069" w:type="dxa"/>
          </w:tcPr>
          <w:p w14:paraId="0893F6FC" w14:textId="77777777" w:rsidR="008E35CB" w:rsidRPr="00D92EC5" w:rsidRDefault="008E35CB" w:rsidP="00233B94">
            <w:pPr>
              <w:jc w:val="both"/>
            </w:pPr>
            <w:r w:rsidRPr="00D92EC5">
              <w:t>The following state and territory Governments operate central financing authorities through which the Government’s wholly or partly owned statutory authorities and business enterprises are obliged to borrow, and in some cases invest, their funds, or otherwise obtain certain financial services:</w:t>
            </w:r>
          </w:p>
          <w:p w14:paraId="2F76CA16" w14:textId="77777777" w:rsidR="008E35CB" w:rsidRPr="00D92EC5" w:rsidRDefault="008E35CB" w:rsidP="00233B94">
            <w:pPr>
              <w:jc w:val="both"/>
            </w:pPr>
          </w:p>
          <w:p w14:paraId="7B336BBB" w14:textId="77777777" w:rsidR="008E35CB" w:rsidRPr="008E35CB" w:rsidRDefault="008E35CB" w:rsidP="00233B94">
            <w:pPr>
              <w:jc w:val="both"/>
              <w:rPr>
                <w:u w:val="single"/>
              </w:rPr>
            </w:pPr>
            <w:r w:rsidRPr="008E35CB">
              <w:rPr>
                <w:u w:val="single"/>
              </w:rPr>
              <w:t xml:space="preserve">South Australia </w:t>
            </w:r>
          </w:p>
          <w:p w14:paraId="0AE53EBA" w14:textId="77777777" w:rsidR="008E35CB" w:rsidRDefault="008E35CB" w:rsidP="00233B94">
            <w:pPr>
              <w:jc w:val="both"/>
            </w:pPr>
          </w:p>
          <w:p w14:paraId="7EB8D88B" w14:textId="7C2AA412" w:rsidR="008E35CB" w:rsidRPr="00D92EC5" w:rsidRDefault="008E35CB" w:rsidP="00233B94">
            <w:pPr>
              <w:jc w:val="both"/>
            </w:pPr>
            <w:r w:rsidRPr="00D92EC5">
              <w:t xml:space="preserve">South Australian Government Financing Authority, Local Government Finance Authority of South Australia </w:t>
            </w:r>
          </w:p>
          <w:p w14:paraId="14585731" w14:textId="77777777" w:rsidR="008E35CB" w:rsidRPr="00D92EC5" w:rsidRDefault="008E35CB" w:rsidP="00233B94">
            <w:pPr>
              <w:jc w:val="both"/>
            </w:pPr>
          </w:p>
          <w:p w14:paraId="1C15AEAC" w14:textId="77777777" w:rsidR="008E35CB" w:rsidRPr="008E35CB" w:rsidRDefault="008E35CB" w:rsidP="00233B94">
            <w:pPr>
              <w:jc w:val="both"/>
              <w:rPr>
                <w:u w:val="single"/>
              </w:rPr>
            </w:pPr>
            <w:r w:rsidRPr="008E35CB">
              <w:rPr>
                <w:u w:val="single"/>
              </w:rPr>
              <w:t xml:space="preserve">Tasmania </w:t>
            </w:r>
          </w:p>
          <w:p w14:paraId="0F671BC1" w14:textId="77777777" w:rsidR="008E35CB" w:rsidRDefault="008E35CB" w:rsidP="00233B94">
            <w:pPr>
              <w:jc w:val="both"/>
            </w:pPr>
          </w:p>
          <w:p w14:paraId="06DAB4FC" w14:textId="17A42689" w:rsidR="008E35CB" w:rsidRPr="00D92EC5" w:rsidRDefault="008E35CB" w:rsidP="00233B94">
            <w:pPr>
              <w:jc w:val="both"/>
            </w:pPr>
            <w:r w:rsidRPr="00D92EC5">
              <w:t>The Tasmanian Public Finance Corporation</w:t>
            </w:r>
          </w:p>
          <w:p w14:paraId="0F5DD961" w14:textId="77777777" w:rsidR="008E35CB" w:rsidRPr="00D92EC5" w:rsidRDefault="008E35CB" w:rsidP="00233B94">
            <w:pPr>
              <w:jc w:val="both"/>
            </w:pPr>
          </w:p>
          <w:p w14:paraId="1E6909B3" w14:textId="77777777" w:rsidR="008E35CB" w:rsidRPr="008E35CB" w:rsidRDefault="008E35CB" w:rsidP="00233B94">
            <w:pPr>
              <w:jc w:val="both"/>
              <w:rPr>
                <w:u w:val="single"/>
              </w:rPr>
            </w:pPr>
            <w:r w:rsidRPr="008E35CB">
              <w:rPr>
                <w:u w:val="single"/>
              </w:rPr>
              <w:t>New South Wales</w:t>
            </w:r>
          </w:p>
          <w:p w14:paraId="067F7D56" w14:textId="77777777" w:rsidR="008E35CB" w:rsidRDefault="008E35CB" w:rsidP="00233B94">
            <w:pPr>
              <w:jc w:val="both"/>
            </w:pPr>
          </w:p>
          <w:p w14:paraId="3EA5D8FE" w14:textId="01A0879F" w:rsidR="008E35CB" w:rsidRPr="00D92EC5" w:rsidRDefault="008E35CB" w:rsidP="00233B94">
            <w:pPr>
              <w:jc w:val="both"/>
            </w:pPr>
            <w:r w:rsidRPr="00D92EC5">
              <w:t xml:space="preserve">New South Wales Treasury Corporation </w:t>
            </w:r>
          </w:p>
          <w:p w14:paraId="7B824E41" w14:textId="77777777" w:rsidR="008E35CB" w:rsidRPr="00D92EC5" w:rsidRDefault="008E35CB" w:rsidP="00233B94">
            <w:pPr>
              <w:jc w:val="both"/>
            </w:pPr>
          </w:p>
          <w:p w14:paraId="5101067A" w14:textId="77777777" w:rsidR="008E35CB" w:rsidRPr="008E35CB" w:rsidRDefault="008E35CB" w:rsidP="00233B94">
            <w:pPr>
              <w:jc w:val="both"/>
              <w:rPr>
                <w:u w:val="single"/>
              </w:rPr>
            </w:pPr>
            <w:r w:rsidRPr="008E35CB">
              <w:rPr>
                <w:u w:val="single"/>
              </w:rPr>
              <w:t>Victoria</w:t>
            </w:r>
          </w:p>
          <w:p w14:paraId="2F6261B2" w14:textId="77777777" w:rsidR="008E35CB" w:rsidRPr="00D92EC5" w:rsidRDefault="008E35CB" w:rsidP="00233B94">
            <w:pPr>
              <w:jc w:val="both"/>
            </w:pPr>
            <w:r w:rsidRPr="00D92EC5">
              <w:t xml:space="preserve">Treasury Corporation of Victoria </w:t>
            </w:r>
          </w:p>
          <w:p w14:paraId="6C4AA84D" w14:textId="77777777" w:rsidR="008E35CB" w:rsidRPr="00D92EC5" w:rsidRDefault="008E35CB" w:rsidP="00233B94">
            <w:pPr>
              <w:jc w:val="both"/>
            </w:pPr>
          </w:p>
          <w:p w14:paraId="07278C7C" w14:textId="77777777" w:rsidR="008E35CB" w:rsidRPr="008E35CB" w:rsidRDefault="008E35CB" w:rsidP="00233B94">
            <w:pPr>
              <w:jc w:val="both"/>
              <w:rPr>
                <w:u w:val="single"/>
              </w:rPr>
            </w:pPr>
            <w:r w:rsidRPr="008E35CB">
              <w:rPr>
                <w:u w:val="single"/>
              </w:rPr>
              <w:t>Queensland</w:t>
            </w:r>
          </w:p>
          <w:p w14:paraId="3CBB0BC5" w14:textId="77777777" w:rsidR="008E35CB" w:rsidRDefault="008E35CB" w:rsidP="00233B94">
            <w:pPr>
              <w:jc w:val="both"/>
            </w:pPr>
          </w:p>
          <w:p w14:paraId="134523ED" w14:textId="63F803EA" w:rsidR="008E35CB" w:rsidRPr="00D92EC5" w:rsidRDefault="008E35CB" w:rsidP="00233B94">
            <w:pPr>
              <w:jc w:val="both"/>
            </w:pPr>
            <w:r w:rsidRPr="00D92EC5">
              <w:t xml:space="preserve">Queensland Treasury Corporation, Queensland Investment Corporation </w:t>
            </w:r>
          </w:p>
          <w:p w14:paraId="5E7FFB62" w14:textId="77777777" w:rsidR="008E35CB" w:rsidRPr="00D92EC5" w:rsidRDefault="008E35CB" w:rsidP="00233B94">
            <w:pPr>
              <w:jc w:val="both"/>
            </w:pPr>
          </w:p>
          <w:p w14:paraId="6EDBD8F5" w14:textId="77777777" w:rsidR="008E35CB" w:rsidRPr="008E35CB" w:rsidRDefault="008E35CB" w:rsidP="00233B94">
            <w:pPr>
              <w:jc w:val="both"/>
              <w:rPr>
                <w:u w:val="single"/>
              </w:rPr>
            </w:pPr>
            <w:r w:rsidRPr="008E35CB">
              <w:rPr>
                <w:u w:val="single"/>
              </w:rPr>
              <w:t>Northern Territory</w:t>
            </w:r>
          </w:p>
          <w:p w14:paraId="3F7B831B" w14:textId="77777777" w:rsidR="008E35CB" w:rsidRDefault="008E35CB" w:rsidP="00233B94">
            <w:pPr>
              <w:jc w:val="both"/>
            </w:pPr>
          </w:p>
          <w:p w14:paraId="031F2099" w14:textId="6EBF6466" w:rsidR="008E35CB" w:rsidRPr="00D92EC5" w:rsidRDefault="008E35CB" w:rsidP="00233B94">
            <w:pPr>
              <w:jc w:val="both"/>
            </w:pPr>
            <w:r w:rsidRPr="00D92EC5">
              <w:t xml:space="preserve">Northern Territory Treasury Corporation </w:t>
            </w:r>
          </w:p>
          <w:p w14:paraId="5C324F25" w14:textId="77777777" w:rsidR="008E35CB" w:rsidRPr="00D92EC5" w:rsidRDefault="008E35CB" w:rsidP="00233B94">
            <w:pPr>
              <w:jc w:val="both"/>
            </w:pPr>
          </w:p>
          <w:p w14:paraId="111315D0" w14:textId="77777777" w:rsidR="008E35CB" w:rsidRPr="008E35CB" w:rsidRDefault="008E35CB" w:rsidP="00233B94">
            <w:pPr>
              <w:jc w:val="both"/>
              <w:rPr>
                <w:u w:val="single"/>
              </w:rPr>
            </w:pPr>
            <w:r w:rsidRPr="008E35CB">
              <w:rPr>
                <w:u w:val="single"/>
              </w:rPr>
              <w:t>Western Australia</w:t>
            </w:r>
          </w:p>
          <w:p w14:paraId="39422398" w14:textId="77777777" w:rsidR="008E35CB" w:rsidRDefault="008E35CB" w:rsidP="00233B94">
            <w:pPr>
              <w:jc w:val="both"/>
            </w:pPr>
          </w:p>
          <w:p w14:paraId="24388F1A" w14:textId="00618BF0" w:rsidR="008E35CB" w:rsidRPr="00D92EC5" w:rsidRDefault="008E35CB" w:rsidP="00233B94">
            <w:pPr>
              <w:jc w:val="both"/>
            </w:pPr>
            <w:r w:rsidRPr="00D92EC5">
              <w:lastRenderedPageBreak/>
              <w:t>Western Australia Treasury Corporation</w:t>
            </w:r>
          </w:p>
        </w:tc>
      </w:tr>
    </w:tbl>
    <w:p w14:paraId="4B779AC0" w14:textId="77777777" w:rsidR="00D60DE1" w:rsidRPr="00D92EC5" w:rsidRDefault="00D60DE1" w:rsidP="00D92EC5"/>
    <w:p w14:paraId="7DBF6E6C" w14:textId="77777777" w:rsidR="00C45157" w:rsidRDefault="00C45157">
      <w:r>
        <w:br w:type="page"/>
      </w:r>
    </w:p>
    <w:tbl>
      <w:tblPr>
        <w:tblStyle w:val="TableGrid"/>
        <w:tblW w:w="0" w:type="auto"/>
        <w:tblLook w:val="04A0" w:firstRow="1" w:lastRow="0" w:firstColumn="1" w:lastColumn="0" w:noHBand="0" w:noVBand="1"/>
      </w:tblPr>
      <w:tblGrid>
        <w:gridCol w:w="421"/>
        <w:gridCol w:w="1984"/>
        <w:gridCol w:w="5069"/>
      </w:tblGrid>
      <w:tr w:rsidR="008E35CB" w:rsidRPr="00D92EC5" w14:paraId="390CDE5D" w14:textId="77777777" w:rsidTr="008E35CB">
        <w:tc>
          <w:tcPr>
            <w:tcW w:w="421" w:type="dxa"/>
          </w:tcPr>
          <w:p w14:paraId="458EA01E" w14:textId="51B1DE31" w:rsidR="008E35CB" w:rsidRPr="00D92EC5" w:rsidRDefault="008E35CB" w:rsidP="00D92EC5">
            <w:r>
              <w:lastRenderedPageBreak/>
              <w:t>6</w:t>
            </w:r>
          </w:p>
        </w:tc>
        <w:tc>
          <w:tcPr>
            <w:tcW w:w="1984" w:type="dxa"/>
          </w:tcPr>
          <w:p w14:paraId="68EF0750" w14:textId="0DF68666" w:rsidR="008E35CB" w:rsidRPr="00D92EC5" w:rsidRDefault="008E35CB" w:rsidP="00D92EC5">
            <w:r w:rsidRPr="00D92EC5">
              <w:t>Sector</w:t>
            </w:r>
          </w:p>
        </w:tc>
        <w:tc>
          <w:tcPr>
            <w:tcW w:w="5069" w:type="dxa"/>
          </w:tcPr>
          <w:p w14:paraId="6636DDBD" w14:textId="77777777" w:rsidR="008E35CB" w:rsidRDefault="008E35CB">
            <w:pPr>
              <w:jc w:val="both"/>
            </w:pPr>
            <w:r w:rsidRPr="00D92EC5">
              <w:t>Financial services</w:t>
            </w:r>
          </w:p>
          <w:p w14:paraId="34F86A25" w14:textId="43FD446D" w:rsidR="004642AA" w:rsidRPr="00D92EC5" w:rsidRDefault="004642AA" w:rsidP="00233B94">
            <w:pPr>
              <w:jc w:val="both"/>
            </w:pPr>
          </w:p>
        </w:tc>
      </w:tr>
      <w:tr w:rsidR="008E35CB" w:rsidRPr="00D92EC5" w14:paraId="7FFCB7E0" w14:textId="77777777" w:rsidTr="008E35CB">
        <w:tc>
          <w:tcPr>
            <w:tcW w:w="421" w:type="dxa"/>
          </w:tcPr>
          <w:p w14:paraId="0C154F71" w14:textId="77777777" w:rsidR="008E35CB" w:rsidRPr="00D92EC5" w:rsidRDefault="008E35CB" w:rsidP="00D92EC5"/>
        </w:tc>
        <w:tc>
          <w:tcPr>
            <w:tcW w:w="1984" w:type="dxa"/>
          </w:tcPr>
          <w:p w14:paraId="407F601F" w14:textId="77777777" w:rsidR="008E35CB" w:rsidRDefault="008E35CB" w:rsidP="00D92EC5">
            <w:r w:rsidRPr="00D92EC5">
              <w:t>Obligations concerned</w:t>
            </w:r>
          </w:p>
          <w:p w14:paraId="3DBB7638" w14:textId="61E59B30" w:rsidR="004642AA" w:rsidRPr="00D92EC5" w:rsidRDefault="004642AA" w:rsidP="00D92EC5"/>
        </w:tc>
        <w:tc>
          <w:tcPr>
            <w:tcW w:w="5069" w:type="dxa"/>
          </w:tcPr>
          <w:p w14:paraId="5BB3136A" w14:textId="027F3F9E" w:rsidR="008E35CB" w:rsidRPr="00D92EC5" w:rsidRDefault="008E35CB" w:rsidP="00233B94">
            <w:pPr>
              <w:jc w:val="both"/>
            </w:pPr>
            <w:r w:rsidRPr="00D92EC5">
              <w:t xml:space="preserve">Market Access </w:t>
            </w:r>
          </w:p>
        </w:tc>
      </w:tr>
      <w:tr w:rsidR="008E35CB" w:rsidRPr="00D92EC5" w14:paraId="0BC2CBE6" w14:textId="77777777" w:rsidTr="008E35CB">
        <w:tc>
          <w:tcPr>
            <w:tcW w:w="421" w:type="dxa"/>
          </w:tcPr>
          <w:p w14:paraId="137DFE0F" w14:textId="77777777" w:rsidR="008E35CB" w:rsidRPr="00D92EC5" w:rsidRDefault="008E35CB" w:rsidP="00D92EC5"/>
        </w:tc>
        <w:tc>
          <w:tcPr>
            <w:tcW w:w="1984" w:type="dxa"/>
          </w:tcPr>
          <w:p w14:paraId="56E61D17" w14:textId="77777777" w:rsidR="008E35CB" w:rsidRDefault="008E35CB" w:rsidP="00D92EC5">
            <w:r w:rsidRPr="00D92EC5">
              <w:t>Level of government</w:t>
            </w:r>
          </w:p>
          <w:p w14:paraId="1D26FB92" w14:textId="71975D60" w:rsidR="004642AA" w:rsidRPr="00D92EC5" w:rsidRDefault="004642AA" w:rsidP="00D92EC5"/>
        </w:tc>
        <w:tc>
          <w:tcPr>
            <w:tcW w:w="5069" w:type="dxa"/>
          </w:tcPr>
          <w:p w14:paraId="7B8DD8CB" w14:textId="77777777" w:rsidR="008E35CB" w:rsidRPr="00D92EC5" w:rsidRDefault="008E35CB" w:rsidP="00233B94">
            <w:pPr>
              <w:jc w:val="both"/>
            </w:pPr>
            <w:r w:rsidRPr="00D92EC5">
              <w:t>Regional</w:t>
            </w:r>
          </w:p>
        </w:tc>
      </w:tr>
      <w:tr w:rsidR="008E35CB" w:rsidRPr="00D92EC5" w14:paraId="5236CA0A" w14:textId="77777777" w:rsidTr="008E35CB">
        <w:tc>
          <w:tcPr>
            <w:tcW w:w="421" w:type="dxa"/>
          </w:tcPr>
          <w:p w14:paraId="376386DE" w14:textId="77777777" w:rsidR="008E35CB" w:rsidRPr="00D92EC5" w:rsidRDefault="008E35CB" w:rsidP="00D92EC5"/>
        </w:tc>
        <w:tc>
          <w:tcPr>
            <w:tcW w:w="1984" w:type="dxa"/>
          </w:tcPr>
          <w:p w14:paraId="1F041251" w14:textId="77777777" w:rsidR="008E35CB" w:rsidRDefault="008E35CB" w:rsidP="00D92EC5">
            <w:r w:rsidRPr="00D92EC5">
              <w:t>Measures</w:t>
            </w:r>
          </w:p>
          <w:p w14:paraId="4B14FC9D" w14:textId="54F6E6E0" w:rsidR="004642AA" w:rsidRPr="00D92EC5" w:rsidRDefault="004642AA" w:rsidP="00D92EC5"/>
        </w:tc>
        <w:tc>
          <w:tcPr>
            <w:tcW w:w="5069" w:type="dxa"/>
          </w:tcPr>
          <w:p w14:paraId="7F2BE680" w14:textId="77777777" w:rsidR="008E35CB" w:rsidRPr="00D92EC5" w:rsidRDefault="008E35CB" w:rsidP="00233B94">
            <w:pPr>
              <w:jc w:val="both"/>
            </w:pPr>
          </w:p>
        </w:tc>
      </w:tr>
      <w:tr w:rsidR="008E35CB" w:rsidRPr="00D92EC5" w14:paraId="56A430A3" w14:textId="77777777" w:rsidTr="008E35CB">
        <w:tc>
          <w:tcPr>
            <w:tcW w:w="421" w:type="dxa"/>
          </w:tcPr>
          <w:p w14:paraId="091DF2D9" w14:textId="77777777" w:rsidR="008E35CB" w:rsidRPr="00D92EC5" w:rsidRDefault="008E35CB" w:rsidP="00D92EC5"/>
        </w:tc>
        <w:tc>
          <w:tcPr>
            <w:tcW w:w="1984" w:type="dxa"/>
          </w:tcPr>
          <w:p w14:paraId="1AF1C01F" w14:textId="5503AD58" w:rsidR="008E35CB" w:rsidRPr="00D92EC5" w:rsidRDefault="008E35CB" w:rsidP="00D92EC5">
            <w:r w:rsidRPr="00D92EC5">
              <w:t>Description</w:t>
            </w:r>
          </w:p>
        </w:tc>
        <w:tc>
          <w:tcPr>
            <w:tcW w:w="5069" w:type="dxa"/>
          </w:tcPr>
          <w:p w14:paraId="47641A9C" w14:textId="77777777" w:rsidR="008E35CB" w:rsidRPr="00D92EC5" w:rsidRDefault="008E35CB" w:rsidP="00233B94">
            <w:pPr>
              <w:jc w:val="both"/>
            </w:pPr>
            <w:r w:rsidRPr="00D92EC5">
              <w:t>The following state and territory Governments maintain restrictions, by way of monopolies or licensing provisions and associated controls on premiums and other terms of policies, in the following areas of insurance:</w:t>
            </w:r>
          </w:p>
          <w:p w14:paraId="665DB919" w14:textId="77777777" w:rsidR="008E35CB" w:rsidRPr="00D92EC5" w:rsidRDefault="008E35CB" w:rsidP="00233B94">
            <w:pPr>
              <w:jc w:val="both"/>
            </w:pPr>
          </w:p>
          <w:p w14:paraId="3492D989" w14:textId="77777777" w:rsidR="008E35CB" w:rsidRPr="00D92EC5" w:rsidRDefault="008E35CB" w:rsidP="00233B94">
            <w:pPr>
              <w:jc w:val="both"/>
            </w:pPr>
            <w:r w:rsidRPr="00D92EC5">
              <w:t>Compulsory Third Party Motor Vehicle Accident: Victoria, Western Australia, Tasmania, the Northern Territory (monopolies), New South Wales, Queensland, South Australia, the Australian Capital Territory (licensing, premiums/policy terms).</w:t>
            </w:r>
          </w:p>
          <w:p w14:paraId="00B0345D" w14:textId="77777777" w:rsidR="008E35CB" w:rsidRPr="00D92EC5" w:rsidRDefault="008E35CB" w:rsidP="00233B94">
            <w:pPr>
              <w:jc w:val="both"/>
            </w:pPr>
          </w:p>
          <w:p w14:paraId="02D5943A" w14:textId="77777777" w:rsidR="008E35CB" w:rsidRPr="00D92EC5" w:rsidRDefault="008E35CB" w:rsidP="00233B94">
            <w:pPr>
              <w:jc w:val="both"/>
            </w:pPr>
            <w:r w:rsidRPr="00D92EC5">
              <w:t>Workers Compensation: South Australia, Victoria, Queensland (monopoly), New South Wales, Western Australia, Tasmania, and the Northern Territory (licensing, premiums/policy terms).</w:t>
            </w:r>
          </w:p>
        </w:tc>
      </w:tr>
    </w:tbl>
    <w:p w14:paraId="73EAD20F" w14:textId="77777777" w:rsidR="00D60DE1" w:rsidRPr="00D92EC5" w:rsidRDefault="00D60DE1" w:rsidP="00D92EC5"/>
    <w:bookmarkEnd w:id="1"/>
    <w:p w14:paraId="6BD32465" w14:textId="77777777" w:rsidR="00C45157" w:rsidRDefault="00C45157">
      <w:r>
        <w:br w:type="page"/>
      </w:r>
    </w:p>
    <w:tbl>
      <w:tblPr>
        <w:tblStyle w:val="TableGrid"/>
        <w:tblW w:w="0" w:type="auto"/>
        <w:tblLook w:val="04A0" w:firstRow="1" w:lastRow="0" w:firstColumn="1" w:lastColumn="0" w:noHBand="0" w:noVBand="1"/>
      </w:tblPr>
      <w:tblGrid>
        <w:gridCol w:w="421"/>
        <w:gridCol w:w="1984"/>
        <w:gridCol w:w="5069"/>
      </w:tblGrid>
      <w:tr w:rsidR="008E35CB" w:rsidRPr="00D92EC5" w14:paraId="43575595" w14:textId="77777777" w:rsidTr="008E35CB">
        <w:tc>
          <w:tcPr>
            <w:tcW w:w="421" w:type="dxa"/>
          </w:tcPr>
          <w:p w14:paraId="2B1633E9" w14:textId="2FA5E9B3" w:rsidR="008E35CB" w:rsidRPr="00D92EC5" w:rsidRDefault="008E35CB" w:rsidP="00D92EC5">
            <w:r>
              <w:lastRenderedPageBreak/>
              <w:t>7</w:t>
            </w:r>
          </w:p>
        </w:tc>
        <w:tc>
          <w:tcPr>
            <w:tcW w:w="1984" w:type="dxa"/>
          </w:tcPr>
          <w:p w14:paraId="4CC72FC9" w14:textId="17477312" w:rsidR="008E35CB" w:rsidRPr="00D92EC5" w:rsidRDefault="008E35CB" w:rsidP="00D92EC5">
            <w:r w:rsidRPr="00D92EC5">
              <w:t>Sector</w:t>
            </w:r>
          </w:p>
        </w:tc>
        <w:tc>
          <w:tcPr>
            <w:tcW w:w="5069" w:type="dxa"/>
          </w:tcPr>
          <w:p w14:paraId="0A3E1341" w14:textId="77777777" w:rsidR="008E35CB" w:rsidRDefault="008E35CB">
            <w:pPr>
              <w:jc w:val="both"/>
            </w:pPr>
            <w:r w:rsidRPr="00D92EC5">
              <w:t>Financial Services</w:t>
            </w:r>
          </w:p>
          <w:p w14:paraId="108116E0" w14:textId="6BC1F0C1" w:rsidR="004642AA" w:rsidRPr="00D92EC5" w:rsidRDefault="004642AA" w:rsidP="00233B94">
            <w:pPr>
              <w:jc w:val="both"/>
            </w:pPr>
          </w:p>
        </w:tc>
      </w:tr>
      <w:tr w:rsidR="008E35CB" w:rsidRPr="00D92EC5" w14:paraId="15A3EFF8" w14:textId="77777777" w:rsidTr="008E35CB">
        <w:tc>
          <w:tcPr>
            <w:tcW w:w="421" w:type="dxa"/>
          </w:tcPr>
          <w:p w14:paraId="1DD910EA" w14:textId="77777777" w:rsidR="008E35CB" w:rsidRPr="00D92EC5" w:rsidRDefault="008E35CB" w:rsidP="00D92EC5"/>
        </w:tc>
        <w:tc>
          <w:tcPr>
            <w:tcW w:w="1984" w:type="dxa"/>
          </w:tcPr>
          <w:p w14:paraId="78A16E78" w14:textId="7A800F54" w:rsidR="008E35CB" w:rsidRPr="00D92EC5" w:rsidRDefault="008E35CB" w:rsidP="00D92EC5">
            <w:r w:rsidRPr="00D92EC5">
              <w:t>Obligations concerned</w:t>
            </w:r>
          </w:p>
        </w:tc>
        <w:tc>
          <w:tcPr>
            <w:tcW w:w="5069" w:type="dxa"/>
          </w:tcPr>
          <w:p w14:paraId="6417D7B8" w14:textId="463058A0" w:rsidR="008E35CB" w:rsidRPr="00D92EC5" w:rsidRDefault="008E35CB" w:rsidP="00233B94">
            <w:pPr>
              <w:jc w:val="both"/>
            </w:pPr>
            <w:r w:rsidRPr="00D92EC5">
              <w:t xml:space="preserve">National Treatment </w:t>
            </w:r>
          </w:p>
          <w:p w14:paraId="51AD4871" w14:textId="47C4DB8D" w:rsidR="008E35CB" w:rsidRDefault="008E35CB">
            <w:pPr>
              <w:jc w:val="both"/>
            </w:pPr>
            <w:r w:rsidRPr="00D92EC5">
              <w:t xml:space="preserve">Local Presence </w:t>
            </w:r>
          </w:p>
          <w:p w14:paraId="01BB9DDE" w14:textId="0A7550E6" w:rsidR="004642AA" w:rsidRPr="00D92EC5" w:rsidRDefault="004642AA" w:rsidP="00233B94">
            <w:pPr>
              <w:jc w:val="both"/>
            </w:pPr>
          </w:p>
        </w:tc>
      </w:tr>
      <w:tr w:rsidR="008E35CB" w:rsidRPr="00D92EC5" w14:paraId="60D0FB16" w14:textId="77777777" w:rsidTr="008E35CB">
        <w:tc>
          <w:tcPr>
            <w:tcW w:w="421" w:type="dxa"/>
          </w:tcPr>
          <w:p w14:paraId="240B598C" w14:textId="77777777" w:rsidR="008E35CB" w:rsidRPr="00D92EC5" w:rsidRDefault="008E35CB" w:rsidP="00D92EC5"/>
        </w:tc>
        <w:tc>
          <w:tcPr>
            <w:tcW w:w="1984" w:type="dxa"/>
          </w:tcPr>
          <w:p w14:paraId="29A0D896" w14:textId="77777777" w:rsidR="008E35CB" w:rsidRDefault="008E35CB" w:rsidP="00D92EC5">
            <w:r w:rsidRPr="00D92EC5">
              <w:t>Level of government</w:t>
            </w:r>
          </w:p>
          <w:p w14:paraId="4D39B7EA" w14:textId="7FC0FC6D" w:rsidR="004642AA" w:rsidRPr="00D92EC5" w:rsidRDefault="004642AA" w:rsidP="00D92EC5"/>
        </w:tc>
        <w:tc>
          <w:tcPr>
            <w:tcW w:w="5069" w:type="dxa"/>
          </w:tcPr>
          <w:p w14:paraId="3A516D0A" w14:textId="77777777" w:rsidR="008E35CB" w:rsidRPr="00D92EC5" w:rsidRDefault="008E35CB" w:rsidP="00233B94">
            <w:pPr>
              <w:jc w:val="both"/>
            </w:pPr>
            <w:r w:rsidRPr="00D92EC5">
              <w:t>Regional</w:t>
            </w:r>
          </w:p>
        </w:tc>
      </w:tr>
      <w:tr w:rsidR="008E35CB" w:rsidRPr="00D92EC5" w14:paraId="0CC87C97" w14:textId="77777777" w:rsidTr="008E35CB">
        <w:tc>
          <w:tcPr>
            <w:tcW w:w="421" w:type="dxa"/>
          </w:tcPr>
          <w:p w14:paraId="6A9AFAA8" w14:textId="77777777" w:rsidR="008E35CB" w:rsidRPr="00D92EC5" w:rsidRDefault="008E35CB" w:rsidP="00D92EC5"/>
        </w:tc>
        <w:tc>
          <w:tcPr>
            <w:tcW w:w="1984" w:type="dxa"/>
          </w:tcPr>
          <w:p w14:paraId="4C3D6EC2" w14:textId="3BB35A46" w:rsidR="008E35CB" w:rsidRPr="00D92EC5" w:rsidRDefault="008E35CB" w:rsidP="00D92EC5">
            <w:r w:rsidRPr="00D92EC5">
              <w:t>Measures</w:t>
            </w:r>
          </w:p>
        </w:tc>
        <w:tc>
          <w:tcPr>
            <w:tcW w:w="5069" w:type="dxa"/>
          </w:tcPr>
          <w:p w14:paraId="6BCED44D" w14:textId="77777777" w:rsidR="008E35CB" w:rsidRPr="00D92EC5" w:rsidRDefault="008E35CB" w:rsidP="00233B94">
            <w:pPr>
              <w:jc w:val="both"/>
            </w:pPr>
            <w:r w:rsidRPr="008E35CB">
              <w:rPr>
                <w:i/>
                <w:iCs/>
              </w:rPr>
              <w:t>Credit (Administration) Act 1984</w:t>
            </w:r>
            <w:r w:rsidRPr="00D92EC5">
              <w:t xml:space="preserve"> (WA) </w:t>
            </w:r>
          </w:p>
          <w:p w14:paraId="78B38747" w14:textId="77777777" w:rsidR="008E35CB" w:rsidRPr="00D92EC5" w:rsidRDefault="008E35CB" w:rsidP="00233B94">
            <w:pPr>
              <w:jc w:val="both"/>
            </w:pPr>
            <w:r w:rsidRPr="008E35CB">
              <w:rPr>
                <w:i/>
                <w:iCs/>
              </w:rPr>
              <w:t>Credit (Administration) Regulations 1985</w:t>
            </w:r>
            <w:r w:rsidRPr="00D92EC5">
              <w:t xml:space="preserve"> (WA)</w:t>
            </w:r>
          </w:p>
          <w:p w14:paraId="1A59B1FF" w14:textId="77777777" w:rsidR="008E35CB" w:rsidRPr="00D92EC5" w:rsidRDefault="008E35CB" w:rsidP="00233B94">
            <w:pPr>
              <w:jc w:val="both"/>
            </w:pPr>
            <w:r w:rsidRPr="008E35CB">
              <w:rPr>
                <w:i/>
                <w:iCs/>
              </w:rPr>
              <w:t>Debt Collectors Licensing Act 1964</w:t>
            </w:r>
            <w:r w:rsidRPr="00D92EC5">
              <w:t xml:space="preserve"> (WA) </w:t>
            </w:r>
          </w:p>
          <w:p w14:paraId="7E0E3935" w14:textId="77777777" w:rsidR="008E35CB" w:rsidRPr="00D92EC5" w:rsidRDefault="008E35CB" w:rsidP="00233B94">
            <w:pPr>
              <w:jc w:val="both"/>
            </w:pPr>
            <w:r w:rsidRPr="008E35CB">
              <w:rPr>
                <w:i/>
                <w:iCs/>
              </w:rPr>
              <w:t>Debt Collectors Licensing Regulations 1964</w:t>
            </w:r>
            <w:r w:rsidRPr="00D92EC5">
              <w:t xml:space="preserve"> (WA)</w:t>
            </w:r>
          </w:p>
          <w:p w14:paraId="02B5A197" w14:textId="77777777" w:rsidR="008E35CB" w:rsidRPr="00D92EC5" w:rsidRDefault="008E35CB" w:rsidP="00233B94">
            <w:pPr>
              <w:jc w:val="both"/>
            </w:pPr>
            <w:r w:rsidRPr="008E35CB">
              <w:rPr>
                <w:i/>
                <w:iCs/>
              </w:rPr>
              <w:t>Finance Brokers Control Act 1975</w:t>
            </w:r>
            <w:r w:rsidRPr="00D92EC5">
              <w:t xml:space="preserve"> (WA) </w:t>
            </w:r>
          </w:p>
          <w:p w14:paraId="48F84F47" w14:textId="77777777" w:rsidR="008E35CB" w:rsidRDefault="008E35CB">
            <w:pPr>
              <w:jc w:val="both"/>
            </w:pPr>
            <w:r w:rsidRPr="008E35CB">
              <w:rPr>
                <w:i/>
                <w:iCs/>
              </w:rPr>
              <w:t>Finance Brokers Control (General) Regulations 2005</w:t>
            </w:r>
            <w:r w:rsidRPr="00D92EC5">
              <w:t xml:space="preserve"> (WA)</w:t>
            </w:r>
          </w:p>
          <w:p w14:paraId="0D04D0BC" w14:textId="1AA1B70E" w:rsidR="004642AA" w:rsidRPr="00D92EC5" w:rsidRDefault="004642AA" w:rsidP="00233B94">
            <w:pPr>
              <w:jc w:val="both"/>
            </w:pPr>
          </w:p>
        </w:tc>
      </w:tr>
      <w:tr w:rsidR="008E35CB" w:rsidRPr="00D92EC5" w14:paraId="0CA6BF6B" w14:textId="77777777" w:rsidTr="008E35CB">
        <w:tc>
          <w:tcPr>
            <w:tcW w:w="421" w:type="dxa"/>
          </w:tcPr>
          <w:p w14:paraId="403D9613" w14:textId="77777777" w:rsidR="008E35CB" w:rsidRPr="00D92EC5" w:rsidRDefault="008E35CB" w:rsidP="00D92EC5"/>
        </w:tc>
        <w:tc>
          <w:tcPr>
            <w:tcW w:w="1984" w:type="dxa"/>
          </w:tcPr>
          <w:p w14:paraId="0260717C" w14:textId="67303A68" w:rsidR="008E35CB" w:rsidRPr="00D92EC5" w:rsidRDefault="008E35CB" w:rsidP="00D92EC5">
            <w:r w:rsidRPr="00D92EC5">
              <w:t>Description</w:t>
            </w:r>
          </w:p>
        </w:tc>
        <w:tc>
          <w:tcPr>
            <w:tcW w:w="5069" w:type="dxa"/>
          </w:tcPr>
          <w:p w14:paraId="48EE54F3" w14:textId="77777777" w:rsidR="008E35CB" w:rsidRPr="008E35CB" w:rsidRDefault="008E35CB" w:rsidP="00233B94">
            <w:pPr>
              <w:jc w:val="both"/>
              <w:rPr>
                <w:u w:val="single"/>
              </w:rPr>
            </w:pPr>
            <w:r w:rsidRPr="008E35CB">
              <w:rPr>
                <w:u w:val="single"/>
              </w:rPr>
              <w:t>Western Australia</w:t>
            </w:r>
          </w:p>
          <w:p w14:paraId="7A3DDC56" w14:textId="77777777" w:rsidR="008E35CB" w:rsidRPr="00D92EC5" w:rsidRDefault="008E35CB" w:rsidP="00233B94">
            <w:pPr>
              <w:jc w:val="both"/>
            </w:pPr>
          </w:p>
          <w:p w14:paraId="323AD0A5" w14:textId="77777777" w:rsidR="008E35CB" w:rsidRPr="00D92EC5" w:rsidRDefault="008E35CB" w:rsidP="00233B94">
            <w:pPr>
              <w:jc w:val="both"/>
            </w:pPr>
            <w:r w:rsidRPr="00D92EC5">
              <w:t xml:space="preserve">A natural person (whether alone or in partnership with other persons) or an incorporated body seeking to carry on a business of providing credit in Western Australia (including where the provision of the credit </w:t>
            </w:r>
            <w:proofErr w:type="gramStart"/>
            <w:r w:rsidRPr="00D92EC5">
              <w:t>is connected with</w:t>
            </w:r>
            <w:proofErr w:type="gramEnd"/>
            <w:r w:rsidRPr="00D92EC5">
              <w:t xml:space="preserve"> the carrying on of another business), must have a principal office in Australia and a principal place of business in Western Australia.</w:t>
            </w:r>
          </w:p>
          <w:p w14:paraId="15631818" w14:textId="77777777" w:rsidR="008E35CB" w:rsidRPr="00D92EC5" w:rsidRDefault="008E35CB" w:rsidP="00233B94">
            <w:pPr>
              <w:jc w:val="both"/>
            </w:pPr>
          </w:p>
          <w:p w14:paraId="15A01581" w14:textId="77777777" w:rsidR="008E35CB" w:rsidRPr="00D92EC5" w:rsidRDefault="008E35CB" w:rsidP="00233B94">
            <w:pPr>
              <w:jc w:val="both"/>
            </w:pPr>
            <w:r w:rsidRPr="00D92EC5">
              <w:t>Any person, including an incorporated body, seeking to exercise or carry on the business or any functions of a debt collector in Western Australia must have a principal place of business in Western Australia.</w:t>
            </w:r>
          </w:p>
          <w:p w14:paraId="3965C5F6" w14:textId="77777777" w:rsidR="008E35CB" w:rsidRPr="00D92EC5" w:rsidRDefault="008E35CB" w:rsidP="00233B94">
            <w:pPr>
              <w:jc w:val="both"/>
            </w:pPr>
          </w:p>
          <w:p w14:paraId="10684EE1" w14:textId="26688122" w:rsidR="008E35CB" w:rsidRPr="00D92EC5" w:rsidRDefault="008E35CB" w:rsidP="00233B94">
            <w:pPr>
              <w:jc w:val="both"/>
            </w:pPr>
            <w:r w:rsidRPr="00D92EC5">
              <w:t xml:space="preserve">A natural person seeking to carry on business as a finance broker in Western Australia must ordinarily be resident in Western Australia. </w:t>
            </w:r>
            <w:r w:rsidR="00C6368A">
              <w:t xml:space="preserve"> </w:t>
            </w:r>
            <w:r w:rsidRPr="00D92EC5">
              <w:t>A finance broker must have a registered office in Western Australia while carrying on business as a broker.</w:t>
            </w:r>
          </w:p>
        </w:tc>
      </w:tr>
    </w:tbl>
    <w:p w14:paraId="740A2FC1" w14:textId="77777777" w:rsidR="00FF3A88" w:rsidRPr="00D92EC5" w:rsidRDefault="00FF3A88" w:rsidP="00D92EC5"/>
    <w:p w14:paraId="049B85E0" w14:textId="77777777" w:rsidR="00C45157" w:rsidRDefault="00C45157">
      <w:r>
        <w:br w:type="page"/>
      </w:r>
    </w:p>
    <w:tbl>
      <w:tblPr>
        <w:tblStyle w:val="TableGrid"/>
        <w:tblW w:w="0" w:type="auto"/>
        <w:tblLook w:val="04A0" w:firstRow="1" w:lastRow="0" w:firstColumn="1" w:lastColumn="0" w:noHBand="0" w:noVBand="1"/>
      </w:tblPr>
      <w:tblGrid>
        <w:gridCol w:w="421"/>
        <w:gridCol w:w="1984"/>
        <w:gridCol w:w="5069"/>
      </w:tblGrid>
      <w:tr w:rsidR="008E35CB" w:rsidRPr="00D92EC5" w14:paraId="1820E713" w14:textId="77777777" w:rsidTr="008E35CB">
        <w:tc>
          <w:tcPr>
            <w:tcW w:w="421" w:type="dxa"/>
          </w:tcPr>
          <w:p w14:paraId="12D16EBA" w14:textId="0B034116" w:rsidR="008E35CB" w:rsidRPr="00D92EC5" w:rsidRDefault="008E35CB" w:rsidP="00D92EC5">
            <w:r>
              <w:lastRenderedPageBreak/>
              <w:t>8</w:t>
            </w:r>
          </w:p>
        </w:tc>
        <w:tc>
          <w:tcPr>
            <w:tcW w:w="1984" w:type="dxa"/>
          </w:tcPr>
          <w:p w14:paraId="363380A4" w14:textId="5D54A1D6" w:rsidR="008E35CB" w:rsidRPr="00D92EC5" w:rsidRDefault="008E35CB" w:rsidP="00D92EC5">
            <w:r w:rsidRPr="00D92EC5">
              <w:t>Sector</w:t>
            </w:r>
          </w:p>
        </w:tc>
        <w:tc>
          <w:tcPr>
            <w:tcW w:w="5069" w:type="dxa"/>
          </w:tcPr>
          <w:p w14:paraId="005EA7AE" w14:textId="77777777" w:rsidR="008E35CB" w:rsidRDefault="008E35CB">
            <w:pPr>
              <w:jc w:val="both"/>
            </w:pPr>
            <w:r w:rsidRPr="00D92EC5">
              <w:t>Financial services</w:t>
            </w:r>
          </w:p>
          <w:p w14:paraId="70DAE21A" w14:textId="790643A9" w:rsidR="004642AA" w:rsidRPr="00D92EC5" w:rsidRDefault="004642AA" w:rsidP="00233B94">
            <w:pPr>
              <w:jc w:val="both"/>
            </w:pPr>
          </w:p>
        </w:tc>
      </w:tr>
      <w:tr w:rsidR="008E35CB" w:rsidRPr="00D92EC5" w14:paraId="7A1951C0" w14:textId="77777777" w:rsidTr="008E35CB">
        <w:tc>
          <w:tcPr>
            <w:tcW w:w="421" w:type="dxa"/>
          </w:tcPr>
          <w:p w14:paraId="33039FC0" w14:textId="77777777" w:rsidR="008E35CB" w:rsidRPr="00D92EC5" w:rsidRDefault="008E35CB" w:rsidP="00D92EC5"/>
        </w:tc>
        <w:tc>
          <w:tcPr>
            <w:tcW w:w="1984" w:type="dxa"/>
          </w:tcPr>
          <w:p w14:paraId="3B8B7145" w14:textId="0B395F24" w:rsidR="008E35CB" w:rsidRPr="00D92EC5" w:rsidRDefault="008E35CB" w:rsidP="00D92EC5">
            <w:r w:rsidRPr="00D92EC5">
              <w:t>Obligations concerned</w:t>
            </w:r>
          </w:p>
        </w:tc>
        <w:tc>
          <w:tcPr>
            <w:tcW w:w="5069" w:type="dxa"/>
          </w:tcPr>
          <w:p w14:paraId="5CEECF6E" w14:textId="136D1612" w:rsidR="008E35CB" w:rsidRPr="00D92EC5" w:rsidRDefault="008E35CB" w:rsidP="00233B94">
            <w:pPr>
              <w:jc w:val="both"/>
            </w:pPr>
            <w:r w:rsidRPr="00D92EC5">
              <w:t xml:space="preserve">National Treatment </w:t>
            </w:r>
          </w:p>
          <w:p w14:paraId="7C885244" w14:textId="5AF45999" w:rsidR="008E35CB" w:rsidRDefault="008E35CB">
            <w:pPr>
              <w:jc w:val="both"/>
            </w:pPr>
            <w:r w:rsidRPr="00D92EC5">
              <w:t xml:space="preserve">Local Presence </w:t>
            </w:r>
          </w:p>
          <w:p w14:paraId="66B2F2CB" w14:textId="4A53664C" w:rsidR="004642AA" w:rsidRPr="00D92EC5" w:rsidRDefault="004642AA" w:rsidP="00233B94">
            <w:pPr>
              <w:jc w:val="both"/>
            </w:pPr>
          </w:p>
        </w:tc>
      </w:tr>
      <w:tr w:rsidR="008E35CB" w:rsidRPr="00D92EC5" w14:paraId="066EF5BD" w14:textId="77777777" w:rsidTr="008E35CB">
        <w:tc>
          <w:tcPr>
            <w:tcW w:w="421" w:type="dxa"/>
          </w:tcPr>
          <w:p w14:paraId="35CB8C4B" w14:textId="77777777" w:rsidR="008E35CB" w:rsidRPr="00D92EC5" w:rsidRDefault="008E35CB" w:rsidP="00D92EC5"/>
        </w:tc>
        <w:tc>
          <w:tcPr>
            <w:tcW w:w="1984" w:type="dxa"/>
          </w:tcPr>
          <w:p w14:paraId="7B883C75" w14:textId="77777777" w:rsidR="008E35CB" w:rsidRDefault="008E35CB" w:rsidP="00D92EC5">
            <w:r w:rsidRPr="00D92EC5">
              <w:t>Level of government</w:t>
            </w:r>
          </w:p>
          <w:p w14:paraId="38622431" w14:textId="14C8EF12" w:rsidR="004642AA" w:rsidRPr="00D92EC5" w:rsidRDefault="004642AA" w:rsidP="00D92EC5"/>
        </w:tc>
        <w:tc>
          <w:tcPr>
            <w:tcW w:w="5069" w:type="dxa"/>
          </w:tcPr>
          <w:p w14:paraId="281345F1" w14:textId="77777777" w:rsidR="008E35CB" w:rsidRPr="00D92EC5" w:rsidRDefault="008E35CB" w:rsidP="00233B94">
            <w:pPr>
              <w:jc w:val="both"/>
            </w:pPr>
            <w:r w:rsidRPr="00D92EC5">
              <w:t>Regional</w:t>
            </w:r>
          </w:p>
        </w:tc>
      </w:tr>
      <w:tr w:rsidR="008E35CB" w:rsidRPr="00D92EC5" w14:paraId="1A188311" w14:textId="77777777" w:rsidTr="008E35CB">
        <w:tc>
          <w:tcPr>
            <w:tcW w:w="421" w:type="dxa"/>
          </w:tcPr>
          <w:p w14:paraId="1DC3DBBC" w14:textId="77777777" w:rsidR="008E35CB" w:rsidRPr="00D92EC5" w:rsidRDefault="008E35CB" w:rsidP="00D92EC5"/>
        </w:tc>
        <w:tc>
          <w:tcPr>
            <w:tcW w:w="1984" w:type="dxa"/>
          </w:tcPr>
          <w:p w14:paraId="69D5F633" w14:textId="551B922E" w:rsidR="008E35CB" w:rsidRPr="00D92EC5" w:rsidRDefault="008E35CB" w:rsidP="00D92EC5">
            <w:r w:rsidRPr="00D92EC5">
              <w:t>Measures</w:t>
            </w:r>
          </w:p>
        </w:tc>
        <w:tc>
          <w:tcPr>
            <w:tcW w:w="5069" w:type="dxa"/>
          </w:tcPr>
          <w:p w14:paraId="54844BFC" w14:textId="77777777" w:rsidR="008E35CB" w:rsidRDefault="008E35CB">
            <w:pPr>
              <w:jc w:val="both"/>
            </w:pPr>
            <w:r w:rsidRPr="008E35CB">
              <w:rPr>
                <w:i/>
                <w:iCs/>
              </w:rPr>
              <w:t>Second-hand Dealers and Pawnbrokers Act 2003</w:t>
            </w:r>
            <w:r w:rsidRPr="00D92EC5">
              <w:t xml:space="preserve"> (Qld)</w:t>
            </w:r>
          </w:p>
          <w:p w14:paraId="5052F89D" w14:textId="34845A2D" w:rsidR="004642AA" w:rsidRPr="00D92EC5" w:rsidRDefault="004642AA" w:rsidP="00233B94">
            <w:pPr>
              <w:jc w:val="both"/>
            </w:pPr>
          </w:p>
        </w:tc>
      </w:tr>
      <w:tr w:rsidR="008E35CB" w:rsidRPr="00D92EC5" w14:paraId="7D5BE7A7" w14:textId="77777777" w:rsidTr="008E35CB">
        <w:tc>
          <w:tcPr>
            <w:tcW w:w="421" w:type="dxa"/>
          </w:tcPr>
          <w:p w14:paraId="63D60325" w14:textId="77777777" w:rsidR="008E35CB" w:rsidRPr="00D92EC5" w:rsidRDefault="008E35CB" w:rsidP="00D92EC5"/>
        </w:tc>
        <w:tc>
          <w:tcPr>
            <w:tcW w:w="1984" w:type="dxa"/>
          </w:tcPr>
          <w:p w14:paraId="3968E976" w14:textId="14358257" w:rsidR="008E35CB" w:rsidRPr="00D92EC5" w:rsidRDefault="008E35CB" w:rsidP="00D92EC5">
            <w:r w:rsidRPr="00D92EC5">
              <w:t>Description</w:t>
            </w:r>
          </w:p>
        </w:tc>
        <w:tc>
          <w:tcPr>
            <w:tcW w:w="5069" w:type="dxa"/>
          </w:tcPr>
          <w:p w14:paraId="08D115E2" w14:textId="77777777" w:rsidR="008E35CB" w:rsidRPr="008E35CB" w:rsidRDefault="008E35CB" w:rsidP="00233B94">
            <w:pPr>
              <w:jc w:val="both"/>
              <w:rPr>
                <w:u w:val="single"/>
              </w:rPr>
            </w:pPr>
            <w:r w:rsidRPr="008E35CB">
              <w:rPr>
                <w:u w:val="single"/>
              </w:rPr>
              <w:t>Queensland</w:t>
            </w:r>
          </w:p>
          <w:p w14:paraId="5841338D" w14:textId="77777777" w:rsidR="008E35CB" w:rsidRPr="00D92EC5" w:rsidRDefault="008E35CB" w:rsidP="00233B94">
            <w:pPr>
              <w:jc w:val="both"/>
            </w:pPr>
          </w:p>
          <w:p w14:paraId="586387C1" w14:textId="122EC1B5" w:rsidR="008E35CB" w:rsidRPr="00D92EC5" w:rsidRDefault="008E35CB" w:rsidP="00233B94">
            <w:pPr>
              <w:jc w:val="both"/>
            </w:pPr>
            <w:r w:rsidRPr="00D92EC5">
              <w:t xml:space="preserve">A person operating as a second-hand dealer or as a pawnbroker must have a principal place of business in Queensland where a document can be served personally. </w:t>
            </w:r>
            <w:r w:rsidR="00C6368A">
              <w:t xml:space="preserve"> </w:t>
            </w:r>
            <w:r w:rsidRPr="00D92EC5">
              <w:t>A post office box does not suffice.</w:t>
            </w:r>
          </w:p>
        </w:tc>
      </w:tr>
    </w:tbl>
    <w:p w14:paraId="49D2EB20" w14:textId="77777777" w:rsidR="00FF3A88" w:rsidRPr="00D92EC5" w:rsidRDefault="00FF3A88" w:rsidP="00D92EC5"/>
    <w:p w14:paraId="032FC012" w14:textId="77777777" w:rsidR="00C45157" w:rsidRDefault="00C45157">
      <w:pPr>
        <w:spacing w:after="160" w:line="259" w:lineRule="auto"/>
        <w:rPr>
          <w:sz w:val="32"/>
          <w:szCs w:val="32"/>
        </w:rPr>
      </w:pPr>
      <w:bookmarkStart w:id="2" w:name="_Toc82512128"/>
      <w:r>
        <w:rPr>
          <w:sz w:val="32"/>
          <w:szCs w:val="32"/>
        </w:rPr>
        <w:br w:type="page"/>
      </w:r>
    </w:p>
    <w:p w14:paraId="7A61AD42" w14:textId="0858EAB0" w:rsidR="00627A14" w:rsidRDefault="00627A14" w:rsidP="00DA2B0C">
      <w:pPr>
        <w:spacing w:line="259" w:lineRule="auto"/>
        <w:jc w:val="center"/>
        <w:rPr>
          <w:b/>
          <w:bCs/>
        </w:rPr>
      </w:pPr>
      <w:r w:rsidRPr="00233B94">
        <w:rPr>
          <w:b/>
          <w:bCs/>
        </w:rPr>
        <w:lastRenderedPageBreak/>
        <w:t>Section B</w:t>
      </w:r>
      <w:bookmarkEnd w:id="2"/>
    </w:p>
    <w:p w14:paraId="5630060D" w14:textId="77777777" w:rsidR="004A00D7" w:rsidRPr="00233B94" w:rsidRDefault="004A00D7" w:rsidP="00233B94">
      <w:pPr>
        <w:spacing w:line="259" w:lineRule="auto"/>
        <w:jc w:val="center"/>
        <w:rPr>
          <w:b/>
          <w:bCs/>
        </w:rPr>
      </w:pPr>
    </w:p>
    <w:tbl>
      <w:tblPr>
        <w:tblStyle w:val="TableGrid"/>
        <w:tblW w:w="0" w:type="auto"/>
        <w:tblLook w:val="04A0" w:firstRow="1" w:lastRow="0" w:firstColumn="1" w:lastColumn="0" w:noHBand="0" w:noVBand="1"/>
      </w:tblPr>
      <w:tblGrid>
        <w:gridCol w:w="421"/>
        <w:gridCol w:w="1984"/>
        <w:gridCol w:w="5069"/>
      </w:tblGrid>
      <w:tr w:rsidR="008E35CB" w:rsidRPr="00D92EC5" w14:paraId="310D4894" w14:textId="77777777" w:rsidTr="008E35CB">
        <w:tc>
          <w:tcPr>
            <w:tcW w:w="421" w:type="dxa"/>
          </w:tcPr>
          <w:p w14:paraId="43770873" w14:textId="16E4A04B" w:rsidR="008E35CB" w:rsidRPr="00D92EC5" w:rsidRDefault="008E35CB" w:rsidP="00D92EC5">
            <w:r>
              <w:t>1</w:t>
            </w:r>
          </w:p>
        </w:tc>
        <w:tc>
          <w:tcPr>
            <w:tcW w:w="1984" w:type="dxa"/>
          </w:tcPr>
          <w:p w14:paraId="62E91113" w14:textId="2BD27248" w:rsidR="008E35CB" w:rsidRPr="00D92EC5" w:rsidRDefault="008E35CB" w:rsidP="00D92EC5">
            <w:r w:rsidRPr="00D92EC5">
              <w:t>Sector</w:t>
            </w:r>
          </w:p>
        </w:tc>
        <w:tc>
          <w:tcPr>
            <w:tcW w:w="5069" w:type="dxa"/>
          </w:tcPr>
          <w:p w14:paraId="6E30A9CB" w14:textId="77777777" w:rsidR="008E35CB" w:rsidRDefault="008E35CB" w:rsidP="00D92EC5">
            <w:r w:rsidRPr="00D92EC5">
              <w:t>Financial Services</w:t>
            </w:r>
          </w:p>
          <w:p w14:paraId="2240F53F" w14:textId="0F69F034" w:rsidR="00274C1C" w:rsidRPr="00D92EC5" w:rsidRDefault="00274C1C" w:rsidP="00D92EC5"/>
        </w:tc>
      </w:tr>
      <w:tr w:rsidR="008E35CB" w:rsidRPr="00D92EC5" w14:paraId="774DB7D9" w14:textId="77777777" w:rsidTr="008E35CB">
        <w:tc>
          <w:tcPr>
            <w:tcW w:w="421" w:type="dxa"/>
          </w:tcPr>
          <w:p w14:paraId="580A1393" w14:textId="77777777" w:rsidR="008E35CB" w:rsidRPr="00D92EC5" w:rsidRDefault="008E35CB" w:rsidP="00D92EC5"/>
        </w:tc>
        <w:tc>
          <w:tcPr>
            <w:tcW w:w="1984" w:type="dxa"/>
          </w:tcPr>
          <w:p w14:paraId="72239F6C" w14:textId="77777777" w:rsidR="008E35CB" w:rsidRDefault="008E35CB" w:rsidP="00D92EC5">
            <w:r w:rsidRPr="00D92EC5">
              <w:t>Level of government</w:t>
            </w:r>
          </w:p>
          <w:p w14:paraId="2C2BAE97" w14:textId="5BEEC5B5" w:rsidR="00274C1C" w:rsidRPr="00D92EC5" w:rsidRDefault="00274C1C" w:rsidP="00D92EC5"/>
        </w:tc>
        <w:tc>
          <w:tcPr>
            <w:tcW w:w="5069" w:type="dxa"/>
          </w:tcPr>
          <w:p w14:paraId="22D598A5" w14:textId="218D2E1E" w:rsidR="008E35CB" w:rsidRPr="00D92EC5" w:rsidRDefault="008E35CB" w:rsidP="00D92EC5">
            <w:r w:rsidRPr="00D92EC5">
              <w:t>Central and Regional</w:t>
            </w:r>
          </w:p>
        </w:tc>
      </w:tr>
      <w:tr w:rsidR="008E35CB" w:rsidRPr="00D92EC5" w14:paraId="1B013288" w14:textId="77777777" w:rsidTr="008E35CB">
        <w:tc>
          <w:tcPr>
            <w:tcW w:w="421" w:type="dxa"/>
          </w:tcPr>
          <w:p w14:paraId="03864CC3" w14:textId="77777777" w:rsidR="008E35CB" w:rsidRPr="00D92EC5" w:rsidRDefault="008E35CB" w:rsidP="00D92EC5"/>
        </w:tc>
        <w:tc>
          <w:tcPr>
            <w:tcW w:w="1984" w:type="dxa"/>
          </w:tcPr>
          <w:p w14:paraId="50ED93D2" w14:textId="77777777" w:rsidR="008E35CB" w:rsidRDefault="008E35CB" w:rsidP="00D92EC5">
            <w:r w:rsidRPr="00D92EC5">
              <w:t>Obligations concerned</w:t>
            </w:r>
          </w:p>
          <w:p w14:paraId="50D36AE5" w14:textId="5BA7D6F0" w:rsidR="00274C1C" w:rsidRPr="00D92EC5" w:rsidRDefault="00274C1C" w:rsidP="00D92EC5"/>
        </w:tc>
        <w:tc>
          <w:tcPr>
            <w:tcW w:w="5069" w:type="dxa"/>
          </w:tcPr>
          <w:p w14:paraId="59B8A0E4" w14:textId="7F48616A" w:rsidR="008E35CB" w:rsidRPr="00D92EC5" w:rsidRDefault="008E35CB" w:rsidP="00D92EC5">
            <w:r w:rsidRPr="00D92EC5">
              <w:t xml:space="preserve">Market Access </w:t>
            </w:r>
          </w:p>
        </w:tc>
      </w:tr>
      <w:tr w:rsidR="008E35CB" w:rsidRPr="00D92EC5" w14:paraId="60EF8073" w14:textId="77777777" w:rsidTr="008E35CB">
        <w:tc>
          <w:tcPr>
            <w:tcW w:w="421" w:type="dxa"/>
          </w:tcPr>
          <w:p w14:paraId="20BCCE58" w14:textId="77777777" w:rsidR="008E35CB" w:rsidRPr="00D92EC5" w:rsidRDefault="008E35CB" w:rsidP="00D92EC5"/>
        </w:tc>
        <w:tc>
          <w:tcPr>
            <w:tcW w:w="1984" w:type="dxa"/>
          </w:tcPr>
          <w:p w14:paraId="17FC4DDF" w14:textId="221BD4BB" w:rsidR="008E35CB" w:rsidRPr="00D92EC5" w:rsidRDefault="008E35CB" w:rsidP="00D92EC5">
            <w:r w:rsidRPr="00D92EC5">
              <w:t>Description</w:t>
            </w:r>
          </w:p>
        </w:tc>
        <w:tc>
          <w:tcPr>
            <w:tcW w:w="5069" w:type="dxa"/>
          </w:tcPr>
          <w:p w14:paraId="2DC57D60" w14:textId="1C470BAD" w:rsidR="008E35CB" w:rsidRDefault="008E35CB">
            <w:pPr>
              <w:jc w:val="both"/>
            </w:pPr>
            <w:r w:rsidRPr="00D92EC5">
              <w:t xml:space="preserve">Australia reserves the right to adopt or maintain any measure imposing non-discriminatory limitations on juridical form for juridical persons supplying financial services and constituted under the laws of Australia. </w:t>
            </w:r>
            <w:r w:rsidR="00C6368A">
              <w:t xml:space="preserve"> </w:t>
            </w:r>
            <w:r w:rsidRPr="00D92EC5">
              <w:t>For example, partnerships and sole proprietorships are generally not acceptable juridical forms for authorised depository institutions in Australia.</w:t>
            </w:r>
            <w:r w:rsidRPr="00233B94">
              <w:rPr>
                <w:vertAlign w:val="superscript"/>
              </w:rPr>
              <w:footnoteReference w:id="1"/>
            </w:r>
          </w:p>
          <w:p w14:paraId="45441BE9" w14:textId="454CC8F0" w:rsidR="00274C1C" w:rsidRPr="00D92EC5" w:rsidRDefault="00274C1C" w:rsidP="00233B94">
            <w:pPr>
              <w:jc w:val="both"/>
            </w:pPr>
          </w:p>
        </w:tc>
      </w:tr>
      <w:tr w:rsidR="008E35CB" w:rsidRPr="00D92EC5" w14:paraId="7F906984" w14:textId="77777777" w:rsidTr="008E35CB">
        <w:tc>
          <w:tcPr>
            <w:tcW w:w="421" w:type="dxa"/>
          </w:tcPr>
          <w:p w14:paraId="5E3E51D0" w14:textId="77777777" w:rsidR="008E35CB" w:rsidRPr="00D92EC5" w:rsidRDefault="008E35CB" w:rsidP="00D92EC5"/>
        </w:tc>
        <w:tc>
          <w:tcPr>
            <w:tcW w:w="1984" w:type="dxa"/>
          </w:tcPr>
          <w:p w14:paraId="5F1FAE91" w14:textId="60C0C479" w:rsidR="008E35CB" w:rsidRPr="00D92EC5" w:rsidRDefault="008E35CB" w:rsidP="00D92EC5">
            <w:r w:rsidRPr="00D92EC5">
              <w:t>Existing Measures</w:t>
            </w:r>
          </w:p>
        </w:tc>
        <w:tc>
          <w:tcPr>
            <w:tcW w:w="5069" w:type="dxa"/>
          </w:tcPr>
          <w:p w14:paraId="5D78D501" w14:textId="77777777" w:rsidR="008E35CB" w:rsidRPr="00D92EC5" w:rsidRDefault="008E35CB" w:rsidP="00D92EC5"/>
        </w:tc>
      </w:tr>
    </w:tbl>
    <w:p w14:paraId="622CEB35" w14:textId="378344EA" w:rsidR="001206A3" w:rsidRDefault="001206A3" w:rsidP="00D92EC5"/>
    <w:p w14:paraId="35E610A2" w14:textId="77777777" w:rsidR="00C45157" w:rsidRDefault="00C45157">
      <w:r>
        <w:br w:type="page"/>
      </w:r>
    </w:p>
    <w:tbl>
      <w:tblPr>
        <w:tblStyle w:val="TableGrid"/>
        <w:tblW w:w="0" w:type="auto"/>
        <w:tblLook w:val="04A0" w:firstRow="1" w:lastRow="0" w:firstColumn="1" w:lastColumn="0" w:noHBand="0" w:noVBand="1"/>
      </w:tblPr>
      <w:tblGrid>
        <w:gridCol w:w="421"/>
        <w:gridCol w:w="1984"/>
        <w:gridCol w:w="5069"/>
      </w:tblGrid>
      <w:tr w:rsidR="008E35CB" w:rsidRPr="00D92EC5" w14:paraId="448AEED6" w14:textId="77777777" w:rsidTr="008E35CB">
        <w:tc>
          <w:tcPr>
            <w:tcW w:w="421" w:type="dxa"/>
          </w:tcPr>
          <w:p w14:paraId="6C2A46C3" w14:textId="5BE612AB" w:rsidR="008E35CB" w:rsidRPr="00D92EC5" w:rsidRDefault="008E35CB" w:rsidP="00D92EC5">
            <w:r>
              <w:lastRenderedPageBreak/>
              <w:t>2</w:t>
            </w:r>
          </w:p>
        </w:tc>
        <w:tc>
          <w:tcPr>
            <w:tcW w:w="1984" w:type="dxa"/>
          </w:tcPr>
          <w:p w14:paraId="4AD36200" w14:textId="0D4D5E60" w:rsidR="008E35CB" w:rsidRPr="00D92EC5" w:rsidRDefault="008E35CB" w:rsidP="00D92EC5">
            <w:r w:rsidRPr="00D92EC5">
              <w:t>Sector</w:t>
            </w:r>
          </w:p>
        </w:tc>
        <w:tc>
          <w:tcPr>
            <w:tcW w:w="5069" w:type="dxa"/>
          </w:tcPr>
          <w:p w14:paraId="1206EAF6" w14:textId="77777777" w:rsidR="008E35CB" w:rsidRDefault="008E35CB">
            <w:pPr>
              <w:jc w:val="both"/>
            </w:pPr>
            <w:r w:rsidRPr="00D92EC5">
              <w:t>Financial Services</w:t>
            </w:r>
          </w:p>
          <w:p w14:paraId="2A6374F7" w14:textId="6C97AE4F" w:rsidR="00C6368A" w:rsidRPr="00D92EC5" w:rsidRDefault="00C6368A" w:rsidP="00233B94">
            <w:pPr>
              <w:jc w:val="both"/>
            </w:pPr>
          </w:p>
        </w:tc>
      </w:tr>
      <w:tr w:rsidR="008E35CB" w:rsidRPr="00D92EC5" w14:paraId="6FB57158" w14:textId="77777777" w:rsidTr="008E35CB">
        <w:tc>
          <w:tcPr>
            <w:tcW w:w="421" w:type="dxa"/>
          </w:tcPr>
          <w:p w14:paraId="1CF3245C" w14:textId="77777777" w:rsidR="008E35CB" w:rsidRPr="00D92EC5" w:rsidRDefault="008E35CB" w:rsidP="00D92EC5"/>
        </w:tc>
        <w:tc>
          <w:tcPr>
            <w:tcW w:w="1984" w:type="dxa"/>
          </w:tcPr>
          <w:p w14:paraId="32A99884" w14:textId="77777777" w:rsidR="008E35CB" w:rsidRDefault="008E35CB" w:rsidP="00D92EC5">
            <w:r w:rsidRPr="00D92EC5">
              <w:t>Level of government</w:t>
            </w:r>
          </w:p>
          <w:p w14:paraId="4F60E380" w14:textId="2E70A653" w:rsidR="00C6368A" w:rsidRPr="00D92EC5" w:rsidRDefault="00C6368A" w:rsidP="00D92EC5"/>
        </w:tc>
        <w:tc>
          <w:tcPr>
            <w:tcW w:w="5069" w:type="dxa"/>
          </w:tcPr>
          <w:p w14:paraId="530486D5" w14:textId="1BEE52ED" w:rsidR="008E35CB" w:rsidRPr="00D92EC5" w:rsidRDefault="008E35CB" w:rsidP="00233B94">
            <w:pPr>
              <w:jc w:val="both"/>
            </w:pPr>
            <w:r w:rsidRPr="00D92EC5">
              <w:t>Central and Regional</w:t>
            </w:r>
          </w:p>
        </w:tc>
      </w:tr>
      <w:tr w:rsidR="008E35CB" w:rsidRPr="00D92EC5" w14:paraId="6B0D1A1C" w14:textId="77777777" w:rsidTr="008E35CB">
        <w:tc>
          <w:tcPr>
            <w:tcW w:w="421" w:type="dxa"/>
          </w:tcPr>
          <w:p w14:paraId="2E562F14" w14:textId="77777777" w:rsidR="008E35CB" w:rsidRPr="00D92EC5" w:rsidRDefault="008E35CB" w:rsidP="00D92EC5"/>
        </w:tc>
        <w:tc>
          <w:tcPr>
            <w:tcW w:w="1984" w:type="dxa"/>
          </w:tcPr>
          <w:p w14:paraId="3C847D9B" w14:textId="62F00E01" w:rsidR="008E35CB" w:rsidRPr="00D92EC5" w:rsidRDefault="008E35CB" w:rsidP="00D92EC5">
            <w:r w:rsidRPr="00D92EC5">
              <w:t>Obligations concerned</w:t>
            </w:r>
          </w:p>
        </w:tc>
        <w:tc>
          <w:tcPr>
            <w:tcW w:w="5069" w:type="dxa"/>
          </w:tcPr>
          <w:p w14:paraId="6224A179" w14:textId="79843ED0" w:rsidR="008E35CB" w:rsidRPr="00D92EC5" w:rsidRDefault="008E35CB" w:rsidP="00233B94">
            <w:pPr>
              <w:jc w:val="both"/>
            </w:pPr>
            <w:r w:rsidRPr="00D92EC5">
              <w:t xml:space="preserve">National Treatment </w:t>
            </w:r>
          </w:p>
          <w:p w14:paraId="32A24E8A" w14:textId="616AB309" w:rsidR="008E35CB" w:rsidRDefault="008E35CB">
            <w:pPr>
              <w:jc w:val="both"/>
            </w:pPr>
            <w:r w:rsidRPr="00D92EC5">
              <w:t xml:space="preserve">Senior Management and Boards of Directors </w:t>
            </w:r>
          </w:p>
          <w:p w14:paraId="41D387CA" w14:textId="2F4CDC0B" w:rsidR="00C6368A" w:rsidRPr="00D92EC5" w:rsidRDefault="00C6368A" w:rsidP="00233B94">
            <w:pPr>
              <w:jc w:val="both"/>
            </w:pPr>
          </w:p>
        </w:tc>
      </w:tr>
      <w:tr w:rsidR="008E35CB" w:rsidRPr="00D92EC5" w14:paraId="6A521B10" w14:textId="77777777" w:rsidTr="008E35CB">
        <w:tc>
          <w:tcPr>
            <w:tcW w:w="421" w:type="dxa"/>
          </w:tcPr>
          <w:p w14:paraId="70A2A9A8" w14:textId="77777777" w:rsidR="008E35CB" w:rsidRPr="00D92EC5" w:rsidRDefault="008E35CB" w:rsidP="00D92EC5"/>
        </w:tc>
        <w:tc>
          <w:tcPr>
            <w:tcW w:w="1984" w:type="dxa"/>
          </w:tcPr>
          <w:p w14:paraId="70AF9A2E" w14:textId="03084DF0" w:rsidR="008E35CB" w:rsidRPr="00D92EC5" w:rsidRDefault="008E35CB" w:rsidP="00D92EC5">
            <w:r w:rsidRPr="00D92EC5">
              <w:t>Description</w:t>
            </w:r>
          </w:p>
        </w:tc>
        <w:tc>
          <w:tcPr>
            <w:tcW w:w="5069" w:type="dxa"/>
          </w:tcPr>
          <w:p w14:paraId="36167AA6" w14:textId="77777777" w:rsidR="008E35CB" w:rsidRDefault="008E35CB">
            <w:pPr>
              <w:jc w:val="both"/>
            </w:pPr>
            <w:r w:rsidRPr="00D92EC5">
              <w:t>Australia reserves the right to adopt or maintain any measure with respect to the guarantee by government of government-owned entities whose operations include the provision of financial services, including guarantees related to the privatisation of such entities.</w:t>
            </w:r>
          </w:p>
          <w:p w14:paraId="1BBADA36" w14:textId="17ABD4FC" w:rsidR="00C6368A" w:rsidRPr="00D92EC5" w:rsidRDefault="00C6368A" w:rsidP="00233B94">
            <w:pPr>
              <w:jc w:val="both"/>
            </w:pPr>
          </w:p>
        </w:tc>
      </w:tr>
      <w:tr w:rsidR="008E35CB" w:rsidRPr="00D92EC5" w14:paraId="59873E40" w14:textId="77777777" w:rsidTr="008E35CB">
        <w:tc>
          <w:tcPr>
            <w:tcW w:w="421" w:type="dxa"/>
          </w:tcPr>
          <w:p w14:paraId="7E300654" w14:textId="77777777" w:rsidR="008E35CB" w:rsidRPr="00D92EC5" w:rsidRDefault="008E35CB" w:rsidP="00D92EC5"/>
        </w:tc>
        <w:tc>
          <w:tcPr>
            <w:tcW w:w="1984" w:type="dxa"/>
          </w:tcPr>
          <w:p w14:paraId="6AE51FA8" w14:textId="01A3A650" w:rsidR="008E35CB" w:rsidRPr="00D92EC5" w:rsidRDefault="008E35CB" w:rsidP="00D92EC5">
            <w:r w:rsidRPr="00D92EC5">
              <w:t>Existing Measures</w:t>
            </w:r>
          </w:p>
        </w:tc>
        <w:tc>
          <w:tcPr>
            <w:tcW w:w="5069" w:type="dxa"/>
          </w:tcPr>
          <w:p w14:paraId="72FC70FB" w14:textId="77777777" w:rsidR="008E35CB" w:rsidRPr="00D92EC5" w:rsidRDefault="008E35CB" w:rsidP="00233B94">
            <w:pPr>
              <w:jc w:val="both"/>
            </w:pPr>
          </w:p>
        </w:tc>
      </w:tr>
    </w:tbl>
    <w:p w14:paraId="346BFAD6" w14:textId="188F70A8" w:rsidR="0079609B" w:rsidRDefault="0079609B" w:rsidP="00D92EC5"/>
    <w:p w14:paraId="51E18CE9" w14:textId="77777777" w:rsidR="0079609B" w:rsidRDefault="0079609B">
      <w:pPr>
        <w:spacing w:after="160" w:line="259" w:lineRule="auto"/>
      </w:pPr>
      <w:r>
        <w:br w:type="page"/>
      </w:r>
    </w:p>
    <w:p w14:paraId="71A66C23" w14:textId="77777777" w:rsidR="001206A3" w:rsidRPr="00D92EC5" w:rsidRDefault="001206A3" w:rsidP="00D92EC5"/>
    <w:tbl>
      <w:tblPr>
        <w:tblStyle w:val="TableGrid"/>
        <w:tblW w:w="0" w:type="auto"/>
        <w:tblLook w:val="04A0" w:firstRow="1" w:lastRow="0" w:firstColumn="1" w:lastColumn="0" w:noHBand="0" w:noVBand="1"/>
      </w:tblPr>
      <w:tblGrid>
        <w:gridCol w:w="421"/>
        <w:gridCol w:w="1984"/>
        <w:gridCol w:w="5069"/>
      </w:tblGrid>
      <w:tr w:rsidR="00F75546" w:rsidRPr="00D92EC5" w14:paraId="7DEA6EC7" w14:textId="77777777" w:rsidTr="003D00A3">
        <w:tc>
          <w:tcPr>
            <w:tcW w:w="421" w:type="dxa"/>
          </w:tcPr>
          <w:p w14:paraId="193938F0" w14:textId="24671785" w:rsidR="00F75546" w:rsidRPr="00D92EC5" w:rsidRDefault="00F75546" w:rsidP="003D00A3">
            <w:r>
              <w:t>3</w:t>
            </w:r>
          </w:p>
        </w:tc>
        <w:tc>
          <w:tcPr>
            <w:tcW w:w="1984" w:type="dxa"/>
          </w:tcPr>
          <w:p w14:paraId="4349FEEB" w14:textId="77777777" w:rsidR="00F75546" w:rsidRPr="00D92EC5" w:rsidRDefault="00F75546" w:rsidP="003D00A3">
            <w:r w:rsidRPr="00D92EC5">
              <w:t>Sector</w:t>
            </w:r>
          </w:p>
        </w:tc>
        <w:tc>
          <w:tcPr>
            <w:tcW w:w="5069" w:type="dxa"/>
          </w:tcPr>
          <w:p w14:paraId="08C54BE6" w14:textId="77777777" w:rsidR="00F75546" w:rsidRDefault="00F75546" w:rsidP="003D00A3">
            <w:pPr>
              <w:jc w:val="both"/>
            </w:pPr>
            <w:r w:rsidRPr="00D92EC5">
              <w:t>Financial Services</w:t>
            </w:r>
          </w:p>
          <w:p w14:paraId="13FD77D2" w14:textId="77777777" w:rsidR="00F75546" w:rsidRPr="00D92EC5" w:rsidRDefault="00F75546" w:rsidP="003D00A3">
            <w:pPr>
              <w:jc w:val="both"/>
            </w:pPr>
          </w:p>
        </w:tc>
      </w:tr>
      <w:tr w:rsidR="00CF4CBC" w:rsidRPr="00D92EC5" w14:paraId="3C61C274" w14:textId="77777777" w:rsidTr="003D00A3">
        <w:tc>
          <w:tcPr>
            <w:tcW w:w="421" w:type="dxa"/>
          </w:tcPr>
          <w:p w14:paraId="7B4F3651" w14:textId="77777777" w:rsidR="00CF4CBC" w:rsidRPr="00D92EC5" w:rsidRDefault="00CF4CBC" w:rsidP="003D00A3"/>
        </w:tc>
        <w:tc>
          <w:tcPr>
            <w:tcW w:w="1984" w:type="dxa"/>
          </w:tcPr>
          <w:p w14:paraId="28E3CA3F" w14:textId="5EFC815D" w:rsidR="00CF4CBC" w:rsidRPr="00D92EC5" w:rsidRDefault="0011692E" w:rsidP="003D00A3">
            <w:r>
              <w:t>Level of government</w:t>
            </w:r>
          </w:p>
        </w:tc>
        <w:tc>
          <w:tcPr>
            <w:tcW w:w="5069" w:type="dxa"/>
          </w:tcPr>
          <w:p w14:paraId="45D2A070" w14:textId="012398FE" w:rsidR="00CF4CBC" w:rsidRDefault="00B7350D" w:rsidP="003D00A3">
            <w:pPr>
              <w:jc w:val="both"/>
            </w:pPr>
            <w:r w:rsidRPr="00D92EC5">
              <w:t>Central and Regional</w:t>
            </w:r>
          </w:p>
        </w:tc>
      </w:tr>
      <w:tr w:rsidR="00F75546" w:rsidRPr="00D92EC5" w14:paraId="6A831490" w14:textId="77777777" w:rsidTr="003D00A3">
        <w:tc>
          <w:tcPr>
            <w:tcW w:w="421" w:type="dxa"/>
          </w:tcPr>
          <w:p w14:paraId="77577947" w14:textId="77777777" w:rsidR="00F75546" w:rsidRPr="00D92EC5" w:rsidRDefault="00F75546" w:rsidP="003D00A3"/>
        </w:tc>
        <w:tc>
          <w:tcPr>
            <w:tcW w:w="1984" w:type="dxa"/>
          </w:tcPr>
          <w:p w14:paraId="71D4A13C" w14:textId="77777777" w:rsidR="00F75546" w:rsidRPr="00D92EC5" w:rsidRDefault="00F75546" w:rsidP="003D00A3">
            <w:r w:rsidRPr="00D92EC5">
              <w:t>Obligations concerned</w:t>
            </w:r>
          </w:p>
        </w:tc>
        <w:tc>
          <w:tcPr>
            <w:tcW w:w="5069" w:type="dxa"/>
          </w:tcPr>
          <w:p w14:paraId="053A7229" w14:textId="5FC0DBE7" w:rsidR="00F75546" w:rsidRPr="00D92EC5" w:rsidRDefault="00F75546" w:rsidP="003D00A3">
            <w:pPr>
              <w:jc w:val="both"/>
            </w:pPr>
            <w:r>
              <w:t>Market Access</w:t>
            </w:r>
            <w:r w:rsidRPr="00D92EC5">
              <w:t xml:space="preserve"> </w:t>
            </w:r>
          </w:p>
          <w:p w14:paraId="2E3A5002" w14:textId="04C127E1" w:rsidR="00F75546" w:rsidRDefault="00F75546" w:rsidP="003D00A3">
            <w:pPr>
              <w:jc w:val="both"/>
            </w:pPr>
            <w:r>
              <w:t xml:space="preserve">Local Presence </w:t>
            </w:r>
          </w:p>
          <w:p w14:paraId="0E1C30A6" w14:textId="77777777" w:rsidR="00F75546" w:rsidRPr="00D92EC5" w:rsidRDefault="00F75546" w:rsidP="003D00A3">
            <w:pPr>
              <w:jc w:val="both"/>
            </w:pPr>
          </w:p>
        </w:tc>
      </w:tr>
      <w:tr w:rsidR="00F75546" w:rsidRPr="00D92EC5" w14:paraId="62D7E034" w14:textId="77777777" w:rsidTr="003D00A3">
        <w:tc>
          <w:tcPr>
            <w:tcW w:w="421" w:type="dxa"/>
          </w:tcPr>
          <w:p w14:paraId="41B8C45C" w14:textId="77777777" w:rsidR="00F75546" w:rsidRPr="00D92EC5" w:rsidRDefault="00F75546" w:rsidP="003D00A3"/>
        </w:tc>
        <w:tc>
          <w:tcPr>
            <w:tcW w:w="1984" w:type="dxa"/>
          </w:tcPr>
          <w:p w14:paraId="6851D469" w14:textId="77777777" w:rsidR="00F75546" w:rsidRPr="00D92EC5" w:rsidRDefault="00F75546" w:rsidP="003D00A3">
            <w:r w:rsidRPr="00D92EC5">
              <w:t>Description</w:t>
            </w:r>
          </w:p>
        </w:tc>
        <w:tc>
          <w:tcPr>
            <w:tcW w:w="5069" w:type="dxa"/>
          </w:tcPr>
          <w:p w14:paraId="358C4FA3" w14:textId="424DA0D6" w:rsidR="00F75546" w:rsidRPr="00D92EC5" w:rsidRDefault="00F75546" w:rsidP="003D00A3">
            <w:pPr>
              <w:jc w:val="both"/>
            </w:pPr>
            <w:r>
              <w:t xml:space="preserve">Australia reserves the right to adopt or maintain any measure with respect to the supply of a service by the presence of natural persons, subject to the provisions of Chapter 11 (Temporary Entry for </w:t>
            </w:r>
            <w:proofErr w:type="gramStart"/>
            <w:r>
              <w:t>Business Persons</w:t>
            </w:r>
            <w:proofErr w:type="gramEnd"/>
            <w:r>
              <w:t xml:space="preserve">), that is not inconsistent with Australia’s obligations under Article XVI of GATS. </w:t>
            </w:r>
          </w:p>
        </w:tc>
      </w:tr>
      <w:tr w:rsidR="00F75546" w:rsidRPr="00D92EC5" w14:paraId="6240D7D2" w14:textId="77777777" w:rsidTr="003D00A3">
        <w:tc>
          <w:tcPr>
            <w:tcW w:w="421" w:type="dxa"/>
          </w:tcPr>
          <w:p w14:paraId="0EC10961" w14:textId="77777777" w:rsidR="00F75546" w:rsidRPr="00D92EC5" w:rsidRDefault="00F75546" w:rsidP="003D00A3"/>
        </w:tc>
        <w:tc>
          <w:tcPr>
            <w:tcW w:w="1984" w:type="dxa"/>
          </w:tcPr>
          <w:p w14:paraId="1E918397" w14:textId="77777777" w:rsidR="00F75546" w:rsidRPr="00D92EC5" w:rsidRDefault="00F75546" w:rsidP="003D00A3">
            <w:r w:rsidRPr="00D92EC5">
              <w:t>Existing Measures</w:t>
            </w:r>
          </w:p>
        </w:tc>
        <w:tc>
          <w:tcPr>
            <w:tcW w:w="5069" w:type="dxa"/>
          </w:tcPr>
          <w:p w14:paraId="4F71F7EB" w14:textId="77777777" w:rsidR="00F75546" w:rsidRPr="00D92EC5" w:rsidRDefault="00F75546" w:rsidP="003D00A3">
            <w:pPr>
              <w:jc w:val="both"/>
            </w:pPr>
          </w:p>
        </w:tc>
      </w:tr>
    </w:tbl>
    <w:p w14:paraId="70CA0F89" w14:textId="7EEAB333" w:rsidR="0057519E" w:rsidRPr="00D92EC5" w:rsidRDefault="0057519E" w:rsidP="00D92EC5"/>
    <w:sectPr w:rsidR="0057519E" w:rsidRPr="00D92EC5" w:rsidSect="004A00D7">
      <w:footerReference w:type="default" r:id="rId12"/>
      <w:pgSz w:w="11906" w:h="16838"/>
      <w:pgMar w:top="1701" w:right="1644" w:bottom="1701" w:left="221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DDA304" w14:textId="77777777" w:rsidR="00F447E8" w:rsidRDefault="00F447E8" w:rsidP="00627A14">
      <w:r>
        <w:separator/>
      </w:r>
    </w:p>
  </w:endnote>
  <w:endnote w:type="continuationSeparator" w:id="0">
    <w:p w14:paraId="4F9CE59C" w14:textId="77777777" w:rsidR="00F447E8" w:rsidRDefault="00F447E8" w:rsidP="00627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241987781"/>
      <w:docPartObj>
        <w:docPartGallery w:val="Page Numbers (Bottom of Page)"/>
        <w:docPartUnique/>
      </w:docPartObj>
    </w:sdtPr>
    <w:sdtEndPr>
      <w:rPr>
        <w:noProof/>
      </w:rPr>
    </w:sdtEndPr>
    <w:sdtContent>
      <w:p w14:paraId="31C76C36" w14:textId="28305740" w:rsidR="00642007" w:rsidRPr="00233B94" w:rsidRDefault="00F338DC" w:rsidP="00F338DC">
        <w:pPr>
          <w:pStyle w:val="Footer"/>
          <w:jc w:val="center"/>
          <w:rPr>
            <w:sz w:val="20"/>
            <w:szCs w:val="20"/>
          </w:rPr>
        </w:pPr>
        <w:r w:rsidRPr="004A00D7">
          <w:rPr>
            <w:sz w:val="20"/>
            <w:szCs w:val="20"/>
          </w:rPr>
          <w:t xml:space="preserve">ANNEX III – AUSTRALIA – </w:t>
        </w:r>
        <w:r w:rsidR="00642007" w:rsidRPr="00233B94">
          <w:rPr>
            <w:sz w:val="20"/>
            <w:szCs w:val="20"/>
          </w:rPr>
          <w:fldChar w:fldCharType="begin"/>
        </w:r>
        <w:r w:rsidR="00642007" w:rsidRPr="00233B94">
          <w:rPr>
            <w:sz w:val="20"/>
            <w:szCs w:val="20"/>
          </w:rPr>
          <w:instrText xml:space="preserve"> PAGE   \* MERGEFORMAT </w:instrText>
        </w:r>
        <w:r w:rsidR="00642007" w:rsidRPr="00233B94">
          <w:rPr>
            <w:sz w:val="20"/>
            <w:szCs w:val="20"/>
          </w:rPr>
          <w:fldChar w:fldCharType="separate"/>
        </w:r>
        <w:r w:rsidR="00642007" w:rsidRPr="00233B94">
          <w:rPr>
            <w:noProof/>
            <w:sz w:val="20"/>
            <w:szCs w:val="20"/>
          </w:rPr>
          <w:t>2</w:t>
        </w:r>
        <w:r w:rsidR="00642007" w:rsidRPr="00233B94">
          <w:rPr>
            <w:noProof/>
            <w:sz w:val="20"/>
            <w:szCs w:val="20"/>
          </w:rPr>
          <w:fldChar w:fldCharType="end"/>
        </w:r>
      </w:p>
    </w:sdtContent>
  </w:sdt>
  <w:p w14:paraId="0466F311" w14:textId="77777777" w:rsidR="00642007" w:rsidRDefault="0064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66DF7" w14:textId="77777777" w:rsidR="00F447E8" w:rsidRDefault="00F447E8" w:rsidP="00627A14">
      <w:r>
        <w:separator/>
      </w:r>
    </w:p>
  </w:footnote>
  <w:footnote w:type="continuationSeparator" w:id="0">
    <w:p w14:paraId="406AE3B5" w14:textId="77777777" w:rsidR="00F447E8" w:rsidRDefault="00F447E8" w:rsidP="00627A14">
      <w:r>
        <w:continuationSeparator/>
      </w:r>
    </w:p>
  </w:footnote>
  <w:footnote w:id="1">
    <w:p w14:paraId="01C77919" w14:textId="77777777" w:rsidR="008E35CB" w:rsidRDefault="008E35CB" w:rsidP="001206A3">
      <w:pPr>
        <w:pStyle w:val="FootnoteText"/>
      </w:pPr>
      <w:r>
        <w:rPr>
          <w:rStyle w:val="FootnoteReference"/>
        </w:rPr>
        <w:footnoteRef/>
      </w:r>
      <w:r>
        <w:t xml:space="preserve"> </w:t>
      </w:r>
      <w:r>
        <w:tab/>
      </w:r>
      <w:r w:rsidRPr="004A737F">
        <w:t>This entry is not itself intended to affect, or otherwise limit, a choice by a financial service supplier of the other Party between branches or subsidiaries.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14DB9"/>
    <w:multiLevelType w:val="hybridMultilevel"/>
    <w:tmpl w:val="06B6D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1841C3"/>
    <w:multiLevelType w:val="hybridMultilevel"/>
    <w:tmpl w:val="37BEEE14"/>
    <w:lvl w:ilvl="0" w:tplc="0C090001">
      <w:start w:val="1"/>
      <w:numFmt w:val="bullet"/>
      <w:lvlText w:val=""/>
      <w:lvlJc w:val="left"/>
      <w:pPr>
        <w:ind w:left="2520" w:hanging="360"/>
      </w:pPr>
      <w:rPr>
        <w:rFonts w:ascii="Symbol" w:hAnsi="Symbol" w:hint="default"/>
      </w:rPr>
    </w:lvl>
    <w:lvl w:ilvl="1" w:tplc="9C1C5BDC">
      <w:start w:val="1"/>
      <w:numFmt w:val="bullet"/>
      <w:lvlText w:val="­"/>
      <w:lvlJc w:val="left"/>
      <w:pPr>
        <w:ind w:left="3240" w:hanging="360"/>
      </w:pPr>
      <w:rPr>
        <w:rFonts w:ascii="Courier New" w:hAnsi="Courier New" w:hint="default"/>
      </w:rPr>
    </w:lvl>
    <w:lvl w:ilvl="2" w:tplc="0C090005">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 w15:restartNumberingAfterBreak="0">
    <w:nsid w:val="078247A9"/>
    <w:multiLevelType w:val="hybridMultilevel"/>
    <w:tmpl w:val="076ACD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8F25FE"/>
    <w:multiLevelType w:val="hybridMultilevel"/>
    <w:tmpl w:val="B4D83F3C"/>
    <w:lvl w:ilvl="0" w:tplc="88E09C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044164"/>
    <w:multiLevelType w:val="hybridMultilevel"/>
    <w:tmpl w:val="9CEEE22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85E30CE"/>
    <w:multiLevelType w:val="multilevel"/>
    <w:tmpl w:val="5792D598"/>
    <w:lvl w:ilvl="0">
      <w:start w:val="1"/>
      <w:numFmt w:val="decimal"/>
      <w:pStyle w:val="Level1"/>
      <w:lvlText w:val="%1."/>
      <w:lvlJc w:val="left"/>
      <w:pPr>
        <w:tabs>
          <w:tab w:val="num" w:pos="709"/>
        </w:tabs>
        <w:ind w:left="709" w:hanging="709"/>
      </w:pPr>
      <w:rPr>
        <w:rFonts w:asciiTheme="minorHAnsi" w:hAnsiTheme="minorHAnsi" w:cstheme="minorHAnsi" w:hint="default"/>
        <w:b w:val="0"/>
      </w:rPr>
    </w:lvl>
    <w:lvl w:ilvl="1">
      <w:start w:val="1"/>
      <w:numFmt w:val="decimal"/>
      <w:pStyle w:val="Level2"/>
      <w:isLgl/>
      <w:lvlText w:val="%1.%2"/>
      <w:lvlJc w:val="left"/>
      <w:pPr>
        <w:tabs>
          <w:tab w:val="num" w:pos="709"/>
        </w:tabs>
        <w:ind w:left="709" w:hanging="709"/>
      </w:pPr>
      <w:rPr>
        <w:rFonts w:asciiTheme="minorHAnsi" w:hAnsiTheme="minorHAnsi" w:cstheme="minorHAnsi" w:hint="default"/>
        <w:b w:val="0"/>
      </w:rPr>
    </w:lvl>
    <w:lvl w:ilvl="2">
      <w:start w:val="1"/>
      <w:numFmt w:val="lowerLetter"/>
      <w:pStyle w:val="Level3"/>
      <w:lvlText w:val="(%3)"/>
      <w:lvlJc w:val="left"/>
      <w:pPr>
        <w:tabs>
          <w:tab w:val="num" w:pos="1417"/>
        </w:tabs>
        <w:ind w:left="1417" w:hanging="708"/>
      </w:pPr>
      <w:rPr>
        <w:rFonts w:asciiTheme="minorHAnsi" w:hAnsiTheme="minorHAnsi" w:cstheme="minorHAnsi" w:hint="default"/>
        <w:b w:val="0"/>
      </w:rPr>
    </w:lvl>
    <w:lvl w:ilvl="3">
      <w:start w:val="1"/>
      <w:numFmt w:val="lowerRoman"/>
      <w:pStyle w:val="Level4"/>
      <w:lvlText w:val="(%4)"/>
      <w:lvlJc w:val="left"/>
      <w:pPr>
        <w:tabs>
          <w:tab w:val="num" w:pos="2126"/>
        </w:tabs>
        <w:ind w:left="2126" w:hanging="709"/>
      </w:pPr>
      <w:rPr>
        <w:rFonts w:asciiTheme="minorHAnsi" w:hAnsiTheme="minorHAnsi" w:cstheme="minorHAnsi"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8CE7E18"/>
    <w:multiLevelType w:val="hybridMultilevel"/>
    <w:tmpl w:val="00FC0C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0B6B3320"/>
    <w:multiLevelType w:val="hybridMultilevel"/>
    <w:tmpl w:val="F67A4DF6"/>
    <w:lvl w:ilvl="0" w:tplc="0C09001B">
      <w:start w:val="1"/>
      <w:numFmt w:val="lowerRoman"/>
      <w:lvlText w:val="%1."/>
      <w:lvlJc w:val="right"/>
      <w:pPr>
        <w:ind w:left="1800" w:hanging="360"/>
      </w:pPr>
      <w:rPr>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0C88764C"/>
    <w:multiLevelType w:val="hybridMultilevel"/>
    <w:tmpl w:val="F67A4DF6"/>
    <w:lvl w:ilvl="0" w:tplc="0C09001B">
      <w:start w:val="1"/>
      <w:numFmt w:val="lowerRoman"/>
      <w:lvlText w:val="%1."/>
      <w:lvlJc w:val="right"/>
      <w:pPr>
        <w:ind w:left="1800" w:hanging="360"/>
      </w:pPr>
      <w:rPr>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0">
    <w:nsid w:val="1064068D"/>
    <w:multiLevelType w:val="hybridMultilevel"/>
    <w:tmpl w:val="EAB84B2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14762CB9"/>
    <w:multiLevelType w:val="hybridMultilevel"/>
    <w:tmpl w:val="F67A4DF6"/>
    <w:lvl w:ilvl="0" w:tplc="0C09001B">
      <w:start w:val="1"/>
      <w:numFmt w:val="lowerRoman"/>
      <w:lvlText w:val="%1."/>
      <w:lvlJc w:val="right"/>
      <w:pPr>
        <w:ind w:left="1800" w:hanging="360"/>
      </w:pPr>
      <w:rPr>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15:restartNumberingAfterBreak="0">
    <w:nsid w:val="172E7510"/>
    <w:multiLevelType w:val="hybridMultilevel"/>
    <w:tmpl w:val="A99A2540"/>
    <w:lvl w:ilvl="0" w:tplc="0809000F">
      <w:start w:val="1"/>
      <w:numFmt w:val="decimal"/>
      <w:lvlText w:val="%1."/>
      <w:lvlJc w:val="left"/>
      <w:pPr>
        <w:ind w:left="720" w:hanging="360"/>
      </w:pPr>
    </w:lvl>
    <w:lvl w:ilvl="1" w:tplc="4614BA5C">
      <w:start w:val="1"/>
      <w:numFmt w:val="lowerRoman"/>
      <w:lvlText w:val="(%2)"/>
      <w:lvlJc w:val="left"/>
      <w:pPr>
        <w:ind w:left="1800" w:hanging="720"/>
      </w:pPr>
    </w:lvl>
    <w:lvl w:ilvl="2" w:tplc="D6CCFDB6">
      <w:start w:val="1"/>
      <w:numFmt w:val="lowerLetter"/>
      <w:lvlText w:val="(%3)"/>
      <w:lvlJc w:val="left"/>
      <w:pPr>
        <w:ind w:left="2340" w:hanging="36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0157480"/>
    <w:multiLevelType w:val="hybridMultilevel"/>
    <w:tmpl w:val="B6708A08"/>
    <w:lvl w:ilvl="0" w:tplc="38488954">
      <w:start w:val="1"/>
      <w:numFmt w:val="lowerLetter"/>
      <w:lvlText w:val="(%1)"/>
      <w:lvlJc w:val="left"/>
      <w:pPr>
        <w:ind w:left="720" w:hanging="360"/>
      </w:pPr>
      <w:rPr>
        <w:rFonts w:hint="default"/>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CB6B1B"/>
    <w:multiLevelType w:val="multilevel"/>
    <w:tmpl w:val="B89267D2"/>
    <w:lvl w:ilvl="0">
      <w:start w:val="1"/>
      <w:numFmt w:val="decimal"/>
      <w:lvlText w:val="%1."/>
      <w:lvlJc w:val="left"/>
      <w:pPr>
        <w:ind w:left="360" w:hanging="360"/>
      </w:pPr>
      <w:rPr>
        <w:i w:val="0"/>
        <w:iCs w:val="0"/>
        <w:strike w:val="0"/>
        <w:dstrike w:val="0"/>
        <w:u w:val="none"/>
        <w:effect w:val="none"/>
      </w:rPr>
    </w:lvl>
    <w:lvl w:ilvl="1">
      <w:start w:val="1"/>
      <w:numFmt w:val="lowerLetter"/>
      <w:lvlText w:val="%2)"/>
      <w:lvlJc w:val="left"/>
      <w:pPr>
        <w:ind w:left="720"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882DB2"/>
    <w:multiLevelType w:val="hybridMultilevel"/>
    <w:tmpl w:val="C67033D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CB71DE1"/>
    <w:multiLevelType w:val="hybridMultilevel"/>
    <w:tmpl w:val="6DA253F2"/>
    <w:lvl w:ilvl="0" w:tplc="AB3E09B6">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6" w15:restartNumberingAfterBreak="0">
    <w:nsid w:val="2F4F15BB"/>
    <w:multiLevelType w:val="hybridMultilevel"/>
    <w:tmpl w:val="CF5699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04F0533"/>
    <w:multiLevelType w:val="hybridMultilevel"/>
    <w:tmpl w:val="533ED402"/>
    <w:lvl w:ilvl="0" w:tplc="2AA2FAE6">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8" w15:restartNumberingAfterBreak="0">
    <w:nsid w:val="32076B15"/>
    <w:multiLevelType w:val="hybridMultilevel"/>
    <w:tmpl w:val="943C33EE"/>
    <w:lvl w:ilvl="0" w:tplc="AB02DF02">
      <w:start w:val="1"/>
      <w:numFmt w:val="lowerRoman"/>
      <w:lvlText w:val="(%1)"/>
      <w:lvlJc w:val="left"/>
      <w:pPr>
        <w:ind w:left="1083" w:hanging="720"/>
      </w:pPr>
      <w:rPr>
        <w:rFonts w:ascii="Times New Roman" w:eastAsiaTheme="minorHAnsi" w:hAnsi="Times New Roman" w:cs="Times New Roman"/>
      </w:rPr>
    </w:lvl>
    <w:lvl w:ilvl="1" w:tplc="2AA2FAE6">
      <w:start w:val="1"/>
      <w:numFmt w:val="lowerLetter"/>
      <w:lvlText w:val="(%2)"/>
      <w:lvlJc w:val="left"/>
      <w:pPr>
        <w:ind w:left="1443" w:hanging="360"/>
      </w:pPr>
    </w:lvl>
    <w:lvl w:ilvl="2" w:tplc="0809001B">
      <w:start w:val="1"/>
      <w:numFmt w:val="lowerRoman"/>
      <w:lvlText w:val="%3."/>
      <w:lvlJc w:val="right"/>
      <w:pPr>
        <w:ind w:left="2163" w:hanging="180"/>
      </w:pPr>
    </w:lvl>
    <w:lvl w:ilvl="3" w:tplc="0809000F">
      <w:start w:val="1"/>
      <w:numFmt w:val="decimal"/>
      <w:lvlText w:val="%4."/>
      <w:lvlJc w:val="left"/>
      <w:pPr>
        <w:ind w:left="2883" w:hanging="360"/>
      </w:pPr>
    </w:lvl>
    <w:lvl w:ilvl="4" w:tplc="08090019">
      <w:start w:val="1"/>
      <w:numFmt w:val="lowerLetter"/>
      <w:lvlText w:val="%5."/>
      <w:lvlJc w:val="left"/>
      <w:pPr>
        <w:ind w:left="3603" w:hanging="360"/>
      </w:pPr>
    </w:lvl>
    <w:lvl w:ilvl="5" w:tplc="0809001B">
      <w:start w:val="1"/>
      <w:numFmt w:val="lowerRoman"/>
      <w:lvlText w:val="%6."/>
      <w:lvlJc w:val="right"/>
      <w:pPr>
        <w:ind w:left="4323" w:hanging="180"/>
      </w:pPr>
    </w:lvl>
    <w:lvl w:ilvl="6" w:tplc="0809000F">
      <w:start w:val="1"/>
      <w:numFmt w:val="decimal"/>
      <w:lvlText w:val="%7."/>
      <w:lvlJc w:val="left"/>
      <w:pPr>
        <w:ind w:left="5043" w:hanging="360"/>
      </w:pPr>
    </w:lvl>
    <w:lvl w:ilvl="7" w:tplc="08090019">
      <w:start w:val="1"/>
      <w:numFmt w:val="lowerLetter"/>
      <w:lvlText w:val="%8."/>
      <w:lvlJc w:val="left"/>
      <w:pPr>
        <w:ind w:left="5763" w:hanging="360"/>
      </w:pPr>
    </w:lvl>
    <w:lvl w:ilvl="8" w:tplc="0809001B">
      <w:start w:val="1"/>
      <w:numFmt w:val="lowerRoman"/>
      <w:lvlText w:val="%9."/>
      <w:lvlJc w:val="right"/>
      <w:pPr>
        <w:ind w:left="6483" w:hanging="180"/>
      </w:pPr>
    </w:lvl>
  </w:abstractNum>
  <w:abstractNum w:abstractNumId="19" w15:restartNumberingAfterBreak="0">
    <w:nsid w:val="322C7747"/>
    <w:multiLevelType w:val="hybridMultilevel"/>
    <w:tmpl w:val="B4D83F3C"/>
    <w:lvl w:ilvl="0" w:tplc="88E09C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2896D98"/>
    <w:multiLevelType w:val="hybridMultilevel"/>
    <w:tmpl w:val="6DA253F2"/>
    <w:lvl w:ilvl="0" w:tplc="AB3E09B6">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1" w15:restartNumberingAfterBreak="0">
    <w:nsid w:val="334B0756"/>
    <w:multiLevelType w:val="hybridMultilevel"/>
    <w:tmpl w:val="7A08F9AE"/>
    <w:lvl w:ilvl="0" w:tplc="323EFCBE">
      <w:start w:val="4"/>
      <w:numFmt w:val="decimal"/>
      <w:lvlText w:val="%1."/>
      <w:lvlJc w:val="left"/>
      <w:pPr>
        <w:ind w:left="360" w:hanging="360"/>
      </w:pPr>
      <w:rPr>
        <w:strike w:val="0"/>
        <w:color w:val="auto"/>
      </w:rPr>
    </w:lvl>
    <w:lvl w:ilvl="1" w:tplc="08090019">
      <w:start w:val="1"/>
      <w:numFmt w:val="lowerLetter"/>
      <w:lvlText w:val="%2."/>
      <w:lvlJc w:val="left"/>
      <w:pPr>
        <w:ind w:left="720" w:hanging="360"/>
      </w:pPr>
    </w:lvl>
    <w:lvl w:ilvl="2" w:tplc="0809001B">
      <w:start w:val="1"/>
      <w:numFmt w:val="lowerRoman"/>
      <w:lvlText w:val="%3."/>
      <w:lvlJc w:val="right"/>
      <w:pPr>
        <w:ind w:left="1440" w:hanging="180"/>
      </w:pPr>
    </w:lvl>
    <w:lvl w:ilvl="3" w:tplc="0809000F">
      <w:start w:val="1"/>
      <w:numFmt w:val="decimal"/>
      <w:lvlText w:val="%4."/>
      <w:lvlJc w:val="left"/>
      <w:pPr>
        <w:ind w:left="2160" w:hanging="360"/>
      </w:pPr>
    </w:lvl>
    <w:lvl w:ilvl="4" w:tplc="08090019">
      <w:start w:val="1"/>
      <w:numFmt w:val="lowerLetter"/>
      <w:lvlText w:val="%5."/>
      <w:lvlJc w:val="left"/>
      <w:pPr>
        <w:ind w:left="2880" w:hanging="360"/>
      </w:pPr>
    </w:lvl>
    <w:lvl w:ilvl="5" w:tplc="0809001B">
      <w:start w:val="1"/>
      <w:numFmt w:val="lowerRoman"/>
      <w:lvlText w:val="%6."/>
      <w:lvlJc w:val="right"/>
      <w:pPr>
        <w:ind w:left="3600" w:hanging="180"/>
      </w:pPr>
    </w:lvl>
    <w:lvl w:ilvl="6" w:tplc="0809000F">
      <w:start w:val="1"/>
      <w:numFmt w:val="decimal"/>
      <w:lvlText w:val="%7."/>
      <w:lvlJc w:val="left"/>
      <w:pPr>
        <w:ind w:left="4320" w:hanging="360"/>
      </w:pPr>
    </w:lvl>
    <w:lvl w:ilvl="7" w:tplc="08090019">
      <w:start w:val="1"/>
      <w:numFmt w:val="lowerLetter"/>
      <w:lvlText w:val="%8."/>
      <w:lvlJc w:val="left"/>
      <w:pPr>
        <w:ind w:left="5040" w:hanging="360"/>
      </w:pPr>
    </w:lvl>
    <w:lvl w:ilvl="8" w:tplc="0809001B">
      <w:start w:val="1"/>
      <w:numFmt w:val="lowerRoman"/>
      <w:lvlText w:val="%9."/>
      <w:lvlJc w:val="right"/>
      <w:pPr>
        <w:ind w:left="5760" w:hanging="180"/>
      </w:pPr>
    </w:lvl>
  </w:abstractNum>
  <w:abstractNum w:abstractNumId="22" w15:restartNumberingAfterBreak="0">
    <w:nsid w:val="3687238A"/>
    <w:multiLevelType w:val="hybridMultilevel"/>
    <w:tmpl w:val="3840718A"/>
    <w:lvl w:ilvl="0" w:tplc="2FAADA08">
      <w:start w:val="1"/>
      <w:numFmt w:val="lowerLetter"/>
      <w:lvlText w:val="(%1)"/>
      <w:lvlJc w:val="left"/>
      <w:pPr>
        <w:ind w:left="720" w:hanging="360"/>
      </w:pPr>
      <w:rPr>
        <w:rFonts w:hint="default"/>
        <w:color w:val="auto"/>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1B0FAD"/>
    <w:multiLevelType w:val="hybridMultilevel"/>
    <w:tmpl w:val="0DA6DC2C"/>
    <w:lvl w:ilvl="0" w:tplc="04A47EE2">
      <w:start w:val="1"/>
      <w:numFmt w:val="bullet"/>
      <w:lvlText w:val=""/>
      <w:lvlJc w:val="left"/>
      <w:pPr>
        <w:ind w:left="1080" w:hanging="360"/>
      </w:pPr>
      <w:rPr>
        <w:rFonts w:ascii="Symbol" w:hAnsi="Symbol" w:hint="default"/>
        <w:color w:val="auto"/>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3A384376"/>
    <w:multiLevelType w:val="hybridMultilevel"/>
    <w:tmpl w:val="83D85B84"/>
    <w:lvl w:ilvl="0" w:tplc="CAA6F098">
      <w:start w:val="1"/>
      <w:numFmt w:val="lowerLetter"/>
      <w:lvlText w:val="(%1)"/>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42D07899"/>
    <w:multiLevelType w:val="hybridMultilevel"/>
    <w:tmpl w:val="076ACD6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5615548"/>
    <w:multiLevelType w:val="hybridMultilevel"/>
    <w:tmpl w:val="CF5699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65F6615"/>
    <w:multiLevelType w:val="hybridMultilevel"/>
    <w:tmpl w:val="FAE6F09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A5E41A8"/>
    <w:multiLevelType w:val="hybridMultilevel"/>
    <w:tmpl w:val="95B25260"/>
    <w:lvl w:ilvl="0" w:tplc="BC824E10">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4CD54F27"/>
    <w:multiLevelType w:val="hybridMultilevel"/>
    <w:tmpl w:val="4216BFC0"/>
    <w:lvl w:ilvl="0" w:tplc="11E4BD64">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0" w15:restartNumberingAfterBreak="0">
    <w:nsid w:val="50907660"/>
    <w:multiLevelType w:val="hybridMultilevel"/>
    <w:tmpl w:val="4600C864"/>
    <w:lvl w:ilvl="0" w:tplc="D6CCFDB6">
      <w:start w:val="1"/>
      <w:numFmt w:val="lowerLetter"/>
      <w:lvlText w:val="(%1)"/>
      <w:lvlJc w:val="left"/>
      <w:pPr>
        <w:ind w:left="720" w:hanging="360"/>
      </w:pPr>
    </w:lvl>
    <w:lvl w:ilvl="1" w:tplc="0C090019" w:tentative="1">
      <w:start w:val="1"/>
      <w:numFmt w:val="lowerLetter"/>
      <w:lvlText w:val="%2."/>
      <w:lvlJc w:val="left"/>
      <w:pPr>
        <w:ind w:left="-180" w:hanging="360"/>
      </w:pPr>
    </w:lvl>
    <w:lvl w:ilvl="2" w:tplc="0C09001B" w:tentative="1">
      <w:start w:val="1"/>
      <w:numFmt w:val="lowerRoman"/>
      <w:lvlText w:val="%3."/>
      <w:lvlJc w:val="right"/>
      <w:pPr>
        <w:ind w:left="540" w:hanging="180"/>
      </w:pPr>
    </w:lvl>
    <w:lvl w:ilvl="3" w:tplc="0C09000F" w:tentative="1">
      <w:start w:val="1"/>
      <w:numFmt w:val="decimal"/>
      <w:lvlText w:val="%4."/>
      <w:lvlJc w:val="left"/>
      <w:pPr>
        <w:ind w:left="1260" w:hanging="360"/>
      </w:pPr>
    </w:lvl>
    <w:lvl w:ilvl="4" w:tplc="0C090019" w:tentative="1">
      <w:start w:val="1"/>
      <w:numFmt w:val="lowerLetter"/>
      <w:lvlText w:val="%5."/>
      <w:lvlJc w:val="left"/>
      <w:pPr>
        <w:ind w:left="1980" w:hanging="360"/>
      </w:pPr>
    </w:lvl>
    <w:lvl w:ilvl="5" w:tplc="0C09001B" w:tentative="1">
      <w:start w:val="1"/>
      <w:numFmt w:val="lowerRoman"/>
      <w:lvlText w:val="%6."/>
      <w:lvlJc w:val="right"/>
      <w:pPr>
        <w:ind w:left="2700" w:hanging="180"/>
      </w:pPr>
    </w:lvl>
    <w:lvl w:ilvl="6" w:tplc="0C09000F" w:tentative="1">
      <w:start w:val="1"/>
      <w:numFmt w:val="decimal"/>
      <w:lvlText w:val="%7."/>
      <w:lvlJc w:val="left"/>
      <w:pPr>
        <w:ind w:left="3420" w:hanging="360"/>
      </w:pPr>
    </w:lvl>
    <w:lvl w:ilvl="7" w:tplc="0C090019" w:tentative="1">
      <w:start w:val="1"/>
      <w:numFmt w:val="lowerLetter"/>
      <w:lvlText w:val="%8."/>
      <w:lvlJc w:val="left"/>
      <w:pPr>
        <w:ind w:left="4140" w:hanging="360"/>
      </w:pPr>
    </w:lvl>
    <w:lvl w:ilvl="8" w:tplc="0C09001B" w:tentative="1">
      <w:start w:val="1"/>
      <w:numFmt w:val="lowerRoman"/>
      <w:lvlText w:val="%9."/>
      <w:lvlJc w:val="right"/>
      <w:pPr>
        <w:ind w:left="4860" w:hanging="180"/>
      </w:pPr>
    </w:lvl>
  </w:abstractNum>
  <w:abstractNum w:abstractNumId="31" w15:restartNumberingAfterBreak="0">
    <w:nsid w:val="52B82D77"/>
    <w:multiLevelType w:val="hybridMultilevel"/>
    <w:tmpl w:val="83D85B84"/>
    <w:lvl w:ilvl="0" w:tplc="CAA6F098">
      <w:start w:val="1"/>
      <w:numFmt w:val="lowerLetter"/>
      <w:lvlText w:val="(%1)"/>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53FA7653"/>
    <w:multiLevelType w:val="hybridMultilevel"/>
    <w:tmpl w:val="371E05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261749"/>
    <w:multiLevelType w:val="hybridMultilevel"/>
    <w:tmpl w:val="4216BFC0"/>
    <w:lvl w:ilvl="0" w:tplc="11E4BD64">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4" w15:restartNumberingAfterBreak="0">
    <w:nsid w:val="588A6A1B"/>
    <w:multiLevelType w:val="hybridMultilevel"/>
    <w:tmpl w:val="95B25260"/>
    <w:lvl w:ilvl="0" w:tplc="BC824E10">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5CB96A87"/>
    <w:multiLevelType w:val="hybridMultilevel"/>
    <w:tmpl w:val="F2BE289A"/>
    <w:lvl w:ilvl="0" w:tplc="75A0FA02">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6153767D"/>
    <w:multiLevelType w:val="hybridMultilevel"/>
    <w:tmpl w:val="3840718A"/>
    <w:lvl w:ilvl="0" w:tplc="2FAADA08">
      <w:start w:val="1"/>
      <w:numFmt w:val="lowerLetter"/>
      <w:lvlText w:val="(%1)"/>
      <w:lvlJc w:val="left"/>
      <w:pPr>
        <w:ind w:left="720" w:hanging="360"/>
      </w:pPr>
      <w:rPr>
        <w:rFonts w:hint="default"/>
        <w:color w:val="auto"/>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2454995"/>
    <w:multiLevelType w:val="hybridMultilevel"/>
    <w:tmpl w:val="34CE14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785306E"/>
    <w:multiLevelType w:val="hybridMultilevel"/>
    <w:tmpl w:val="6DA253F2"/>
    <w:lvl w:ilvl="0" w:tplc="AB3E09B6">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9" w15:restartNumberingAfterBreak="0">
    <w:nsid w:val="68EA231D"/>
    <w:multiLevelType w:val="hybridMultilevel"/>
    <w:tmpl w:val="3840718A"/>
    <w:lvl w:ilvl="0" w:tplc="2FAADA08">
      <w:start w:val="1"/>
      <w:numFmt w:val="lowerLetter"/>
      <w:lvlText w:val="(%1)"/>
      <w:lvlJc w:val="left"/>
      <w:pPr>
        <w:ind w:left="720" w:hanging="360"/>
      </w:pPr>
      <w:rPr>
        <w:rFonts w:hint="default"/>
        <w:color w:val="auto"/>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01358B1"/>
    <w:multiLevelType w:val="hybridMultilevel"/>
    <w:tmpl w:val="83D85B84"/>
    <w:lvl w:ilvl="0" w:tplc="CAA6F098">
      <w:start w:val="1"/>
      <w:numFmt w:val="lowerLetter"/>
      <w:lvlText w:val="(%1)"/>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76310A8B"/>
    <w:multiLevelType w:val="hybridMultilevel"/>
    <w:tmpl w:val="83D85B84"/>
    <w:lvl w:ilvl="0" w:tplc="CAA6F098">
      <w:start w:val="1"/>
      <w:numFmt w:val="lowerLetter"/>
      <w:lvlText w:val="(%1)"/>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78397AA6"/>
    <w:multiLevelType w:val="hybridMultilevel"/>
    <w:tmpl w:val="90CA1308"/>
    <w:lvl w:ilvl="0" w:tplc="7BC84466">
      <w:start w:val="1"/>
      <w:numFmt w:val="decimal"/>
      <w:lvlText w:val="%1."/>
      <w:lvlJc w:val="left"/>
      <w:pPr>
        <w:ind w:left="360" w:hanging="360"/>
      </w:pPr>
      <w:rPr>
        <w:strike w:val="0"/>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3" w15:restartNumberingAfterBreak="0">
    <w:nsid w:val="7CE36132"/>
    <w:multiLevelType w:val="hybridMultilevel"/>
    <w:tmpl w:val="46409876"/>
    <w:lvl w:ilvl="0" w:tplc="0C09000F">
      <w:start w:val="1"/>
      <w:numFmt w:val="decimal"/>
      <w:lvlText w:val="%1."/>
      <w:lvlJc w:val="left"/>
      <w:pPr>
        <w:ind w:left="720" w:hanging="360"/>
      </w:pPr>
      <w:rPr>
        <w:rFonts w:hint="default"/>
      </w:rPr>
    </w:lvl>
    <w:lvl w:ilvl="1" w:tplc="3B72D98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EBC4FA4"/>
    <w:multiLevelType w:val="hybridMultilevel"/>
    <w:tmpl w:val="CF5699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32"/>
  </w:num>
  <w:num w:numId="3">
    <w:abstractNumId w:val="0"/>
  </w:num>
  <w:num w:numId="4">
    <w:abstractNumId w:val="38"/>
  </w:num>
  <w:num w:numId="5">
    <w:abstractNumId w:val="2"/>
  </w:num>
  <w:num w:numId="6">
    <w:abstractNumId w:val="26"/>
  </w:num>
  <w:num w:numId="7">
    <w:abstractNumId w:val="43"/>
  </w:num>
  <w:num w:numId="8">
    <w:abstractNumId w:val="36"/>
  </w:num>
  <w:num w:numId="9">
    <w:abstractNumId w:val="12"/>
  </w:num>
  <w:num w:numId="10">
    <w:abstractNumId w:val="19"/>
  </w:num>
  <w:num w:numId="11">
    <w:abstractNumId w:val="16"/>
  </w:num>
  <w:num w:numId="12">
    <w:abstractNumId w:val="9"/>
  </w:num>
  <w:num w:numId="13">
    <w:abstractNumId w:val="15"/>
  </w:num>
  <w:num w:numId="14">
    <w:abstractNumId w:val="40"/>
  </w:num>
  <w:num w:numId="15">
    <w:abstractNumId w:val="23"/>
  </w:num>
  <w:num w:numId="16">
    <w:abstractNumId w:val="35"/>
  </w:num>
  <w:num w:numId="17">
    <w:abstractNumId w:val="10"/>
  </w:num>
  <w:num w:numId="18">
    <w:abstractNumId w:val="31"/>
  </w:num>
  <w:num w:numId="19">
    <w:abstractNumId w:val="7"/>
  </w:num>
  <w:num w:numId="20">
    <w:abstractNumId w:val="24"/>
  </w:num>
  <w:num w:numId="21">
    <w:abstractNumId w:val="8"/>
  </w:num>
  <w:num w:numId="22">
    <w:abstractNumId w:val="41"/>
  </w:num>
  <w:num w:numId="23">
    <w:abstractNumId w:val="39"/>
  </w:num>
  <w:num w:numId="24">
    <w:abstractNumId w:val="44"/>
  </w:num>
  <w:num w:numId="25">
    <w:abstractNumId w:val="27"/>
  </w:num>
  <w:num w:numId="26">
    <w:abstractNumId w:val="22"/>
  </w:num>
  <w:num w:numId="27">
    <w:abstractNumId w:val="3"/>
  </w:num>
  <w:num w:numId="28">
    <w:abstractNumId w:val="20"/>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30"/>
  </w:num>
  <w:num w:numId="40">
    <w:abstractNumId w:val="33"/>
  </w:num>
  <w:num w:numId="41">
    <w:abstractNumId w:val="29"/>
  </w:num>
  <w:num w:numId="42">
    <w:abstractNumId w:val="34"/>
  </w:num>
  <w:num w:numId="43">
    <w:abstractNumId w:val="28"/>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14"/>
  </w:num>
  <w:num w:numId="47">
    <w:abstractNumId w:val="4"/>
  </w:num>
  <w:num w:numId="48">
    <w:abstractNumId w:val="21"/>
  </w:num>
  <w:num w:numId="49">
    <w:abstractNumId w:val="42"/>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A14"/>
    <w:rsid w:val="00000078"/>
    <w:rsid w:val="00006146"/>
    <w:rsid w:val="00007E34"/>
    <w:rsid w:val="00010187"/>
    <w:rsid w:val="00013136"/>
    <w:rsid w:val="00014B1A"/>
    <w:rsid w:val="00027D13"/>
    <w:rsid w:val="00036F98"/>
    <w:rsid w:val="00037C1B"/>
    <w:rsid w:val="00037F82"/>
    <w:rsid w:val="00045AA2"/>
    <w:rsid w:val="0005324F"/>
    <w:rsid w:val="00063DFC"/>
    <w:rsid w:val="00072997"/>
    <w:rsid w:val="000957A0"/>
    <w:rsid w:val="00097BA7"/>
    <w:rsid w:val="000A50BE"/>
    <w:rsid w:val="000A55FD"/>
    <w:rsid w:val="000A6AC9"/>
    <w:rsid w:val="000B1498"/>
    <w:rsid w:val="000B3DC3"/>
    <w:rsid w:val="000E5F14"/>
    <w:rsid w:val="000F5DEE"/>
    <w:rsid w:val="000F6FAF"/>
    <w:rsid w:val="001040CD"/>
    <w:rsid w:val="001132AF"/>
    <w:rsid w:val="0011692E"/>
    <w:rsid w:val="001206A3"/>
    <w:rsid w:val="00126B36"/>
    <w:rsid w:val="00133F63"/>
    <w:rsid w:val="00140E74"/>
    <w:rsid w:val="001433BA"/>
    <w:rsid w:val="00152CB0"/>
    <w:rsid w:val="00154AD4"/>
    <w:rsid w:val="00186BE0"/>
    <w:rsid w:val="00186C5E"/>
    <w:rsid w:val="00186C9E"/>
    <w:rsid w:val="001A16B0"/>
    <w:rsid w:val="001A2339"/>
    <w:rsid w:val="001B5985"/>
    <w:rsid w:val="001D7058"/>
    <w:rsid w:val="001E2FD6"/>
    <w:rsid w:val="001E4E6A"/>
    <w:rsid w:val="001E525C"/>
    <w:rsid w:val="001E5D85"/>
    <w:rsid w:val="001F0385"/>
    <w:rsid w:val="0020207C"/>
    <w:rsid w:val="00205873"/>
    <w:rsid w:val="0020597C"/>
    <w:rsid w:val="00214F30"/>
    <w:rsid w:val="00233B94"/>
    <w:rsid w:val="002341FF"/>
    <w:rsid w:val="00240F48"/>
    <w:rsid w:val="002466D0"/>
    <w:rsid w:val="00250D62"/>
    <w:rsid w:val="00252C6E"/>
    <w:rsid w:val="00255887"/>
    <w:rsid w:val="00257990"/>
    <w:rsid w:val="00257ECA"/>
    <w:rsid w:val="00266828"/>
    <w:rsid w:val="00274C1C"/>
    <w:rsid w:val="00281C86"/>
    <w:rsid w:val="002A1BC8"/>
    <w:rsid w:val="002C6CA7"/>
    <w:rsid w:val="002D511A"/>
    <w:rsid w:val="002D7A88"/>
    <w:rsid w:val="002E663B"/>
    <w:rsid w:val="002F251E"/>
    <w:rsid w:val="002F309C"/>
    <w:rsid w:val="002F5D66"/>
    <w:rsid w:val="003130A5"/>
    <w:rsid w:val="003220A0"/>
    <w:rsid w:val="00323283"/>
    <w:rsid w:val="0032442B"/>
    <w:rsid w:val="00324DBF"/>
    <w:rsid w:val="00333452"/>
    <w:rsid w:val="0033419D"/>
    <w:rsid w:val="00343574"/>
    <w:rsid w:val="00367005"/>
    <w:rsid w:val="003722BA"/>
    <w:rsid w:val="00374545"/>
    <w:rsid w:val="00374557"/>
    <w:rsid w:val="00374E35"/>
    <w:rsid w:val="00375B38"/>
    <w:rsid w:val="00382EDF"/>
    <w:rsid w:val="003845B0"/>
    <w:rsid w:val="003A0A5E"/>
    <w:rsid w:val="003A6024"/>
    <w:rsid w:val="003B006B"/>
    <w:rsid w:val="003B3F4C"/>
    <w:rsid w:val="003B5415"/>
    <w:rsid w:val="003B6370"/>
    <w:rsid w:val="003D2673"/>
    <w:rsid w:val="003D41BD"/>
    <w:rsid w:val="003E0203"/>
    <w:rsid w:val="003E2143"/>
    <w:rsid w:val="003E2410"/>
    <w:rsid w:val="003E4EF2"/>
    <w:rsid w:val="003F66AB"/>
    <w:rsid w:val="0040486F"/>
    <w:rsid w:val="004048B8"/>
    <w:rsid w:val="004142CA"/>
    <w:rsid w:val="00426191"/>
    <w:rsid w:val="004265D9"/>
    <w:rsid w:val="00436E6F"/>
    <w:rsid w:val="00452179"/>
    <w:rsid w:val="004642AA"/>
    <w:rsid w:val="0047446E"/>
    <w:rsid w:val="00474E93"/>
    <w:rsid w:val="00474EDA"/>
    <w:rsid w:val="0048776B"/>
    <w:rsid w:val="004926BE"/>
    <w:rsid w:val="00493A88"/>
    <w:rsid w:val="00493C99"/>
    <w:rsid w:val="00493F6B"/>
    <w:rsid w:val="004A00D7"/>
    <w:rsid w:val="004A75D6"/>
    <w:rsid w:val="004B5155"/>
    <w:rsid w:val="004B5ABB"/>
    <w:rsid w:val="004B77EC"/>
    <w:rsid w:val="004C3D91"/>
    <w:rsid w:val="004D2824"/>
    <w:rsid w:val="004D2AFF"/>
    <w:rsid w:val="004D3C4F"/>
    <w:rsid w:val="004D633A"/>
    <w:rsid w:val="004E0FB3"/>
    <w:rsid w:val="004E1DCA"/>
    <w:rsid w:val="004E2CE2"/>
    <w:rsid w:val="00503216"/>
    <w:rsid w:val="00535A39"/>
    <w:rsid w:val="005466CB"/>
    <w:rsid w:val="005524F4"/>
    <w:rsid w:val="005619D9"/>
    <w:rsid w:val="005730BB"/>
    <w:rsid w:val="0057519E"/>
    <w:rsid w:val="005843E4"/>
    <w:rsid w:val="00587209"/>
    <w:rsid w:val="005A512A"/>
    <w:rsid w:val="005A73E7"/>
    <w:rsid w:val="005B7EA3"/>
    <w:rsid w:val="005C3D60"/>
    <w:rsid w:val="005D1680"/>
    <w:rsid w:val="005D6A53"/>
    <w:rsid w:val="005D712C"/>
    <w:rsid w:val="005F0724"/>
    <w:rsid w:val="005F123D"/>
    <w:rsid w:val="0061186E"/>
    <w:rsid w:val="00615213"/>
    <w:rsid w:val="00615721"/>
    <w:rsid w:val="00620171"/>
    <w:rsid w:val="00624724"/>
    <w:rsid w:val="00625B0F"/>
    <w:rsid w:val="00627A14"/>
    <w:rsid w:val="00632CE6"/>
    <w:rsid w:val="0063463A"/>
    <w:rsid w:val="00636CFA"/>
    <w:rsid w:val="00640E06"/>
    <w:rsid w:val="00642007"/>
    <w:rsid w:val="006432AD"/>
    <w:rsid w:val="0064509C"/>
    <w:rsid w:val="00646B1C"/>
    <w:rsid w:val="006506D4"/>
    <w:rsid w:val="00650D03"/>
    <w:rsid w:val="006519FE"/>
    <w:rsid w:val="0065301C"/>
    <w:rsid w:val="00661D87"/>
    <w:rsid w:val="00662B77"/>
    <w:rsid w:val="00670778"/>
    <w:rsid w:val="006748A0"/>
    <w:rsid w:val="0067761B"/>
    <w:rsid w:val="0068297F"/>
    <w:rsid w:val="006B4EB1"/>
    <w:rsid w:val="006C4EB7"/>
    <w:rsid w:val="006C6D78"/>
    <w:rsid w:val="006D4178"/>
    <w:rsid w:val="006D68E4"/>
    <w:rsid w:val="006E1161"/>
    <w:rsid w:val="006E1AAE"/>
    <w:rsid w:val="006E44E8"/>
    <w:rsid w:val="006F3A19"/>
    <w:rsid w:val="007015AD"/>
    <w:rsid w:val="007064D2"/>
    <w:rsid w:val="007152AC"/>
    <w:rsid w:val="00715A4C"/>
    <w:rsid w:val="007327F9"/>
    <w:rsid w:val="0073356F"/>
    <w:rsid w:val="00734E64"/>
    <w:rsid w:val="0073723D"/>
    <w:rsid w:val="007408CD"/>
    <w:rsid w:val="00753E3A"/>
    <w:rsid w:val="0075777F"/>
    <w:rsid w:val="00762D0D"/>
    <w:rsid w:val="00765576"/>
    <w:rsid w:val="00771CA5"/>
    <w:rsid w:val="00775805"/>
    <w:rsid w:val="00783E49"/>
    <w:rsid w:val="00784BF8"/>
    <w:rsid w:val="00785CFE"/>
    <w:rsid w:val="00786167"/>
    <w:rsid w:val="0079609B"/>
    <w:rsid w:val="007B34C5"/>
    <w:rsid w:val="007C3720"/>
    <w:rsid w:val="007D31E0"/>
    <w:rsid w:val="007D4D05"/>
    <w:rsid w:val="007D7420"/>
    <w:rsid w:val="007F55A6"/>
    <w:rsid w:val="007F63BD"/>
    <w:rsid w:val="008111BC"/>
    <w:rsid w:val="00814657"/>
    <w:rsid w:val="00817051"/>
    <w:rsid w:val="00833364"/>
    <w:rsid w:val="00836232"/>
    <w:rsid w:val="008374B6"/>
    <w:rsid w:val="008435EA"/>
    <w:rsid w:val="008575E6"/>
    <w:rsid w:val="00860A7F"/>
    <w:rsid w:val="00863154"/>
    <w:rsid w:val="00864F4B"/>
    <w:rsid w:val="008713E1"/>
    <w:rsid w:val="00871B17"/>
    <w:rsid w:val="008727E6"/>
    <w:rsid w:val="00885571"/>
    <w:rsid w:val="00890FC5"/>
    <w:rsid w:val="008A1243"/>
    <w:rsid w:val="008A192D"/>
    <w:rsid w:val="008A2CA3"/>
    <w:rsid w:val="008A4185"/>
    <w:rsid w:val="008B335C"/>
    <w:rsid w:val="008C778C"/>
    <w:rsid w:val="008D6D83"/>
    <w:rsid w:val="008E3056"/>
    <w:rsid w:val="008E35CB"/>
    <w:rsid w:val="008E77DF"/>
    <w:rsid w:val="008F0703"/>
    <w:rsid w:val="008F48BF"/>
    <w:rsid w:val="00901A54"/>
    <w:rsid w:val="009038A6"/>
    <w:rsid w:val="00914294"/>
    <w:rsid w:val="0092067A"/>
    <w:rsid w:val="009268D7"/>
    <w:rsid w:val="00945B5A"/>
    <w:rsid w:val="00955816"/>
    <w:rsid w:val="00960FEB"/>
    <w:rsid w:val="00961543"/>
    <w:rsid w:val="00963A3D"/>
    <w:rsid w:val="00976142"/>
    <w:rsid w:val="0097617E"/>
    <w:rsid w:val="00976379"/>
    <w:rsid w:val="00985A96"/>
    <w:rsid w:val="0099648F"/>
    <w:rsid w:val="00996537"/>
    <w:rsid w:val="00997390"/>
    <w:rsid w:val="009D0002"/>
    <w:rsid w:val="009D3140"/>
    <w:rsid w:val="009D35AE"/>
    <w:rsid w:val="009D35F7"/>
    <w:rsid w:val="009D74F7"/>
    <w:rsid w:val="009E1657"/>
    <w:rsid w:val="009E6475"/>
    <w:rsid w:val="009F0985"/>
    <w:rsid w:val="00A02E98"/>
    <w:rsid w:val="00A20989"/>
    <w:rsid w:val="00A32A5B"/>
    <w:rsid w:val="00A332DB"/>
    <w:rsid w:val="00A34A16"/>
    <w:rsid w:val="00A4138C"/>
    <w:rsid w:val="00A42BFA"/>
    <w:rsid w:val="00A46594"/>
    <w:rsid w:val="00A46958"/>
    <w:rsid w:val="00A520C1"/>
    <w:rsid w:val="00A5312F"/>
    <w:rsid w:val="00A53939"/>
    <w:rsid w:val="00A61C9B"/>
    <w:rsid w:val="00A63364"/>
    <w:rsid w:val="00A651BC"/>
    <w:rsid w:val="00A669FE"/>
    <w:rsid w:val="00A724B5"/>
    <w:rsid w:val="00A8117D"/>
    <w:rsid w:val="00A85922"/>
    <w:rsid w:val="00A92B3D"/>
    <w:rsid w:val="00AA231C"/>
    <w:rsid w:val="00AA668C"/>
    <w:rsid w:val="00AB31E8"/>
    <w:rsid w:val="00AC7A7F"/>
    <w:rsid w:val="00AD1072"/>
    <w:rsid w:val="00AE413E"/>
    <w:rsid w:val="00AF71A2"/>
    <w:rsid w:val="00B01A9C"/>
    <w:rsid w:val="00B06BEF"/>
    <w:rsid w:val="00B154F9"/>
    <w:rsid w:val="00B15AE5"/>
    <w:rsid w:val="00B17B1F"/>
    <w:rsid w:val="00B23FA9"/>
    <w:rsid w:val="00B243FE"/>
    <w:rsid w:val="00B267AC"/>
    <w:rsid w:val="00B31561"/>
    <w:rsid w:val="00B41988"/>
    <w:rsid w:val="00B45CF8"/>
    <w:rsid w:val="00B4727C"/>
    <w:rsid w:val="00B51DC8"/>
    <w:rsid w:val="00B63223"/>
    <w:rsid w:val="00B7350D"/>
    <w:rsid w:val="00B82A50"/>
    <w:rsid w:val="00B82ADA"/>
    <w:rsid w:val="00B906C7"/>
    <w:rsid w:val="00BA039E"/>
    <w:rsid w:val="00BA3038"/>
    <w:rsid w:val="00BA31AB"/>
    <w:rsid w:val="00BC4DF8"/>
    <w:rsid w:val="00BD3CAC"/>
    <w:rsid w:val="00BD75A1"/>
    <w:rsid w:val="00BD76A7"/>
    <w:rsid w:val="00BE2E19"/>
    <w:rsid w:val="00BF785B"/>
    <w:rsid w:val="00C02BB4"/>
    <w:rsid w:val="00C05180"/>
    <w:rsid w:val="00C4359F"/>
    <w:rsid w:val="00C45157"/>
    <w:rsid w:val="00C528A7"/>
    <w:rsid w:val="00C60B80"/>
    <w:rsid w:val="00C6368A"/>
    <w:rsid w:val="00C63C1F"/>
    <w:rsid w:val="00C65E17"/>
    <w:rsid w:val="00C65F85"/>
    <w:rsid w:val="00C839B9"/>
    <w:rsid w:val="00C85E03"/>
    <w:rsid w:val="00C8604F"/>
    <w:rsid w:val="00CA4A74"/>
    <w:rsid w:val="00CA5249"/>
    <w:rsid w:val="00CC5449"/>
    <w:rsid w:val="00CC57E0"/>
    <w:rsid w:val="00CD368D"/>
    <w:rsid w:val="00CF3845"/>
    <w:rsid w:val="00CF4CBC"/>
    <w:rsid w:val="00D265F6"/>
    <w:rsid w:val="00D3349B"/>
    <w:rsid w:val="00D45735"/>
    <w:rsid w:val="00D535C9"/>
    <w:rsid w:val="00D5390A"/>
    <w:rsid w:val="00D53F0E"/>
    <w:rsid w:val="00D542D8"/>
    <w:rsid w:val="00D5643D"/>
    <w:rsid w:val="00D60DE1"/>
    <w:rsid w:val="00D63CEE"/>
    <w:rsid w:val="00D6794D"/>
    <w:rsid w:val="00D71BE6"/>
    <w:rsid w:val="00D71D7A"/>
    <w:rsid w:val="00D8413C"/>
    <w:rsid w:val="00D85717"/>
    <w:rsid w:val="00D921C8"/>
    <w:rsid w:val="00D92EC5"/>
    <w:rsid w:val="00DA0677"/>
    <w:rsid w:val="00DA2B0C"/>
    <w:rsid w:val="00DB5FF1"/>
    <w:rsid w:val="00DB73F9"/>
    <w:rsid w:val="00DC4949"/>
    <w:rsid w:val="00DC74C3"/>
    <w:rsid w:val="00DC7E00"/>
    <w:rsid w:val="00DD2E83"/>
    <w:rsid w:val="00DD534E"/>
    <w:rsid w:val="00DD5AD4"/>
    <w:rsid w:val="00DF7FA5"/>
    <w:rsid w:val="00E00B31"/>
    <w:rsid w:val="00E02B8C"/>
    <w:rsid w:val="00E06063"/>
    <w:rsid w:val="00E1251B"/>
    <w:rsid w:val="00E12BE3"/>
    <w:rsid w:val="00E14585"/>
    <w:rsid w:val="00E20A1A"/>
    <w:rsid w:val="00E23556"/>
    <w:rsid w:val="00E301C5"/>
    <w:rsid w:val="00E4070F"/>
    <w:rsid w:val="00E503FA"/>
    <w:rsid w:val="00E57071"/>
    <w:rsid w:val="00E66363"/>
    <w:rsid w:val="00E73F3D"/>
    <w:rsid w:val="00E84E30"/>
    <w:rsid w:val="00EA071B"/>
    <w:rsid w:val="00EA075C"/>
    <w:rsid w:val="00EB47B6"/>
    <w:rsid w:val="00EC4972"/>
    <w:rsid w:val="00EC7944"/>
    <w:rsid w:val="00ED2C8F"/>
    <w:rsid w:val="00ED5543"/>
    <w:rsid w:val="00ED5880"/>
    <w:rsid w:val="00EE2855"/>
    <w:rsid w:val="00EF120E"/>
    <w:rsid w:val="00EF7FAE"/>
    <w:rsid w:val="00F04A5A"/>
    <w:rsid w:val="00F11594"/>
    <w:rsid w:val="00F13FBE"/>
    <w:rsid w:val="00F15140"/>
    <w:rsid w:val="00F24529"/>
    <w:rsid w:val="00F338DC"/>
    <w:rsid w:val="00F447E8"/>
    <w:rsid w:val="00F47694"/>
    <w:rsid w:val="00F52EEC"/>
    <w:rsid w:val="00F54D03"/>
    <w:rsid w:val="00F550C1"/>
    <w:rsid w:val="00F6018A"/>
    <w:rsid w:val="00F6536A"/>
    <w:rsid w:val="00F67165"/>
    <w:rsid w:val="00F72EFA"/>
    <w:rsid w:val="00F738A1"/>
    <w:rsid w:val="00F75546"/>
    <w:rsid w:val="00F83D31"/>
    <w:rsid w:val="00F84149"/>
    <w:rsid w:val="00F9033A"/>
    <w:rsid w:val="00FD0426"/>
    <w:rsid w:val="00FD104B"/>
    <w:rsid w:val="00FD1638"/>
    <w:rsid w:val="00FE421F"/>
    <w:rsid w:val="00FF3A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F8C1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A14"/>
    <w:pPr>
      <w:spacing w:after="0" w:line="256"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627A14"/>
    <w:pPr>
      <w:jc w:val="center"/>
      <w:outlineLvl w:val="0"/>
    </w:pPr>
    <w:rPr>
      <w:rFonts w:eastAsiaTheme="majorEastAsia"/>
      <w:noProof/>
      <w:spacing w:val="-10"/>
      <w:kern w:val="28"/>
      <w:sz w:val="40"/>
      <w:szCs w:val="40"/>
    </w:rPr>
  </w:style>
  <w:style w:type="paragraph" w:styleId="Heading2">
    <w:name w:val="heading 2"/>
    <w:basedOn w:val="Normal"/>
    <w:next w:val="Normal"/>
    <w:link w:val="Heading2Char"/>
    <w:uiPriority w:val="9"/>
    <w:unhideWhenUsed/>
    <w:qFormat/>
    <w:rsid w:val="00627A14"/>
    <w:pPr>
      <w:outlineLvl w:val="1"/>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7A1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A14"/>
    <w:rPr>
      <w:rFonts w:ascii="Segoe UI" w:hAnsi="Segoe UI" w:cs="Segoe UI"/>
      <w:sz w:val="18"/>
      <w:szCs w:val="18"/>
    </w:rPr>
  </w:style>
  <w:style w:type="character" w:customStyle="1" w:styleId="Heading1Char">
    <w:name w:val="Heading 1 Char"/>
    <w:basedOn w:val="DefaultParagraphFont"/>
    <w:link w:val="Heading1"/>
    <w:uiPriority w:val="9"/>
    <w:rsid w:val="00627A14"/>
    <w:rPr>
      <w:rFonts w:ascii="Times New Roman" w:eastAsiaTheme="majorEastAsia" w:hAnsi="Times New Roman" w:cs="Times New Roman"/>
      <w:noProof/>
      <w:spacing w:val="-10"/>
      <w:kern w:val="28"/>
      <w:sz w:val="40"/>
      <w:szCs w:val="40"/>
    </w:rPr>
  </w:style>
  <w:style w:type="paragraph" w:styleId="TOCHeading">
    <w:name w:val="TOC Heading"/>
    <w:basedOn w:val="Heading1"/>
    <w:next w:val="Normal"/>
    <w:uiPriority w:val="39"/>
    <w:unhideWhenUsed/>
    <w:qFormat/>
    <w:rsid w:val="00627A14"/>
    <w:pPr>
      <w:keepNext/>
      <w:keepLines/>
      <w:spacing w:before="240" w:line="259" w:lineRule="auto"/>
      <w:jc w:val="left"/>
      <w:outlineLvl w:val="9"/>
    </w:pPr>
    <w:rPr>
      <w:rFonts w:asciiTheme="majorHAnsi" w:hAnsiTheme="majorHAnsi" w:cstheme="majorBidi"/>
      <w:noProof w:val="0"/>
      <w:color w:val="2F5496" w:themeColor="accent1" w:themeShade="BF"/>
      <w:spacing w:val="0"/>
      <w:kern w:val="0"/>
      <w:sz w:val="32"/>
      <w:szCs w:val="32"/>
      <w:lang w:val="en-US"/>
    </w:rPr>
  </w:style>
  <w:style w:type="paragraph" w:styleId="TOC1">
    <w:name w:val="toc 1"/>
    <w:basedOn w:val="Normal"/>
    <w:next w:val="Normal"/>
    <w:autoRedefine/>
    <w:uiPriority w:val="39"/>
    <w:unhideWhenUsed/>
    <w:rsid w:val="00627A14"/>
    <w:pPr>
      <w:spacing w:after="100"/>
    </w:pPr>
  </w:style>
  <w:style w:type="character" w:styleId="Hyperlink">
    <w:name w:val="Hyperlink"/>
    <w:basedOn w:val="DefaultParagraphFont"/>
    <w:uiPriority w:val="99"/>
    <w:unhideWhenUsed/>
    <w:rsid w:val="00627A14"/>
    <w:rPr>
      <w:color w:val="0563C1" w:themeColor="hyperlink"/>
      <w:u w:val="single"/>
    </w:rPr>
  </w:style>
  <w:style w:type="paragraph" w:styleId="Header">
    <w:name w:val="header"/>
    <w:basedOn w:val="Normal"/>
    <w:link w:val="HeaderChar"/>
    <w:uiPriority w:val="99"/>
    <w:unhideWhenUsed/>
    <w:rsid w:val="00627A14"/>
    <w:pPr>
      <w:tabs>
        <w:tab w:val="center" w:pos="4513"/>
        <w:tab w:val="right" w:pos="9026"/>
      </w:tabs>
      <w:spacing w:line="240" w:lineRule="auto"/>
    </w:pPr>
  </w:style>
  <w:style w:type="character" w:customStyle="1" w:styleId="HeaderChar">
    <w:name w:val="Header Char"/>
    <w:basedOn w:val="DefaultParagraphFont"/>
    <w:link w:val="Header"/>
    <w:uiPriority w:val="99"/>
    <w:rsid w:val="00627A14"/>
  </w:style>
  <w:style w:type="paragraph" w:styleId="Footer">
    <w:name w:val="footer"/>
    <w:basedOn w:val="Normal"/>
    <w:link w:val="FooterChar"/>
    <w:uiPriority w:val="99"/>
    <w:unhideWhenUsed/>
    <w:rsid w:val="00627A14"/>
    <w:pPr>
      <w:tabs>
        <w:tab w:val="center" w:pos="4513"/>
        <w:tab w:val="right" w:pos="9026"/>
      </w:tabs>
      <w:spacing w:line="240" w:lineRule="auto"/>
    </w:pPr>
  </w:style>
  <w:style w:type="character" w:customStyle="1" w:styleId="FooterChar">
    <w:name w:val="Footer Char"/>
    <w:basedOn w:val="DefaultParagraphFont"/>
    <w:link w:val="Footer"/>
    <w:uiPriority w:val="99"/>
    <w:rsid w:val="00627A14"/>
  </w:style>
  <w:style w:type="character" w:customStyle="1" w:styleId="Heading2Char">
    <w:name w:val="Heading 2 Char"/>
    <w:basedOn w:val="DefaultParagraphFont"/>
    <w:link w:val="Heading2"/>
    <w:uiPriority w:val="9"/>
    <w:rsid w:val="00627A14"/>
    <w:rPr>
      <w:rFonts w:ascii="Times New Roman" w:hAnsi="Times New Roman" w:cs="Times New Roman"/>
      <w:sz w:val="36"/>
      <w:szCs w:val="36"/>
    </w:rPr>
  </w:style>
  <w:style w:type="character" w:styleId="CommentReference">
    <w:name w:val="annotation reference"/>
    <w:basedOn w:val="DefaultParagraphFont"/>
    <w:uiPriority w:val="99"/>
    <w:semiHidden/>
    <w:unhideWhenUsed/>
    <w:rsid w:val="00627A14"/>
    <w:rPr>
      <w:sz w:val="16"/>
      <w:szCs w:val="16"/>
    </w:rPr>
  </w:style>
  <w:style w:type="paragraph" w:styleId="CommentText">
    <w:name w:val="annotation text"/>
    <w:basedOn w:val="Normal"/>
    <w:link w:val="CommentTextChar"/>
    <w:uiPriority w:val="99"/>
    <w:unhideWhenUsed/>
    <w:rsid w:val="00627A14"/>
    <w:pPr>
      <w:spacing w:line="240" w:lineRule="auto"/>
    </w:pPr>
    <w:rPr>
      <w:sz w:val="20"/>
      <w:szCs w:val="20"/>
    </w:rPr>
  </w:style>
  <w:style w:type="character" w:customStyle="1" w:styleId="CommentTextChar">
    <w:name w:val="Comment Text Char"/>
    <w:basedOn w:val="DefaultParagraphFont"/>
    <w:link w:val="CommentText"/>
    <w:uiPriority w:val="99"/>
    <w:rsid w:val="00627A14"/>
    <w:rPr>
      <w:sz w:val="20"/>
      <w:szCs w:val="20"/>
    </w:rPr>
  </w:style>
  <w:style w:type="paragraph" w:styleId="ListParagraph">
    <w:name w:val="List Paragraph"/>
    <w:aliases w:val="List Paragraph1,Recommendation,List Paragraph11,L,Dot pt,F5 List Paragraph,List Paragraph Char Char Char,Indicator Text,Numbered Para 1,Bullet 1,List Paragraph2,MAIN CONTENT,Normal numbered,CV text,Table text,List Paragraph111,OBC Bullet"/>
    <w:basedOn w:val="Normal"/>
    <w:link w:val="ListParagraphChar"/>
    <w:uiPriority w:val="34"/>
    <w:qFormat/>
    <w:rsid w:val="00627A14"/>
    <w:pPr>
      <w:ind w:left="720"/>
      <w:contextualSpacing/>
    </w:pPr>
  </w:style>
  <w:style w:type="character" w:customStyle="1" w:styleId="ListParagraphChar">
    <w:name w:val="List Paragraph Char"/>
    <w:aliases w:val="List Paragraph1 Char,Recommendation Char,List Paragraph11 Char,L Char,Dot pt Char,F5 List Paragraph Char,List Paragraph Char Char Char Char,Indicator Text Char,Numbered Para 1 Char,Bullet 1 Char,List Paragraph2 Char,MAIN CONTENT Char"/>
    <w:link w:val="ListParagraph"/>
    <w:uiPriority w:val="34"/>
    <w:qFormat/>
    <w:locked/>
    <w:rsid w:val="008111BC"/>
    <w:rPr>
      <w:rFonts w:ascii="Times New Roman" w:hAnsi="Times New Roman" w:cs="Times New Roman"/>
      <w:sz w:val="24"/>
      <w:szCs w:val="24"/>
    </w:rPr>
  </w:style>
  <w:style w:type="table" w:styleId="TableGrid">
    <w:name w:val="Table Grid"/>
    <w:basedOn w:val="TableNormal"/>
    <w:uiPriority w:val="59"/>
    <w:rsid w:val="00FF3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inal Footnote Text,Footnote Text 2,fn,Footnotes,ft,fn cafc,Footnote ak,fn Char,footnote text Char,Footnotes Char,Footnote ak Char,footnote citation,Footnotes Char Char,Footnote Text Char Char,fn Char Char,footnote text Char Char Char Ch"/>
    <w:basedOn w:val="Normal"/>
    <w:link w:val="FootnoteTextChar"/>
    <w:uiPriority w:val="99"/>
    <w:unhideWhenUsed/>
    <w:qFormat/>
    <w:rsid w:val="001206A3"/>
    <w:pPr>
      <w:spacing w:line="240" w:lineRule="auto"/>
      <w:ind w:left="567" w:hanging="567"/>
    </w:pPr>
    <w:rPr>
      <w:sz w:val="20"/>
      <w:szCs w:val="20"/>
    </w:rPr>
  </w:style>
  <w:style w:type="character" w:customStyle="1" w:styleId="FootnoteTextChar">
    <w:name w:val="Footnote Text Char"/>
    <w:aliases w:val="Final Footnote Text Char,Footnote Text 2 Char,fn Char1,Footnotes Char1,ft Char,fn cafc Char,Footnote ak Char1,fn Char Char1,footnote text Char Char,Footnotes Char Char1,Footnote ak Char Char,footnote citation Char,fn Char Char Char"/>
    <w:basedOn w:val="DefaultParagraphFont"/>
    <w:link w:val="FootnoteText"/>
    <w:uiPriority w:val="99"/>
    <w:rsid w:val="001206A3"/>
    <w:rPr>
      <w:rFonts w:ascii="Times New Roman" w:hAnsi="Times New Roman" w:cs="Times New Roman"/>
      <w:sz w:val="20"/>
      <w:szCs w:val="20"/>
    </w:rPr>
  </w:style>
  <w:style w:type="character" w:styleId="FootnoteReference">
    <w:name w:val="footnote reference"/>
    <w:aliases w:val="Ref,de nota al pie"/>
    <w:basedOn w:val="DefaultParagraphFont"/>
    <w:uiPriority w:val="99"/>
    <w:unhideWhenUsed/>
    <w:rsid w:val="001206A3"/>
    <w:rPr>
      <w:vertAlign w:val="superscript"/>
    </w:rPr>
  </w:style>
  <w:style w:type="paragraph" w:styleId="BodyText">
    <w:name w:val="Body Text"/>
    <w:basedOn w:val="Normal"/>
    <w:link w:val="BodyTextChar"/>
    <w:uiPriority w:val="99"/>
    <w:rsid w:val="001206A3"/>
    <w:pPr>
      <w:spacing w:line="240" w:lineRule="auto"/>
    </w:pPr>
    <w:rPr>
      <w:rFonts w:eastAsia="Times New Roman"/>
      <w:lang w:eastAsia="zh-CN"/>
    </w:rPr>
  </w:style>
  <w:style w:type="character" w:customStyle="1" w:styleId="BodyTextChar">
    <w:name w:val="Body Text Char"/>
    <w:basedOn w:val="DefaultParagraphFont"/>
    <w:link w:val="BodyText"/>
    <w:uiPriority w:val="99"/>
    <w:rsid w:val="001206A3"/>
    <w:rPr>
      <w:rFonts w:ascii="Times New Roman" w:eastAsia="Times New Roman" w:hAnsi="Times New Roman" w:cs="Times New Roman"/>
      <w:sz w:val="24"/>
      <w:szCs w:val="24"/>
      <w:lang w:eastAsia="zh-CN"/>
    </w:rPr>
  </w:style>
  <w:style w:type="paragraph" w:styleId="CommentSubject">
    <w:name w:val="annotation subject"/>
    <w:basedOn w:val="CommentText"/>
    <w:next w:val="CommentText"/>
    <w:link w:val="CommentSubjectChar"/>
    <w:uiPriority w:val="99"/>
    <w:semiHidden/>
    <w:unhideWhenUsed/>
    <w:rsid w:val="003130A5"/>
    <w:rPr>
      <w:b/>
      <w:bCs/>
    </w:rPr>
  </w:style>
  <w:style w:type="character" w:customStyle="1" w:styleId="CommentSubjectChar">
    <w:name w:val="Comment Subject Char"/>
    <w:basedOn w:val="CommentTextChar"/>
    <w:link w:val="CommentSubject"/>
    <w:uiPriority w:val="99"/>
    <w:semiHidden/>
    <w:rsid w:val="003130A5"/>
    <w:rPr>
      <w:rFonts w:ascii="Times New Roman" w:hAnsi="Times New Roman" w:cs="Times New Roman"/>
      <w:b/>
      <w:bCs/>
      <w:sz w:val="20"/>
      <w:szCs w:val="20"/>
    </w:rPr>
  </w:style>
  <w:style w:type="paragraph" w:styleId="Revision">
    <w:name w:val="Revision"/>
    <w:hidden/>
    <w:uiPriority w:val="99"/>
    <w:semiHidden/>
    <w:rsid w:val="003F66AB"/>
    <w:pPr>
      <w:spacing w:after="0" w:line="240" w:lineRule="auto"/>
    </w:pPr>
    <w:rPr>
      <w:rFonts w:ascii="Times New Roman" w:hAnsi="Times New Roman" w:cs="Times New Roman"/>
      <w:sz w:val="24"/>
      <w:szCs w:val="24"/>
    </w:rPr>
  </w:style>
  <w:style w:type="paragraph" w:styleId="TOC2">
    <w:name w:val="toc 2"/>
    <w:basedOn w:val="Normal"/>
    <w:next w:val="Normal"/>
    <w:autoRedefine/>
    <w:uiPriority w:val="39"/>
    <w:unhideWhenUsed/>
    <w:rsid w:val="006E44E8"/>
    <w:pPr>
      <w:spacing w:after="100"/>
      <w:ind w:left="240"/>
    </w:pPr>
  </w:style>
  <w:style w:type="paragraph" w:customStyle="1" w:styleId="Level1">
    <w:name w:val="Level 1"/>
    <w:basedOn w:val="Normal"/>
    <w:uiPriority w:val="6"/>
    <w:qFormat/>
    <w:rsid w:val="0099648F"/>
    <w:pPr>
      <w:numPr>
        <w:numId w:val="29"/>
      </w:numPr>
      <w:spacing w:after="160"/>
    </w:pPr>
    <w:rPr>
      <w:rFonts w:asciiTheme="minorHAnsi" w:hAnsiTheme="minorHAnsi" w:cstheme="minorBidi"/>
      <w:sz w:val="22"/>
      <w:szCs w:val="22"/>
      <w:lang w:val="en-GB"/>
    </w:rPr>
  </w:style>
  <w:style w:type="paragraph" w:customStyle="1" w:styleId="Level2">
    <w:name w:val="Level 2"/>
    <w:basedOn w:val="Normal"/>
    <w:uiPriority w:val="6"/>
    <w:qFormat/>
    <w:rsid w:val="0099648F"/>
    <w:pPr>
      <w:numPr>
        <w:ilvl w:val="1"/>
        <w:numId w:val="29"/>
      </w:numPr>
      <w:spacing w:after="160"/>
    </w:pPr>
    <w:rPr>
      <w:rFonts w:asciiTheme="minorHAnsi" w:hAnsiTheme="minorHAnsi" w:cstheme="minorBidi"/>
      <w:sz w:val="22"/>
      <w:szCs w:val="22"/>
      <w:lang w:val="en-GB"/>
    </w:rPr>
  </w:style>
  <w:style w:type="paragraph" w:customStyle="1" w:styleId="Level3">
    <w:name w:val="Level 3"/>
    <w:basedOn w:val="Normal"/>
    <w:uiPriority w:val="6"/>
    <w:qFormat/>
    <w:rsid w:val="0099648F"/>
    <w:pPr>
      <w:numPr>
        <w:ilvl w:val="2"/>
        <w:numId w:val="29"/>
      </w:numPr>
      <w:spacing w:after="160"/>
    </w:pPr>
    <w:rPr>
      <w:rFonts w:asciiTheme="minorHAnsi" w:hAnsiTheme="minorHAnsi" w:cstheme="minorBidi"/>
      <w:sz w:val="22"/>
      <w:szCs w:val="22"/>
      <w:lang w:val="en-GB"/>
    </w:rPr>
  </w:style>
  <w:style w:type="paragraph" w:customStyle="1" w:styleId="Level4">
    <w:name w:val="Level 4"/>
    <w:basedOn w:val="Normal"/>
    <w:uiPriority w:val="6"/>
    <w:qFormat/>
    <w:rsid w:val="0099648F"/>
    <w:pPr>
      <w:numPr>
        <w:ilvl w:val="3"/>
        <w:numId w:val="29"/>
      </w:numPr>
      <w:spacing w:after="160"/>
    </w:pPr>
    <w:rPr>
      <w:rFonts w:asciiTheme="minorHAnsi" w:hAnsiTheme="minorHAnsi" w:cstheme="minorBidi"/>
      <w:sz w:val="22"/>
      <w:szCs w:val="22"/>
      <w:lang w:val="en-GB"/>
    </w:rPr>
  </w:style>
  <w:style w:type="paragraph" w:customStyle="1" w:styleId="Level5">
    <w:name w:val="Level 5"/>
    <w:basedOn w:val="Normal"/>
    <w:uiPriority w:val="6"/>
    <w:qFormat/>
    <w:rsid w:val="0099648F"/>
    <w:pPr>
      <w:numPr>
        <w:ilvl w:val="4"/>
        <w:numId w:val="29"/>
      </w:numPr>
      <w:spacing w:after="160"/>
    </w:pPr>
    <w:rPr>
      <w:rFonts w:asciiTheme="minorHAnsi" w:hAnsiTheme="minorHAnsi" w:cstheme="minorBidi"/>
      <w:sz w:val="22"/>
      <w:szCs w:val="22"/>
      <w:lang w:val="en-GB"/>
    </w:rPr>
  </w:style>
  <w:style w:type="paragraph" w:styleId="NoSpacing">
    <w:name w:val="No Spacing"/>
    <w:uiPriority w:val="1"/>
    <w:qFormat/>
    <w:rsid w:val="00037C1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036695">
      <w:bodyDiv w:val="1"/>
      <w:marLeft w:val="0"/>
      <w:marRight w:val="0"/>
      <w:marTop w:val="0"/>
      <w:marBottom w:val="0"/>
      <w:divBdr>
        <w:top w:val="none" w:sz="0" w:space="0" w:color="auto"/>
        <w:left w:val="none" w:sz="0" w:space="0" w:color="auto"/>
        <w:bottom w:val="none" w:sz="0" w:space="0" w:color="auto"/>
        <w:right w:val="none" w:sz="0" w:space="0" w:color="auto"/>
      </w:divBdr>
    </w:div>
    <w:div w:id="222839702">
      <w:bodyDiv w:val="1"/>
      <w:marLeft w:val="0"/>
      <w:marRight w:val="0"/>
      <w:marTop w:val="0"/>
      <w:marBottom w:val="0"/>
      <w:divBdr>
        <w:top w:val="none" w:sz="0" w:space="0" w:color="auto"/>
        <w:left w:val="none" w:sz="0" w:space="0" w:color="auto"/>
        <w:bottom w:val="none" w:sz="0" w:space="0" w:color="auto"/>
        <w:right w:val="none" w:sz="0" w:space="0" w:color="auto"/>
      </w:divBdr>
    </w:div>
    <w:div w:id="771045658">
      <w:bodyDiv w:val="1"/>
      <w:marLeft w:val="0"/>
      <w:marRight w:val="0"/>
      <w:marTop w:val="0"/>
      <w:marBottom w:val="0"/>
      <w:divBdr>
        <w:top w:val="none" w:sz="0" w:space="0" w:color="auto"/>
        <w:left w:val="none" w:sz="0" w:space="0" w:color="auto"/>
        <w:bottom w:val="none" w:sz="0" w:space="0" w:color="auto"/>
        <w:right w:val="none" w:sz="0" w:space="0" w:color="auto"/>
      </w:divBdr>
    </w:div>
    <w:div w:id="1158612594">
      <w:bodyDiv w:val="1"/>
      <w:marLeft w:val="0"/>
      <w:marRight w:val="0"/>
      <w:marTop w:val="0"/>
      <w:marBottom w:val="0"/>
      <w:divBdr>
        <w:top w:val="none" w:sz="0" w:space="0" w:color="auto"/>
        <w:left w:val="none" w:sz="0" w:space="0" w:color="auto"/>
        <w:bottom w:val="none" w:sz="0" w:space="0" w:color="auto"/>
        <w:right w:val="none" w:sz="0" w:space="0" w:color="auto"/>
      </w:divBdr>
    </w:div>
    <w:div w:id="1366128285">
      <w:bodyDiv w:val="1"/>
      <w:marLeft w:val="0"/>
      <w:marRight w:val="0"/>
      <w:marTop w:val="0"/>
      <w:marBottom w:val="0"/>
      <w:divBdr>
        <w:top w:val="none" w:sz="0" w:space="0" w:color="auto"/>
        <w:left w:val="none" w:sz="0" w:space="0" w:color="auto"/>
        <w:bottom w:val="none" w:sz="0" w:space="0" w:color="auto"/>
        <w:right w:val="none" w:sz="0" w:space="0" w:color="auto"/>
      </w:divBdr>
    </w:div>
    <w:div w:id="1726176622">
      <w:bodyDiv w:val="1"/>
      <w:marLeft w:val="0"/>
      <w:marRight w:val="0"/>
      <w:marTop w:val="0"/>
      <w:marBottom w:val="0"/>
      <w:divBdr>
        <w:top w:val="none" w:sz="0" w:space="0" w:color="auto"/>
        <w:left w:val="none" w:sz="0" w:space="0" w:color="auto"/>
        <w:bottom w:val="none" w:sz="0" w:space="0" w:color="auto"/>
        <w:right w:val="none" w:sz="0" w:space="0" w:color="auto"/>
      </w:divBdr>
    </w:div>
    <w:div w:id="206163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d9e60a-720a-478c-bf76-b460d35d354e">
      <Value>105</Value>
    </TaxCatchAll>
    <_dlc_DocId xmlns="7fd9e60a-720a-478c-bf76-b460d35d354e">H6263HTYEWN5-1240374158-703563</_dlc_DocId>
    <_dlc_DocIdUrl xmlns="7fd9e60a-720a-478c-bf76-b460d35d354e">
      <Url>https://dbis.sharepoint.com/sites/dit/108/_layouts/15/DocIdRedir.aspx?ID=H6263HTYEWN5-1240374158-703563</Url>
      <Description>H6263HTYEWN5-1240374158-703563</Description>
    </_dlc_DocIdUrl>
    <Security_x0020_Classification xmlns="7fd9e60a-720a-478c-bf76-b460d35d354e">OFFICIAL</Security_x0020_Classification>
    <Government_x0020_Body xmlns="b413c3fd-5a3b-4239-b985-69032e371c04">DIT</Government_x0020_Body>
    <Date_x0020_Opened xmlns="b413c3fd-5a3b-4239-b985-69032e371c04">2021-09-30T16:11:40+00:00</Date_x0020_Opened>
    <LegacyRecordCategoryIdentifier xmlns="b67a7830-db79-4a49-bf27-2aff92a2201a" xsi:nil="true"/>
    <LegacyDateFileRequested xmlns="a172083e-e40c-4314-b43a-827352a1ed2c" xsi:nil="true"/>
    <LegacyCaseReferenceNumber xmlns="c0e5669f-1bcb-499c-94e0-3ccb733d3d13"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National_x0020_Caveat xmlns="7fd9e60a-720a-478c-bf76-b460d35d354e" xsi:nil="true"/>
    <LegacyFolderLink xmlns="b67a7830-db79-4a49-bf27-2aff92a2201a" xsi:nil="true"/>
    <LegacyDateFileReceived xmlns="a172083e-e40c-4314-b43a-827352a1ed2c" xsi:nil="true"/>
    <ExternallyShared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Legal</TermName>
          <TermId xmlns="http://schemas.microsoft.com/office/infopath/2007/PartnerControls">813799cf-6685-4056-98ad-8b083470e4b0</TermId>
        </TermInfo>
      </Terms>
    </m975189f4ba442ecbf67d4147307b177>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CIRRUSPreviousRetentionPolicy xmlns="b413c3fd-5a3b-4239-b985-69032e371c04" xsi:nil="true"/>
    <LegacyFileplanTarget xmlns="b67a7830-db79-4a49-bf27-2aff92a2201a" xsi:nil="true"/>
    <LegacyContentType xmlns="b67a7830-db79-4a49-bf27-2aff92a2201a" xsi:nil="true"/>
    <LegacyCustodian xmlns="b67a7830-db79-4a49-bf27-2aff92a2201a" xsi:nil="true"/>
    <Descriptor xmlns="7fd9e60a-720a-478c-bf76-b460d35d354e"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Group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LegacyNumericClass xmlns="b67a7830-db79-4a49-bf27-2aff92a2201a" xsi:nil="true"/>
    <LegacyCurrentLocation xmlns="b67a7830-db79-4a49-bf27-2aff92a2201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7084A845A23134E9608A4A4DF2DCA57" ma:contentTypeVersion="4095" ma:contentTypeDescription="Create a new document." ma:contentTypeScope="" ma:versionID="018789a815b31711ec08b119e2fd190a">
  <xsd:schema xmlns:xsd="http://www.w3.org/2001/XMLSchema" xmlns:xs="http://www.w3.org/2001/XMLSchema" xmlns:p="http://schemas.microsoft.com/office/2006/metadata/properties" xmlns:ns2="b413c3fd-5a3b-4239-b985-69032e371c04" xmlns:ns3="7fd9e60a-720a-478c-bf76-b460d35d354e" xmlns:ns4="a8f60570-4bd3-4f2b-950b-a996de8ab151" xmlns:ns5="b67a7830-db79-4a49-bf27-2aff92a2201a" xmlns:ns6="a172083e-e40c-4314-b43a-827352a1ed2c" xmlns:ns7="c963a4c1-1bb4-49f2-a011-9c776a7eed2a" xmlns:ns8="ffa4cb81-d2ad-4fd2-9d2e-358474bb38dc" xmlns:ns9="c0e5669f-1bcb-499c-94e0-3ccb733d3d13" targetNamespace="http://schemas.microsoft.com/office/2006/metadata/properties" ma:root="true" ma:fieldsID="2bbb5aeded5a08275e30d35d0c855c8a" ns2:_="" ns3:_="" ns4:_="" ns5:_="" ns6:_="" ns7:_="" ns8:_="" ns9:_="">
    <xsd:import namespace="b413c3fd-5a3b-4239-b985-69032e371c04"/>
    <xsd:import namespace="7fd9e60a-720a-478c-bf76-b460d35d354e"/>
    <xsd:import namespace="a8f60570-4bd3-4f2b-950b-a996de8ab151"/>
    <xsd:import namespace="b67a7830-db79-4a49-bf27-2aff92a2201a"/>
    <xsd:import namespace="a172083e-e40c-4314-b43a-827352a1ed2c"/>
    <xsd:import namespace="c963a4c1-1bb4-49f2-a011-9c776a7eed2a"/>
    <xsd:import namespace="ffa4cb81-d2ad-4fd2-9d2e-358474bb38dc"/>
    <xsd:import namespace="c0e5669f-1bcb-499c-94e0-3ccb733d3d13"/>
    <xsd:element name="properties">
      <xsd:complexType>
        <xsd:sequence>
          <xsd:element name="documentManagement">
            <xsd:complexType>
              <xsd:all>
                <xsd:element ref="ns2:Document_x0020_Notes" minOccurs="0"/>
                <xsd:element ref="ns3:Security_x0020_Classification"/>
                <xsd:element ref="ns2:Handling_x0020_Instructions" minOccurs="0"/>
                <xsd:element ref="ns3:Descriptor" minOccurs="0"/>
                <xsd:element ref="ns2:Government_x0020_Body" minOccurs="0"/>
                <xsd:element ref="ns4:Retention_x0020_Label" minOccurs="0"/>
                <xsd:element ref="ns2:Date_x0020_Opened" minOccurs="0"/>
                <xsd:element ref="ns2:Date_x0020_Closed" minOccurs="0"/>
                <xsd:element ref="ns3:National_x0020_Caveat" minOccurs="0"/>
                <xsd:element ref="ns2:CIRRUSPreviousLocation" minOccurs="0"/>
                <xsd:element ref="ns2:CIRRUSPreviousID" minOccurs="0"/>
                <xsd:element ref="ns5:LegacyDocumentType" minOccurs="0"/>
                <xsd:element ref="ns5:LegacyFileplanTarget" minOccurs="0"/>
                <xsd:element ref="ns5:LegacyNumericClass" minOccurs="0"/>
                <xsd:element ref="ns5:LegacyFolderType" minOccurs="0"/>
                <xsd:element ref="ns5:LegacyRecordFolderIdentifier" minOccurs="0"/>
                <xsd:element ref="ns5:LegacyCopyright" minOccurs="0"/>
                <xsd:element ref="ns5:LegacyLastModifiedDate" minOccurs="0"/>
                <xsd:element ref="ns5:LegacyModifier" minOccurs="0"/>
                <xsd:element ref="ns5:LegacyFolder" minOccurs="0"/>
                <xsd:element ref="ns5:LegacyContentType" minOccurs="0"/>
                <xsd:element ref="ns5:LegacyExpiryReviewDate" minOccurs="0"/>
                <xsd:element ref="ns5:LegacyLastActionDate" minOccurs="0"/>
                <xsd:element ref="ns5:LegacyProtectiveMarking" minOccurs="0"/>
                <xsd:element ref="ns5:LegacyTags" minOccurs="0"/>
                <xsd:element ref="ns5:LegacyReferencesFromOtherItems" minOccurs="0"/>
                <xsd:element ref="ns5:LegacyStatusonTransfer" minOccurs="0"/>
                <xsd:element ref="ns5:LegacyDateClosed" minOccurs="0"/>
                <xsd:element ref="ns5:LegacyRecordCategoryIdentifier" minOccurs="0"/>
                <xsd:element ref="ns5:LegacyDispositionAsOfDate" minOccurs="0"/>
                <xsd:element ref="ns5:LegacyHomeLocation" minOccurs="0"/>
                <xsd:element ref="ns5:LegacyCurrentLocation" minOccurs="0"/>
                <xsd:element ref="ns5:LegacyAdditionalAuthors" minOccurs="0"/>
                <xsd:element ref="ns6:LegacyPhysicalFormat" minOccurs="0"/>
                <xsd:element ref="ns5:LegacyDocumentLink" minOccurs="0"/>
                <xsd:element ref="ns5:LegacyFolderLink" minOccurs="0"/>
                <xsd:element ref="ns6:LegacyDateFileReceived" minOccurs="0"/>
                <xsd:element ref="ns6:LegacyDateFileRequested" minOccurs="0"/>
                <xsd:element ref="ns6:LegacyDateFileReturned" minOccurs="0"/>
                <xsd:element ref="ns5:LegacyReferencesToOtherItems" minOccurs="0"/>
                <xsd:element ref="ns6:LegacyMinister" minOccurs="0"/>
                <xsd:element ref="ns6:LegacyMP" minOccurs="0"/>
                <xsd:element ref="ns6:LegacyFolderNotes" minOccurs="0"/>
                <xsd:element ref="ns6:LegacyPhysicalItemLocation" minOccurs="0"/>
                <xsd:element ref="ns6:LegacyRequestType" minOccurs="0"/>
                <xsd:element ref="ns5:LegacyCustodian" minOccurs="0"/>
                <xsd:element ref="ns6:LegacyDescriptor" minOccurs="0"/>
                <xsd:element ref="ns6:LegacyFolderDocumentID" minOccurs="0"/>
                <xsd:element ref="ns6:LegacyDocumentID" minOccurs="0"/>
                <xsd:element ref="ns7:m975189f4ba442ecbf67d4147307b177" minOccurs="0"/>
                <xsd:element ref="ns3:TaxCatchAll" minOccurs="0"/>
                <xsd:element ref="ns3:TaxCatchAllLabel" minOccurs="0"/>
                <xsd:element ref="ns3:_dlc_DocId" minOccurs="0"/>
                <xsd:element ref="ns3:_dlc_DocIdUrl" minOccurs="0"/>
                <xsd:element ref="ns3:_dlc_DocIdPersistId" minOccurs="0"/>
                <xsd:element ref="ns8:MediaServiceMetadata" minOccurs="0"/>
                <xsd:element ref="ns8:MediaServiceFastMetadata" minOccurs="0"/>
                <xsd:element ref="ns3:SharedWithUsers" minOccurs="0"/>
                <xsd:element ref="ns3:SharedWithDetails" minOccurs="0"/>
                <xsd:element ref="ns5:ExternallyShared" minOccurs="0"/>
                <xsd:element ref="ns2:CIRRUSPreviousRetentionPolicy" minOccurs="0"/>
                <xsd:element ref="ns9:LegacyCaseReferenceNumber" minOccurs="0"/>
                <xsd:element ref="ns8:MediaServiceAutoKeyPoints" minOccurs="0"/>
                <xsd:element ref="ns8:MediaServiceKeyPoints" minOccurs="0"/>
                <xsd:element ref="ns8:MediaServiceAutoTags" minOccurs="0"/>
                <xsd:element ref="ns8:MediaServiceOCR" minOccurs="0"/>
                <xsd:element ref="ns8:MediaServiceGenerationTime" minOccurs="0"/>
                <xsd:element ref="ns8:MediaServiceEventHashCode" minOccurs="0"/>
                <xsd:element ref="ns8:MediaServiceDateTaken" minOccurs="0"/>
                <xsd:element ref="ns8: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2" nillable="true" ma:displayName="Document Notes" ma:internalName="Document_0x0020_Notes">
      <xsd:simpleType>
        <xsd:restriction base="dms:Note">
          <xsd:maxLength value="255"/>
        </xsd:restriction>
      </xsd:simpleType>
    </xsd:element>
    <xsd:element name="Handling_x0020_Instructions" ma:index="4" nillable="true" ma:displayName="Handling Instructions" ma:internalName="Handling_x0020_Instructions">
      <xsd:simpleType>
        <xsd:restriction base="dms:Text">
          <xsd:maxLength value="255"/>
        </xsd:restriction>
      </xsd:simpleType>
    </xsd:element>
    <xsd:element name="Government_x0020_Body" ma:index="6" nillable="true" ma:displayName="Government Body" ma:internalName="Government_x0020_Body">
      <xsd:simpleType>
        <xsd:restriction base="dms:Text">
          <xsd:maxLength value="255"/>
        </xsd:restriction>
      </xsd:simpleType>
    </xsd:element>
    <xsd:element name="Date_x0020_Opened" ma:index="9" nillable="true" ma:displayName="Date Opened" ma:default="[Today]" ma:format="DateOnly" ma:internalName="Date_x0020_Opened">
      <xsd:simpleType>
        <xsd:restriction base="dms:DateTime"/>
      </xsd:simpleType>
    </xsd:element>
    <xsd:element name="Date_x0020_Closed" ma:index="10" nillable="true" ma:displayName="Date Closed" ma:format="DateOnly" ma:internalName="Date_x0020_Closed">
      <xsd:simpleType>
        <xsd:restriction base="dms:DateTime"/>
      </xsd:simpleType>
    </xsd:element>
    <xsd:element name="CIRRUSPreviousLocation" ma:index="12"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3"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69" nillable="true" ma:displayName="Previous Retention Policy" ma:description="The retention policy of the document in its previous location." ma:internalName="CIRRUSPreviousRetentionPolic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d9e60a-720a-478c-bf76-b460d35d354e" elementFormDefault="qualified">
    <xsd:import namespace="http://schemas.microsoft.com/office/2006/documentManagement/types"/>
    <xsd:import namespace="http://schemas.microsoft.com/office/infopath/2007/PartnerControls"/>
    <xsd:element name="Security_x0020_Classification" ma:index="3" ma:displayName="Security Classification" ma:default="OFFICIAL" ma:format="Dropdown" ma:indexed="true" ma:internalName="Security_x0020_Classification" ma:readOnly="false">
      <xsd:simpleType>
        <xsd:restriction base="dms:Choice">
          <xsd:enumeration value="OFFICIAL"/>
          <xsd:enumeration value="OFFICIAL - SENSITIVE"/>
        </xsd:restriction>
      </xsd:simpleType>
    </xsd:element>
    <xsd:element name="Descriptor" ma:index="5"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1" nillable="true" ma:displayName="National Caveat" ma:default="" ma:format="Dropdown" ma:indexed="true" ma:internalName="National_x0020_Caveat">
      <xsd:simpleType>
        <xsd:restriction base="dms:Choice">
          <xsd:enumeration value="UK EYES ONLY"/>
        </xsd:restriction>
      </xsd:simpleType>
    </xsd:element>
    <xsd:element name="TaxCatchAll" ma:index="54" nillable="true" ma:displayName="Taxonomy Catch All Column" ma:hidden="true" ma:list="{4d192ad3-0f02-4b9f-81a5-60d8377bb230}" ma:internalName="TaxCatchAll" ma:showField="CatchAllData"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TaxCatchAllLabel" ma:index="55" nillable="true" ma:displayName="Taxonomy Catch All Column1" ma:hidden="true" ma:list="{4d192ad3-0f02-4b9f-81a5-60d8377bb230}" ma:internalName="TaxCatchAllLabel" ma:readOnly="true" ma:showField="CatchAllDataLabel"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_dlc_DocId" ma:index="57" nillable="true" ma:displayName="Document ID Value" ma:description="The value of the document ID assigned to this item." ma:internalName="_dlc_DocId" ma:readOnly="true">
      <xsd:simpleType>
        <xsd:restriction base="dms:Text"/>
      </xsd:simpleType>
    </xsd:element>
    <xsd:element name="_dlc_DocIdUrl" ma:index="5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9" nillable="true" ma:displayName="Persist ID" ma:description="Keep ID on add." ma:hidden="true" ma:internalName="_dlc_DocIdPersistId" ma:readOnly="true">
      <xsd:simpleType>
        <xsd:restriction base="dms:Boolean"/>
      </xsd:simpleType>
    </xsd:element>
    <xsd:element name="SharedWithUsers" ma:index="6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8"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LegacyDocumentType" ma:index="14" nillable="true" ma:displayName="Legacy Document Type" ma:internalName="LegacyDocumentType">
      <xsd:simpleType>
        <xsd:restriction base="dms:Text">
          <xsd:maxLength value="255"/>
        </xsd:restriction>
      </xsd:simpleType>
    </xsd:element>
    <xsd:element name="LegacyFileplanTarget" ma:index="15" nillable="true" ma:displayName="Legacy Fileplan Target" ma:internalName="LegacyFileplanTarget">
      <xsd:simpleType>
        <xsd:restriction base="dms:Text">
          <xsd:maxLength value="255"/>
        </xsd:restriction>
      </xsd:simpleType>
    </xsd:element>
    <xsd:element name="LegacyNumericClass" ma:index="16" nillable="true" ma:displayName="Legacy Numeric Class" ma:internalName="LegacyNumericClass">
      <xsd:simpleType>
        <xsd:restriction base="dms:Text">
          <xsd:maxLength value="255"/>
        </xsd:restriction>
      </xsd:simpleType>
    </xsd:element>
    <xsd:element name="LegacyFolderType" ma:index="17" nillable="true" ma:displayName="Legacy Folder Type" ma:internalName="LegacyFolderType">
      <xsd:simpleType>
        <xsd:restriction base="dms:Text">
          <xsd:maxLength value="255"/>
        </xsd:restriction>
      </xsd:simpleType>
    </xsd:element>
    <xsd:element name="LegacyRecordFolderIdentifier" ma:index="18" nillable="true" ma:displayName="Legacy Record Folder Identifier" ma:internalName="LegacyRecordFolderIdentifier">
      <xsd:simpleType>
        <xsd:restriction base="dms:Text">
          <xsd:maxLength value="255"/>
        </xsd:restriction>
      </xsd:simpleType>
    </xsd:element>
    <xsd:element name="LegacyCopyright" ma:index="19" nillable="true" ma:displayName="Legacy Copyright" ma:internalName="LegacyCopyright">
      <xsd:simpleType>
        <xsd:restriction base="dms:Text">
          <xsd:maxLength value="255"/>
        </xsd:restriction>
      </xsd:simpleType>
    </xsd:element>
    <xsd:element name="LegacyLastModifiedDate" ma:index="20" nillable="true" ma:displayName="Legacy Last Modified Date" ma:format="DateTime" ma:internalName="LegacyLastModifiedDate">
      <xsd:simpleType>
        <xsd:restriction base="dms:DateTime"/>
      </xsd:simpleType>
    </xsd:element>
    <xsd:element name="LegacyModifier" ma:index="21"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2" nillable="true" ma:displayName="Legacy Folder" ma:internalName="LegacyFolder">
      <xsd:simpleType>
        <xsd:restriction base="dms:Text">
          <xsd:maxLength value="255"/>
        </xsd:restriction>
      </xsd:simpleType>
    </xsd:element>
    <xsd:element name="LegacyContentType" ma:index="23" nillable="true" ma:displayName="Legacy Content Type" ma:internalName="LegacyContentType">
      <xsd:simpleType>
        <xsd:restriction base="dms:Text">
          <xsd:maxLength value="255"/>
        </xsd:restriction>
      </xsd:simpleType>
    </xsd:element>
    <xsd:element name="LegacyExpiryReviewDate" ma:index="24" nillable="true" ma:displayName="Legacy Expiry Review Date" ma:format="DateTime" ma:internalName="LegacyExpiryReviewDate">
      <xsd:simpleType>
        <xsd:restriction base="dms:DateTime"/>
      </xsd:simpleType>
    </xsd:element>
    <xsd:element name="LegacyLastActionDate" ma:index="25" nillable="true" ma:displayName="Legacy Last Action Date" ma:format="DateTime" ma:internalName="LegacyLastActionDate">
      <xsd:simpleType>
        <xsd:restriction base="dms:DateTime"/>
      </xsd:simpleType>
    </xsd:element>
    <xsd:element name="LegacyProtectiveMarking" ma:index="26" nillable="true" ma:displayName="Legacy Protective Marking" ma:internalName="LegacyProtectiveMarking">
      <xsd:simpleType>
        <xsd:restriction base="dms:Text">
          <xsd:maxLength value="255"/>
        </xsd:restriction>
      </xsd:simpleType>
    </xsd:element>
    <xsd:element name="LegacyTags" ma:index="27" nillable="true" ma:displayName="Legacy Tags" ma:internalName="LegacyTags">
      <xsd:simpleType>
        <xsd:restriction base="dms:Note">
          <xsd:maxLength value="255"/>
        </xsd:restriction>
      </xsd:simpleType>
    </xsd:element>
    <xsd:element name="LegacyReferencesFromOtherItems" ma:index="28" nillable="true" ma:displayName="Legacy References From Other Items" ma:internalName="LegacyReferencesFromOtherItems">
      <xsd:simpleType>
        <xsd:restriction base="dms:Text">
          <xsd:maxLength value="255"/>
        </xsd:restriction>
      </xsd:simpleType>
    </xsd:element>
    <xsd:element name="LegacyStatusonTransfer" ma:index="29" nillable="true" ma:displayName="Legacy Status on Transfer" ma:internalName="LegacyStatusonTransfer">
      <xsd:simpleType>
        <xsd:restriction base="dms:Text">
          <xsd:maxLength value="255"/>
        </xsd:restriction>
      </xsd:simpleType>
    </xsd:element>
    <xsd:element name="LegacyDateClosed" ma:index="30" nillable="true" ma:displayName="Legacy Date Closed" ma:format="DateOnly" ma:internalName="LegacyDateClosed">
      <xsd:simpleType>
        <xsd:restriction base="dms:DateTime"/>
      </xsd:simpleType>
    </xsd:element>
    <xsd:element name="LegacyRecordCategoryIdentifier" ma:index="31" nillable="true" ma:displayName="Legacy Record Category Identifier" ma:internalName="LegacyRecordCategoryIdentifier">
      <xsd:simpleType>
        <xsd:restriction base="dms:Text">
          <xsd:maxLength value="255"/>
        </xsd:restriction>
      </xsd:simpleType>
    </xsd:element>
    <xsd:element name="LegacyDispositionAsOfDate" ma:index="32" nillable="true" ma:displayName="Legacy Disposition as of Date" ma:format="DateOnly" ma:internalName="LegacyDispositionAsOfDate">
      <xsd:simpleType>
        <xsd:restriction base="dms:DateTime"/>
      </xsd:simpleType>
    </xsd:element>
    <xsd:element name="LegacyHomeLocation" ma:index="33" nillable="true" ma:displayName="Legacy Home Location" ma:internalName="LegacyHomeLocation">
      <xsd:simpleType>
        <xsd:restriction base="dms:Text">
          <xsd:maxLength value="255"/>
        </xsd:restriction>
      </xsd:simpleType>
    </xsd:element>
    <xsd:element name="LegacyCurrentLocation" ma:index="34" nillable="true" ma:displayName="Legacy Current Location" ma:internalName="LegacyCurrentLocation">
      <xsd:simpleType>
        <xsd:restriction base="dms:Text">
          <xsd:maxLength value="255"/>
        </xsd:restriction>
      </xsd:simpleType>
    </xsd:element>
    <xsd:element name="LegacyAdditionalAuthors" ma:index="35" nillable="true" ma:displayName="Legacy Additional Authors" ma:internalName="LegacyAdditionalAuthors">
      <xsd:simpleType>
        <xsd:restriction base="dms:Note">
          <xsd:maxLength value="255"/>
        </xsd:restriction>
      </xsd:simpleType>
    </xsd:element>
    <xsd:element name="LegacyDocumentLink" ma:index="37" nillable="true" ma:displayName="Legacy Document Link" ma:internalName="LegacyDocumentLink">
      <xsd:simpleType>
        <xsd:restriction base="dms:Text">
          <xsd:maxLength value="255"/>
        </xsd:restriction>
      </xsd:simpleType>
    </xsd:element>
    <xsd:element name="LegacyFolderLink" ma:index="38" nillable="true" ma:displayName="Legacy Folder Link" ma:internalName="LegacyFolderLink">
      <xsd:simpleType>
        <xsd:restriction base="dms:Text">
          <xsd:maxLength value="255"/>
        </xsd:restriction>
      </xsd:simpleType>
    </xsd:element>
    <xsd:element name="LegacyReferencesToOtherItems" ma:index="42"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ExternallyShared" ma:index="68" nillable="true" ma:displayName="External" ma:description="Used with SPFX field customizer, displays if the item is externally shared" ma:hidden="true" ma:internalName="ExternallyShare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PhysicalFormat" ma:index="36" nillable="true" ma:displayName="Legacy Physical Format" ma:default="0" ma:internalName="LegacyPhysicalFormat">
      <xsd:simpleType>
        <xsd:restriction base="dms:Boolean"/>
      </xsd:simpleType>
    </xsd:element>
    <xsd:element name="LegacyDateFileReceived" ma:index="39" nillable="true" ma:displayName="Legacy Date File Received" ma:format="DateOnly" ma:internalName="LegacyDateFileReceived">
      <xsd:simpleType>
        <xsd:restriction base="dms:DateTime"/>
      </xsd:simpleType>
    </xsd:element>
    <xsd:element name="LegacyDateFileRequested" ma:index="40" nillable="true" ma:displayName="Legacy Date File Requested" ma:format="DateOnly" ma:internalName="LegacyDateFileRequested">
      <xsd:simpleType>
        <xsd:restriction base="dms:DateTime"/>
      </xsd:simpleType>
    </xsd:element>
    <xsd:element name="LegacyDateFileReturned" ma:index="41" nillable="true" ma:displayName="Legacy Date File Returned" ma:format="DateOnly" ma:internalName="LegacyDateFileReturned">
      <xsd:simpleType>
        <xsd:restriction base="dms:DateTime"/>
      </xsd:simpleType>
    </xsd:element>
    <xsd:element name="LegacyMinister" ma:index="43" nillable="true" ma:displayName="Legacy Minister" ma:internalName="LegacyMinister">
      <xsd:simpleType>
        <xsd:restriction base="dms:Text">
          <xsd:maxLength value="255"/>
        </xsd:restriction>
      </xsd:simpleType>
    </xsd:element>
    <xsd:element name="LegacyMP" ma:index="44" nillable="true" ma:displayName="Legacy MP" ma:internalName="LegacyMP">
      <xsd:simpleType>
        <xsd:restriction base="dms:Text">
          <xsd:maxLength value="255"/>
        </xsd:restriction>
      </xsd:simpleType>
    </xsd:element>
    <xsd:element name="LegacyFolderNotes" ma:index="45" nillable="true" ma:displayName="Legacy Folder Notes" ma:internalName="LegacyFolderNotes">
      <xsd:simpleType>
        <xsd:restriction base="dms:Note">
          <xsd:maxLength value="255"/>
        </xsd:restriction>
      </xsd:simpleType>
    </xsd:element>
    <xsd:element name="LegacyPhysicalItemLocation" ma:index="46"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7"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9" nillable="true" ma:displayName="Legacy Descriptor" ma:internalName="LegacyDescriptor">
      <xsd:simpleType>
        <xsd:restriction base="dms:Note">
          <xsd:maxLength value="255"/>
        </xsd:restriction>
      </xsd:simpleType>
    </xsd:element>
    <xsd:element name="LegacyFolderDocumentID" ma:index="50" nillable="true" ma:displayName="Legacy Folder Document ID" ma:internalName="LegacyFolderDocumentID">
      <xsd:simpleType>
        <xsd:restriction base="dms:Text">
          <xsd:maxLength value="255"/>
        </xsd:restriction>
      </xsd:simpleType>
    </xsd:element>
    <xsd:element name="LegacyDocumentID" ma:index="51" nillable="true" ma:displayName="Legacy Document ID" ma:internalName="LegacyDocumen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3" nillable="true" ma:taxonomy="true" ma:internalName="m975189f4ba442ecbf67d4147307b177" ma:taxonomyFieldName="Business_x0020_Unit" ma:displayName="Business Unit" ma:default=""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a4cb81-d2ad-4fd2-9d2e-358474bb38dc" elementFormDefault="qualified">
    <xsd:import namespace="http://schemas.microsoft.com/office/2006/documentManagement/types"/>
    <xsd:import namespace="http://schemas.microsoft.com/office/infopath/2007/PartnerControls"/>
    <xsd:element name="MediaServiceMetadata" ma:index="63" nillable="true" ma:displayName="MediaServiceMetadata" ma:hidden="true" ma:internalName="MediaServiceMetadata" ma:readOnly="true">
      <xsd:simpleType>
        <xsd:restriction base="dms:Note"/>
      </xsd:simpleType>
    </xsd:element>
    <xsd:element name="MediaServiceFastMetadata" ma:index="64" nillable="true" ma:displayName="MediaServiceFastMetadata" ma:hidden="true" ma:internalName="MediaServiceFastMetadata" ma:readOnly="true">
      <xsd:simpleType>
        <xsd:restriction base="dms:Note"/>
      </xsd:simpleType>
    </xsd:element>
    <xsd:element name="MediaServiceAutoKeyPoints" ma:index="71" nillable="true" ma:displayName="MediaServiceAutoKeyPoints" ma:hidden="true" ma:internalName="MediaServiceAutoKeyPoints" ma:readOnly="true">
      <xsd:simpleType>
        <xsd:restriction base="dms:Note"/>
      </xsd:simpleType>
    </xsd:element>
    <xsd:element name="MediaServiceKeyPoints" ma:index="72" nillable="true" ma:displayName="KeyPoints" ma:internalName="MediaServiceKeyPoints" ma:readOnly="true">
      <xsd:simpleType>
        <xsd:restriction base="dms:Note">
          <xsd:maxLength value="255"/>
        </xsd:restriction>
      </xsd:simpleType>
    </xsd:element>
    <xsd:element name="MediaServiceAutoTags" ma:index="73" nillable="true" ma:displayName="Tags" ma:internalName="MediaServiceAutoTags" ma:readOnly="true">
      <xsd:simpleType>
        <xsd:restriction base="dms:Text"/>
      </xsd:simpleType>
    </xsd:element>
    <xsd:element name="MediaServiceOCR" ma:index="74" nillable="true" ma:displayName="Extracted Text" ma:internalName="MediaServiceOCR" ma:readOnly="true">
      <xsd:simpleType>
        <xsd:restriction base="dms:Note">
          <xsd:maxLength value="255"/>
        </xsd:restriction>
      </xsd:simpleType>
    </xsd:element>
    <xsd:element name="MediaServiceGenerationTime" ma:index="75" nillable="true" ma:displayName="MediaServiceGenerationTime" ma:hidden="true" ma:internalName="MediaServiceGenerationTime" ma:readOnly="true">
      <xsd:simpleType>
        <xsd:restriction base="dms:Text"/>
      </xsd:simpleType>
    </xsd:element>
    <xsd:element name="MediaServiceEventHashCode" ma:index="76" nillable="true" ma:displayName="MediaServiceEventHashCode" ma:hidden="true" ma:internalName="MediaServiceEventHashCode" ma:readOnly="true">
      <xsd:simpleType>
        <xsd:restriction base="dms:Text"/>
      </xsd:simpleType>
    </xsd:element>
    <xsd:element name="MediaServiceDateTaken" ma:index="77" nillable="true" ma:displayName="MediaServiceDateTaken" ma:hidden="true" ma:internalName="MediaServiceDateTaken" ma:readOnly="true">
      <xsd:simpleType>
        <xsd:restriction base="dms:Text"/>
      </xsd:simpleType>
    </xsd:element>
    <xsd:element name="MediaLengthInSeconds" ma:index="7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e5669f-1bcb-499c-94e0-3ccb733d3d13" elementFormDefault="qualified">
    <xsd:import namespace="http://schemas.microsoft.com/office/2006/documentManagement/types"/>
    <xsd:import namespace="http://schemas.microsoft.com/office/infopath/2007/PartnerControls"/>
    <xsd:element name="LegacyCaseReferenceNumber" ma:index="70" nillable="true" ma:displayName="Legacy Case Reference Number" ma:internalName="LegacyCaseReferenceNumber">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3D0F03-1361-44DB-874C-30EB0371C8EA}">
  <ds:schemaRefs>
    <ds:schemaRef ds:uri="http://schemas.microsoft.com/office/2006/metadata/properties"/>
    <ds:schemaRef ds:uri="http://schemas.microsoft.com/office/infopath/2007/PartnerControls"/>
    <ds:schemaRef ds:uri="7fd9e60a-720a-478c-bf76-b460d35d354e"/>
    <ds:schemaRef ds:uri="b413c3fd-5a3b-4239-b985-69032e371c04"/>
    <ds:schemaRef ds:uri="b67a7830-db79-4a49-bf27-2aff92a2201a"/>
    <ds:schemaRef ds:uri="a172083e-e40c-4314-b43a-827352a1ed2c"/>
    <ds:schemaRef ds:uri="c0e5669f-1bcb-499c-94e0-3ccb733d3d13"/>
    <ds:schemaRef ds:uri="c963a4c1-1bb4-49f2-a011-9c776a7eed2a"/>
    <ds:schemaRef ds:uri="a8f60570-4bd3-4f2b-950b-a996de8ab151"/>
  </ds:schemaRefs>
</ds:datastoreItem>
</file>

<file path=customXml/itemProps2.xml><?xml version="1.0" encoding="utf-8"?>
<ds:datastoreItem xmlns:ds="http://schemas.openxmlformats.org/officeDocument/2006/customXml" ds:itemID="{5A8ABB70-ADE6-45C2-88E4-D6151E23F828}">
  <ds:schemaRefs>
    <ds:schemaRef ds:uri="http://schemas.openxmlformats.org/officeDocument/2006/bibliography"/>
  </ds:schemaRefs>
</ds:datastoreItem>
</file>

<file path=customXml/itemProps3.xml><?xml version="1.0" encoding="utf-8"?>
<ds:datastoreItem xmlns:ds="http://schemas.openxmlformats.org/officeDocument/2006/customXml" ds:itemID="{FCE52C7A-67CF-4A80-9344-64B52CA04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3c3fd-5a3b-4239-b985-69032e371c04"/>
    <ds:schemaRef ds:uri="7fd9e60a-720a-478c-bf76-b460d35d354e"/>
    <ds:schemaRef ds:uri="a8f60570-4bd3-4f2b-950b-a996de8ab151"/>
    <ds:schemaRef ds:uri="b67a7830-db79-4a49-bf27-2aff92a2201a"/>
    <ds:schemaRef ds:uri="a172083e-e40c-4314-b43a-827352a1ed2c"/>
    <ds:schemaRef ds:uri="c963a4c1-1bb4-49f2-a011-9c776a7eed2a"/>
    <ds:schemaRef ds:uri="ffa4cb81-d2ad-4fd2-9d2e-358474bb38dc"/>
    <ds:schemaRef ds:uri="c0e5669f-1bcb-499c-94e0-3ccb733d3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7E27B2-9D0F-462C-8105-833E5A8CF95F}">
  <ds:schemaRefs>
    <ds:schemaRef ds:uri="http://schemas.microsoft.com/sharepoint/events"/>
  </ds:schemaRefs>
</ds:datastoreItem>
</file>

<file path=customXml/itemProps5.xml><?xml version="1.0" encoding="utf-8"?>
<ds:datastoreItem xmlns:ds="http://schemas.openxmlformats.org/officeDocument/2006/customXml" ds:itemID="{BF490F66-5025-4644-8ED3-96642F65CD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1271</Words>
  <Characters>7731</Characters>
  <Application>Microsoft Office Word</Application>
  <DocSecurity>0</DocSecurity>
  <Lines>460</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[SEC=OFFICIAL:Sensitive]</cp:keywords>
  <dc:description/>
  <cp:lastModifiedBy/>
  <cp:revision>1</cp:revision>
  <dcterms:created xsi:type="dcterms:W3CDTF">2021-10-05T20:02:00Z</dcterms:created>
  <dcterms:modified xsi:type="dcterms:W3CDTF">2021-12-09T02:48:00Z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 Sensitive</vt:lpwstr>
  </property>
  <property fmtid="{D5CDD505-2E9C-101B-9397-08002B2CF9AE}" pid="5" name="PM_Qualifier">
    <vt:lpwstr/>
  </property>
  <property fmtid="{D5CDD505-2E9C-101B-9397-08002B2CF9AE}" pid="6" name="PM_SecurityClassification">
    <vt:lpwstr>OFFICIAL:Sensitive</vt:lpwstr>
  </property>
  <property fmtid="{D5CDD505-2E9C-101B-9397-08002B2CF9AE}" pid="7" name="PM_InsertionValue">
    <vt:lpwstr>OFFICIAL: Sensitive</vt:lpwstr>
  </property>
  <property fmtid="{D5CDD505-2E9C-101B-9397-08002B2CF9AE}" pid="8" name="PM_Originating_FileId">
    <vt:lpwstr>F6BA91160F1A4EA092A2B205D4F13047</vt:lpwstr>
  </property>
  <property fmtid="{D5CDD505-2E9C-101B-9397-08002B2CF9AE}" pid="9" name="PM_ProtectiveMarkingValue_Footer">
    <vt:lpwstr>OFFICIAL: Sensitive</vt:lpwstr>
  </property>
  <property fmtid="{D5CDD505-2E9C-101B-9397-08002B2CF9AE}" pid="10" name="PM_Originator_Hash_SHA1">
    <vt:lpwstr>BB24B90B748909E5424472032769D6A2766E68BB</vt:lpwstr>
  </property>
  <property fmtid="{D5CDD505-2E9C-101B-9397-08002B2CF9AE}" pid="11" name="PM_OriginationTimeStamp">
    <vt:lpwstr>2021-12-09T02:47:37Z</vt:lpwstr>
  </property>
  <property fmtid="{D5CDD505-2E9C-101B-9397-08002B2CF9AE}" pid="12" name="PM_ProtectiveMarkingValue_Header">
    <vt:lpwstr>OFFICIAL: Sensitive</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8A302C648DE497D244B922C8C1D9B42B</vt:lpwstr>
  </property>
  <property fmtid="{D5CDD505-2E9C-101B-9397-08002B2CF9AE}" pid="20" name="PM_Hash_Salt">
    <vt:lpwstr>FD2836766138FA2F0A0DB808EBE3E380</vt:lpwstr>
  </property>
  <property fmtid="{D5CDD505-2E9C-101B-9397-08002B2CF9AE}" pid="21" name="PM_Hash_SHA1">
    <vt:lpwstr>59F12AFD0611EAD51D1858543FDEB12AFF20113B</vt:lpwstr>
  </property>
  <property fmtid="{D5CDD505-2E9C-101B-9397-08002B2CF9AE}" pid="22" name="PM_SecurityClassification_Prev">
    <vt:lpwstr>OFFICIAL:Sensitive</vt:lpwstr>
  </property>
  <property fmtid="{D5CDD505-2E9C-101B-9397-08002B2CF9AE}" pid="23" name="PM_Qualifier_Prev">
    <vt:lpwstr/>
  </property>
  <property fmtid="{D5CDD505-2E9C-101B-9397-08002B2CF9AE}" pid="24" name="ContentTypeId">
    <vt:lpwstr>0x01010077084A845A23134E9608A4A4DF2DCA57</vt:lpwstr>
  </property>
  <property fmtid="{D5CDD505-2E9C-101B-9397-08002B2CF9AE}" pid="25" name="HMT_Group">
    <vt:lpwstr>1;#Treasury Legal Advisers|8cd25db8-4ba8-4890-bca5-e51c1ff49563</vt:lpwstr>
  </property>
  <property fmtid="{D5CDD505-2E9C-101B-9397-08002B2CF9AE}" pid="26" name="HMT_SubTeam">
    <vt:lpwstr/>
  </property>
  <property fmtid="{D5CDD505-2E9C-101B-9397-08002B2CF9AE}" pid="27" name="HMT_DocumentType">
    <vt:lpwstr>10;#Other|c235b5c2-f697-427b-a70a-43d69599f998</vt:lpwstr>
  </property>
  <property fmtid="{D5CDD505-2E9C-101B-9397-08002B2CF9AE}" pid="28" name="HMT_Team">
    <vt:lpwstr>15;#TLA Trade and Negotiations|4aee5f89-a6c6-4ca4-89a6-777ccc23c93f</vt:lpwstr>
  </property>
  <property fmtid="{D5CDD505-2E9C-101B-9397-08002B2CF9AE}" pid="29" name="HMT_Category">
    <vt:lpwstr>3;#Policy Document Types|bd4325a7-7f6a-48f9-b0dc-cc3aef626e65</vt:lpwstr>
  </property>
  <property fmtid="{D5CDD505-2E9C-101B-9397-08002B2CF9AE}" pid="30" name="HMT_Classification">
    <vt:lpwstr>4;#Sensitive|e4b4762f-94f6-4901-a732-9ab10906c6ba</vt:lpwstr>
  </property>
  <property fmtid="{D5CDD505-2E9C-101B-9397-08002B2CF9AE}" pid="31" name="_dlc_DocIdItemGuid">
    <vt:lpwstr>aad2eac7-8d08-40a6-bc37-7e9b59c02164</vt:lpwstr>
  </property>
  <property fmtid="{D5CDD505-2E9C-101B-9397-08002B2CF9AE}" pid="32" name="Business Unit">
    <vt:lpwstr>105;#Legal|813799cf-6685-4056-98ad-8b083470e4b0</vt:lpwstr>
  </property>
  <property fmtid="{D5CDD505-2E9C-101B-9397-08002B2CF9AE}" pid="33" name="MSIP_Label_c1c05e37-788c-4c59-b50e-5c98323c0a70_Enabled">
    <vt:lpwstr>true</vt:lpwstr>
  </property>
  <property fmtid="{D5CDD505-2E9C-101B-9397-08002B2CF9AE}" pid="34" name="MSIP_Label_c1c05e37-788c-4c59-b50e-5c98323c0a70_SetDate">
    <vt:lpwstr>2021-09-30T16:21:13Z</vt:lpwstr>
  </property>
  <property fmtid="{D5CDD505-2E9C-101B-9397-08002B2CF9AE}" pid="35" name="MSIP_Label_c1c05e37-788c-4c59-b50e-5c98323c0a70_Method">
    <vt:lpwstr>Standard</vt:lpwstr>
  </property>
  <property fmtid="{D5CDD505-2E9C-101B-9397-08002B2CF9AE}" pid="36" name="MSIP_Label_c1c05e37-788c-4c59-b50e-5c98323c0a70_Name">
    <vt:lpwstr>OFFICIAL</vt:lpwstr>
  </property>
  <property fmtid="{D5CDD505-2E9C-101B-9397-08002B2CF9AE}" pid="37" name="MSIP_Label_c1c05e37-788c-4c59-b50e-5c98323c0a70_SiteId">
    <vt:lpwstr>8fa217ec-33aa-46fb-ad96-dfe68006bb86</vt:lpwstr>
  </property>
  <property fmtid="{D5CDD505-2E9C-101B-9397-08002B2CF9AE}" pid="38" name="MSIP_Label_c1c05e37-788c-4c59-b50e-5c98323c0a70_ActionId">
    <vt:lpwstr>38156ae4-98d3-4ebd-b264-cc437f57f0f7</vt:lpwstr>
  </property>
  <property fmtid="{D5CDD505-2E9C-101B-9397-08002B2CF9AE}" pid="39" name="MSIP_Label_c1c05e37-788c-4c59-b50e-5c98323c0a70_ContentBits">
    <vt:lpwstr>0</vt:lpwstr>
  </property>
</Properties>
</file>