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0A58B" w14:textId="1CF3957E" w:rsidR="00B808CC" w:rsidRPr="00A5413D" w:rsidRDefault="00183FB1" w:rsidP="00A5413D">
      <w:pPr>
        <w:pStyle w:val="Heading1"/>
      </w:pPr>
      <w:r w:rsidRPr="00A5413D">
        <w:t xml:space="preserve">DFAT Management Response to the </w:t>
      </w:r>
      <w:r w:rsidR="00DB60F5" w:rsidRPr="00A5413D">
        <w:t>Mid-term Review</w:t>
      </w:r>
      <w:r w:rsidR="004D3784" w:rsidRPr="00A5413D">
        <w:t xml:space="preserve"> </w:t>
      </w:r>
      <w:r w:rsidR="004D3784" w:rsidRPr="00A5413D">
        <w:t>of the Aus4Skills Phase 2</w:t>
      </w:r>
    </w:p>
    <w:p w14:paraId="5D5B8967" w14:textId="116344AE" w:rsidR="00DB60F5" w:rsidRPr="00F67EE9" w:rsidRDefault="251D3F0E" w:rsidP="4C9B8F9F">
      <w:pPr>
        <w:rPr>
          <w:sz w:val="20"/>
          <w:szCs w:val="20"/>
        </w:rPr>
      </w:pPr>
      <w:r w:rsidRPr="7A7EA250">
        <w:rPr>
          <w:sz w:val="20"/>
          <w:szCs w:val="20"/>
        </w:rPr>
        <w:t xml:space="preserve">In </w:t>
      </w:r>
      <w:r w:rsidR="3B36E0FA" w:rsidRPr="7A7EA250">
        <w:rPr>
          <w:sz w:val="20"/>
          <w:szCs w:val="20"/>
        </w:rPr>
        <w:t xml:space="preserve">November-December </w:t>
      </w:r>
      <w:r w:rsidRPr="7A7EA250">
        <w:rPr>
          <w:sz w:val="20"/>
          <w:szCs w:val="20"/>
        </w:rPr>
        <w:t xml:space="preserve">2023, </w:t>
      </w:r>
      <w:r w:rsidR="3B36E0FA" w:rsidRPr="7A7EA250">
        <w:rPr>
          <w:sz w:val="20"/>
          <w:szCs w:val="20"/>
        </w:rPr>
        <w:t xml:space="preserve">DFAT conducted an independent mid-term review (MTR) of the Aus4Skills Phase 2 (2021-2025). The purpose of the MTR </w:t>
      </w:r>
      <w:r w:rsidR="132DD37D" w:rsidRPr="7A7EA250">
        <w:rPr>
          <w:sz w:val="20"/>
          <w:szCs w:val="20"/>
        </w:rPr>
        <w:t>wa</w:t>
      </w:r>
      <w:r w:rsidR="3B36E0FA" w:rsidRPr="7A7EA250">
        <w:rPr>
          <w:sz w:val="20"/>
          <w:szCs w:val="20"/>
        </w:rPr>
        <w:t xml:space="preserve">s to identify what is working well in Aus4Skills, what should continue or be replicated, what should be improved, and what should or could cease. In addition, DFAT will commence the design of the subsequent phase of Australia’s human resource development </w:t>
      </w:r>
      <w:r w:rsidR="000732E2" w:rsidRPr="7A7EA250">
        <w:rPr>
          <w:sz w:val="20"/>
          <w:szCs w:val="20"/>
        </w:rPr>
        <w:t xml:space="preserve">(HRD) </w:t>
      </w:r>
      <w:r w:rsidR="3B36E0FA" w:rsidRPr="7A7EA250">
        <w:rPr>
          <w:sz w:val="20"/>
          <w:szCs w:val="20"/>
        </w:rPr>
        <w:t>support in 2024 to ensure continuation of the Australia Awards Scholarship</w:t>
      </w:r>
      <w:r w:rsidR="3A09B0B0" w:rsidRPr="7A7EA250">
        <w:rPr>
          <w:sz w:val="20"/>
          <w:szCs w:val="20"/>
        </w:rPr>
        <w:t>s</w:t>
      </w:r>
      <w:r w:rsidR="3B36E0FA" w:rsidRPr="7A7EA250">
        <w:rPr>
          <w:sz w:val="20"/>
          <w:szCs w:val="20"/>
        </w:rPr>
        <w:t xml:space="preserve"> </w:t>
      </w:r>
      <w:r w:rsidR="4132227A" w:rsidRPr="7A7EA250">
        <w:rPr>
          <w:sz w:val="20"/>
          <w:szCs w:val="20"/>
        </w:rPr>
        <w:t>(</w:t>
      </w:r>
      <w:r w:rsidR="594A87FF" w:rsidRPr="7A7EA250">
        <w:rPr>
          <w:sz w:val="20"/>
          <w:szCs w:val="20"/>
        </w:rPr>
        <w:t xml:space="preserve">AAS) </w:t>
      </w:r>
      <w:r w:rsidR="3B36E0FA" w:rsidRPr="7A7EA250">
        <w:rPr>
          <w:sz w:val="20"/>
          <w:szCs w:val="20"/>
        </w:rPr>
        <w:t xml:space="preserve">and Vietnam Australia Centre </w:t>
      </w:r>
      <w:r w:rsidR="18F039BE" w:rsidRPr="7A7EA250">
        <w:rPr>
          <w:sz w:val="20"/>
          <w:szCs w:val="20"/>
        </w:rPr>
        <w:t xml:space="preserve">(VAC) </w:t>
      </w:r>
      <w:r w:rsidR="3B36E0FA" w:rsidRPr="7A7EA250">
        <w:rPr>
          <w:sz w:val="20"/>
          <w:szCs w:val="20"/>
        </w:rPr>
        <w:t xml:space="preserve">beyond December 2025. Therefore, the outcomes of the MTR also contribute to the design. </w:t>
      </w:r>
    </w:p>
    <w:p w14:paraId="5CFDB33C" w14:textId="17BF55E3" w:rsidR="00DB60F5" w:rsidRDefault="00AC72E4" w:rsidP="3A84FFDB">
      <w:pPr>
        <w:pStyle w:val="BodyText"/>
        <w:rPr>
          <w:rFonts w:asciiTheme="minorHAnsi" w:hAnsiTheme="minorHAnsi" w:cstheme="minorBidi"/>
          <w:sz w:val="20"/>
          <w:szCs w:val="20"/>
        </w:rPr>
      </w:pPr>
      <w:r w:rsidRPr="3A84FFDB">
        <w:rPr>
          <w:rFonts w:asciiTheme="minorHAnsi" w:hAnsiTheme="minorHAnsi" w:cstheme="minorBidi"/>
          <w:sz w:val="20"/>
          <w:szCs w:val="20"/>
        </w:rPr>
        <w:t xml:space="preserve">The MTR found that </w:t>
      </w:r>
      <w:r w:rsidR="00DB60F5" w:rsidRPr="3A84FFDB">
        <w:rPr>
          <w:rFonts w:asciiTheme="minorHAnsi" w:hAnsiTheme="minorHAnsi" w:cstheme="minorBidi"/>
          <w:sz w:val="20"/>
          <w:szCs w:val="20"/>
        </w:rPr>
        <w:t xml:space="preserve">Aus4Skills is an important, high quality, and well-regarded feature of Australia’s development cooperation program with Vietnam. The </w:t>
      </w:r>
      <w:r w:rsidR="78E6C8B7" w:rsidRPr="3A84FFDB">
        <w:rPr>
          <w:rFonts w:asciiTheme="minorHAnsi" w:hAnsiTheme="minorHAnsi" w:cstheme="minorBidi"/>
          <w:sz w:val="20"/>
          <w:szCs w:val="20"/>
        </w:rPr>
        <w:t>Aus4Skills</w:t>
      </w:r>
      <w:r w:rsidR="00DB60F5" w:rsidRPr="3A84FFDB">
        <w:rPr>
          <w:rFonts w:asciiTheme="minorHAnsi" w:hAnsiTheme="minorHAnsi" w:cstheme="minorBidi"/>
          <w:sz w:val="20"/>
          <w:szCs w:val="20"/>
        </w:rPr>
        <w:t xml:space="preserve"> team is highly professional and skilled, with strong leadership, and has developed effective and trusting relationships with the diverse range of partners and stakeholders which are essential to implementation. The </w:t>
      </w:r>
      <w:r w:rsidRPr="3A84FFDB">
        <w:rPr>
          <w:rFonts w:asciiTheme="minorHAnsi" w:hAnsiTheme="minorHAnsi" w:cstheme="minorBidi"/>
          <w:sz w:val="20"/>
          <w:szCs w:val="20"/>
        </w:rPr>
        <w:t xml:space="preserve">Aus4Skills </w:t>
      </w:r>
      <w:r w:rsidR="00DB60F5" w:rsidRPr="3A84FFDB">
        <w:rPr>
          <w:rFonts w:asciiTheme="minorHAnsi" w:hAnsiTheme="minorHAnsi" w:cstheme="minorBidi"/>
          <w:sz w:val="20"/>
          <w:szCs w:val="20"/>
        </w:rPr>
        <w:t xml:space="preserve">team, and the </w:t>
      </w:r>
      <w:r w:rsidR="2B3B0EF1" w:rsidRPr="3A84FFDB">
        <w:rPr>
          <w:rFonts w:asciiTheme="minorHAnsi" w:hAnsiTheme="minorHAnsi" w:cstheme="minorBidi"/>
          <w:sz w:val="20"/>
          <w:szCs w:val="20"/>
        </w:rPr>
        <w:t>Embassy</w:t>
      </w:r>
      <w:r w:rsidR="00DB60F5" w:rsidRPr="3A84FFDB">
        <w:rPr>
          <w:rFonts w:asciiTheme="minorHAnsi" w:hAnsiTheme="minorHAnsi" w:cstheme="minorBidi"/>
          <w:sz w:val="20"/>
          <w:szCs w:val="20"/>
        </w:rPr>
        <w:t xml:space="preserve"> HRD team, are strongly committed to the work and to achieving </w:t>
      </w:r>
      <w:r w:rsidR="21B228D2" w:rsidRPr="3A84FFDB">
        <w:rPr>
          <w:rFonts w:asciiTheme="minorHAnsi" w:hAnsiTheme="minorHAnsi" w:cstheme="minorBidi"/>
          <w:sz w:val="20"/>
          <w:szCs w:val="20"/>
        </w:rPr>
        <w:t>the program</w:t>
      </w:r>
      <w:r w:rsidR="66857A70" w:rsidRPr="3A84FFDB">
        <w:rPr>
          <w:rFonts w:asciiTheme="minorHAnsi" w:hAnsiTheme="minorHAnsi" w:cstheme="minorBidi"/>
          <w:sz w:val="20"/>
          <w:szCs w:val="20"/>
        </w:rPr>
        <w:t>’</w:t>
      </w:r>
      <w:r w:rsidR="21B228D2" w:rsidRPr="3A84FFDB">
        <w:rPr>
          <w:rFonts w:asciiTheme="minorHAnsi" w:hAnsiTheme="minorHAnsi" w:cstheme="minorBidi"/>
          <w:sz w:val="20"/>
          <w:szCs w:val="20"/>
        </w:rPr>
        <w:t>s</w:t>
      </w:r>
      <w:r w:rsidR="00DB60F5" w:rsidRPr="3A84FFDB">
        <w:rPr>
          <w:rFonts w:asciiTheme="minorHAnsi" w:hAnsiTheme="minorHAnsi" w:cstheme="minorBidi"/>
          <w:sz w:val="20"/>
          <w:szCs w:val="20"/>
        </w:rPr>
        <w:t xml:space="preserve"> intended outcomes. As such, they are open to responding to advice, adjusting activities and approaches, and adapting to the constantly changing context for their work. </w:t>
      </w:r>
    </w:p>
    <w:p w14:paraId="40020F8A" w14:textId="2A1AFA4D" w:rsidR="00A5413D" w:rsidRPr="00A5413D" w:rsidRDefault="00A5413D" w:rsidP="00A5413D">
      <w:pPr>
        <w:pStyle w:val="Heading2"/>
      </w:pPr>
      <w:r w:rsidRPr="00A5413D">
        <w:t>Effectiveness</w:t>
      </w:r>
    </w:p>
    <w:tbl>
      <w:tblPr>
        <w:tblStyle w:val="TableGrid"/>
        <w:tblW w:w="14170" w:type="dxa"/>
        <w:tblLook w:val="04A0" w:firstRow="1" w:lastRow="0" w:firstColumn="1" w:lastColumn="0" w:noHBand="0" w:noVBand="1"/>
      </w:tblPr>
      <w:tblGrid>
        <w:gridCol w:w="456"/>
        <w:gridCol w:w="6349"/>
        <w:gridCol w:w="7365"/>
      </w:tblGrid>
      <w:tr w:rsidR="00F67EE9" w:rsidRPr="00F67EE9" w14:paraId="08D41C1C" w14:textId="77777777" w:rsidTr="00A5413D">
        <w:trPr>
          <w:tblHeader/>
        </w:trPr>
        <w:tc>
          <w:tcPr>
            <w:tcW w:w="445" w:type="dxa"/>
            <w:tcBorders>
              <w:bottom w:val="single" w:sz="4" w:space="0" w:color="auto"/>
            </w:tcBorders>
            <w:shd w:val="clear" w:color="auto" w:fill="BFBFBF" w:themeFill="background1" w:themeFillShade="BF"/>
          </w:tcPr>
          <w:p w14:paraId="5501B50A" w14:textId="6629003F" w:rsidR="00F67EE9" w:rsidRPr="00F67EE9" w:rsidRDefault="001815AF">
            <w:pPr>
              <w:rPr>
                <w:rFonts w:cstheme="minorHAnsi"/>
                <w:b/>
                <w:bCs/>
                <w:sz w:val="20"/>
                <w:szCs w:val="20"/>
              </w:rPr>
            </w:pPr>
            <w:r>
              <w:rPr>
                <w:rFonts w:cstheme="minorHAnsi"/>
                <w:b/>
                <w:bCs/>
                <w:sz w:val="20"/>
                <w:szCs w:val="20"/>
              </w:rPr>
              <w:t>No</w:t>
            </w:r>
          </w:p>
        </w:tc>
        <w:tc>
          <w:tcPr>
            <w:tcW w:w="6354" w:type="dxa"/>
            <w:tcBorders>
              <w:bottom w:val="single" w:sz="4" w:space="0" w:color="auto"/>
            </w:tcBorders>
            <w:shd w:val="clear" w:color="auto" w:fill="BFBFBF" w:themeFill="background1" w:themeFillShade="BF"/>
          </w:tcPr>
          <w:p w14:paraId="3D8B12AE" w14:textId="5C123623" w:rsidR="00F67EE9" w:rsidRPr="00F67EE9" w:rsidRDefault="00F67EE9">
            <w:pPr>
              <w:rPr>
                <w:rFonts w:cstheme="minorHAnsi"/>
                <w:b/>
                <w:bCs/>
                <w:sz w:val="20"/>
                <w:szCs w:val="20"/>
              </w:rPr>
            </w:pPr>
            <w:r w:rsidRPr="00F67EE9">
              <w:rPr>
                <w:rFonts w:cstheme="minorHAnsi"/>
                <w:b/>
                <w:bCs/>
                <w:sz w:val="20"/>
                <w:szCs w:val="20"/>
              </w:rPr>
              <w:t>Recommendation</w:t>
            </w:r>
          </w:p>
        </w:tc>
        <w:tc>
          <w:tcPr>
            <w:tcW w:w="7371" w:type="dxa"/>
            <w:tcBorders>
              <w:bottom w:val="single" w:sz="4" w:space="0" w:color="auto"/>
            </w:tcBorders>
            <w:shd w:val="clear" w:color="auto" w:fill="BFBFBF" w:themeFill="background1" w:themeFillShade="BF"/>
          </w:tcPr>
          <w:p w14:paraId="2B43A640" w14:textId="706B3415" w:rsidR="00F67EE9" w:rsidRPr="00F67EE9" w:rsidRDefault="00F67EE9">
            <w:pPr>
              <w:rPr>
                <w:rFonts w:cstheme="minorHAnsi"/>
                <w:b/>
                <w:bCs/>
                <w:sz w:val="20"/>
                <w:szCs w:val="20"/>
              </w:rPr>
            </w:pPr>
            <w:r w:rsidRPr="00F67EE9">
              <w:rPr>
                <w:rFonts w:cstheme="minorHAnsi"/>
                <w:b/>
                <w:bCs/>
                <w:sz w:val="20"/>
                <w:szCs w:val="20"/>
              </w:rPr>
              <w:t>DFAT responses (</w:t>
            </w:r>
            <w:r w:rsidRPr="00F67EE9">
              <w:rPr>
                <w:rFonts w:cstheme="minorHAnsi"/>
                <w:b/>
                <w:bCs/>
                <w:i/>
                <w:iCs/>
                <w:sz w:val="20"/>
                <w:szCs w:val="20"/>
              </w:rPr>
              <w:t xml:space="preserve">completed by </w:t>
            </w:r>
            <w:r w:rsidR="00585948">
              <w:rPr>
                <w:rFonts w:cstheme="minorHAnsi"/>
                <w:b/>
                <w:bCs/>
                <w:i/>
                <w:iCs/>
                <w:sz w:val="20"/>
                <w:szCs w:val="20"/>
              </w:rPr>
              <w:t>end-</w:t>
            </w:r>
            <w:r w:rsidRPr="00F67EE9">
              <w:rPr>
                <w:rFonts w:cstheme="minorHAnsi"/>
                <w:b/>
                <w:bCs/>
                <w:i/>
                <w:iCs/>
                <w:sz w:val="20"/>
                <w:szCs w:val="20"/>
              </w:rPr>
              <w:t>April 2024</w:t>
            </w:r>
            <w:r w:rsidRPr="00F67EE9">
              <w:rPr>
                <w:rFonts w:cstheme="minorHAnsi"/>
                <w:b/>
                <w:bCs/>
                <w:sz w:val="20"/>
                <w:szCs w:val="20"/>
              </w:rPr>
              <w:t>)</w:t>
            </w:r>
          </w:p>
        </w:tc>
      </w:tr>
      <w:tr w:rsidR="00F67EE9" w:rsidRPr="00F67EE9" w14:paraId="6ED0B8C5" w14:textId="77777777" w:rsidTr="7A7EA250">
        <w:tc>
          <w:tcPr>
            <w:tcW w:w="445" w:type="dxa"/>
          </w:tcPr>
          <w:p w14:paraId="4C4724C1" w14:textId="5BB9F7B2" w:rsidR="00F67EE9" w:rsidRPr="00F67EE9" w:rsidRDefault="00F67EE9" w:rsidP="005A59FA">
            <w:pPr>
              <w:rPr>
                <w:rFonts w:cstheme="minorHAnsi"/>
                <w:b/>
                <w:bCs/>
                <w:sz w:val="20"/>
                <w:szCs w:val="20"/>
              </w:rPr>
            </w:pPr>
            <w:r w:rsidRPr="00F67EE9">
              <w:rPr>
                <w:rFonts w:cstheme="minorHAnsi"/>
                <w:b/>
                <w:bCs/>
                <w:sz w:val="20"/>
                <w:szCs w:val="20"/>
              </w:rPr>
              <w:t>1</w:t>
            </w:r>
          </w:p>
        </w:tc>
        <w:tc>
          <w:tcPr>
            <w:tcW w:w="6354" w:type="dxa"/>
          </w:tcPr>
          <w:p w14:paraId="07E379F9" w14:textId="77777777" w:rsidR="00F67EE9" w:rsidRPr="00F67EE9" w:rsidRDefault="00F67EE9" w:rsidP="00D516A5">
            <w:pPr>
              <w:pStyle w:val="ListParagraph"/>
              <w:spacing w:after="240" w:line="252" w:lineRule="auto"/>
              <w:ind w:left="0"/>
              <w:contextualSpacing w:val="0"/>
              <w:rPr>
                <w:rFonts w:cstheme="minorHAnsi"/>
                <w:sz w:val="20"/>
                <w:szCs w:val="20"/>
              </w:rPr>
            </w:pPr>
            <w:r w:rsidRPr="00F67EE9">
              <w:rPr>
                <w:rFonts w:cstheme="minorHAnsi"/>
                <w:sz w:val="20"/>
                <w:szCs w:val="20"/>
              </w:rPr>
              <w:t xml:space="preserve">DFAT should ensure that the design of the next phase of HRD support allows for a robust analysis of context and assumptions, and the development of a program logic that more fully captures the breadth of intended work. </w:t>
            </w:r>
          </w:p>
          <w:p w14:paraId="357F95B9" w14:textId="77777777" w:rsidR="00F67EE9" w:rsidRPr="00F67EE9" w:rsidRDefault="00F67EE9" w:rsidP="72F939A8">
            <w:pPr>
              <w:pStyle w:val="ListParagraph"/>
              <w:spacing w:after="240" w:line="252" w:lineRule="auto"/>
              <w:ind w:left="0"/>
              <w:rPr>
                <w:sz w:val="20"/>
                <w:szCs w:val="20"/>
              </w:rPr>
            </w:pPr>
            <w:r w:rsidRPr="72F939A8">
              <w:rPr>
                <w:sz w:val="20"/>
                <w:szCs w:val="20"/>
              </w:rPr>
              <w:t xml:space="preserve">The design should also build in a process during inception of the next phase for a genuine review and revision to the program logic and end-of-program outcomes (EOPOs), to ensure that the EOPOs and logic which will guide implementation as relevant and specific as possible. This is especially important with the expected long </w:t>
            </w:r>
            <w:proofErr w:type="gramStart"/>
            <w:r w:rsidRPr="72F939A8">
              <w:rPr>
                <w:sz w:val="20"/>
                <w:szCs w:val="20"/>
              </w:rPr>
              <w:t>time period</w:t>
            </w:r>
            <w:proofErr w:type="gramEnd"/>
            <w:r w:rsidRPr="72F939A8">
              <w:rPr>
                <w:sz w:val="20"/>
                <w:szCs w:val="20"/>
              </w:rPr>
              <w:t xml:space="preserve"> between design and </w:t>
            </w:r>
            <w:proofErr w:type="spellStart"/>
            <w:r w:rsidRPr="72F939A8">
              <w:rPr>
                <w:sz w:val="20"/>
                <w:szCs w:val="20"/>
              </w:rPr>
              <w:t>mobilisation</w:t>
            </w:r>
            <w:proofErr w:type="spellEnd"/>
            <w:r w:rsidRPr="72F939A8">
              <w:rPr>
                <w:sz w:val="20"/>
                <w:szCs w:val="20"/>
              </w:rPr>
              <w:t xml:space="preserve">. </w:t>
            </w:r>
          </w:p>
          <w:p w14:paraId="6059DDFF" w14:textId="25B4F792" w:rsidR="00F67EE9" w:rsidRPr="00F67EE9" w:rsidRDefault="00F67EE9" w:rsidP="00D516A5">
            <w:pPr>
              <w:pStyle w:val="ListParagraph"/>
              <w:spacing w:after="240" w:line="252" w:lineRule="auto"/>
              <w:ind w:left="0"/>
              <w:contextualSpacing w:val="0"/>
              <w:rPr>
                <w:rFonts w:cstheme="minorHAnsi"/>
                <w:sz w:val="20"/>
                <w:szCs w:val="20"/>
              </w:rPr>
            </w:pPr>
            <w:r w:rsidRPr="00F67EE9">
              <w:rPr>
                <w:rFonts w:cstheme="minorHAnsi"/>
                <w:sz w:val="20"/>
                <w:szCs w:val="20"/>
                <w:lang w:val="en-AU"/>
              </w:rPr>
              <w:t xml:space="preserve">DFAT should also ensure that the design of the next phase of support integrates a broader </w:t>
            </w:r>
            <w:r w:rsidRPr="00F67EE9">
              <w:rPr>
                <w:rFonts w:cstheme="minorHAnsi"/>
                <w:sz w:val="20"/>
                <w:szCs w:val="20"/>
              </w:rPr>
              <w:t>understanding</w:t>
            </w:r>
            <w:r w:rsidRPr="00F67EE9">
              <w:rPr>
                <w:rFonts w:cstheme="minorHAnsi"/>
                <w:sz w:val="20"/>
                <w:szCs w:val="20"/>
                <w:lang w:val="en-AU"/>
              </w:rPr>
              <w:t xml:space="preserve"> of ‘how change happens’ in the specific sectors and contexts of Vietnam and supports a genuinely thinking and working politically approach which can support ongoing adaptation. </w:t>
            </w:r>
          </w:p>
        </w:tc>
        <w:tc>
          <w:tcPr>
            <w:tcW w:w="7371" w:type="dxa"/>
          </w:tcPr>
          <w:p w14:paraId="3DE3D1FA" w14:textId="76A8DC80" w:rsidR="00F67EE9" w:rsidRPr="00F67EE9" w:rsidRDefault="00F67EE9" w:rsidP="005A59FA">
            <w:pPr>
              <w:rPr>
                <w:rFonts w:cstheme="minorHAnsi"/>
                <w:b/>
                <w:bCs/>
                <w:sz w:val="20"/>
                <w:szCs w:val="20"/>
              </w:rPr>
            </w:pPr>
            <w:r w:rsidRPr="00F67EE9">
              <w:rPr>
                <w:rFonts w:cstheme="minorHAnsi"/>
                <w:b/>
                <w:bCs/>
                <w:sz w:val="20"/>
                <w:szCs w:val="20"/>
              </w:rPr>
              <w:t>Agree</w:t>
            </w:r>
          </w:p>
          <w:p w14:paraId="7C87386F" w14:textId="426B9299" w:rsidR="00F67EE9" w:rsidRPr="00F67EE9" w:rsidRDefault="5CA51523" w:rsidP="4C9B8F9F">
            <w:pPr>
              <w:rPr>
                <w:sz w:val="20"/>
                <w:szCs w:val="20"/>
              </w:rPr>
            </w:pPr>
            <w:r w:rsidRPr="3A84FFDB">
              <w:rPr>
                <w:sz w:val="20"/>
                <w:szCs w:val="20"/>
              </w:rPr>
              <w:t xml:space="preserve">DFAT will ensure the program logic and EOPOs of the new human resource development (HRD) program for Vietnam (2026-2035) (known as Aus4Skills Phase 3) reflects the breadth of intended work and support a genuinely thinking and working politically approach in the context of Vietnam. </w:t>
            </w:r>
          </w:p>
          <w:p w14:paraId="49F2C00E" w14:textId="0C9B27CE" w:rsidR="00F67EE9" w:rsidRPr="00F67EE9" w:rsidRDefault="00F67EE9" w:rsidP="4C9B8F9F">
            <w:pPr>
              <w:rPr>
                <w:sz w:val="20"/>
                <w:szCs w:val="20"/>
              </w:rPr>
            </w:pPr>
          </w:p>
          <w:p w14:paraId="7630278B" w14:textId="10DF87DC" w:rsidR="00F67EE9" w:rsidRPr="00F67EE9" w:rsidRDefault="2952946E" w:rsidP="4C9B8F9F">
            <w:pPr>
              <w:rPr>
                <w:sz w:val="20"/>
                <w:szCs w:val="20"/>
              </w:rPr>
            </w:pPr>
            <w:r w:rsidRPr="4C9B8F9F">
              <w:rPr>
                <w:sz w:val="20"/>
                <w:szCs w:val="20"/>
              </w:rPr>
              <w:t>DFAT Hanoi is currently upskilling its staff in M&amp;E which will assist here.</w:t>
            </w:r>
          </w:p>
        </w:tc>
      </w:tr>
      <w:tr w:rsidR="00F67EE9" w:rsidRPr="00F67EE9" w14:paraId="187B2E11" w14:textId="77777777" w:rsidTr="7A7EA250">
        <w:tc>
          <w:tcPr>
            <w:tcW w:w="445" w:type="dxa"/>
          </w:tcPr>
          <w:p w14:paraId="584D529A" w14:textId="0860616D" w:rsidR="00F67EE9" w:rsidRPr="00F67EE9" w:rsidRDefault="00F67EE9" w:rsidP="00F06C1C">
            <w:pPr>
              <w:rPr>
                <w:rFonts w:cstheme="minorHAnsi"/>
                <w:b/>
                <w:bCs/>
                <w:sz w:val="20"/>
                <w:szCs w:val="20"/>
              </w:rPr>
            </w:pPr>
            <w:r w:rsidRPr="00F67EE9">
              <w:rPr>
                <w:rFonts w:cstheme="minorHAnsi"/>
                <w:b/>
                <w:bCs/>
                <w:sz w:val="20"/>
                <w:szCs w:val="20"/>
              </w:rPr>
              <w:t>2</w:t>
            </w:r>
          </w:p>
        </w:tc>
        <w:tc>
          <w:tcPr>
            <w:tcW w:w="6354" w:type="dxa"/>
          </w:tcPr>
          <w:p w14:paraId="2966D3A9" w14:textId="1DF122C0" w:rsidR="00F67EE9" w:rsidRPr="00F67EE9" w:rsidRDefault="00F67EE9" w:rsidP="72F939A8">
            <w:pPr>
              <w:pStyle w:val="ListParagraph"/>
              <w:spacing w:after="240" w:line="252" w:lineRule="auto"/>
              <w:ind w:left="0"/>
              <w:rPr>
                <w:sz w:val="20"/>
                <w:szCs w:val="20"/>
              </w:rPr>
            </w:pPr>
            <w:r w:rsidRPr="72F939A8">
              <w:rPr>
                <w:sz w:val="20"/>
                <w:szCs w:val="20"/>
              </w:rPr>
              <w:t xml:space="preserve">DFAT and Aus4Skills should reconfirm that the primary focus for Program-funded alumni engagement activities remains on ODA-funded alumni. While non-ODA alumni will be included in alumni activities, communications and broad networks, the Program should target ODA </w:t>
            </w:r>
            <w:r w:rsidRPr="72F939A8">
              <w:rPr>
                <w:sz w:val="20"/>
                <w:szCs w:val="20"/>
              </w:rPr>
              <w:lastRenderedPageBreak/>
              <w:t xml:space="preserve">alumni with the more intensive activities, including the expansion and maintenance of alumni data (in whatever formats and platforms). </w:t>
            </w:r>
          </w:p>
        </w:tc>
        <w:tc>
          <w:tcPr>
            <w:tcW w:w="7371" w:type="dxa"/>
          </w:tcPr>
          <w:p w14:paraId="69B218B1" w14:textId="2EF2EB7A" w:rsidR="00F67EE9" w:rsidRPr="00F67EE9" w:rsidRDefault="00F67EE9" w:rsidP="5C904374">
            <w:pPr>
              <w:rPr>
                <w:sz w:val="20"/>
                <w:szCs w:val="20"/>
              </w:rPr>
            </w:pPr>
            <w:r w:rsidRPr="00F67EE9">
              <w:rPr>
                <w:b/>
                <w:bCs/>
                <w:sz w:val="20"/>
                <w:szCs w:val="20"/>
              </w:rPr>
              <w:lastRenderedPageBreak/>
              <w:t>Agree</w:t>
            </w:r>
            <w:r w:rsidRPr="00F67EE9">
              <w:rPr>
                <w:sz w:val="20"/>
                <w:szCs w:val="20"/>
              </w:rPr>
              <w:t xml:space="preserve"> that AAS alumni are the primary focus/beneficiaries for the remaining time of Aus4Skills Phase 2 (to 31 December 2025).</w:t>
            </w:r>
          </w:p>
          <w:p w14:paraId="09930B4C" w14:textId="77777777" w:rsidR="00F67EE9" w:rsidRPr="00F67EE9" w:rsidRDefault="00F67EE9" w:rsidP="00F06C1C">
            <w:pPr>
              <w:rPr>
                <w:rFonts w:cstheme="minorHAnsi"/>
                <w:sz w:val="20"/>
                <w:szCs w:val="20"/>
              </w:rPr>
            </w:pPr>
          </w:p>
          <w:p w14:paraId="54E63197" w14:textId="06D5F560" w:rsidR="00F67EE9" w:rsidRPr="00F67EE9" w:rsidRDefault="4A36CA27" w:rsidP="4C9B8F9F">
            <w:pPr>
              <w:rPr>
                <w:sz w:val="20"/>
                <w:szCs w:val="20"/>
              </w:rPr>
            </w:pPr>
            <w:r w:rsidRPr="4C9B8F9F">
              <w:rPr>
                <w:sz w:val="20"/>
                <w:szCs w:val="20"/>
              </w:rPr>
              <w:lastRenderedPageBreak/>
              <w:t xml:space="preserve">During this time, where appropriate include non-ODA alumni in Aus4Skills activities, noting the Embassy engagement among different </w:t>
            </w:r>
            <w:r w:rsidR="21272AB9" w:rsidRPr="4C9B8F9F">
              <w:rPr>
                <w:sz w:val="20"/>
                <w:szCs w:val="20"/>
              </w:rPr>
              <w:t xml:space="preserve">alumni </w:t>
            </w:r>
            <w:r w:rsidRPr="4C9B8F9F">
              <w:rPr>
                <w:sz w:val="20"/>
                <w:szCs w:val="20"/>
              </w:rPr>
              <w:t>stakeholders</w:t>
            </w:r>
            <w:r w:rsidR="20B52631" w:rsidRPr="4C9B8F9F">
              <w:rPr>
                <w:sz w:val="20"/>
                <w:szCs w:val="20"/>
              </w:rPr>
              <w:t xml:space="preserve">. </w:t>
            </w:r>
          </w:p>
          <w:p w14:paraId="3B6CDB23" w14:textId="5BC6EE80" w:rsidR="00F67EE9" w:rsidRPr="00F67EE9" w:rsidRDefault="00F67EE9" w:rsidP="4C9B8F9F">
            <w:pPr>
              <w:rPr>
                <w:sz w:val="20"/>
                <w:szCs w:val="20"/>
              </w:rPr>
            </w:pPr>
          </w:p>
          <w:p w14:paraId="77731E04" w14:textId="38EFEBCB" w:rsidR="00F67EE9" w:rsidRPr="00F67EE9" w:rsidRDefault="000148A0" w:rsidP="5C904374">
            <w:pPr>
              <w:rPr>
                <w:sz w:val="20"/>
                <w:szCs w:val="20"/>
              </w:rPr>
            </w:pPr>
            <w:r w:rsidRPr="4C9B8F9F">
              <w:rPr>
                <w:sz w:val="20"/>
                <w:szCs w:val="20"/>
              </w:rPr>
              <w:t xml:space="preserve">Noting alumni recommendations in the Southeast Asia Economic Strategy, </w:t>
            </w:r>
            <w:r w:rsidRPr="3A84FFDB">
              <w:rPr>
                <w:sz w:val="20"/>
                <w:szCs w:val="20"/>
              </w:rPr>
              <w:t xml:space="preserve">the HRD Design will consider alumni engagement activities over the next phase </w:t>
            </w:r>
            <w:proofErr w:type="gramStart"/>
            <w:r w:rsidRPr="3A84FFDB">
              <w:rPr>
                <w:sz w:val="20"/>
                <w:szCs w:val="20"/>
              </w:rPr>
              <w:t>and also</w:t>
            </w:r>
            <w:proofErr w:type="gramEnd"/>
            <w:r w:rsidRPr="3A84FFDB">
              <w:rPr>
                <w:sz w:val="20"/>
                <w:szCs w:val="20"/>
              </w:rPr>
              <w:t xml:space="preserve"> align with any global or regional alumni guidance from DFAT. </w:t>
            </w:r>
            <w:r w:rsidR="20B52631" w:rsidRPr="4C9B8F9F">
              <w:rPr>
                <w:sz w:val="20"/>
                <w:szCs w:val="20"/>
              </w:rPr>
              <w:t xml:space="preserve">Noting </w:t>
            </w:r>
            <w:r w:rsidR="592028F8" w:rsidRPr="4C9B8F9F">
              <w:rPr>
                <w:sz w:val="20"/>
                <w:szCs w:val="20"/>
              </w:rPr>
              <w:t>alumni recommendation</w:t>
            </w:r>
            <w:r w:rsidR="043FEE90" w:rsidRPr="4C9B8F9F">
              <w:rPr>
                <w:sz w:val="20"/>
                <w:szCs w:val="20"/>
              </w:rPr>
              <w:t>s</w:t>
            </w:r>
            <w:r w:rsidR="592028F8" w:rsidRPr="4C9B8F9F">
              <w:rPr>
                <w:sz w:val="20"/>
                <w:szCs w:val="20"/>
              </w:rPr>
              <w:t xml:space="preserve"> </w:t>
            </w:r>
            <w:r w:rsidR="7117C9E5" w:rsidRPr="4C9B8F9F">
              <w:rPr>
                <w:sz w:val="20"/>
                <w:szCs w:val="20"/>
              </w:rPr>
              <w:t xml:space="preserve">in </w:t>
            </w:r>
            <w:r w:rsidR="592028F8" w:rsidRPr="4C9B8F9F">
              <w:rPr>
                <w:sz w:val="20"/>
                <w:szCs w:val="20"/>
              </w:rPr>
              <w:t>the Southeast Asia Economic Strategy</w:t>
            </w:r>
            <w:r w:rsidR="385C618F" w:rsidRPr="4C9B8F9F">
              <w:rPr>
                <w:sz w:val="20"/>
                <w:szCs w:val="20"/>
              </w:rPr>
              <w:t xml:space="preserve">, </w:t>
            </w:r>
            <w:r w:rsidR="3615237A" w:rsidRPr="3A84FFDB">
              <w:rPr>
                <w:sz w:val="20"/>
                <w:szCs w:val="20"/>
              </w:rPr>
              <w:t>t</w:t>
            </w:r>
            <w:r w:rsidR="49D5FF27" w:rsidRPr="3A84FFDB">
              <w:rPr>
                <w:sz w:val="20"/>
                <w:szCs w:val="20"/>
              </w:rPr>
              <w:t xml:space="preserve">he </w:t>
            </w:r>
            <w:r w:rsidR="18F2D629" w:rsidRPr="72F939A8">
              <w:rPr>
                <w:sz w:val="20"/>
                <w:szCs w:val="20"/>
              </w:rPr>
              <w:t>HRD</w:t>
            </w:r>
            <w:r w:rsidR="002517FC">
              <w:rPr>
                <w:sz w:val="20"/>
                <w:szCs w:val="20"/>
              </w:rPr>
              <w:t xml:space="preserve"> </w:t>
            </w:r>
            <w:r w:rsidR="18F2D629" w:rsidRPr="72F939A8">
              <w:rPr>
                <w:sz w:val="20"/>
                <w:szCs w:val="20"/>
              </w:rPr>
              <w:t>D</w:t>
            </w:r>
            <w:r w:rsidR="5CA51523" w:rsidRPr="72F939A8">
              <w:rPr>
                <w:sz w:val="20"/>
                <w:szCs w:val="20"/>
              </w:rPr>
              <w:t>esign</w:t>
            </w:r>
            <w:r w:rsidR="5CA51523" w:rsidRPr="3A84FFDB">
              <w:rPr>
                <w:sz w:val="20"/>
                <w:szCs w:val="20"/>
              </w:rPr>
              <w:t xml:space="preserve"> </w:t>
            </w:r>
            <w:r w:rsidR="4ACE5B53" w:rsidRPr="3A84FFDB">
              <w:rPr>
                <w:sz w:val="20"/>
                <w:szCs w:val="20"/>
              </w:rPr>
              <w:t>will</w:t>
            </w:r>
            <w:r w:rsidR="5CA51523" w:rsidRPr="3A84FFDB">
              <w:rPr>
                <w:sz w:val="20"/>
                <w:szCs w:val="20"/>
              </w:rPr>
              <w:t xml:space="preserve"> consider </w:t>
            </w:r>
            <w:r w:rsidR="6AADC56A" w:rsidRPr="3A84FFDB">
              <w:rPr>
                <w:sz w:val="20"/>
                <w:szCs w:val="20"/>
              </w:rPr>
              <w:t>a</w:t>
            </w:r>
            <w:r w:rsidR="5CA51523" w:rsidRPr="3A84FFDB">
              <w:rPr>
                <w:sz w:val="20"/>
                <w:szCs w:val="20"/>
              </w:rPr>
              <w:t xml:space="preserve">lumni </w:t>
            </w:r>
            <w:r w:rsidR="6D1E0F2A" w:rsidRPr="3A84FFDB">
              <w:rPr>
                <w:sz w:val="20"/>
                <w:szCs w:val="20"/>
              </w:rPr>
              <w:t>e</w:t>
            </w:r>
            <w:r w:rsidR="5CA51523" w:rsidRPr="3A84FFDB">
              <w:rPr>
                <w:sz w:val="20"/>
                <w:szCs w:val="20"/>
              </w:rPr>
              <w:t>ngagement activities over the next phase</w:t>
            </w:r>
            <w:r w:rsidR="5ED99973" w:rsidRPr="3A84FFDB">
              <w:rPr>
                <w:sz w:val="20"/>
                <w:szCs w:val="20"/>
              </w:rPr>
              <w:t xml:space="preserve"> </w:t>
            </w:r>
            <w:proofErr w:type="gramStart"/>
            <w:r w:rsidR="5ED99973" w:rsidRPr="3A84FFDB">
              <w:rPr>
                <w:sz w:val="20"/>
                <w:szCs w:val="20"/>
              </w:rPr>
              <w:t>and also</w:t>
            </w:r>
            <w:proofErr w:type="gramEnd"/>
            <w:r w:rsidR="5ED99973" w:rsidRPr="3A84FFDB">
              <w:rPr>
                <w:sz w:val="20"/>
                <w:szCs w:val="20"/>
              </w:rPr>
              <w:t xml:space="preserve"> align with any global or regional alum</w:t>
            </w:r>
            <w:r w:rsidR="7F997031" w:rsidRPr="3A84FFDB">
              <w:rPr>
                <w:sz w:val="20"/>
                <w:szCs w:val="20"/>
              </w:rPr>
              <w:t>n</w:t>
            </w:r>
            <w:r w:rsidR="5ED99973" w:rsidRPr="3A84FFDB">
              <w:rPr>
                <w:sz w:val="20"/>
                <w:szCs w:val="20"/>
              </w:rPr>
              <w:t>i guidance from DFAT</w:t>
            </w:r>
            <w:r w:rsidR="5CA51523" w:rsidRPr="3A84FFDB">
              <w:rPr>
                <w:sz w:val="20"/>
                <w:szCs w:val="20"/>
              </w:rPr>
              <w:t xml:space="preserve">. </w:t>
            </w:r>
          </w:p>
        </w:tc>
      </w:tr>
      <w:tr w:rsidR="00F67EE9" w:rsidRPr="00F67EE9" w14:paraId="1D2DCD91" w14:textId="77777777" w:rsidTr="7A7EA250">
        <w:tc>
          <w:tcPr>
            <w:tcW w:w="445" w:type="dxa"/>
          </w:tcPr>
          <w:p w14:paraId="48A2EF48" w14:textId="36A6DFB6" w:rsidR="00F67EE9" w:rsidRPr="00F67EE9" w:rsidRDefault="00F67EE9" w:rsidP="00F06C1C">
            <w:pPr>
              <w:rPr>
                <w:rFonts w:cstheme="minorHAnsi"/>
                <w:b/>
                <w:bCs/>
                <w:sz w:val="20"/>
                <w:szCs w:val="20"/>
              </w:rPr>
            </w:pPr>
            <w:r w:rsidRPr="00F67EE9">
              <w:rPr>
                <w:rFonts w:cstheme="minorHAnsi"/>
                <w:b/>
                <w:bCs/>
                <w:sz w:val="20"/>
                <w:szCs w:val="20"/>
              </w:rPr>
              <w:lastRenderedPageBreak/>
              <w:t>3</w:t>
            </w:r>
          </w:p>
        </w:tc>
        <w:tc>
          <w:tcPr>
            <w:tcW w:w="6354" w:type="dxa"/>
          </w:tcPr>
          <w:p w14:paraId="2DC28455" w14:textId="2199A239" w:rsidR="00F67EE9" w:rsidRPr="00F67EE9" w:rsidRDefault="00F67EE9" w:rsidP="00F06C1C">
            <w:pPr>
              <w:rPr>
                <w:sz w:val="20"/>
                <w:szCs w:val="20"/>
              </w:rPr>
            </w:pPr>
            <w:r w:rsidRPr="72F939A8">
              <w:rPr>
                <w:sz w:val="20"/>
                <w:szCs w:val="20"/>
              </w:rPr>
              <w:t>DFAT and the rest of the Embassy could seek additional public diplomacy funds to support broader alumni engagement (depending on internal funding processes, and any limitations associated with existing Subsidiary Arrangement provisions), which could be used to procure Aus4Skills services for delivery of expanded alumni activities.</w:t>
            </w:r>
          </w:p>
        </w:tc>
        <w:tc>
          <w:tcPr>
            <w:tcW w:w="7371" w:type="dxa"/>
          </w:tcPr>
          <w:p w14:paraId="5BBC0995" w14:textId="2ACBA84C" w:rsidR="00F67EE9" w:rsidRPr="00F67EE9" w:rsidRDefault="00F67EE9" w:rsidP="5C904374">
            <w:pPr>
              <w:rPr>
                <w:sz w:val="20"/>
                <w:szCs w:val="20"/>
              </w:rPr>
            </w:pPr>
            <w:r w:rsidRPr="00F67EE9">
              <w:rPr>
                <w:b/>
                <w:bCs/>
                <w:sz w:val="20"/>
                <w:szCs w:val="20"/>
              </w:rPr>
              <w:t xml:space="preserve">Noted </w:t>
            </w:r>
            <w:r w:rsidRPr="00F67EE9">
              <w:rPr>
                <w:sz w:val="20"/>
                <w:szCs w:val="20"/>
              </w:rPr>
              <w:t xml:space="preserve"> </w:t>
            </w:r>
          </w:p>
          <w:p w14:paraId="1BE8F71C" w14:textId="5D637324" w:rsidR="00F67EE9" w:rsidRPr="00F67EE9" w:rsidRDefault="4A36CA27" w:rsidP="5C904374">
            <w:pPr>
              <w:rPr>
                <w:sz w:val="20"/>
                <w:szCs w:val="20"/>
              </w:rPr>
            </w:pPr>
            <w:r w:rsidRPr="2742E47E">
              <w:rPr>
                <w:sz w:val="20"/>
                <w:szCs w:val="20"/>
              </w:rPr>
              <w:t xml:space="preserve">Acknowledge that DFAT already has access to additional funding for Global AAS </w:t>
            </w:r>
            <w:r w:rsidR="0D9EC900" w:rsidRPr="2742E47E">
              <w:rPr>
                <w:sz w:val="20"/>
                <w:szCs w:val="20"/>
              </w:rPr>
              <w:t>a</w:t>
            </w:r>
            <w:r w:rsidRPr="2742E47E">
              <w:rPr>
                <w:sz w:val="20"/>
                <w:szCs w:val="20"/>
              </w:rPr>
              <w:t xml:space="preserve">lumni engagement and has received additional </w:t>
            </w:r>
            <w:r w:rsidR="39B49FEA" w:rsidRPr="2742E47E">
              <w:rPr>
                <w:sz w:val="20"/>
                <w:szCs w:val="20"/>
              </w:rPr>
              <w:t xml:space="preserve">ODA </w:t>
            </w:r>
            <w:r w:rsidRPr="2742E47E">
              <w:rPr>
                <w:sz w:val="20"/>
                <w:szCs w:val="20"/>
              </w:rPr>
              <w:t xml:space="preserve">funds in FY23/24. </w:t>
            </w:r>
          </w:p>
          <w:p w14:paraId="3345AB41" w14:textId="43F055B8" w:rsidR="00F67EE9" w:rsidRPr="00F67EE9" w:rsidRDefault="00F67EE9" w:rsidP="5C904374">
            <w:pPr>
              <w:rPr>
                <w:sz w:val="20"/>
                <w:szCs w:val="20"/>
              </w:rPr>
            </w:pPr>
          </w:p>
          <w:p w14:paraId="4594DEA0" w14:textId="1D27215F" w:rsidR="00F67EE9" w:rsidRPr="00F67EE9" w:rsidRDefault="5CA51523" w:rsidP="4C9B8F9F">
            <w:pPr>
              <w:rPr>
                <w:sz w:val="20"/>
                <w:szCs w:val="20"/>
              </w:rPr>
            </w:pPr>
            <w:r w:rsidRPr="2742E47E">
              <w:rPr>
                <w:sz w:val="20"/>
                <w:szCs w:val="20"/>
              </w:rPr>
              <w:t xml:space="preserve">DFAT to consider in the future design how to use AAS Global </w:t>
            </w:r>
            <w:r w:rsidR="3CAA7472" w:rsidRPr="2742E47E">
              <w:rPr>
                <w:sz w:val="20"/>
                <w:szCs w:val="20"/>
              </w:rPr>
              <w:t>a</w:t>
            </w:r>
            <w:r w:rsidRPr="2742E47E">
              <w:rPr>
                <w:sz w:val="20"/>
                <w:szCs w:val="20"/>
              </w:rPr>
              <w:t xml:space="preserve">lumni funding and/or other funding to engage with </w:t>
            </w:r>
            <w:r w:rsidR="21244712" w:rsidRPr="2742E47E">
              <w:rPr>
                <w:sz w:val="20"/>
                <w:szCs w:val="20"/>
              </w:rPr>
              <w:t>a</w:t>
            </w:r>
            <w:r w:rsidRPr="2742E47E">
              <w:rPr>
                <w:sz w:val="20"/>
                <w:szCs w:val="20"/>
              </w:rPr>
              <w:t>lumni in Vietnam</w:t>
            </w:r>
            <w:r w:rsidR="5BD74A0F" w:rsidRPr="2742E47E">
              <w:rPr>
                <w:sz w:val="20"/>
                <w:szCs w:val="20"/>
              </w:rPr>
              <w:t xml:space="preserve">, noting </w:t>
            </w:r>
            <w:r w:rsidR="5647E2D3" w:rsidRPr="2742E47E">
              <w:rPr>
                <w:sz w:val="20"/>
                <w:szCs w:val="20"/>
              </w:rPr>
              <w:t>the Southeast Asia Economic Strategy</w:t>
            </w:r>
            <w:r w:rsidR="1E5F22CA" w:rsidRPr="2742E47E">
              <w:rPr>
                <w:sz w:val="20"/>
                <w:szCs w:val="20"/>
              </w:rPr>
              <w:t xml:space="preserve"> recommendations and broader work</w:t>
            </w:r>
            <w:r w:rsidR="14E4F212" w:rsidRPr="2742E47E">
              <w:rPr>
                <w:sz w:val="20"/>
                <w:szCs w:val="20"/>
              </w:rPr>
              <w:t xml:space="preserve"> b</w:t>
            </w:r>
            <w:r w:rsidR="1E5F22CA" w:rsidRPr="2742E47E">
              <w:rPr>
                <w:sz w:val="20"/>
                <w:szCs w:val="20"/>
              </w:rPr>
              <w:t>y DFAT globally</w:t>
            </w:r>
            <w:r w:rsidR="3D3D91C5" w:rsidRPr="2742E47E">
              <w:rPr>
                <w:sz w:val="20"/>
                <w:szCs w:val="20"/>
              </w:rPr>
              <w:t xml:space="preserve"> and the Embassy and Consulate </w:t>
            </w:r>
            <w:r w:rsidR="5B81EB0F" w:rsidRPr="2742E47E">
              <w:rPr>
                <w:sz w:val="20"/>
                <w:szCs w:val="20"/>
              </w:rPr>
              <w:t>G</w:t>
            </w:r>
            <w:r w:rsidR="3D3D91C5" w:rsidRPr="2742E47E">
              <w:rPr>
                <w:sz w:val="20"/>
                <w:szCs w:val="20"/>
              </w:rPr>
              <w:t>eneral</w:t>
            </w:r>
            <w:r w:rsidR="1E5F22CA" w:rsidRPr="2742E47E">
              <w:rPr>
                <w:sz w:val="20"/>
                <w:szCs w:val="20"/>
              </w:rPr>
              <w:t xml:space="preserve"> to improve alumni engagement</w:t>
            </w:r>
            <w:r w:rsidR="5647E2D3" w:rsidRPr="2742E47E">
              <w:rPr>
                <w:sz w:val="20"/>
                <w:szCs w:val="20"/>
              </w:rPr>
              <w:t>.</w:t>
            </w:r>
          </w:p>
        </w:tc>
      </w:tr>
      <w:tr w:rsidR="00F67EE9" w:rsidRPr="00F67EE9" w14:paraId="1AF195DA" w14:textId="77777777" w:rsidTr="7A7EA250">
        <w:tc>
          <w:tcPr>
            <w:tcW w:w="445" w:type="dxa"/>
          </w:tcPr>
          <w:p w14:paraId="0133E881" w14:textId="05CBCB8D" w:rsidR="00F67EE9" w:rsidRPr="00F67EE9" w:rsidRDefault="00F67EE9" w:rsidP="00F06C1C">
            <w:pPr>
              <w:rPr>
                <w:rFonts w:cstheme="minorHAnsi"/>
                <w:b/>
                <w:bCs/>
                <w:sz w:val="20"/>
                <w:szCs w:val="20"/>
              </w:rPr>
            </w:pPr>
            <w:r w:rsidRPr="00F67EE9">
              <w:rPr>
                <w:rFonts w:cstheme="minorHAnsi"/>
                <w:b/>
                <w:bCs/>
                <w:sz w:val="20"/>
                <w:szCs w:val="20"/>
              </w:rPr>
              <w:t>4</w:t>
            </w:r>
          </w:p>
        </w:tc>
        <w:tc>
          <w:tcPr>
            <w:tcW w:w="6354" w:type="dxa"/>
          </w:tcPr>
          <w:p w14:paraId="3F6B5283" w14:textId="5F2CB594" w:rsidR="00F67EE9" w:rsidRPr="00F67EE9" w:rsidRDefault="00F67EE9" w:rsidP="5D8E5561">
            <w:pPr>
              <w:spacing w:after="120"/>
              <w:rPr>
                <w:sz w:val="20"/>
                <w:szCs w:val="20"/>
              </w:rPr>
            </w:pPr>
            <w:r w:rsidRPr="5D8E5561">
              <w:rPr>
                <w:sz w:val="20"/>
                <w:szCs w:val="20"/>
              </w:rPr>
              <w:t xml:space="preserve">The Program should relinquish any consideration of making alumni networks or even the Professional Groups self-sustaining and focus on the implementation and strengthening of the network </w:t>
            </w:r>
            <w:proofErr w:type="spellStart"/>
            <w:r w:rsidRPr="5D8E5561">
              <w:rPr>
                <w:sz w:val="20"/>
                <w:szCs w:val="20"/>
              </w:rPr>
              <w:t>utilising</w:t>
            </w:r>
            <w:proofErr w:type="spellEnd"/>
            <w:r w:rsidRPr="5D8E5561">
              <w:rPr>
                <w:sz w:val="20"/>
                <w:szCs w:val="20"/>
              </w:rPr>
              <w:t xml:space="preserve"> the available resources, targeting the achievement of end-of-program outcomes.</w:t>
            </w:r>
          </w:p>
        </w:tc>
        <w:tc>
          <w:tcPr>
            <w:tcW w:w="7371" w:type="dxa"/>
          </w:tcPr>
          <w:p w14:paraId="39F90AD1" w14:textId="587F16C6" w:rsidR="00672717" w:rsidRDefault="00F67EE9" w:rsidP="00F06C1C">
            <w:pPr>
              <w:rPr>
                <w:rFonts w:cstheme="minorHAnsi"/>
                <w:sz w:val="20"/>
                <w:szCs w:val="20"/>
              </w:rPr>
            </w:pPr>
            <w:r w:rsidRPr="000E745E">
              <w:rPr>
                <w:rFonts w:cstheme="minorHAnsi"/>
                <w:b/>
                <w:bCs/>
                <w:sz w:val="20"/>
                <w:szCs w:val="20"/>
              </w:rPr>
              <w:t xml:space="preserve">Agree </w:t>
            </w:r>
            <w:r w:rsidRPr="000E745E">
              <w:rPr>
                <w:rFonts w:cstheme="minorHAnsi"/>
                <w:sz w:val="20"/>
                <w:szCs w:val="20"/>
              </w:rPr>
              <w:t xml:space="preserve">to </w:t>
            </w:r>
            <w:r w:rsidR="00672717">
              <w:rPr>
                <w:rFonts w:cstheme="minorHAnsi"/>
                <w:sz w:val="20"/>
                <w:szCs w:val="20"/>
              </w:rPr>
              <w:t xml:space="preserve">maintain a </w:t>
            </w:r>
            <w:r w:rsidRPr="000E745E">
              <w:rPr>
                <w:rFonts w:cstheme="minorHAnsi"/>
                <w:sz w:val="20"/>
                <w:szCs w:val="20"/>
              </w:rPr>
              <w:t xml:space="preserve">focus on alumni engagement </w:t>
            </w:r>
            <w:proofErr w:type="spellStart"/>
            <w:r w:rsidR="00672717">
              <w:rPr>
                <w:rFonts w:cstheme="minorHAnsi"/>
                <w:sz w:val="20"/>
                <w:szCs w:val="20"/>
              </w:rPr>
              <w:t>utilising</w:t>
            </w:r>
            <w:proofErr w:type="spellEnd"/>
            <w:r w:rsidR="00672717">
              <w:rPr>
                <w:rFonts w:cstheme="minorHAnsi"/>
                <w:sz w:val="20"/>
                <w:szCs w:val="20"/>
              </w:rPr>
              <w:t xml:space="preserve"> available resources to strengthen these networks</w:t>
            </w:r>
            <w:r w:rsidR="00672717" w:rsidRPr="000E745E">
              <w:rPr>
                <w:rFonts w:cstheme="minorHAnsi"/>
                <w:sz w:val="20"/>
                <w:szCs w:val="20"/>
              </w:rPr>
              <w:t xml:space="preserve"> </w:t>
            </w:r>
            <w:r w:rsidR="00943C98">
              <w:rPr>
                <w:rFonts w:cstheme="minorHAnsi"/>
                <w:sz w:val="20"/>
                <w:szCs w:val="20"/>
              </w:rPr>
              <w:t>under</w:t>
            </w:r>
            <w:r w:rsidR="00672717">
              <w:rPr>
                <w:rFonts w:cstheme="minorHAnsi"/>
                <w:sz w:val="20"/>
                <w:szCs w:val="20"/>
              </w:rPr>
              <w:t xml:space="preserve"> </w:t>
            </w:r>
            <w:r w:rsidRPr="000E745E">
              <w:rPr>
                <w:rFonts w:cstheme="minorHAnsi"/>
                <w:sz w:val="20"/>
                <w:szCs w:val="20"/>
              </w:rPr>
              <w:t>the current phase</w:t>
            </w:r>
            <w:r w:rsidR="00672717">
              <w:rPr>
                <w:rFonts w:cstheme="minorHAnsi"/>
                <w:sz w:val="20"/>
                <w:szCs w:val="20"/>
              </w:rPr>
              <w:t xml:space="preserve"> (to 31 December 2025)</w:t>
            </w:r>
            <w:r w:rsidRPr="000E745E">
              <w:rPr>
                <w:rFonts w:cstheme="minorHAnsi"/>
                <w:sz w:val="20"/>
                <w:szCs w:val="20"/>
              </w:rPr>
              <w:t>.</w:t>
            </w:r>
            <w:r w:rsidR="00672717">
              <w:rPr>
                <w:rFonts w:cstheme="minorHAnsi"/>
                <w:sz w:val="20"/>
                <w:szCs w:val="20"/>
              </w:rPr>
              <w:t xml:space="preserve"> </w:t>
            </w:r>
          </w:p>
          <w:p w14:paraId="2CD96E92" w14:textId="77777777" w:rsidR="00672717" w:rsidRDefault="00672717" w:rsidP="00672717">
            <w:pPr>
              <w:rPr>
                <w:rFonts w:cstheme="minorHAnsi"/>
                <w:sz w:val="20"/>
                <w:szCs w:val="20"/>
              </w:rPr>
            </w:pPr>
          </w:p>
          <w:p w14:paraId="7D49E679" w14:textId="5CD110D9" w:rsidR="00672717" w:rsidRPr="00783729" w:rsidRDefault="00672717" w:rsidP="00783729">
            <w:pPr>
              <w:rPr>
                <w:rFonts w:cstheme="minorHAnsi"/>
                <w:sz w:val="20"/>
                <w:szCs w:val="20"/>
              </w:rPr>
            </w:pPr>
            <w:r w:rsidRPr="00783729">
              <w:rPr>
                <w:rFonts w:cstheme="minorHAnsi"/>
                <w:sz w:val="20"/>
                <w:szCs w:val="20"/>
              </w:rPr>
              <w:t xml:space="preserve">Self-sustaining alumni networks is a </w:t>
            </w:r>
            <w:r w:rsidR="00943C98" w:rsidRPr="00943C98">
              <w:rPr>
                <w:rFonts w:cstheme="minorHAnsi"/>
                <w:sz w:val="20"/>
                <w:szCs w:val="20"/>
              </w:rPr>
              <w:t>long-term</w:t>
            </w:r>
            <w:r>
              <w:rPr>
                <w:rFonts w:cstheme="minorHAnsi"/>
                <w:sz w:val="20"/>
                <w:szCs w:val="20"/>
              </w:rPr>
              <w:t xml:space="preserve"> </w:t>
            </w:r>
            <w:r w:rsidR="00943C98">
              <w:rPr>
                <w:rFonts w:cstheme="minorHAnsi"/>
                <w:sz w:val="20"/>
                <w:szCs w:val="20"/>
              </w:rPr>
              <w:t>endeavor</w:t>
            </w:r>
            <w:r w:rsidR="00BD2752">
              <w:rPr>
                <w:rFonts w:cstheme="minorHAnsi"/>
                <w:sz w:val="20"/>
                <w:szCs w:val="20"/>
              </w:rPr>
              <w:t xml:space="preserve"> which is</w:t>
            </w:r>
            <w:r>
              <w:rPr>
                <w:rFonts w:cstheme="minorHAnsi"/>
                <w:sz w:val="20"/>
                <w:szCs w:val="20"/>
              </w:rPr>
              <w:t xml:space="preserve"> beyond the </w:t>
            </w:r>
            <w:r w:rsidR="00BD2752">
              <w:rPr>
                <w:rFonts w:cstheme="minorHAnsi"/>
                <w:sz w:val="20"/>
                <w:szCs w:val="20"/>
              </w:rPr>
              <w:t xml:space="preserve">current </w:t>
            </w:r>
            <w:r>
              <w:rPr>
                <w:rFonts w:cstheme="minorHAnsi"/>
                <w:sz w:val="20"/>
                <w:szCs w:val="20"/>
              </w:rPr>
              <w:t>program</w:t>
            </w:r>
            <w:r w:rsidR="00BD2752">
              <w:rPr>
                <w:rFonts w:cstheme="minorHAnsi"/>
                <w:sz w:val="20"/>
                <w:szCs w:val="20"/>
              </w:rPr>
              <w:t>s remit</w:t>
            </w:r>
            <w:r>
              <w:rPr>
                <w:rFonts w:cstheme="minorHAnsi"/>
                <w:sz w:val="20"/>
                <w:szCs w:val="20"/>
              </w:rPr>
              <w:t xml:space="preserve">. </w:t>
            </w:r>
          </w:p>
        </w:tc>
      </w:tr>
      <w:tr w:rsidR="00F67EE9" w:rsidRPr="00F67EE9" w14:paraId="1811C014" w14:textId="77777777" w:rsidTr="7A7EA250">
        <w:tc>
          <w:tcPr>
            <w:tcW w:w="445" w:type="dxa"/>
          </w:tcPr>
          <w:p w14:paraId="410E7C99" w14:textId="03060390" w:rsidR="00F67EE9" w:rsidRPr="00F67EE9" w:rsidRDefault="00F67EE9" w:rsidP="00D516A5">
            <w:pPr>
              <w:rPr>
                <w:rFonts w:cstheme="minorHAnsi"/>
                <w:b/>
                <w:bCs/>
                <w:sz w:val="20"/>
                <w:szCs w:val="20"/>
              </w:rPr>
            </w:pPr>
            <w:r w:rsidRPr="00F67EE9">
              <w:rPr>
                <w:rFonts w:cstheme="minorHAnsi"/>
                <w:b/>
                <w:bCs/>
                <w:sz w:val="20"/>
                <w:szCs w:val="20"/>
              </w:rPr>
              <w:t>5</w:t>
            </w:r>
          </w:p>
        </w:tc>
        <w:tc>
          <w:tcPr>
            <w:tcW w:w="6354" w:type="dxa"/>
          </w:tcPr>
          <w:p w14:paraId="63CEE075" w14:textId="45DFC74E" w:rsidR="00F67EE9" w:rsidRPr="00F67EE9" w:rsidRDefault="00F67EE9" w:rsidP="00D516A5">
            <w:pPr>
              <w:rPr>
                <w:sz w:val="20"/>
                <w:szCs w:val="20"/>
              </w:rPr>
            </w:pPr>
            <w:r w:rsidRPr="72F939A8">
              <w:rPr>
                <w:sz w:val="20"/>
                <w:szCs w:val="20"/>
              </w:rPr>
              <w:t xml:space="preserve">There would be </w:t>
            </w:r>
            <w:r w:rsidRPr="72F939A8">
              <w:rPr>
                <w:sz w:val="20"/>
                <w:szCs w:val="20"/>
                <w:lang w:val="en-AU"/>
              </w:rPr>
              <w:t xml:space="preserve">value in the Program prioritising logistics graduate outcomes studies as soon as possible, to assess the extent to which the new logistics offerings are meeting industry needs. The study should also collect employer feedback and evidence about the extent to which employers </w:t>
            </w:r>
            <w:proofErr w:type="gramStart"/>
            <w:r w:rsidRPr="72F939A8">
              <w:rPr>
                <w:sz w:val="20"/>
                <w:szCs w:val="20"/>
                <w:lang w:val="en-AU"/>
              </w:rPr>
              <w:t>have to</w:t>
            </w:r>
            <w:proofErr w:type="gramEnd"/>
            <w:r w:rsidRPr="72F939A8">
              <w:rPr>
                <w:sz w:val="20"/>
                <w:szCs w:val="20"/>
                <w:lang w:val="en-AU"/>
              </w:rPr>
              <w:t xml:space="preserve"> supplement college training with on-the-job and enterprise training, as a measure of training quality and relevance.</w:t>
            </w:r>
          </w:p>
        </w:tc>
        <w:tc>
          <w:tcPr>
            <w:tcW w:w="7371" w:type="dxa"/>
          </w:tcPr>
          <w:p w14:paraId="130133AC" w14:textId="77777777" w:rsidR="00F67EE9" w:rsidRPr="00F67EE9" w:rsidRDefault="00F67EE9" w:rsidP="00D516A5">
            <w:pPr>
              <w:rPr>
                <w:rFonts w:cstheme="minorHAnsi"/>
                <w:b/>
                <w:bCs/>
                <w:sz w:val="20"/>
                <w:szCs w:val="20"/>
              </w:rPr>
            </w:pPr>
            <w:r w:rsidRPr="00F67EE9">
              <w:rPr>
                <w:rFonts w:cstheme="minorHAnsi"/>
                <w:b/>
                <w:bCs/>
                <w:sz w:val="20"/>
                <w:szCs w:val="20"/>
              </w:rPr>
              <w:t>Agree</w:t>
            </w:r>
          </w:p>
          <w:p w14:paraId="32BF41A6" w14:textId="2E2DEADA" w:rsidR="00F67EE9" w:rsidRPr="00F67EE9" w:rsidRDefault="06CF8832" w:rsidP="5C904374">
            <w:pPr>
              <w:rPr>
                <w:sz w:val="20"/>
                <w:szCs w:val="20"/>
              </w:rPr>
            </w:pPr>
            <w:r w:rsidRPr="7A7EA250">
              <w:rPr>
                <w:sz w:val="20"/>
                <w:szCs w:val="20"/>
              </w:rPr>
              <w:t xml:space="preserve">The proposed study has been included in the </w:t>
            </w:r>
            <w:r w:rsidR="0A17EED0" w:rsidRPr="7A7EA250">
              <w:rPr>
                <w:sz w:val="20"/>
                <w:szCs w:val="20"/>
              </w:rPr>
              <w:t>Vocational Education and Training (</w:t>
            </w:r>
            <w:r w:rsidRPr="7A7EA250">
              <w:rPr>
                <w:sz w:val="20"/>
                <w:szCs w:val="20"/>
              </w:rPr>
              <w:t>VET</w:t>
            </w:r>
            <w:r w:rsidR="0A17EED0" w:rsidRPr="7A7EA250">
              <w:rPr>
                <w:sz w:val="20"/>
                <w:szCs w:val="20"/>
              </w:rPr>
              <w:t>)</w:t>
            </w:r>
            <w:r w:rsidRPr="7A7EA250">
              <w:rPr>
                <w:sz w:val="20"/>
                <w:szCs w:val="20"/>
              </w:rPr>
              <w:t xml:space="preserve"> 2024/25 workplan. </w:t>
            </w:r>
          </w:p>
        </w:tc>
      </w:tr>
      <w:tr w:rsidR="00F67EE9" w:rsidRPr="00F67EE9" w14:paraId="4A0B295C" w14:textId="77777777" w:rsidTr="7A7EA250">
        <w:tc>
          <w:tcPr>
            <w:tcW w:w="445" w:type="dxa"/>
            <w:tcBorders>
              <w:bottom w:val="single" w:sz="4" w:space="0" w:color="auto"/>
            </w:tcBorders>
          </w:tcPr>
          <w:p w14:paraId="244DB7C4" w14:textId="1378C174" w:rsidR="00F67EE9" w:rsidRPr="00F67EE9" w:rsidRDefault="00F67EE9" w:rsidP="00D516A5">
            <w:pPr>
              <w:rPr>
                <w:rFonts w:cstheme="minorHAnsi"/>
                <w:b/>
                <w:bCs/>
                <w:sz w:val="20"/>
                <w:szCs w:val="20"/>
              </w:rPr>
            </w:pPr>
            <w:r w:rsidRPr="00F67EE9">
              <w:rPr>
                <w:rFonts w:cstheme="minorHAnsi"/>
                <w:b/>
                <w:bCs/>
                <w:sz w:val="20"/>
                <w:szCs w:val="20"/>
              </w:rPr>
              <w:t>6</w:t>
            </w:r>
          </w:p>
        </w:tc>
        <w:tc>
          <w:tcPr>
            <w:tcW w:w="6354" w:type="dxa"/>
            <w:tcBorders>
              <w:bottom w:val="single" w:sz="4" w:space="0" w:color="auto"/>
            </w:tcBorders>
          </w:tcPr>
          <w:p w14:paraId="548F9F10" w14:textId="0094729A" w:rsidR="00F67EE9" w:rsidRPr="00F67EE9" w:rsidRDefault="00F67EE9" w:rsidP="00D516A5">
            <w:pPr>
              <w:rPr>
                <w:rFonts w:cstheme="minorHAnsi"/>
                <w:sz w:val="20"/>
                <w:szCs w:val="20"/>
              </w:rPr>
            </w:pPr>
            <w:r w:rsidRPr="00F67EE9">
              <w:rPr>
                <w:rFonts w:cstheme="minorHAnsi"/>
                <w:sz w:val="20"/>
                <w:szCs w:val="20"/>
              </w:rPr>
              <w:t>Aus4Skills should continue with its focus on increasingly providing structured support for college staff to share their learnings with colleagues, and for colleges which have been involved for some years to provide peer support and advice to colleges which have more recently joined the Program. This could include teacher exchanges, sharing of resources, technical advice and peer review, and collaboration activities</w:t>
            </w:r>
            <w:r w:rsidR="006F5301">
              <w:rPr>
                <w:rFonts w:cstheme="minorHAnsi"/>
                <w:sz w:val="20"/>
                <w:szCs w:val="20"/>
              </w:rPr>
              <w:t>.</w:t>
            </w:r>
          </w:p>
        </w:tc>
        <w:tc>
          <w:tcPr>
            <w:tcW w:w="7371" w:type="dxa"/>
            <w:tcBorders>
              <w:bottom w:val="single" w:sz="4" w:space="0" w:color="auto"/>
            </w:tcBorders>
          </w:tcPr>
          <w:p w14:paraId="7B612F3A" w14:textId="77777777" w:rsidR="00F67EE9" w:rsidRPr="00F67EE9" w:rsidRDefault="00F67EE9" w:rsidP="00D516A5">
            <w:pPr>
              <w:rPr>
                <w:rFonts w:cstheme="minorHAnsi"/>
                <w:b/>
                <w:bCs/>
                <w:sz w:val="20"/>
                <w:szCs w:val="20"/>
              </w:rPr>
            </w:pPr>
            <w:r w:rsidRPr="00F67EE9">
              <w:rPr>
                <w:rFonts w:cstheme="minorHAnsi"/>
                <w:b/>
                <w:bCs/>
                <w:sz w:val="20"/>
                <w:szCs w:val="20"/>
              </w:rPr>
              <w:t>Agree</w:t>
            </w:r>
          </w:p>
          <w:p w14:paraId="40C63720" w14:textId="7A7EB88D" w:rsidR="00F67EE9" w:rsidRPr="00F67EE9" w:rsidRDefault="00F67EE9" w:rsidP="5C904374">
            <w:pPr>
              <w:rPr>
                <w:sz w:val="20"/>
                <w:szCs w:val="20"/>
              </w:rPr>
            </w:pPr>
            <w:r w:rsidRPr="00F67EE9">
              <w:rPr>
                <w:sz w:val="20"/>
                <w:szCs w:val="20"/>
              </w:rPr>
              <w:t xml:space="preserve">Structured cross-sharing among partner VET colleges will be supported as part of the 2024/25 </w:t>
            </w:r>
            <w:r w:rsidR="009536A1">
              <w:rPr>
                <w:sz w:val="20"/>
                <w:szCs w:val="20"/>
              </w:rPr>
              <w:t xml:space="preserve">VET </w:t>
            </w:r>
            <w:r w:rsidRPr="00F67EE9">
              <w:rPr>
                <w:sz w:val="20"/>
                <w:szCs w:val="20"/>
              </w:rPr>
              <w:t>workplan.</w:t>
            </w:r>
          </w:p>
        </w:tc>
      </w:tr>
      <w:tr w:rsidR="00F67EE9" w:rsidRPr="00F67EE9" w14:paraId="5752E8E1" w14:textId="77777777" w:rsidTr="7A7EA250">
        <w:tc>
          <w:tcPr>
            <w:tcW w:w="445" w:type="dxa"/>
            <w:tcBorders>
              <w:bottom w:val="single" w:sz="4" w:space="0" w:color="auto"/>
            </w:tcBorders>
          </w:tcPr>
          <w:p w14:paraId="2B4FE86C" w14:textId="285ED225" w:rsidR="00F67EE9" w:rsidRPr="00F67EE9" w:rsidRDefault="00F67EE9" w:rsidP="00D516A5">
            <w:pPr>
              <w:rPr>
                <w:rFonts w:cstheme="minorHAnsi"/>
                <w:b/>
                <w:bCs/>
                <w:sz w:val="20"/>
                <w:szCs w:val="20"/>
              </w:rPr>
            </w:pPr>
            <w:r w:rsidRPr="00F67EE9">
              <w:rPr>
                <w:rFonts w:cstheme="minorHAnsi"/>
                <w:b/>
                <w:bCs/>
                <w:sz w:val="20"/>
                <w:szCs w:val="20"/>
              </w:rPr>
              <w:lastRenderedPageBreak/>
              <w:t>7</w:t>
            </w:r>
          </w:p>
        </w:tc>
        <w:tc>
          <w:tcPr>
            <w:tcW w:w="6354" w:type="dxa"/>
            <w:tcBorders>
              <w:bottom w:val="single" w:sz="4" w:space="0" w:color="auto"/>
            </w:tcBorders>
          </w:tcPr>
          <w:p w14:paraId="3394337A" w14:textId="7D7A6699" w:rsidR="00F67EE9" w:rsidRPr="00F67EE9" w:rsidRDefault="4A36CA27" w:rsidP="4C9B8F9F">
            <w:pPr>
              <w:rPr>
                <w:sz w:val="20"/>
                <w:szCs w:val="20"/>
              </w:rPr>
            </w:pPr>
            <w:r w:rsidRPr="4C9B8F9F">
              <w:rPr>
                <w:sz w:val="20"/>
                <w:szCs w:val="20"/>
                <w:lang w:val="en-AU"/>
              </w:rPr>
              <w:t xml:space="preserve">The Program should continue to pursue </w:t>
            </w:r>
            <w:r w:rsidR="23F87CD5" w:rsidRPr="4C9B8F9F">
              <w:rPr>
                <w:sz w:val="20"/>
                <w:szCs w:val="20"/>
                <w:lang w:val="en-AU"/>
              </w:rPr>
              <w:t>the Logistics Industry Reference Council (</w:t>
            </w:r>
            <w:r w:rsidRPr="4C9B8F9F">
              <w:rPr>
                <w:sz w:val="20"/>
                <w:szCs w:val="20"/>
                <w:lang w:val="en-AU"/>
              </w:rPr>
              <w:t>LIRC</w:t>
            </w:r>
            <w:r w:rsidR="7C2B5EE9" w:rsidRPr="4C9B8F9F">
              <w:rPr>
                <w:sz w:val="20"/>
                <w:szCs w:val="20"/>
                <w:lang w:val="en-AU"/>
              </w:rPr>
              <w:t>)</w:t>
            </w:r>
            <w:r w:rsidRPr="4C9B8F9F">
              <w:rPr>
                <w:sz w:val="20"/>
                <w:szCs w:val="20"/>
                <w:lang w:val="en-AU"/>
              </w:rPr>
              <w:t xml:space="preserve"> expansion to the </w:t>
            </w:r>
            <w:r w:rsidRPr="4C9B8F9F">
              <w:rPr>
                <w:sz w:val="20"/>
                <w:szCs w:val="20"/>
              </w:rPr>
              <w:t>north</w:t>
            </w:r>
            <w:r w:rsidRPr="4C9B8F9F">
              <w:rPr>
                <w:sz w:val="20"/>
                <w:szCs w:val="20"/>
                <w:lang w:val="en-AU"/>
              </w:rPr>
              <w:t xml:space="preserve"> of Vietnam, perhaps focusing there before turning attention to the central region. Development in the north should be founded on a multi-year plan to identify and support individual champions, maximise links with the key stakeholders in the south (including V</w:t>
            </w:r>
            <w:r w:rsidR="457D803E" w:rsidRPr="4C9B8F9F">
              <w:rPr>
                <w:sz w:val="20"/>
                <w:szCs w:val="20"/>
                <w:lang w:val="en-AU"/>
              </w:rPr>
              <w:t>ietnam Chamber of Commerce and Industry, Ho Chi Minh City Branch -V</w:t>
            </w:r>
            <w:r w:rsidRPr="4C9B8F9F">
              <w:rPr>
                <w:sz w:val="20"/>
                <w:szCs w:val="20"/>
                <w:lang w:val="en-AU"/>
              </w:rPr>
              <w:t xml:space="preserve">CCI HCMC) so they can provide peer support and advice from within the </w:t>
            </w:r>
            <w:r w:rsidRPr="4C9B8F9F">
              <w:rPr>
                <w:sz w:val="20"/>
                <w:szCs w:val="20"/>
              </w:rPr>
              <w:t>Vietnam</w:t>
            </w:r>
            <w:r w:rsidRPr="4C9B8F9F">
              <w:rPr>
                <w:sz w:val="20"/>
                <w:szCs w:val="20"/>
                <w:lang w:val="en-AU"/>
              </w:rPr>
              <w:t xml:space="preserve"> system, alongside Program support</w:t>
            </w:r>
            <w:r w:rsidR="741A57B4" w:rsidRPr="4C9B8F9F">
              <w:rPr>
                <w:sz w:val="20"/>
                <w:szCs w:val="20"/>
                <w:lang w:val="en-AU"/>
              </w:rPr>
              <w:t>.</w:t>
            </w:r>
          </w:p>
        </w:tc>
        <w:tc>
          <w:tcPr>
            <w:tcW w:w="7371" w:type="dxa"/>
            <w:tcBorders>
              <w:bottom w:val="single" w:sz="4" w:space="0" w:color="auto"/>
            </w:tcBorders>
          </w:tcPr>
          <w:p w14:paraId="5C83A5E8" w14:textId="77777777" w:rsidR="00F67EE9" w:rsidRPr="00F67EE9" w:rsidRDefault="00F67EE9" w:rsidP="00D516A5">
            <w:pPr>
              <w:rPr>
                <w:rFonts w:cstheme="minorHAnsi"/>
                <w:b/>
                <w:bCs/>
                <w:sz w:val="20"/>
                <w:szCs w:val="20"/>
              </w:rPr>
            </w:pPr>
            <w:r w:rsidRPr="00F67EE9">
              <w:rPr>
                <w:rFonts w:cstheme="minorHAnsi"/>
                <w:b/>
                <w:bCs/>
                <w:sz w:val="20"/>
                <w:szCs w:val="20"/>
              </w:rPr>
              <w:t>Agree</w:t>
            </w:r>
          </w:p>
          <w:p w14:paraId="44F78E3C" w14:textId="7E81B383" w:rsidR="00D73F78" w:rsidRDefault="1E60B37C" w:rsidP="5C904374">
            <w:pPr>
              <w:rPr>
                <w:sz w:val="20"/>
                <w:szCs w:val="20"/>
              </w:rPr>
            </w:pPr>
            <w:r w:rsidRPr="7A7EA250">
              <w:rPr>
                <w:sz w:val="20"/>
                <w:szCs w:val="20"/>
              </w:rPr>
              <w:t>An 18-month plan to expand LIRC’s footprint to the north, linking to the existing LIRC’s presence in the south, is being formulated in consultation with government, industry</w:t>
            </w:r>
            <w:r w:rsidR="4AE74E34" w:rsidRPr="7A7EA250">
              <w:rPr>
                <w:sz w:val="20"/>
                <w:szCs w:val="20"/>
              </w:rPr>
              <w:t>,</w:t>
            </w:r>
            <w:r w:rsidRPr="7A7EA250">
              <w:rPr>
                <w:sz w:val="20"/>
                <w:szCs w:val="20"/>
              </w:rPr>
              <w:t xml:space="preserve"> </w:t>
            </w:r>
            <w:r w:rsidR="7D1F7260" w:rsidRPr="7A7EA250">
              <w:rPr>
                <w:sz w:val="20"/>
                <w:szCs w:val="20"/>
              </w:rPr>
              <w:t xml:space="preserve">VET </w:t>
            </w:r>
            <w:r w:rsidRPr="7A7EA250">
              <w:rPr>
                <w:sz w:val="20"/>
                <w:szCs w:val="20"/>
              </w:rPr>
              <w:t xml:space="preserve">college partners, and Australian experts. </w:t>
            </w:r>
            <w:r w:rsidR="073FA806" w:rsidRPr="7A7EA250">
              <w:rPr>
                <w:sz w:val="20"/>
                <w:szCs w:val="20"/>
              </w:rPr>
              <w:t xml:space="preserve">Expansion to the central region </w:t>
            </w:r>
            <w:r w:rsidR="755E7D59" w:rsidRPr="7A7EA250">
              <w:rPr>
                <w:sz w:val="20"/>
                <w:szCs w:val="20"/>
              </w:rPr>
              <w:t xml:space="preserve">is </w:t>
            </w:r>
            <w:r w:rsidR="073FA806" w:rsidRPr="7A7EA250">
              <w:rPr>
                <w:sz w:val="20"/>
                <w:szCs w:val="20"/>
              </w:rPr>
              <w:t xml:space="preserve">not </w:t>
            </w:r>
            <w:r w:rsidR="03E0BFBE" w:rsidRPr="7A7EA250">
              <w:rPr>
                <w:sz w:val="20"/>
                <w:szCs w:val="20"/>
              </w:rPr>
              <w:t>proposed</w:t>
            </w:r>
            <w:r w:rsidR="073FA806" w:rsidRPr="7A7EA250">
              <w:rPr>
                <w:sz w:val="20"/>
                <w:szCs w:val="20"/>
              </w:rPr>
              <w:t>.</w:t>
            </w:r>
          </w:p>
          <w:p w14:paraId="54AF3479" w14:textId="77777777" w:rsidR="00D73F78" w:rsidRDefault="00D73F78" w:rsidP="5C904374">
            <w:pPr>
              <w:rPr>
                <w:sz w:val="20"/>
                <w:szCs w:val="20"/>
              </w:rPr>
            </w:pPr>
          </w:p>
          <w:p w14:paraId="5787AAA8" w14:textId="6F0C6C8C" w:rsidR="00F67EE9" w:rsidRPr="00F67EE9" w:rsidRDefault="00F67EE9" w:rsidP="00D73F78">
            <w:pPr>
              <w:rPr>
                <w:sz w:val="20"/>
                <w:szCs w:val="20"/>
              </w:rPr>
            </w:pPr>
          </w:p>
        </w:tc>
      </w:tr>
      <w:tr w:rsidR="00F67EE9" w:rsidRPr="00F67EE9" w14:paraId="72E31B9E" w14:textId="77777777" w:rsidTr="7A7EA250">
        <w:tc>
          <w:tcPr>
            <w:tcW w:w="445" w:type="dxa"/>
            <w:tcBorders>
              <w:bottom w:val="single" w:sz="4" w:space="0" w:color="auto"/>
            </w:tcBorders>
          </w:tcPr>
          <w:p w14:paraId="67FE373B" w14:textId="58B09C19" w:rsidR="00F67EE9" w:rsidRPr="00F67EE9" w:rsidRDefault="00F67EE9" w:rsidP="00D516A5">
            <w:pPr>
              <w:rPr>
                <w:rFonts w:cstheme="minorHAnsi"/>
                <w:b/>
                <w:bCs/>
                <w:sz w:val="20"/>
                <w:szCs w:val="20"/>
              </w:rPr>
            </w:pPr>
            <w:r w:rsidRPr="00F67EE9">
              <w:rPr>
                <w:rFonts w:cstheme="minorHAnsi"/>
                <w:b/>
                <w:bCs/>
                <w:sz w:val="20"/>
                <w:szCs w:val="20"/>
              </w:rPr>
              <w:t>8</w:t>
            </w:r>
          </w:p>
        </w:tc>
        <w:tc>
          <w:tcPr>
            <w:tcW w:w="6354" w:type="dxa"/>
            <w:tcBorders>
              <w:bottom w:val="single" w:sz="4" w:space="0" w:color="auto"/>
            </w:tcBorders>
          </w:tcPr>
          <w:p w14:paraId="1E99B32B" w14:textId="0FDC5A66" w:rsidR="00F67EE9" w:rsidRPr="00F67EE9" w:rsidRDefault="00F67EE9" w:rsidP="00D516A5">
            <w:pPr>
              <w:rPr>
                <w:sz w:val="20"/>
                <w:szCs w:val="20"/>
              </w:rPr>
            </w:pPr>
            <w:r w:rsidRPr="72F939A8">
              <w:rPr>
                <w:sz w:val="20"/>
                <w:szCs w:val="20"/>
                <w:lang w:val="en-AU"/>
              </w:rPr>
              <w:t xml:space="preserve">As part of the upcoming design for a new </w:t>
            </w:r>
            <w:r w:rsidRPr="72F939A8">
              <w:rPr>
                <w:sz w:val="20"/>
                <w:szCs w:val="20"/>
              </w:rPr>
              <w:t>phase</w:t>
            </w:r>
            <w:r w:rsidRPr="72F939A8">
              <w:rPr>
                <w:sz w:val="20"/>
                <w:szCs w:val="20"/>
                <w:lang w:val="en-AU"/>
              </w:rPr>
              <w:t xml:space="preserve"> of support the Program should build on its work exploring potential financing models for the LIRC as part of the development of a sustainability strategy. This would form a key element of the next phase of the investment </w:t>
            </w:r>
            <w:proofErr w:type="gramStart"/>
            <w:r w:rsidRPr="72F939A8">
              <w:rPr>
                <w:sz w:val="20"/>
                <w:szCs w:val="20"/>
                <w:lang w:val="en-AU"/>
              </w:rPr>
              <w:t>and also</w:t>
            </w:r>
            <w:proofErr w:type="gramEnd"/>
            <w:r w:rsidRPr="72F939A8">
              <w:rPr>
                <w:sz w:val="20"/>
                <w:szCs w:val="20"/>
                <w:lang w:val="en-AU"/>
              </w:rPr>
              <w:t xml:space="preserve"> feed into the work to advocate for the skills </w:t>
            </w:r>
            <w:r w:rsidRPr="72F939A8">
              <w:rPr>
                <w:sz w:val="20"/>
                <w:szCs w:val="20"/>
              </w:rPr>
              <w:t>council</w:t>
            </w:r>
            <w:r w:rsidRPr="72F939A8">
              <w:rPr>
                <w:sz w:val="20"/>
                <w:szCs w:val="20"/>
                <w:lang w:val="en-AU"/>
              </w:rPr>
              <w:t xml:space="preserve"> model more broadly in Vietnam</w:t>
            </w:r>
            <w:r w:rsidR="006F5301" w:rsidRPr="72F939A8">
              <w:rPr>
                <w:sz w:val="20"/>
                <w:szCs w:val="20"/>
                <w:lang w:val="en-AU"/>
              </w:rPr>
              <w:t>.</w:t>
            </w:r>
          </w:p>
        </w:tc>
        <w:tc>
          <w:tcPr>
            <w:tcW w:w="7371" w:type="dxa"/>
            <w:tcBorders>
              <w:bottom w:val="single" w:sz="4" w:space="0" w:color="auto"/>
            </w:tcBorders>
          </w:tcPr>
          <w:p w14:paraId="3C91E9CD" w14:textId="77777777" w:rsidR="00F67EE9" w:rsidRPr="00F67EE9" w:rsidRDefault="00F67EE9" w:rsidP="00D516A5">
            <w:pPr>
              <w:rPr>
                <w:rFonts w:cstheme="minorHAnsi"/>
                <w:b/>
                <w:bCs/>
                <w:sz w:val="20"/>
                <w:szCs w:val="20"/>
              </w:rPr>
            </w:pPr>
            <w:r w:rsidRPr="00F67EE9">
              <w:rPr>
                <w:rFonts w:cstheme="minorHAnsi"/>
                <w:b/>
                <w:bCs/>
                <w:sz w:val="20"/>
                <w:szCs w:val="20"/>
              </w:rPr>
              <w:t>Agree</w:t>
            </w:r>
          </w:p>
          <w:p w14:paraId="097B3F35" w14:textId="6748494F" w:rsidR="00F67EE9" w:rsidRPr="00F67EE9" w:rsidRDefault="4A36CA27" w:rsidP="5C904374">
            <w:pPr>
              <w:rPr>
                <w:sz w:val="20"/>
                <w:szCs w:val="20"/>
              </w:rPr>
            </w:pPr>
            <w:r w:rsidRPr="4C9B8F9F">
              <w:rPr>
                <w:sz w:val="20"/>
                <w:szCs w:val="20"/>
              </w:rPr>
              <w:t xml:space="preserve">In the current phase, Aus4Skills is </w:t>
            </w:r>
            <w:r w:rsidR="289D7DE3" w:rsidRPr="4C9B8F9F">
              <w:rPr>
                <w:sz w:val="20"/>
                <w:szCs w:val="20"/>
              </w:rPr>
              <w:t xml:space="preserve">already </w:t>
            </w:r>
            <w:r w:rsidRPr="4C9B8F9F">
              <w:rPr>
                <w:sz w:val="20"/>
                <w:szCs w:val="20"/>
              </w:rPr>
              <w:t>developing a paper on LIRC financing options to contribute to Government of Vietnam’s consideration in financing sector skills councils.</w:t>
            </w:r>
          </w:p>
        </w:tc>
      </w:tr>
      <w:tr w:rsidR="00F67EE9" w:rsidRPr="00F67EE9" w14:paraId="3A04DA7F" w14:textId="77777777" w:rsidTr="7A7EA250">
        <w:tc>
          <w:tcPr>
            <w:tcW w:w="445" w:type="dxa"/>
            <w:tcBorders>
              <w:bottom w:val="single" w:sz="4" w:space="0" w:color="auto"/>
            </w:tcBorders>
          </w:tcPr>
          <w:p w14:paraId="7915D1CA" w14:textId="3E54329D" w:rsidR="00F67EE9" w:rsidRPr="00F67EE9" w:rsidRDefault="00F67EE9" w:rsidP="00D516A5">
            <w:pPr>
              <w:rPr>
                <w:rFonts w:cstheme="minorHAnsi"/>
                <w:b/>
                <w:bCs/>
                <w:sz w:val="20"/>
                <w:szCs w:val="20"/>
              </w:rPr>
            </w:pPr>
            <w:r w:rsidRPr="00F67EE9">
              <w:rPr>
                <w:rFonts w:cstheme="minorHAnsi"/>
                <w:b/>
                <w:bCs/>
                <w:sz w:val="20"/>
                <w:szCs w:val="20"/>
              </w:rPr>
              <w:t>9</w:t>
            </w:r>
          </w:p>
        </w:tc>
        <w:tc>
          <w:tcPr>
            <w:tcW w:w="6354" w:type="dxa"/>
            <w:tcBorders>
              <w:bottom w:val="single" w:sz="4" w:space="0" w:color="auto"/>
            </w:tcBorders>
          </w:tcPr>
          <w:p w14:paraId="46E0FD41" w14:textId="42907AA1" w:rsidR="000265B3" w:rsidRDefault="0FBA93AF" w:rsidP="5D8E5561">
            <w:pPr>
              <w:rPr>
                <w:sz w:val="20"/>
                <w:szCs w:val="20"/>
                <w:lang w:val="en-AU"/>
              </w:rPr>
            </w:pPr>
            <w:r w:rsidRPr="7A7EA250">
              <w:rPr>
                <w:sz w:val="20"/>
                <w:szCs w:val="20"/>
                <w:lang w:val="en-AU"/>
              </w:rPr>
              <w:t>The Program should work closely with DFAT and other key Embassy representatives to ensure that its new advocacy strategy for the VET component is detailed, nuanced</w:t>
            </w:r>
            <w:r w:rsidR="3D5D7571" w:rsidRPr="7A7EA250">
              <w:rPr>
                <w:sz w:val="20"/>
                <w:szCs w:val="20"/>
                <w:lang w:val="en-AU"/>
              </w:rPr>
              <w:t>,</w:t>
            </w:r>
            <w:r w:rsidRPr="7A7EA250">
              <w:rPr>
                <w:sz w:val="20"/>
                <w:szCs w:val="20"/>
                <w:lang w:val="en-AU"/>
              </w:rPr>
              <w:t xml:space="preserve"> and politically informed. It would benefit from being </w:t>
            </w:r>
            <w:r w:rsidRPr="7A7EA250">
              <w:rPr>
                <w:i/>
                <w:iCs/>
                <w:sz w:val="20"/>
                <w:szCs w:val="20"/>
                <w:lang w:val="en-AU"/>
              </w:rPr>
              <w:t>jointly developed</w:t>
            </w:r>
            <w:r w:rsidRPr="7A7EA250">
              <w:rPr>
                <w:sz w:val="20"/>
                <w:szCs w:val="20"/>
                <w:lang w:val="en-AU"/>
              </w:rPr>
              <w:t xml:space="preserve"> by Aus4Skills and DFAT, with a detailed analysis of opportunities and obstacles and specific tactics for building relationships with the key individuals and agencies which will enable the LIRC, and the broader sector skills council model, to achieve its legal status. </w:t>
            </w:r>
          </w:p>
          <w:p w14:paraId="6DFC0389" w14:textId="77777777" w:rsidR="000265B3" w:rsidRDefault="000265B3" w:rsidP="00D516A5">
            <w:pPr>
              <w:rPr>
                <w:rFonts w:cstheme="minorHAnsi"/>
                <w:sz w:val="20"/>
                <w:szCs w:val="20"/>
                <w:lang w:val="en-AU"/>
              </w:rPr>
            </w:pPr>
          </w:p>
          <w:p w14:paraId="551E29BE" w14:textId="10DEB960" w:rsidR="00F67EE9" w:rsidRPr="00F67EE9" w:rsidRDefault="0FBA93AF" w:rsidP="7A7EA250">
            <w:pPr>
              <w:rPr>
                <w:sz w:val="20"/>
                <w:szCs w:val="20"/>
              </w:rPr>
            </w:pPr>
            <w:r w:rsidRPr="7A7EA250">
              <w:rPr>
                <w:sz w:val="20"/>
                <w:szCs w:val="20"/>
                <w:lang w:val="en-AU"/>
              </w:rPr>
              <w:t xml:space="preserve">The advocacy strategy should be jointly implemented by Aus4Skills and the Embassy, utilising all the relationships and entry points which exist across both parties. It should also increasingly build a coalition of development partners – </w:t>
            </w:r>
            <w:proofErr w:type="spellStart"/>
            <w:r w:rsidRPr="7A7EA250">
              <w:rPr>
                <w:sz w:val="20"/>
                <w:szCs w:val="20"/>
                <w:lang w:val="en-AU"/>
              </w:rPr>
              <w:t>GiZ</w:t>
            </w:r>
            <w:proofErr w:type="spellEnd"/>
            <w:r w:rsidRPr="7A7EA250">
              <w:rPr>
                <w:sz w:val="20"/>
                <w:szCs w:val="20"/>
                <w:lang w:val="en-AU"/>
              </w:rPr>
              <w:t xml:space="preserve"> and others – to advance the aims of the VET sector component. Partners have varying relationships and entry points but often shared ambitions (regardless of terminology) and thus could work more closely together to support VET sector development in the areas of focus</w:t>
            </w:r>
            <w:r w:rsidR="1C62172D" w:rsidRPr="7A7EA250">
              <w:rPr>
                <w:sz w:val="20"/>
                <w:szCs w:val="20"/>
                <w:lang w:val="en-AU"/>
              </w:rPr>
              <w:t>.</w:t>
            </w:r>
          </w:p>
        </w:tc>
        <w:tc>
          <w:tcPr>
            <w:tcW w:w="7371" w:type="dxa"/>
            <w:tcBorders>
              <w:bottom w:val="single" w:sz="4" w:space="0" w:color="auto"/>
            </w:tcBorders>
          </w:tcPr>
          <w:p w14:paraId="3444C1AE" w14:textId="77777777" w:rsidR="00F67EE9" w:rsidRPr="00F67EE9" w:rsidRDefault="00F67EE9" w:rsidP="00D516A5">
            <w:pPr>
              <w:rPr>
                <w:rFonts w:cstheme="minorHAnsi"/>
                <w:b/>
                <w:bCs/>
                <w:sz w:val="20"/>
                <w:szCs w:val="20"/>
              </w:rPr>
            </w:pPr>
            <w:r w:rsidRPr="00F67EE9">
              <w:rPr>
                <w:rFonts w:cstheme="minorHAnsi"/>
                <w:b/>
                <w:bCs/>
                <w:sz w:val="20"/>
                <w:szCs w:val="20"/>
              </w:rPr>
              <w:t>Agree</w:t>
            </w:r>
          </w:p>
          <w:p w14:paraId="01344581" w14:textId="509BD525" w:rsidR="00F67EE9" w:rsidRPr="00F67EE9" w:rsidRDefault="0FBA93AF" w:rsidP="5C904374">
            <w:pPr>
              <w:rPr>
                <w:sz w:val="20"/>
                <w:szCs w:val="20"/>
              </w:rPr>
            </w:pPr>
            <w:r w:rsidRPr="7A7EA250">
              <w:rPr>
                <w:sz w:val="20"/>
                <w:szCs w:val="20"/>
              </w:rPr>
              <w:t>Joint advocacy efforts to promote an inclusive, competency-based, industry-led VET system will continue in 2024 and 2025 between DFAT/Aus4Skills and key stakeholders involved in skill</w:t>
            </w:r>
            <w:r w:rsidR="2C7A3793" w:rsidRPr="7A7EA250">
              <w:rPr>
                <w:sz w:val="20"/>
                <w:szCs w:val="20"/>
              </w:rPr>
              <w:t>s</w:t>
            </w:r>
            <w:r w:rsidRPr="7A7EA250">
              <w:rPr>
                <w:sz w:val="20"/>
                <w:szCs w:val="20"/>
              </w:rPr>
              <w:t xml:space="preserve"> development, including Government of Vietnam agencies, industry</w:t>
            </w:r>
            <w:r w:rsidR="5B7CE15E" w:rsidRPr="7A7EA250">
              <w:rPr>
                <w:sz w:val="20"/>
                <w:szCs w:val="20"/>
              </w:rPr>
              <w:t xml:space="preserve">, </w:t>
            </w:r>
            <w:r w:rsidRPr="7A7EA250">
              <w:rPr>
                <w:sz w:val="20"/>
                <w:szCs w:val="20"/>
              </w:rPr>
              <w:t>college partners,</w:t>
            </w:r>
            <w:r w:rsidR="5B7CE15E" w:rsidRPr="7A7EA250">
              <w:rPr>
                <w:sz w:val="20"/>
                <w:szCs w:val="20"/>
              </w:rPr>
              <w:t xml:space="preserve"> and</w:t>
            </w:r>
            <w:r w:rsidRPr="7A7EA250">
              <w:rPr>
                <w:sz w:val="20"/>
                <w:szCs w:val="20"/>
              </w:rPr>
              <w:t xml:space="preserve"> like-minded development partners.</w:t>
            </w:r>
          </w:p>
        </w:tc>
      </w:tr>
      <w:tr w:rsidR="00F67EE9" w:rsidRPr="00F67EE9" w14:paraId="0BCF26C1" w14:textId="77777777" w:rsidTr="7A7EA250">
        <w:tc>
          <w:tcPr>
            <w:tcW w:w="445" w:type="dxa"/>
            <w:tcBorders>
              <w:bottom w:val="single" w:sz="4" w:space="0" w:color="auto"/>
            </w:tcBorders>
          </w:tcPr>
          <w:p w14:paraId="373E7CDE" w14:textId="42D8D9FF" w:rsidR="00F67EE9" w:rsidRPr="00F67EE9" w:rsidRDefault="00F67EE9" w:rsidP="00D516A5">
            <w:pPr>
              <w:rPr>
                <w:rFonts w:cstheme="minorHAnsi"/>
                <w:b/>
                <w:bCs/>
                <w:sz w:val="20"/>
                <w:szCs w:val="20"/>
              </w:rPr>
            </w:pPr>
            <w:r w:rsidRPr="00F67EE9">
              <w:rPr>
                <w:rFonts w:cstheme="minorHAnsi"/>
                <w:b/>
                <w:bCs/>
                <w:sz w:val="20"/>
                <w:szCs w:val="20"/>
              </w:rPr>
              <w:t>10</w:t>
            </w:r>
          </w:p>
        </w:tc>
        <w:tc>
          <w:tcPr>
            <w:tcW w:w="6354" w:type="dxa"/>
            <w:tcBorders>
              <w:bottom w:val="single" w:sz="4" w:space="0" w:color="auto"/>
            </w:tcBorders>
          </w:tcPr>
          <w:p w14:paraId="73492431" w14:textId="47E2BE3A" w:rsidR="00F67EE9" w:rsidRPr="00F67EE9" w:rsidRDefault="00F67EE9" w:rsidP="72F939A8">
            <w:pPr>
              <w:pStyle w:val="ListParagraph"/>
              <w:spacing w:after="240" w:line="252" w:lineRule="auto"/>
              <w:ind w:left="0"/>
              <w:rPr>
                <w:sz w:val="20"/>
                <w:szCs w:val="20"/>
                <w:lang w:val="en-AU"/>
              </w:rPr>
            </w:pPr>
            <w:r w:rsidRPr="72F939A8">
              <w:rPr>
                <w:sz w:val="20"/>
                <w:szCs w:val="20"/>
                <w:lang w:val="en-AU"/>
              </w:rPr>
              <w:t xml:space="preserve">The Program should collaborate with partners, especially in the Government of Vietnam, to review the terminology it utilises and promotes, including terms such as ‘industry-led’, to ensure it is sufficiently flexible in shifting to terminology which will work best in Vietnam and be most meaningful and comfortably accepted. </w:t>
            </w:r>
          </w:p>
        </w:tc>
        <w:tc>
          <w:tcPr>
            <w:tcW w:w="7371" w:type="dxa"/>
            <w:tcBorders>
              <w:bottom w:val="single" w:sz="4" w:space="0" w:color="auto"/>
            </w:tcBorders>
          </w:tcPr>
          <w:p w14:paraId="298171E8" w14:textId="77777777" w:rsidR="00F67EE9" w:rsidRPr="00F67EE9" w:rsidRDefault="00F67EE9" w:rsidP="00D516A5">
            <w:pPr>
              <w:rPr>
                <w:rFonts w:cstheme="minorHAnsi"/>
                <w:b/>
                <w:bCs/>
                <w:sz w:val="20"/>
                <w:szCs w:val="20"/>
              </w:rPr>
            </w:pPr>
            <w:r w:rsidRPr="00F67EE9">
              <w:rPr>
                <w:rFonts w:cstheme="minorHAnsi"/>
                <w:b/>
                <w:bCs/>
                <w:sz w:val="20"/>
                <w:szCs w:val="20"/>
              </w:rPr>
              <w:t xml:space="preserve">Partially </w:t>
            </w:r>
            <w:proofErr w:type="gramStart"/>
            <w:r w:rsidRPr="00F67EE9">
              <w:rPr>
                <w:rFonts w:cstheme="minorHAnsi"/>
                <w:b/>
                <w:bCs/>
                <w:sz w:val="20"/>
                <w:szCs w:val="20"/>
              </w:rPr>
              <w:t>agree</w:t>
            </w:r>
            <w:proofErr w:type="gramEnd"/>
          </w:p>
          <w:p w14:paraId="57FE59F2" w14:textId="0137E9D8" w:rsidR="00F67EE9" w:rsidRPr="00F67EE9" w:rsidRDefault="6D73DAEA" w:rsidP="5C904374">
            <w:pPr>
              <w:rPr>
                <w:sz w:val="20"/>
                <w:szCs w:val="20"/>
              </w:rPr>
            </w:pPr>
            <w:r w:rsidRPr="7A7EA250">
              <w:rPr>
                <w:sz w:val="20"/>
                <w:szCs w:val="20"/>
              </w:rPr>
              <w:t>T</w:t>
            </w:r>
            <w:r w:rsidR="1E60B37C" w:rsidRPr="7A7EA250">
              <w:rPr>
                <w:sz w:val="20"/>
                <w:szCs w:val="20"/>
              </w:rPr>
              <w:t xml:space="preserve">he term “industry-led” has been widely used by Government of Vietnam counterparts and </w:t>
            </w:r>
            <w:r w:rsidR="11A22516" w:rsidRPr="7A7EA250">
              <w:rPr>
                <w:sz w:val="20"/>
                <w:szCs w:val="20"/>
              </w:rPr>
              <w:t xml:space="preserve">VET </w:t>
            </w:r>
            <w:r w:rsidR="1E60B37C" w:rsidRPr="7A7EA250">
              <w:rPr>
                <w:sz w:val="20"/>
                <w:szCs w:val="20"/>
              </w:rPr>
              <w:t xml:space="preserve">partner </w:t>
            </w:r>
            <w:proofErr w:type="gramStart"/>
            <w:r w:rsidR="1E60B37C" w:rsidRPr="7A7EA250">
              <w:rPr>
                <w:sz w:val="20"/>
                <w:szCs w:val="20"/>
              </w:rPr>
              <w:t>colleges  in</w:t>
            </w:r>
            <w:proofErr w:type="gramEnd"/>
            <w:r w:rsidR="1E60B37C" w:rsidRPr="7A7EA250">
              <w:rPr>
                <w:sz w:val="20"/>
                <w:szCs w:val="20"/>
              </w:rPr>
              <w:t xml:space="preserve"> recent years. DFAT will continue to monitor any </w:t>
            </w:r>
            <w:r w:rsidR="3C1779A6" w:rsidRPr="7A7EA250">
              <w:rPr>
                <w:sz w:val="20"/>
                <w:szCs w:val="20"/>
              </w:rPr>
              <w:t xml:space="preserve">issues </w:t>
            </w:r>
            <w:r w:rsidR="1E60B37C" w:rsidRPr="7A7EA250">
              <w:rPr>
                <w:sz w:val="20"/>
                <w:szCs w:val="20"/>
              </w:rPr>
              <w:t xml:space="preserve">around use of terms </w:t>
            </w:r>
            <w:r w:rsidR="78716B41" w:rsidRPr="7A7EA250">
              <w:rPr>
                <w:sz w:val="20"/>
                <w:szCs w:val="20"/>
              </w:rPr>
              <w:t xml:space="preserve">and seek confirmation from </w:t>
            </w:r>
            <w:r w:rsidR="476B1AE5" w:rsidRPr="7A7EA250">
              <w:rPr>
                <w:sz w:val="20"/>
                <w:szCs w:val="20"/>
              </w:rPr>
              <w:t>the Directorate for Vocational Education and Training (</w:t>
            </w:r>
            <w:r w:rsidR="78716B41" w:rsidRPr="7A7EA250">
              <w:rPr>
                <w:sz w:val="20"/>
                <w:szCs w:val="20"/>
              </w:rPr>
              <w:t>DVET</w:t>
            </w:r>
            <w:r w:rsidR="6B42845F" w:rsidRPr="7A7EA250">
              <w:rPr>
                <w:sz w:val="20"/>
                <w:szCs w:val="20"/>
              </w:rPr>
              <w:t>)</w:t>
            </w:r>
            <w:r w:rsidR="78716B41" w:rsidRPr="7A7EA250">
              <w:rPr>
                <w:sz w:val="20"/>
                <w:szCs w:val="20"/>
              </w:rPr>
              <w:t xml:space="preserve"> of these terms</w:t>
            </w:r>
            <w:r w:rsidR="1E60B37C" w:rsidRPr="7A7EA250">
              <w:rPr>
                <w:sz w:val="20"/>
                <w:szCs w:val="20"/>
              </w:rPr>
              <w:t xml:space="preserve">. </w:t>
            </w:r>
          </w:p>
        </w:tc>
      </w:tr>
      <w:tr w:rsidR="00F67EE9" w:rsidRPr="00F67EE9" w14:paraId="3A51DFA3" w14:textId="77777777" w:rsidTr="7A7EA250">
        <w:tc>
          <w:tcPr>
            <w:tcW w:w="445" w:type="dxa"/>
            <w:tcBorders>
              <w:bottom w:val="single" w:sz="4" w:space="0" w:color="auto"/>
            </w:tcBorders>
          </w:tcPr>
          <w:p w14:paraId="1FF1F6A0" w14:textId="1C56D50A" w:rsidR="00F67EE9" w:rsidRPr="00F67EE9" w:rsidRDefault="00F67EE9" w:rsidP="00254261">
            <w:pPr>
              <w:rPr>
                <w:rFonts w:cstheme="minorHAnsi"/>
                <w:b/>
                <w:bCs/>
                <w:sz w:val="20"/>
                <w:szCs w:val="20"/>
              </w:rPr>
            </w:pPr>
            <w:r w:rsidRPr="00F67EE9">
              <w:rPr>
                <w:rFonts w:cstheme="minorHAnsi"/>
                <w:b/>
                <w:bCs/>
                <w:sz w:val="20"/>
                <w:szCs w:val="20"/>
              </w:rPr>
              <w:lastRenderedPageBreak/>
              <w:t>11</w:t>
            </w:r>
          </w:p>
        </w:tc>
        <w:tc>
          <w:tcPr>
            <w:tcW w:w="6354" w:type="dxa"/>
            <w:tcBorders>
              <w:bottom w:val="single" w:sz="4" w:space="0" w:color="auto"/>
            </w:tcBorders>
          </w:tcPr>
          <w:p w14:paraId="208F2CDF" w14:textId="4033F0BE" w:rsidR="00F67EE9" w:rsidRPr="00F67EE9" w:rsidRDefault="00F67EE9" w:rsidP="72F939A8">
            <w:pPr>
              <w:pStyle w:val="ListParagraph"/>
              <w:spacing w:after="240" w:line="252" w:lineRule="auto"/>
              <w:ind w:left="0"/>
              <w:rPr>
                <w:sz w:val="20"/>
                <w:szCs w:val="20"/>
                <w:lang w:val="en-AU"/>
              </w:rPr>
            </w:pPr>
            <w:r w:rsidRPr="72F939A8">
              <w:rPr>
                <w:sz w:val="20"/>
                <w:szCs w:val="20"/>
                <w:lang w:val="en-AU"/>
              </w:rPr>
              <w:t xml:space="preserve">DFAT, and the Program, should take care to allocate sufficient attention and support to </w:t>
            </w:r>
            <w:r w:rsidRPr="72F939A8">
              <w:rPr>
                <w:i/>
                <w:sz w:val="20"/>
                <w:szCs w:val="20"/>
                <w:lang w:val="en-AU"/>
              </w:rPr>
              <w:t>all</w:t>
            </w:r>
            <w:r w:rsidRPr="72F939A8">
              <w:rPr>
                <w:sz w:val="20"/>
                <w:szCs w:val="20"/>
                <w:lang w:val="en-AU"/>
              </w:rPr>
              <w:t xml:space="preserve"> foundational partners in VAC (noting that their size, </w:t>
            </w:r>
            <w:proofErr w:type="gramStart"/>
            <w:r w:rsidRPr="72F939A8">
              <w:rPr>
                <w:sz w:val="20"/>
                <w:szCs w:val="20"/>
                <w:lang w:val="en-AU"/>
              </w:rPr>
              <w:t>needs</w:t>
            </w:r>
            <w:proofErr w:type="gramEnd"/>
            <w:r w:rsidRPr="72F939A8">
              <w:rPr>
                <w:sz w:val="20"/>
                <w:szCs w:val="20"/>
                <w:lang w:val="en-AU"/>
              </w:rPr>
              <w:t xml:space="preserve"> and absorptive capacities vary), to ensure all partners remain engaged and perceive value from VAC for their development.  </w:t>
            </w:r>
          </w:p>
        </w:tc>
        <w:tc>
          <w:tcPr>
            <w:tcW w:w="7371" w:type="dxa"/>
            <w:tcBorders>
              <w:bottom w:val="single" w:sz="4" w:space="0" w:color="auto"/>
            </w:tcBorders>
          </w:tcPr>
          <w:p w14:paraId="2C6579A4" w14:textId="418DF314" w:rsidR="00ED42FC" w:rsidRDefault="00F67EE9" w:rsidP="00254261">
            <w:pPr>
              <w:rPr>
                <w:rFonts w:cstheme="minorHAnsi"/>
                <w:sz w:val="20"/>
                <w:szCs w:val="20"/>
              </w:rPr>
            </w:pPr>
            <w:r w:rsidRPr="00F67EE9">
              <w:rPr>
                <w:rFonts w:cstheme="minorHAnsi"/>
                <w:b/>
                <w:bCs/>
                <w:sz w:val="20"/>
                <w:szCs w:val="20"/>
              </w:rPr>
              <w:t>Agree</w:t>
            </w:r>
            <w:r w:rsidRPr="00F67EE9">
              <w:rPr>
                <w:rFonts w:cstheme="minorHAnsi"/>
                <w:sz w:val="20"/>
                <w:szCs w:val="20"/>
              </w:rPr>
              <w:t xml:space="preserve"> </w:t>
            </w:r>
          </w:p>
          <w:p w14:paraId="2C728EC5" w14:textId="506E23EF" w:rsidR="00F67EE9" w:rsidRPr="00F67EE9" w:rsidRDefault="00F67EE9" w:rsidP="00254261">
            <w:pPr>
              <w:rPr>
                <w:rFonts w:cstheme="minorHAnsi"/>
                <w:sz w:val="20"/>
                <w:szCs w:val="20"/>
              </w:rPr>
            </w:pPr>
            <w:r w:rsidRPr="00F67EE9">
              <w:rPr>
                <w:rFonts w:cstheme="minorHAnsi"/>
                <w:sz w:val="20"/>
                <w:szCs w:val="20"/>
              </w:rPr>
              <w:t xml:space="preserve">DFAT and the Program have been working closely with the </w:t>
            </w:r>
            <w:r w:rsidR="00D46D7F">
              <w:rPr>
                <w:rFonts w:cstheme="minorHAnsi"/>
                <w:sz w:val="20"/>
                <w:szCs w:val="20"/>
              </w:rPr>
              <w:t>V</w:t>
            </w:r>
            <w:r w:rsidR="000A4676">
              <w:rPr>
                <w:rFonts w:cstheme="minorHAnsi"/>
                <w:sz w:val="20"/>
                <w:szCs w:val="20"/>
              </w:rPr>
              <w:t xml:space="preserve">ietnam </w:t>
            </w:r>
            <w:r w:rsidR="00D46D7F">
              <w:rPr>
                <w:rFonts w:cstheme="minorHAnsi"/>
                <w:sz w:val="20"/>
                <w:szCs w:val="20"/>
              </w:rPr>
              <w:t>A</w:t>
            </w:r>
            <w:r w:rsidR="000A4676">
              <w:rPr>
                <w:rFonts w:cstheme="minorHAnsi"/>
                <w:sz w:val="20"/>
                <w:szCs w:val="20"/>
              </w:rPr>
              <w:t xml:space="preserve">ustralia </w:t>
            </w:r>
            <w:r w:rsidR="00D46D7F">
              <w:rPr>
                <w:rFonts w:cstheme="minorHAnsi"/>
                <w:sz w:val="20"/>
                <w:szCs w:val="20"/>
              </w:rPr>
              <w:t>C</w:t>
            </w:r>
            <w:r w:rsidR="000A4676">
              <w:rPr>
                <w:rFonts w:cstheme="minorHAnsi"/>
                <w:sz w:val="20"/>
                <w:szCs w:val="20"/>
              </w:rPr>
              <w:t>entre (VAC)</w:t>
            </w:r>
            <w:r w:rsidR="00D46D7F">
              <w:rPr>
                <w:rFonts w:cstheme="minorHAnsi"/>
                <w:sz w:val="20"/>
                <w:szCs w:val="20"/>
              </w:rPr>
              <w:t xml:space="preserve"> </w:t>
            </w:r>
            <w:r w:rsidRPr="00F67EE9">
              <w:rPr>
                <w:rFonts w:cstheme="minorHAnsi"/>
                <w:sz w:val="20"/>
                <w:szCs w:val="20"/>
              </w:rPr>
              <w:t xml:space="preserve">Foundational Partners (FPs) through various governance mechanisms. </w:t>
            </w:r>
          </w:p>
          <w:p w14:paraId="2FB92B33" w14:textId="20128F0B" w:rsidR="00F67EE9" w:rsidRPr="00F67EE9" w:rsidRDefault="4A36CA27" w:rsidP="5C904374">
            <w:pPr>
              <w:rPr>
                <w:sz w:val="20"/>
                <w:szCs w:val="20"/>
              </w:rPr>
            </w:pPr>
            <w:r w:rsidRPr="4C9B8F9F">
              <w:rPr>
                <w:sz w:val="20"/>
                <w:szCs w:val="20"/>
              </w:rPr>
              <w:t xml:space="preserve"> </w:t>
            </w:r>
          </w:p>
        </w:tc>
      </w:tr>
      <w:tr w:rsidR="00F67EE9" w:rsidRPr="00F67EE9" w14:paraId="66016371" w14:textId="77777777" w:rsidTr="7A7EA250">
        <w:tc>
          <w:tcPr>
            <w:tcW w:w="445" w:type="dxa"/>
            <w:tcBorders>
              <w:bottom w:val="single" w:sz="4" w:space="0" w:color="auto"/>
            </w:tcBorders>
          </w:tcPr>
          <w:p w14:paraId="38ACB390" w14:textId="507650A3" w:rsidR="00F67EE9" w:rsidRPr="00F67EE9" w:rsidRDefault="00F67EE9" w:rsidP="00254261">
            <w:pPr>
              <w:rPr>
                <w:rFonts w:cstheme="minorHAnsi"/>
                <w:b/>
                <w:bCs/>
                <w:sz w:val="20"/>
                <w:szCs w:val="20"/>
              </w:rPr>
            </w:pPr>
            <w:r w:rsidRPr="00F67EE9">
              <w:rPr>
                <w:rFonts w:cstheme="minorHAnsi"/>
                <w:b/>
                <w:bCs/>
                <w:sz w:val="20"/>
                <w:szCs w:val="20"/>
              </w:rPr>
              <w:t>12</w:t>
            </w:r>
          </w:p>
        </w:tc>
        <w:tc>
          <w:tcPr>
            <w:tcW w:w="6354" w:type="dxa"/>
            <w:tcBorders>
              <w:bottom w:val="single" w:sz="4" w:space="0" w:color="auto"/>
            </w:tcBorders>
          </w:tcPr>
          <w:p w14:paraId="54717766" w14:textId="2555D1C7" w:rsidR="00F67EE9" w:rsidRPr="00F67EE9" w:rsidRDefault="00F67EE9" w:rsidP="72F939A8">
            <w:pPr>
              <w:pStyle w:val="ListParagraph"/>
              <w:spacing w:after="240" w:line="252" w:lineRule="auto"/>
              <w:ind w:left="0"/>
              <w:rPr>
                <w:sz w:val="20"/>
                <w:szCs w:val="20"/>
                <w:lang w:val="en-AU"/>
              </w:rPr>
            </w:pPr>
            <w:r w:rsidRPr="72F939A8">
              <w:rPr>
                <w:sz w:val="20"/>
                <w:szCs w:val="20"/>
                <w:lang w:val="en-AU"/>
              </w:rPr>
              <w:t>The VAC Review should proceed as planned in 2024 and be given a high priority. Included in the review should be consideration of the intended outcomes of VAC, the way gender equality and other inclusion factors are integrated, ways to enhance the decision making (including regarding budget and activity allocations), and the reconfirmation of the VAC focus on development outcomes as the primary purpose.</w:t>
            </w:r>
          </w:p>
        </w:tc>
        <w:tc>
          <w:tcPr>
            <w:tcW w:w="7371" w:type="dxa"/>
            <w:tcBorders>
              <w:bottom w:val="single" w:sz="4" w:space="0" w:color="auto"/>
            </w:tcBorders>
          </w:tcPr>
          <w:p w14:paraId="59B4C15A" w14:textId="7DB31576" w:rsidR="00CC031A" w:rsidRDefault="00F67EE9" w:rsidP="5C904374">
            <w:pPr>
              <w:rPr>
                <w:sz w:val="20"/>
                <w:szCs w:val="20"/>
              </w:rPr>
            </w:pPr>
            <w:r w:rsidRPr="00F67EE9">
              <w:rPr>
                <w:b/>
                <w:bCs/>
                <w:sz w:val="20"/>
                <w:szCs w:val="20"/>
              </w:rPr>
              <w:t>Agree</w:t>
            </w:r>
            <w:r w:rsidRPr="00F67EE9">
              <w:rPr>
                <w:sz w:val="20"/>
                <w:szCs w:val="20"/>
              </w:rPr>
              <w:t xml:space="preserve"> </w:t>
            </w:r>
          </w:p>
          <w:p w14:paraId="07C6E5E9" w14:textId="1F68AA61" w:rsidR="00CC031A" w:rsidRDefault="47D28AAA" w:rsidP="5C904374">
            <w:pPr>
              <w:rPr>
                <w:sz w:val="20"/>
                <w:szCs w:val="20"/>
              </w:rPr>
            </w:pPr>
            <w:r w:rsidRPr="210D0FC1">
              <w:rPr>
                <w:sz w:val="20"/>
                <w:szCs w:val="20"/>
              </w:rPr>
              <w:t>T</w:t>
            </w:r>
            <w:r w:rsidR="4A36CA27" w:rsidRPr="210D0FC1">
              <w:rPr>
                <w:sz w:val="20"/>
                <w:szCs w:val="20"/>
              </w:rPr>
              <w:t xml:space="preserve">he original design for VAC was prepared during COVID and there have been changes in the development context since then, including </w:t>
            </w:r>
            <w:r w:rsidR="4F87405C" w:rsidRPr="210D0FC1">
              <w:rPr>
                <w:sz w:val="20"/>
                <w:szCs w:val="20"/>
              </w:rPr>
              <w:t xml:space="preserve">the </w:t>
            </w:r>
            <w:r w:rsidR="4A36CA27" w:rsidRPr="210D0FC1">
              <w:rPr>
                <w:sz w:val="20"/>
                <w:szCs w:val="20"/>
              </w:rPr>
              <w:t>recent elevation of the bilateral relationship to a Comprehensive Strategic Partnership</w:t>
            </w:r>
            <w:r w:rsidR="471D2A46" w:rsidRPr="210D0FC1">
              <w:rPr>
                <w:sz w:val="20"/>
                <w:szCs w:val="20"/>
              </w:rPr>
              <w:t xml:space="preserve"> (March 2024)</w:t>
            </w:r>
            <w:r w:rsidR="4A36CA27" w:rsidRPr="210D0FC1">
              <w:rPr>
                <w:sz w:val="20"/>
                <w:szCs w:val="20"/>
              </w:rPr>
              <w:t xml:space="preserve">. </w:t>
            </w:r>
          </w:p>
          <w:p w14:paraId="79D07F4F" w14:textId="77777777" w:rsidR="00CC031A" w:rsidRDefault="00CC031A" w:rsidP="5C904374">
            <w:pPr>
              <w:rPr>
                <w:sz w:val="20"/>
                <w:szCs w:val="20"/>
              </w:rPr>
            </w:pPr>
          </w:p>
          <w:p w14:paraId="1FFE66F6" w14:textId="31347F5E" w:rsidR="00F67EE9" w:rsidRPr="00F67EE9" w:rsidRDefault="4A36CA27" w:rsidP="5C904374">
            <w:pPr>
              <w:rPr>
                <w:sz w:val="20"/>
                <w:szCs w:val="20"/>
              </w:rPr>
            </w:pPr>
            <w:r w:rsidRPr="4C9B8F9F">
              <w:rPr>
                <w:sz w:val="20"/>
                <w:szCs w:val="20"/>
              </w:rPr>
              <w:t xml:space="preserve">The Embassy will undertake an independent review of the VAC </w:t>
            </w:r>
            <w:r w:rsidR="3A0E4FC3" w:rsidRPr="4C9B8F9F">
              <w:rPr>
                <w:sz w:val="20"/>
                <w:szCs w:val="20"/>
              </w:rPr>
              <w:t>in 2024</w:t>
            </w:r>
            <w:r w:rsidRPr="4C9B8F9F">
              <w:rPr>
                <w:sz w:val="20"/>
                <w:szCs w:val="20"/>
              </w:rPr>
              <w:t xml:space="preserve">. </w:t>
            </w:r>
          </w:p>
        </w:tc>
      </w:tr>
      <w:tr w:rsidR="00F67EE9" w:rsidRPr="00F67EE9" w14:paraId="4F7599FF" w14:textId="77777777" w:rsidTr="7A7EA250">
        <w:tc>
          <w:tcPr>
            <w:tcW w:w="445" w:type="dxa"/>
            <w:tcBorders>
              <w:bottom w:val="single" w:sz="4" w:space="0" w:color="auto"/>
            </w:tcBorders>
          </w:tcPr>
          <w:p w14:paraId="5F3F1DDA" w14:textId="37C7B25C" w:rsidR="00F67EE9" w:rsidRPr="00F67EE9" w:rsidRDefault="00F67EE9" w:rsidP="00254261">
            <w:pPr>
              <w:rPr>
                <w:rFonts w:cstheme="minorHAnsi"/>
                <w:b/>
                <w:bCs/>
                <w:sz w:val="20"/>
                <w:szCs w:val="20"/>
              </w:rPr>
            </w:pPr>
            <w:r w:rsidRPr="00F67EE9">
              <w:rPr>
                <w:rFonts w:cstheme="minorHAnsi"/>
                <w:b/>
                <w:bCs/>
                <w:sz w:val="20"/>
                <w:szCs w:val="20"/>
              </w:rPr>
              <w:t>13</w:t>
            </w:r>
          </w:p>
        </w:tc>
        <w:tc>
          <w:tcPr>
            <w:tcW w:w="6354" w:type="dxa"/>
            <w:tcBorders>
              <w:bottom w:val="single" w:sz="4" w:space="0" w:color="auto"/>
            </w:tcBorders>
          </w:tcPr>
          <w:p w14:paraId="13691408" w14:textId="5BA37304" w:rsidR="00F67EE9" w:rsidRPr="00F67EE9" w:rsidRDefault="00F67EE9" w:rsidP="72F939A8">
            <w:pPr>
              <w:pStyle w:val="ListParagraph"/>
              <w:spacing w:after="240" w:line="252" w:lineRule="auto"/>
              <w:ind w:left="0"/>
              <w:rPr>
                <w:sz w:val="20"/>
                <w:szCs w:val="20"/>
                <w:lang w:val="en-AU"/>
              </w:rPr>
            </w:pPr>
            <w:r w:rsidRPr="72F939A8">
              <w:rPr>
                <w:sz w:val="20"/>
                <w:szCs w:val="20"/>
              </w:rPr>
              <w:t xml:space="preserve">All partners should remain alert to the importance of </w:t>
            </w:r>
            <w:r w:rsidRPr="72F939A8">
              <w:rPr>
                <w:sz w:val="20"/>
                <w:szCs w:val="20"/>
                <w:lang w:val="en-AU"/>
              </w:rPr>
              <w:t>clearly</w:t>
            </w:r>
            <w:r w:rsidRPr="72F939A8">
              <w:rPr>
                <w:sz w:val="20"/>
                <w:szCs w:val="20"/>
              </w:rPr>
              <w:t xml:space="preserve"> maintaining the commitment to, and visibility of, gender equality and women’s leadership within Aus4Skills, and particularly within VAC. Gender research and WILJ activities should receive – and be perceived to receive – at least as much attention, </w:t>
            </w:r>
            <w:proofErr w:type="gramStart"/>
            <w:r w:rsidRPr="72F939A8">
              <w:rPr>
                <w:sz w:val="20"/>
                <w:szCs w:val="20"/>
              </w:rPr>
              <w:t>priority</w:t>
            </w:r>
            <w:proofErr w:type="gramEnd"/>
            <w:r w:rsidRPr="72F939A8">
              <w:rPr>
                <w:sz w:val="20"/>
                <w:szCs w:val="20"/>
              </w:rPr>
              <w:t xml:space="preserve"> and prominence as other VAC activities</w:t>
            </w:r>
            <w:r w:rsidR="00293802" w:rsidRPr="72F939A8">
              <w:rPr>
                <w:sz w:val="20"/>
                <w:szCs w:val="20"/>
              </w:rPr>
              <w:t>.</w:t>
            </w:r>
          </w:p>
        </w:tc>
        <w:tc>
          <w:tcPr>
            <w:tcW w:w="7371" w:type="dxa"/>
            <w:tcBorders>
              <w:bottom w:val="single" w:sz="4" w:space="0" w:color="auto"/>
            </w:tcBorders>
          </w:tcPr>
          <w:p w14:paraId="6A7FFAE6" w14:textId="78B7DD76" w:rsidR="00F67EE9" w:rsidRPr="00F67EE9" w:rsidRDefault="00F67EE9" w:rsidP="00254261">
            <w:pPr>
              <w:rPr>
                <w:rStyle w:val="cf01"/>
                <w:b/>
                <w:bCs/>
              </w:rPr>
            </w:pPr>
            <w:r w:rsidRPr="00F67EE9">
              <w:rPr>
                <w:rStyle w:val="cf01"/>
                <w:b/>
                <w:bCs/>
              </w:rPr>
              <w:t>Agree</w:t>
            </w:r>
          </w:p>
          <w:p w14:paraId="1100340E" w14:textId="48AEAE0A" w:rsidR="00F67EE9" w:rsidRPr="00F67EE9" w:rsidRDefault="4A36CA27" w:rsidP="00F67EE9">
            <w:pPr>
              <w:pStyle w:val="ListParagraph"/>
              <w:spacing w:after="240" w:line="252" w:lineRule="auto"/>
              <w:ind w:left="0"/>
              <w:rPr>
                <w:sz w:val="20"/>
                <w:szCs w:val="20"/>
              </w:rPr>
            </w:pPr>
            <w:r w:rsidRPr="00F67EE9">
              <w:rPr>
                <w:sz w:val="20"/>
                <w:szCs w:val="20"/>
              </w:rPr>
              <w:t xml:space="preserve">DFAT’s commitment to gender equality and women’s leadership development remains a </w:t>
            </w:r>
            <w:r w:rsidR="3101E601" w:rsidRPr="210D0FC1">
              <w:rPr>
                <w:sz w:val="20"/>
                <w:szCs w:val="20"/>
              </w:rPr>
              <w:t xml:space="preserve">significant </w:t>
            </w:r>
            <w:r w:rsidRPr="00F67EE9">
              <w:rPr>
                <w:sz w:val="20"/>
                <w:szCs w:val="20"/>
              </w:rPr>
              <w:t xml:space="preserve">focus in VAC activities, aligns with DFAT’s International Development Policy, </w:t>
            </w:r>
            <w:r w:rsidR="60B16B5E" w:rsidRPr="00F67EE9">
              <w:rPr>
                <w:sz w:val="20"/>
                <w:szCs w:val="20"/>
              </w:rPr>
              <w:t xml:space="preserve">the </w:t>
            </w:r>
            <w:r w:rsidRPr="00F67EE9">
              <w:rPr>
                <w:sz w:val="20"/>
                <w:szCs w:val="20"/>
              </w:rPr>
              <w:t>Vietnam</w:t>
            </w:r>
            <w:r w:rsidR="38AE1334" w:rsidRPr="00F67EE9">
              <w:rPr>
                <w:sz w:val="20"/>
                <w:szCs w:val="20"/>
              </w:rPr>
              <w:t>-Australia</w:t>
            </w:r>
            <w:r w:rsidRPr="00F67EE9">
              <w:rPr>
                <w:sz w:val="20"/>
                <w:szCs w:val="20"/>
              </w:rPr>
              <w:t xml:space="preserve"> Development Partnership Plan </w:t>
            </w:r>
            <w:r w:rsidR="1022E5FC" w:rsidRPr="00F67EE9">
              <w:rPr>
                <w:sz w:val="20"/>
                <w:szCs w:val="20"/>
              </w:rPr>
              <w:t xml:space="preserve">(under development) </w:t>
            </w:r>
            <w:r w:rsidRPr="00F67EE9">
              <w:rPr>
                <w:sz w:val="20"/>
                <w:szCs w:val="20"/>
              </w:rPr>
              <w:t xml:space="preserve">and </w:t>
            </w:r>
            <w:r w:rsidR="1915EB32" w:rsidRPr="210D0FC1">
              <w:rPr>
                <w:sz w:val="20"/>
                <w:szCs w:val="20"/>
              </w:rPr>
              <w:t xml:space="preserve">Australia in </w:t>
            </w:r>
            <w:r w:rsidRPr="00370F05">
              <w:rPr>
                <w:sz w:val="20"/>
                <w:szCs w:val="20"/>
              </w:rPr>
              <w:t>Vietnam Equality Strategy.</w:t>
            </w:r>
            <w:r w:rsidRPr="00F67EE9">
              <w:rPr>
                <w:sz w:val="20"/>
                <w:szCs w:val="20"/>
                <w:shd w:val="clear" w:color="auto" w:fill="E6E6E6"/>
              </w:rPr>
              <w:t xml:space="preserve"> </w:t>
            </w:r>
          </w:p>
          <w:p w14:paraId="2671086F" w14:textId="77777777" w:rsidR="00F67EE9" w:rsidRPr="00F67EE9" w:rsidRDefault="00F67EE9" w:rsidP="00F67EE9">
            <w:pPr>
              <w:pStyle w:val="ListParagraph"/>
              <w:spacing w:after="240" w:line="252" w:lineRule="auto"/>
              <w:ind w:left="0"/>
              <w:rPr>
                <w:sz w:val="20"/>
                <w:szCs w:val="20"/>
              </w:rPr>
            </w:pPr>
          </w:p>
          <w:p w14:paraId="5ED08724" w14:textId="5F8BA2C2" w:rsidR="00F67EE9" w:rsidRPr="00F67EE9" w:rsidRDefault="4A36CA27" w:rsidP="5C904374">
            <w:pPr>
              <w:pStyle w:val="ListParagraph"/>
              <w:spacing w:after="240" w:line="252" w:lineRule="auto"/>
              <w:ind w:left="0"/>
              <w:rPr>
                <w:sz w:val="20"/>
                <w:szCs w:val="20"/>
              </w:rPr>
            </w:pPr>
            <w:r w:rsidRPr="210D0FC1">
              <w:rPr>
                <w:sz w:val="20"/>
                <w:szCs w:val="20"/>
              </w:rPr>
              <w:t xml:space="preserve">VAC has supported its foundational partners (HCMA, MOFA, OOG) to promote women’s leadership and women’s empowerment within their portfolios, and in the broader public sector, and will continue this agenda. </w:t>
            </w:r>
            <w:r w:rsidR="2FAAF7F2" w:rsidRPr="210D0FC1">
              <w:rPr>
                <w:sz w:val="20"/>
                <w:szCs w:val="20"/>
              </w:rPr>
              <w:t xml:space="preserve">This includes but is not limited to Women in Leadership Journey short courses, </w:t>
            </w:r>
            <w:proofErr w:type="spellStart"/>
            <w:r w:rsidR="2FAAF7F2" w:rsidRPr="210D0FC1">
              <w:rPr>
                <w:sz w:val="20"/>
                <w:szCs w:val="20"/>
              </w:rPr>
              <w:t>G</w:t>
            </w:r>
            <w:r w:rsidR="2B8E1F72" w:rsidRPr="210D0FC1">
              <w:rPr>
                <w:sz w:val="20"/>
                <w:szCs w:val="20"/>
              </w:rPr>
              <w:t>e</w:t>
            </w:r>
            <w:r w:rsidR="2FAAF7F2" w:rsidRPr="210D0FC1">
              <w:rPr>
                <w:sz w:val="20"/>
                <w:szCs w:val="20"/>
              </w:rPr>
              <w:t>LEAD</w:t>
            </w:r>
            <w:proofErr w:type="spellEnd"/>
            <w:r w:rsidR="2FAAF7F2" w:rsidRPr="210D0FC1">
              <w:rPr>
                <w:sz w:val="20"/>
                <w:szCs w:val="20"/>
              </w:rPr>
              <w:t xml:space="preserve"> partnership</w:t>
            </w:r>
            <w:r w:rsidR="2B8D6F52" w:rsidRPr="210D0FC1">
              <w:rPr>
                <w:sz w:val="20"/>
                <w:szCs w:val="20"/>
              </w:rPr>
              <w:t xml:space="preserve"> and GEDSI mainstreaming.</w:t>
            </w:r>
            <w:r w:rsidR="2FAAF7F2" w:rsidRPr="210D0FC1">
              <w:rPr>
                <w:sz w:val="20"/>
                <w:szCs w:val="20"/>
              </w:rPr>
              <w:t xml:space="preserve"> </w:t>
            </w:r>
          </w:p>
          <w:p w14:paraId="41323698" w14:textId="0363CF34" w:rsidR="00F67EE9" w:rsidRPr="00F67EE9" w:rsidRDefault="00F67EE9" w:rsidP="5C904374">
            <w:pPr>
              <w:pStyle w:val="ListParagraph"/>
              <w:spacing w:after="240" w:line="252" w:lineRule="auto"/>
              <w:ind w:left="0"/>
              <w:rPr>
                <w:sz w:val="20"/>
                <w:szCs w:val="20"/>
              </w:rPr>
            </w:pPr>
          </w:p>
        </w:tc>
      </w:tr>
      <w:tr w:rsidR="00F67EE9" w:rsidRPr="00F67EE9" w14:paraId="70B19151" w14:textId="77777777" w:rsidTr="7A7EA250">
        <w:tc>
          <w:tcPr>
            <w:tcW w:w="445" w:type="dxa"/>
            <w:tcBorders>
              <w:bottom w:val="single" w:sz="4" w:space="0" w:color="auto"/>
            </w:tcBorders>
          </w:tcPr>
          <w:p w14:paraId="3204F370" w14:textId="6F72DD49" w:rsidR="00F67EE9" w:rsidRPr="00F67EE9" w:rsidRDefault="00F67EE9" w:rsidP="00D516A5">
            <w:pPr>
              <w:rPr>
                <w:rFonts w:cstheme="minorHAnsi"/>
                <w:b/>
                <w:bCs/>
                <w:sz w:val="20"/>
                <w:szCs w:val="20"/>
              </w:rPr>
            </w:pPr>
            <w:r w:rsidRPr="00F67EE9">
              <w:rPr>
                <w:rFonts w:cstheme="minorHAnsi"/>
                <w:b/>
                <w:bCs/>
                <w:sz w:val="20"/>
                <w:szCs w:val="20"/>
              </w:rPr>
              <w:t>14</w:t>
            </w:r>
          </w:p>
        </w:tc>
        <w:tc>
          <w:tcPr>
            <w:tcW w:w="6354" w:type="dxa"/>
            <w:tcBorders>
              <w:bottom w:val="single" w:sz="4" w:space="0" w:color="auto"/>
            </w:tcBorders>
          </w:tcPr>
          <w:p w14:paraId="02FBE63C" w14:textId="4B8C2B29" w:rsidR="00F67EE9" w:rsidRPr="00F67EE9" w:rsidRDefault="00F67EE9" w:rsidP="72F939A8">
            <w:pPr>
              <w:pStyle w:val="ListParagraph"/>
              <w:spacing w:after="240" w:line="252" w:lineRule="auto"/>
              <w:ind w:left="0"/>
              <w:rPr>
                <w:sz w:val="20"/>
                <w:szCs w:val="20"/>
              </w:rPr>
            </w:pPr>
            <w:r w:rsidRPr="72F939A8">
              <w:rPr>
                <w:sz w:val="20"/>
                <w:szCs w:val="20"/>
                <w:lang w:val="en-AU"/>
              </w:rPr>
              <w:t xml:space="preserve">Attempts to create a </w:t>
            </w:r>
            <w:r w:rsidRPr="72F939A8">
              <w:rPr>
                <w:sz w:val="20"/>
                <w:szCs w:val="20"/>
              </w:rPr>
              <w:t>VAC</w:t>
            </w:r>
            <w:r w:rsidRPr="72F939A8">
              <w:rPr>
                <w:sz w:val="20"/>
                <w:szCs w:val="20"/>
                <w:lang w:val="en-AU"/>
              </w:rPr>
              <w:t xml:space="preserve"> Alumni Network should be abandoned in favour of directing Program (and DFAT) resources towards other more appropriate approaches to support the creation of robust and meaningful networks through VAC activities. A focus on communities of practice which have meaningful value for participants, such as that within WILJ, would likely be more worthwhile. </w:t>
            </w:r>
          </w:p>
        </w:tc>
        <w:tc>
          <w:tcPr>
            <w:tcW w:w="7371" w:type="dxa"/>
            <w:tcBorders>
              <w:bottom w:val="single" w:sz="4" w:space="0" w:color="auto"/>
            </w:tcBorders>
          </w:tcPr>
          <w:p w14:paraId="202A2CA8" w14:textId="3211BBDD" w:rsidR="00F67EE9" w:rsidRPr="00F67EE9" w:rsidRDefault="47FB633C" w:rsidP="4C9B8F9F">
            <w:pPr>
              <w:rPr>
                <w:b/>
                <w:bCs/>
                <w:sz w:val="20"/>
                <w:szCs w:val="20"/>
              </w:rPr>
            </w:pPr>
            <w:r w:rsidRPr="4C9B8F9F">
              <w:rPr>
                <w:b/>
                <w:bCs/>
                <w:sz w:val="20"/>
                <w:szCs w:val="20"/>
              </w:rPr>
              <w:t xml:space="preserve">Partially </w:t>
            </w:r>
            <w:proofErr w:type="gramStart"/>
            <w:r w:rsidR="0095404C">
              <w:rPr>
                <w:b/>
                <w:bCs/>
                <w:sz w:val="20"/>
                <w:szCs w:val="20"/>
              </w:rPr>
              <w:t>a</w:t>
            </w:r>
            <w:r w:rsidR="4A36CA27" w:rsidRPr="4C9B8F9F">
              <w:rPr>
                <w:b/>
                <w:bCs/>
                <w:sz w:val="20"/>
                <w:szCs w:val="20"/>
              </w:rPr>
              <w:t>gree</w:t>
            </w:r>
            <w:proofErr w:type="gramEnd"/>
          </w:p>
          <w:p w14:paraId="5D156AF5" w14:textId="77777777" w:rsidR="004406A1" w:rsidRDefault="00F67EE9" w:rsidP="5C904374">
            <w:pPr>
              <w:rPr>
                <w:sz w:val="20"/>
                <w:szCs w:val="20"/>
              </w:rPr>
            </w:pPr>
            <w:r w:rsidRPr="00F67EE9">
              <w:rPr>
                <w:sz w:val="20"/>
                <w:szCs w:val="20"/>
              </w:rPr>
              <w:t xml:space="preserve">Work-in-progress to formulate the WILJ community of practice (COP) as a pilot activity to inform the establishment of future COPs. </w:t>
            </w:r>
          </w:p>
          <w:p w14:paraId="361E9122" w14:textId="77777777" w:rsidR="004406A1" w:rsidRDefault="004406A1" w:rsidP="5C904374">
            <w:pPr>
              <w:rPr>
                <w:sz w:val="20"/>
                <w:szCs w:val="20"/>
              </w:rPr>
            </w:pPr>
          </w:p>
          <w:p w14:paraId="38D5D06D" w14:textId="01F77C67" w:rsidR="00F67EE9" w:rsidRPr="00F67EE9" w:rsidRDefault="1961F2F6" w:rsidP="4C9B8F9F">
            <w:pPr>
              <w:rPr>
                <w:sz w:val="20"/>
                <w:szCs w:val="20"/>
              </w:rPr>
            </w:pPr>
            <w:r w:rsidRPr="210D0FC1">
              <w:rPr>
                <w:sz w:val="20"/>
                <w:szCs w:val="20"/>
              </w:rPr>
              <w:t>Australian alumni network in Vietnam is approximately 100,000 and nurturing this network including VAC remains a global and bilateral focus. Th</w:t>
            </w:r>
            <w:r w:rsidR="2536DC57" w:rsidRPr="210D0FC1">
              <w:rPr>
                <w:sz w:val="20"/>
                <w:szCs w:val="20"/>
              </w:rPr>
              <w:t>e Southeast Asia Economic Strategy suggests we strengthe</w:t>
            </w:r>
            <w:r w:rsidR="4ABD0375" w:rsidRPr="210D0FC1">
              <w:rPr>
                <w:sz w:val="20"/>
                <w:szCs w:val="20"/>
              </w:rPr>
              <w:t xml:space="preserve">n alumni engagement which DFAT is considering. </w:t>
            </w:r>
            <w:r w:rsidR="4E4F04CC" w:rsidRPr="210D0FC1">
              <w:rPr>
                <w:sz w:val="20"/>
                <w:szCs w:val="20"/>
              </w:rPr>
              <w:t>(</w:t>
            </w:r>
            <w:r w:rsidR="4ABD0375" w:rsidRPr="210D0FC1">
              <w:rPr>
                <w:sz w:val="20"/>
                <w:szCs w:val="20"/>
              </w:rPr>
              <w:t>See recommendation</w:t>
            </w:r>
            <w:r w:rsidR="43DBD695" w:rsidRPr="210D0FC1">
              <w:rPr>
                <w:sz w:val="20"/>
                <w:szCs w:val="20"/>
              </w:rPr>
              <w:t>s</w:t>
            </w:r>
            <w:r w:rsidR="4ABD0375" w:rsidRPr="210D0FC1">
              <w:rPr>
                <w:sz w:val="20"/>
                <w:szCs w:val="20"/>
              </w:rPr>
              <w:t xml:space="preserve"> </w:t>
            </w:r>
            <w:r w:rsidR="7F44F65C" w:rsidRPr="210D0FC1">
              <w:rPr>
                <w:sz w:val="20"/>
                <w:szCs w:val="20"/>
              </w:rPr>
              <w:t>No.</w:t>
            </w:r>
            <w:r w:rsidR="4ABD0375" w:rsidRPr="210D0FC1">
              <w:rPr>
                <w:sz w:val="20"/>
                <w:szCs w:val="20"/>
              </w:rPr>
              <w:t xml:space="preserve">2 </w:t>
            </w:r>
            <w:r w:rsidR="4CF70B68" w:rsidRPr="210D0FC1">
              <w:rPr>
                <w:sz w:val="20"/>
                <w:szCs w:val="20"/>
              </w:rPr>
              <w:t>and</w:t>
            </w:r>
            <w:r w:rsidR="4ABD0375" w:rsidRPr="210D0FC1">
              <w:rPr>
                <w:sz w:val="20"/>
                <w:szCs w:val="20"/>
              </w:rPr>
              <w:t xml:space="preserve"> </w:t>
            </w:r>
            <w:r w:rsidR="01C7151E" w:rsidRPr="210D0FC1">
              <w:rPr>
                <w:sz w:val="20"/>
                <w:szCs w:val="20"/>
              </w:rPr>
              <w:t>No.</w:t>
            </w:r>
            <w:r w:rsidR="4ABD0375" w:rsidRPr="210D0FC1">
              <w:rPr>
                <w:sz w:val="20"/>
                <w:szCs w:val="20"/>
              </w:rPr>
              <w:t>3</w:t>
            </w:r>
            <w:r w:rsidR="2EB8205C" w:rsidRPr="210D0FC1">
              <w:rPr>
                <w:sz w:val="20"/>
                <w:szCs w:val="20"/>
              </w:rPr>
              <w:t xml:space="preserve"> above</w:t>
            </w:r>
            <w:r w:rsidR="14AB6939" w:rsidRPr="210D0FC1">
              <w:rPr>
                <w:sz w:val="20"/>
                <w:szCs w:val="20"/>
              </w:rPr>
              <w:t>)</w:t>
            </w:r>
            <w:r w:rsidR="4ABD0375" w:rsidRPr="210D0FC1">
              <w:rPr>
                <w:sz w:val="20"/>
                <w:szCs w:val="20"/>
              </w:rPr>
              <w:t>.</w:t>
            </w:r>
          </w:p>
          <w:p w14:paraId="14BC3768" w14:textId="6EFADF18" w:rsidR="00F67EE9" w:rsidRPr="00F67EE9" w:rsidRDefault="00F67EE9" w:rsidP="00D516A5">
            <w:pPr>
              <w:rPr>
                <w:rFonts w:cstheme="minorHAnsi"/>
                <w:sz w:val="20"/>
                <w:szCs w:val="20"/>
              </w:rPr>
            </w:pPr>
          </w:p>
        </w:tc>
      </w:tr>
    </w:tbl>
    <w:p w14:paraId="435122EF" w14:textId="6D0B6216" w:rsidR="00A5413D" w:rsidRDefault="00A5413D">
      <w:pPr>
        <w:rPr>
          <w:b/>
          <w:bCs/>
        </w:rPr>
      </w:pPr>
    </w:p>
    <w:p w14:paraId="7E05DAB2" w14:textId="77777777" w:rsidR="00183FB1" w:rsidRDefault="00183FB1">
      <w:pPr>
        <w:rPr>
          <w:b/>
          <w:bCs/>
        </w:rPr>
      </w:pPr>
    </w:p>
    <w:p w14:paraId="7AD836D2" w14:textId="1E0DA483" w:rsidR="00A5413D" w:rsidRDefault="00A5413D" w:rsidP="00A5413D">
      <w:pPr>
        <w:pStyle w:val="Heading2"/>
      </w:pPr>
      <w:r w:rsidRPr="00F67EE9">
        <w:t>Efficiency</w:t>
      </w:r>
    </w:p>
    <w:tbl>
      <w:tblPr>
        <w:tblStyle w:val="TableGrid"/>
        <w:tblW w:w="14725" w:type="dxa"/>
        <w:tblLook w:val="04A0" w:firstRow="1" w:lastRow="0" w:firstColumn="1" w:lastColumn="0" w:noHBand="0" w:noVBand="1"/>
      </w:tblPr>
      <w:tblGrid>
        <w:gridCol w:w="555"/>
        <w:gridCol w:w="6560"/>
        <w:gridCol w:w="7610"/>
      </w:tblGrid>
      <w:tr w:rsidR="001815AF" w:rsidRPr="00F67EE9" w14:paraId="13CAF266" w14:textId="77777777" w:rsidTr="001815AF">
        <w:trPr>
          <w:tblHeader/>
        </w:trPr>
        <w:tc>
          <w:tcPr>
            <w:tcW w:w="555" w:type="dxa"/>
            <w:tcBorders>
              <w:left w:val="single" w:sz="4" w:space="0" w:color="auto"/>
              <w:right w:val="single" w:sz="4" w:space="0" w:color="auto"/>
            </w:tcBorders>
            <w:shd w:val="clear" w:color="auto" w:fill="E7E6E6" w:themeFill="background2"/>
          </w:tcPr>
          <w:p w14:paraId="57D26931" w14:textId="3CB2CF16" w:rsidR="001815AF" w:rsidRPr="00F67EE9" w:rsidRDefault="001815AF" w:rsidP="00A5413D">
            <w:pPr>
              <w:spacing w:before="60" w:after="60"/>
              <w:rPr>
                <w:rFonts w:cstheme="minorHAnsi"/>
                <w:b/>
                <w:bCs/>
                <w:sz w:val="20"/>
                <w:szCs w:val="20"/>
              </w:rPr>
            </w:pPr>
            <w:r>
              <w:rPr>
                <w:rFonts w:cstheme="minorHAnsi"/>
                <w:b/>
                <w:bCs/>
                <w:sz w:val="20"/>
                <w:szCs w:val="20"/>
              </w:rPr>
              <w:t>No</w:t>
            </w:r>
          </w:p>
        </w:tc>
        <w:tc>
          <w:tcPr>
            <w:tcW w:w="6560" w:type="dxa"/>
            <w:tcBorders>
              <w:left w:val="single" w:sz="4" w:space="0" w:color="auto"/>
              <w:right w:val="single" w:sz="4" w:space="0" w:color="auto"/>
            </w:tcBorders>
            <w:shd w:val="clear" w:color="auto" w:fill="E7E6E6" w:themeFill="background2"/>
          </w:tcPr>
          <w:p w14:paraId="7646AE53" w14:textId="44464BB0" w:rsidR="001815AF" w:rsidRPr="00F67EE9" w:rsidRDefault="001815AF" w:rsidP="00A5413D">
            <w:pPr>
              <w:spacing w:before="60" w:after="60"/>
              <w:rPr>
                <w:rFonts w:cstheme="minorHAnsi"/>
                <w:b/>
                <w:bCs/>
                <w:sz w:val="20"/>
                <w:szCs w:val="20"/>
              </w:rPr>
            </w:pPr>
            <w:r w:rsidRPr="00F67EE9">
              <w:rPr>
                <w:rFonts w:cstheme="minorHAnsi"/>
                <w:b/>
                <w:bCs/>
                <w:sz w:val="20"/>
                <w:szCs w:val="20"/>
              </w:rPr>
              <w:t>Recommendation</w:t>
            </w:r>
          </w:p>
        </w:tc>
        <w:tc>
          <w:tcPr>
            <w:tcW w:w="7610" w:type="dxa"/>
            <w:tcBorders>
              <w:left w:val="single" w:sz="4" w:space="0" w:color="auto"/>
              <w:right w:val="single" w:sz="4" w:space="0" w:color="auto"/>
            </w:tcBorders>
            <w:shd w:val="clear" w:color="auto" w:fill="E7E6E6" w:themeFill="background2"/>
          </w:tcPr>
          <w:p w14:paraId="109A8AC9" w14:textId="786FE20C" w:rsidR="001815AF" w:rsidRPr="00F67EE9" w:rsidRDefault="001815AF" w:rsidP="00A5413D">
            <w:pPr>
              <w:spacing w:before="60" w:after="60"/>
              <w:rPr>
                <w:rFonts w:cstheme="minorHAnsi"/>
                <w:sz w:val="20"/>
                <w:szCs w:val="20"/>
              </w:rPr>
            </w:pPr>
            <w:r w:rsidRPr="00F67EE9">
              <w:rPr>
                <w:rFonts w:cstheme="minorHAnsi"/>
                <w:b/>
                <w:bCs/>
                <w:sz w:val="20"/>
                <w:szCs w:val="20"/>
              </w:rPr>
              <w:t>DFAT responses (</w:t>
            </w:r>
            <w:r w:rsidRPr="00F67EE9">
              <w:rPr>
                <w:rFonts w:cstheme="minorHAnsi"/>
                <w:b/>
                <w:bCs/>
                <w:i/>
                <w:iCs/>
                <w:sz w:val="20"/>
                <w:szCs w:val="20"/>
              </w:rPr>
              <w:t xml:space="preserve">completed by </w:t>
            </w:r>
            <w:r>
              <w:rPr>
                <w:rFonts w:cstheme="minorHAnsi"/>
                <w:b/>
                <w:bCs/>
                <w:i/>
                <w:iCs/>
                <w:sz w:val="20"/>
                <w:szCs w:val="20"/>
              </w:rPr>
              <w:t>end-</w:t>
            </w:r>
            <w:r w:rsidRPr="00F67EE9">
              <w:rPr>
                <w:rFonts w:cstheme="minorHAnsi"/>
                <w:b/>
                <w:bCs/>
                <w:i/>
                <w:iCs/>
                <w:sz w:val="20"/>
                <w:szCs w:val="20"/>
              </w:rPr>
              <w:t>April 2024</w:t>
            </w:r>
            <w:r w:rsidRPr="00F67EE9">
              <w:rPr>
                <w:rFonts w:cstheme="minorHAnsi"/>
                <w:b/>
                <w:bCs/>
                <w:sz w:val="20"/>
                <w:szCs w:val="20"/>
              </w:rPr>
              <w:t>)</w:t>
            </w:r>
          </w:p>
        </w:tc>
      </w:tr>
      <w:tr w:rsidR="001815AF" w:rsidRPr="00F67EE9" w14:paraId="484E649A" w14:textId="77777777" w:rsidTr="001815AF">
        <w:tc>
          <w:tcPr>
            <w:tcW w:w="555" w:type="dxa"/>
            <w:tcBorders>
              <w:bottom w:val="single" w:sz="4" w:space="0" w:color="auto"/>
            </w:tcBorders>
          </w:tcPr>
          <w:p w14:paraId="4371FD69" w14:textId="71C404E4" w:rsidR="001815AF" w:rsidRPr="001815AF" w:rsidRDefault="001815AF" w:rsidP="00A5413D">
            <w:pPr>
              <w:pStyle w:val="ListParagraph"/>
              <w:spacing w:after="240" w:line="252" w:lineRule="auto"/>
              <w:ind w:left="0"/>
              <w:rPr>
                <w:b/>
                <w:bCs/>
                <w:sz w:val="20"/>
                <w:szCs w:val="20"/>
                <w:lang w:val="en-AU"/>
              </w:rPr>
            </w:pPr>
            <w:r w:rsidRPr="001815AF">
              <w:rPr>
                <w:b/>
                <w:bCs/>
                <w:sz w:val="20"/>
                <w:szCs w:val="20"/>
                <w:lang w:val="en-AU"/>
              </w:rPr>
              <w:t>15</w:t>
            </w:r>
          </w:p>
        </w:tc>
        <w:tc>
          <w:tcPr>
            <w:tcW w:w="6560" w:type="dxa"/>
            <w:tcBorders>
              <w:bottom w:val="single" w:sz="4" w:space="0" w:color="auto"/>
            </w:tcBorders>
          </w:tcPr>
          <w:p w14:paraId="6BC2016D" w14:textId="2DA8E550" w:rsidR="001815AF" w:rsidRPr="00F67EE9" w:rsidRDefault="001815AF" w:rsidP="00A5413D">
            <w:pPr>
              <w:pStyle w:val="ListParagraph"/>
              <w:spacing w:after="240" w:line="252" w:lineRule="auto"/>
              <w:ind w:left="0"/>
              <w:rPr>
                <w:sz w:val="20"/>
                <w:szCs w:val="20"/>
                <w:lang w:val="en-AU"/>
              </w:rPr>
            </w:pPr>
            <w:r w:rsidRPr="72F939A8">
              <w:rPr>
                <w:sz w:val="20"/>
                <w:szCs w:val="20"/>
                <w:lang w:val="en-AU"/>
              </w:rPr>
              <w:t>The Program should undertake a comprehensive assessment of areas where it can shift to greater utilisation of Vietnamese expertise and contractors, either as primary sub-contractors or as co-providers with the support of Australians. There should be a process of assessing the extent to which Australian providers are required for each planned activity, considering the extent to which there is an explicit priority on building Australian links within that activity.</w:t>
            </w:r>
          </w:p>
        </w:tc>
        <w:tc>
          <w:tcPr>
            <w:tcW w:w="7610" w:type="dxa"/>
            <w:tcBorders>
              <w:bottom w:val="single" w:sz="4" w:space="0" w:color="auto"/>
            </w:tcBorders>
          </w:tcPr>
          <w:p w14:paraId="0CBDB2A7" w14:textId="77777777" w:rsidR="001815AF" w:rsidRPr="00F67EE9" w:rsidRDefault="001815AF" w:rsidP="00A5413D">
            <w:pPr>
              <w:rPr>
                <w:rFonts w:cstheme="minorHAnsi"/>
                <w:b/>
                <w:bCs/>
                <w:sz w:val="20"/>
                <w:szCs w:val="20"/>
              </w:rPr>
            </w:pPr>
            <w:r w:rsidRPr="00F67EE9">
              <w:rPr>
                <w:rFonts w:cstheme="minorHAnsi"/>
                <w:b/>
                <w:bCs/>
                <w:sz w:val="20"/>
                <w:szCs w:val="20"/>
              </w:rPr>
              <w:t>Agree</w:t>
            </w:r>
          </w:p>
          <w:p w14:paraId="647B747A" w14:textId="77777777" w:rsidR="001815AF" w:rsidRPr="00F67EE9" w:rsidRDefault="001815AF" w:rsidP="00A5413D">
            <w:pPr>
              <w:spacing w:line="259" w:lineRule="auto"/>
              <w:rPr>
                <w:sz w:val="20"/>
                <w:szCs w:val="20"/>
              </w:rPr>
            </w:pPr>
            <w:r w:rsidRPr="7A7EA250">
              <w:rPr>
                <w:sz w:val="20"/>
                <w:szCs w:val="20"/>
              </w:rPr>
              <w:t xml:space="preserve">In June 2024, DFAT released guidance for </w:t>
            </w:r>
            <w:proofErr w:type="spellStart"/>
            <w:r w:rsidRPr="7A7EA250">
              <w:rPr>
                <w:sz w:val="20"/>
                <w:szCs w:val="20"/>
              </w:rPr>
              <w:t>localisation</w:t>
            </w:r>
            <w:proofErr w:type="spellEnd"/>
            <w:r w:rsidRPr="7A7EA250">
              <w:rPr>
                <w:sz w:val="20"/>
                <w:szCs w:val="20"/>
              </w:rPr>
              <w:t xml:space="preserve"> in the development program as per Australia’s 2023 International Development </w:t>
            </w:r>
            <w:proofErr w:type="gramStart"/>
            <w:r w:rsidRPr="7A7EA250">
              <w:rPr>
                <w:sz w:val="20"/>
                <w:szCs w:val="20"/>
              </w:rPr>
              <w:t>Policy..</w:t>
            </w:r>
            <w:proofErr w:type="gramEnd"/>
            <w:r w:rsidRPr="7A7EA250">
              <w:rPr>
                <w:sz w:val="20"/>
                <w:szCs w:val="20"/>
              </w:rPr>
              <w:t xml:space="preserve"> In June 2024, DFAT released guidance for </w:t>
            </w:r>
            <w:proofErr w:type="spellStart"/>
            <w:r w:rsidRPr="7A7EA250">
              <w:rPr>
                <w:sz w:val="20"/>
                <w:szCs w:val="20"/>
              </w:rPr>
              <w:t>localisation</w:t>
            </w:r>
            <w:proofErr w:type="spellEnd"/>
            <w:r w:rsidRPr="7A7EA250">
              <w:rPr>
                <w:sz w:val="20"/>
                <w:szCs w:val="20"/>
              </w:rPr>
              <w:t xml:space="preserve"> in the development program as per Australia’s 2023 International Development Policy. DFAT will consider how this applies to Aus4Skills.</w:t>
            </w:r>
          </w:p>
          <w:p w14:paraId="6F3054EB" w14:textId="77777777" w:rsidR="001815AF" w:rsidRPr="00F67EE9" w:rsidRDefault="001815AF" w:rsidP="00A5413D">
            <w:pPr>
              <w:rPr>
                <w:rFonts w:cstheme="minorHAnsi"/>
                <w:sz w:val="20"/>
                <w:szCs w:val="20"/>
              </w:rPr>
            </w:pPr>
          </w:p>
          <w:p w14:paraId="2C36AB17" w14:textId="77777777" w:rsidR="001815AF" w:rsidRPr="00F67EE9" w:rsidRDefault="001815AF" w:rsidP="00A5413D">
            <w:pPr>
              <w:rPr>
                <w:sz w:val="20"/>
                <w:szCs w:val="20"/>
              </w:rPr>
            </w:pPr>
          </w:p>
        </w:tc>
      </w:tr>
      <w:tr w:rsidR="001815AF" w:rsidRPr="00F67EE9" w14:paraId="5D149DB7" w14:textId="77777777" w:rsidTr="001815AF">
        <w:tc>
          <w:tcPr>
            <w:tcW w:w="555" w:type="dxa"/>
            <w:tcBorders>
              <w:bottom w:val="single" w:sz="4" w:space="0" w:color="auto"/>
            </w:tcBorders>
          </w:tcPr>
          <w:p w14:paraId="0A04EBA2" w14:textId="31B3D822" w:rsidR="001815AF" w:rsidRPr="001815AF" w:rsidRDefault="001815AF" w:rsidP="00A5413D">
            <w:pPr>
              <w:pStyle w:val="ListParagraph"/>
              <w:spacing w:after="240" w:line="252" w:lineRule="auto"/>
              <w:ind w:left="0"/>
              <w:contextualSpacing w:val="0"/>
              <w:rPr>
                <w:rFonts w:cstheme="minorHAnsi"/>
                <w:b/>
                <w:bCs/>
                <w:sz w:val="20"/>
                <w:szCs w:val="20"/>
                <w:lang w:val="en-AU"/>
              </w:rPr>
            </w:pPr>
            <w:r w:rsidRPr="001815AF">
              <w:rPr>
                <w:rFonts w:cstheme="minorHAnsi"/>
                <w:b/>
                <w:bCs/>
                <w:sz w:val="20"/>
                <w:szCs w:val="20"/>
                <w:lang w:val="en-AU"/>
              </w:rPr>
              <w:t>16</w:t>
            </w:r>
          </w:p>
        </w:tc>
        <w:tc>
          <w:tcPr>
            <w:tcW w:w="6560" w:type="dxa"/>
            <w:tcBorders>
              <w:bottom w:val="single" w:sz="4" w:space="0" w:color="auto"/>
            </w:tcBorders>
          </w:tcPr>
          <w:p w14:paraId="02763A38" w14:textId="473CFEB9" w:rsidR="001815AF" w:rsidRPr="00F67EE9" w:rsidRDefault="001815AF" w:rsidP="00A5413D">
            <w:pPr>
              <w:pStyle w:val="ListParagraph"/>
              <w:spacing w:after="240" w:line="252" w:lineRule="auto"/>
              <w:ind w:left="0"/>
              <w:contextualSpacing w:val="0"/>
              <w:rPr>
                <w:rFonts w:cstheme="minorHAnsi"/>
                <w:sz w:val="20"/>
                <w:szCs w:val="20"/>
                <w:lang w:val="en-AU"/>
              </w:rPr>
            </w:pPr>
            <w:r w:rsidRPr="00F67EE9">
              <w:rPr>
                <w:rFonts w:cstheme="minorHAnsi"/>
                <w:sz w:val="20"/>
                <w:szCs w:val="20"/>
                <w:lang w:val="en-AU"/>
              </w:rPr>
              <w:t>Working within what is possible in the DFAT context, the Program and DFAT should assess the feasibility of, then develop and pilot split site Australia Awards offerings which would combine in-Vietnam and in-Australia studies while also creating potentially more scholarships opportunities within the same budget envelope.</w:t>
            </w:r>
          </w:p>
        </w:tc>
        <w:tc>
          <w:tcPr>
            <w:tcW w:w="7610" w:type="dxa"/>
            <w:tcBorders>
              <w:bottom w:val="single" w:sz="4" w:space="0" w:color="auto"/>
            </w:tcBorders>
            <w:shd w:val="clear" w:color="auto" w:fill="auto"/>
          </w:tcPr>
          <w:p w14:paraId="0CA43AC2" w14:textId="77777777" w:rsidR="001815AF" w:rsidRPr="00F67EE9" w:rsidRDefault="001815AF" w:rsidP="00A5413D">
            <w:pPr>
              <w:rPr>
                <w:rFonts w:cstheme="minorHAnsi"/>
                <w:b/>
                <w:bCs/>
                <w:sz w:val="20"/>
                <w:szCs w:val="20"/>
              </w:rPr>
            </w:pPr>
            <w:r w:rsidRPr="00F67EE9">
              <w:rPr>
                <w:rFonts w:cstheme="minorHAnsi"/>
                <w:b/>
                <w:bCs/>
                <w:sz w:val="20"/>
                <w:szCs w:val="20"/>
              </w:rPr>
              <w:t>Agree</w:t>
            </w:r>
          </w:p>
          <w:p w14:paraId="136ED1BD" w14:textId="77777777" w:rsidR="001815AF" w:rsidRPr="00F67EE9" w:rsidRDefault="001815AF" w:rsidP="00A5413D">
            <w:pPr>
              <w:rPr>
                <w:sz w:val="20"/>
                <w:szCs w:val="20"/>
              </w:rPr>
            </w:pPr>
            <w:r w:rsidRPr="00F67EE9">
              <w:rPr>
                <w:sz w:val="20"/>
                <w:szCs w:val="20"/>
              </w:rPr>
              <w:t xml:space="preserve">An Options Paper covering possibilities for split-site study options to increase access and attractive of Australia Awards Scholarships (AAS) was produced in March 2024 following a recommendation under reviews on AAS Assessment and Selection and Targeting and Promotions in late 2023. </w:t>
            </w:r>
          </w:p>
          <w:p w14:paraId="1D70FF0B" w14:textId="77777777" w:rsidR="001815AF" w:rsidRPr="00F67EE9" w:rsidRDefault="001815AF" w:rsidP="00A5413D">
            <w:pPr>
              <w:rPr>
                <w:rFonts w:cstheme="minorHAnsi"/>
                <w:sz w:val="20"/>
                <w:szCs w:val="20"/>
              </w:rPr>
            </w:pPr>
          </w:p>
          <w:p w14:paraId="12F506DA" w14:textId="77777777" w:rsidR="001815AF" w:rsidRPr="00F67EE9" w:rsidRDefault="001815AF" w:rsidP="00A5413D">
            <w:pPr>
              <w:rPr>
                <w:sz w:val="20"/>
                <w:szCs w:val="20"/>
              </w:rPr>
            </w:pPr>
            <w:r w:rsidRPr="7A7EA250">
              <w:rPr>
                <w:sz w:val="20"/>
                <w:szCs w:val="20"/>
              </w:rPr>
              <w:t xml:space="preserve">DFAT is considering the feasibility of the Options Paper in the future design.  </w:t>
            </w:r>
          </w:p>
        </w:tc>
      </w:tr>
      <w:tr w:rsidR="001815AF" w:rsidRPr="00D907F5" w14:paraId="7ED2CD59" w14:textId="77777777" w:rsidTr="001815AF">
        <w:tc>
          <w:tcPr>
            <w:tcW w:w="555" w:type="dxa"/>
            <w:tcBorders>
              <w:bottom w:val="single" w:sz="4" w:space="0" w:color="auto"/>
            </w:tcBorders>
          </w:tcPr>
          <w:p w14:paraId="74F0D8E0" w14:textId="0E06B8ED" w:rsidR="001815AF" w:rsidRPr="001815AF" w:rsidRDefault="001815AF" w:rsidP="00A5413D">
            <w:pPr>
              <w:pStyle w:val="ListParagraph"/>
              <w:spacing w:after="240" w:line="252" w:lineRule="auto"/>
              <w:ind w:left="0"/>
              <w:rPr>
                <w:b/>
                <w:bCs/>
                <w:sz w:val="20"/>
                <w:szCs w:val="20"/>
                <w:lang w:val="en-AU"/>
              </w:rPr>
            </w:pPr>
            <w:r w:rsidRPr="001815AF">
              <w:rPr>
                <w:b/>
                <w:bCs/>
                <w:sz w:val="20"/>
                <w:szCs w:val="20"/>
                <w:lang w:val="en-AU"/>
              </w:rPr>
              <w:t>17</w:t>
            </w:r>
          </w:p>
        </w:tc>
        <w:tc>
          <w:tcPr>
            <w:tcW w:w="6560" w:type="dxa"/>
            <w:tcBorders>
              <w:bottom w:val="single" w:sz="4" w:space="0" w:color="auto"/>
            </w:tcBorders>
          </w:tcPr>
          <w:p w14:paraId="7AF366BB" w14:textId="78A88B31" w:rsidR="001815AF" w:rsidRPr="00D907F5" w:rsidRDefault="001815AF" w:rsidP="00A5413D">
            <w:pPr>
              <w:pStyle w:val="ListParagraph"/>
              <w:spacing w:after="240" w:line="252" w:lineRule="auto"/>
              <w:ind w:left="0"/>
              <w:rPr>
                <w:sz w:val="20"/>
                <w:szCs w:val="20"/>
              </w:rPr>
            </w:pPr>
            <w:r w:rsidRPr="00D907F5">
              <w:rPr>
                <w:sz w:val="20"/>
                <w:szCs w:val="20"/>
                <w:lang w:val="en-AU"/>
              </w:rPr>
              <w:t>With the shifting focus towards more strategic approaches to achieving the EOPOs, the Program should consider adding more expertise in strategic and policy engagement in the Vietnam context. This could take the form of short-term inputs (either Vietnamese and/or international), or the addition of full-time personnel roles, to complement the ongoing strategic work of DFAT and other Embassy officials.</w:t>
            </w:r>
          </w:p>
        </w:tc>
        <w:tc>
          <w:tcPr>
            <w:tcW w:w="7610" w:type="dxa"/>
            <w:tcBorders>
              <w:bottom w:val="single" w:sz="4" w:space="0" w:color="auto"/>
            </w:tcBorders>
          </w:tcPr>
          <w:p w14:paraId="66B91602" w14:textId="77777777" w:rsidR="001815AF" w:rsidRPr="002517FC" w:rsidRDefault="001815AF" w:rsidP="00A5413D">
            <w:pPr>
              <w:rPr>
                <w:b/>
                <w:bCs/>
                <w:sz w:val="20"/>
                <w:szCs w:val="20"/>
              </w:rPr>
            </w:pPr>
            <w:r w:rsidRPr="002517FC">
              <w:rPr>
                <w:b/>
                <w:bCs/>
                <w:sz w:val="20"/>
                <w:szCs w:val="20"/>
              </w:rPr>
              <w:t>Agree</w:t>
            </w:r>
          </w:p>
          <w:p w14:paraId="658E3127" w14:textId="77777777" w:rsidR="001815AF" w:rsidRPr="002517FC" w:rsidRDefault="001815AF" w:rsidP="00A5413D">
            <w:pPr>
              <w:rPr>
                <w:sz w:val="20"/>
                <w:szCs w:val="20"/>
              </w:rPr>
            </w:pPr>
          </w:p>
          <w:p w14:paraId="1B008AA0" w14:textId="77777777" w:rsidR="001815AF" w:rsidRPr="00D907F5" w:rsidRDefault="001815AF" w:rsidP="00A5413D">
            <w:pPr>
              <w:rPr>
                <w:sz w:val="20"/>
                <w:szCs w:val="20"/>
              </w:rPr>
            </w:pPr>
            <w:r w:rsidRPr="00D907F5">
              <w:rPr>
                <w:sz w:val="20"/>
                <w:szCs w:val="20"/>
              </w:rPr>
              <w:t xml:space="preserve">DFAT is considering drawing in appropriate expertise for both the remainder of Phase 2 and into the future design. </w:t>
            </w:r>
          </w:p>
        </w:tc>
      </w:tr>
      <w:tr w:rsidR="001815AF" w:rsidRPr="00F67EE9" w14:paraId="65606439" w14:textId="77777777" w:rsidTr="001815AF">
        <w:tc>
          <w:tcPr>
            <w:tcW w:w="555" w:type="dxa"/>
            <w:tcBorders>
              <w:bottom w:val="single" w:sz="4" w:space="0" w:color="auto"/>
            </w:tcBorders>
          </w:tcPr>
          <w:p w14:paraId="0C10AFA2" w14:textId="65DB0178" w:rsidR="001815AF" w:rsidRPr="001815AF" w:rsidRDefault="001815AF" w:rsidP="00A5413D">
            <w:pPr>
              <w:pStyle w:val="ListParagraph"/>
              <w:spacing w:after="240" w:line="252" w:lineRule="auto"/>
              <w:ind w:left="0"/>
              <w:contextualSpacing w:val="0"/>
              <w:rPr>
                <w:rFonts w:cstheme="minorHAnsi"/>
                <w:b/>
                <w:bCs/>
                <w:sz w:val="20"/>
                <w:szCs w:val="20"/>
                <w:lang w:val="en-AU"/>
              </w:rPr>
            </w:pPr>
            <w:r w:rsidRPr="001815AF">
              <w:rPr>
                <w:rFonts w:cstheme="minorHAnsi"/>
                <w:b/>
                <w:bCs/>
                <w:sz w:val="20"/>
                <w:szCs w:val="20"/>
                <w:lang w:val="en-AU"/>
              </w:rPr>
              <w:t>18</w:t>
            </w:r>
          </w:p>
        </w:tc>
        <w:tc>
          <w:tcPr>
            <w:tcW w:w="6560" w:type="dxa"/>
            <w:tcBorders>
              <w:bottom w:val="single" w:sz="4" w:space="0" w:color="auto"/>
            </w:tcBorders>
          </w:tcPr>
          <w:p w14:paraId="781CDC7E" w14:textId="5B23EB8F" w:rsidR="001815AF" w:rsidRPr="00F67EE9" w:rsidRDefault="001815AF" w:rsidP="00A5413D">
            <w:pPr>
              <w:pStyle w:val="ListParagraph"/>
              <w:spacing w:after="240" w:line="252" w:lineRule="auto"/>
              <w:ind w:left="0"/>
              <w:contextualSpacing w:val="0"/>
              <w:rPr>
                <w:rFonts w:cstheme="minorHAnsi"/>
                <w:sz w:val="20"/>
                <w:szCs w:val="20"/>
                <w:lang w:val="en-AU"/>
              </w:rPr>
            </w:pPr>
            <w:r w:rsidRPr="00F67EE9">
              <w:rPr>
                <w:rFonts w:cstheme="minorHAnsi"/>
                <w:sz w:val="20"/>
                <w:szCs w:val="20"/>
                <w:lang w:val="en-AU"/>
              </w:rPr>
              <w:t xml:space="preserve">DFAT is encouraged to review the workload and personnel allocations in the Embassy to ensure that the HRD team is sufficiently resourced to support the ongoing implementation of Aus4Skills (among other responsibilities) while also shepherding through the design of the next phase of HRD investment. </w:t>
            </w:r>
          </w:p>
        </w:tc>
        <w:tc>
          <w:tcPr>
            <w:tcW w:w="7610" w:type="dxa"/>
            <w:tcBorders>
              <w:bottom w:val="single" w:sz="4" w:space="0" w:color="auto"/>
            </w:tcBorders>
          </w:tcPr>
          <w:p w14:paraId="0643D612" w14:textId="77777777" w:rsidR="001815AF" w:rsidRPr="00F67EE9" w:rsidRDefault="001815AF" w:rsidP="00A5413D">
            <w:pPr>
              <w:rPr>
                <w:rFonts w:cstheme="minorHAnsi"/>
                <w:b/>
                <w:bCs/>
                <w:sz w:val="20"/>
                <w:szCs w:val="20"/>
              </w:rPr>
            </w:pPr>
            <w:r w:rsidRPr="00F67EE9">
              <w:rPr>
                <w:rFonts w:cstheme="minorHAnsi"/>
                <w:b/>
                <w:bCs/>
                <w:sz w:val="20"/>
                <w:szCs w:val="20"/>
              </w:rPr>
              <w:t>Agree</w:t>
            </w:r>
          </w:p>
          <w:p w14:paraId="73783399" w14:textId="77777777" w:rsidR="001815AF" w:rsidRPr="00F67EE9" w:rsidRDefault="001815AF" w:rsidP="00A5413D">
            <w:pPr>
              <w:rPr>
                <w:sz w:val="20"/>
                <w:szCs w:val="20"/>
              </w:rPr>
            </w:pPr>
            <w:r w:rsidRPr="3A84FFDB">
              <w:rPr>
                <w:sz w:val="20"/>
                <w:szCs w:val="20"/>
              </w:rPr>
              <w:t xml:space="preserve">A Design Manager has been engaged by DFAT in April 2024 to assist with the HRD Design development, appraisal and approval </w:t>
            </w:r>
            <w:proofErr w:type="spellStart"/>
            <w:proofErr w:type="gramStart"/>
            <w:r w:rsidRPr="3A84FFDB">
              <w:rPr>
                <w:sz w:val="20"/>
                <w:szCs w:val="20"/>
              </w:rPr>
              <w:t>processes.A</w:t>
            </w:r>
            <w:proofErr w:type="spellEnd"/>
            <w:proofErr w:type="gramEnd"/>
            <w:r w:rsidRPr="3A84FFDB">
              <w:rPr>
                <w:sz w:val="20"/>
                <w:szCs w:val="20"/>
              </w:rPr>
              <w:t xml:space="preserve"> Design Manager </w:t>
            </w:r>
            <w:r w:rsidRPr="72F939A8">
              <w:rPr>
                <w:sz w:val="20"/>
                <w:szCs w:val="20"/>
              </w:rPr>
              <w:t>was</w:t>
            </w:r>
            <w:r w:rsidRPr="3A84FFDB">
              <w:rPr>
                <w:sz w:val="20"/>
                <w:szCs w:val="20"/>
              </w:rPr>
              <w:t xml:space="preserve"> engaged by DFAT in April 2024 to assist with the HRD Design development, appraisal and approval processes.</w:t>
            </w:r>
          </w:p>
        </w:tc>
      </w:tr>
    </w:tbl>
    <w:p w14:paraId="5CCC3380" w14:textId="7547A903" w:rsidR="001815AF" w:rsidRDefault="001815AF" w:rsidP="006E2538">
      <w:pPr>
        <w:pStyle w:val="Heading2"/>
      </w:pPr>
      <w:r>
        <w:br w:type="page"/>
      </w:r>
      <w:r w:rsidRPr="00F67EE9">
        <w:lastRenderedPageBreak/>
        <w:t>Monitoring and evaluation</w:t>
      </w:r>
      <w:r>
        <w:t xml:space="preserve"> (M&amp;E)</w:t>
      </w:r>
    </w:p>
    <w:tbl>
      <w:tblPr>
        <w:tblStyle w:val="TableGrid"/>
        <w:tblW w:w="14725" w:type="dxa"/>
        <w:tblLook w:val="04A0" w:firstRow="1" w:lastRow="0" w:firstColumn="1" w:lastColumn="0" w:noHBand="0" w:noVBand="1"/>
      </w:tblPr>
      <w:tblGrid>
        <w:gridCol w:w="555"/>
        <w:gridCol w:w="6560"/>
        <w:gridCol w:w="7610"/>
      </w:tblGrid>
      <w:tr w:rsidR="00932415" w:rsidRPr="00F67EE9" w14:paraId="41C69DA3" w14:textId="77777777" w:rsidTr="00932415">
        <w:trPr>
          <w:tblHeader/>
        </w:trPr>
        <w:tc>
          <w:tcPr>
            <w:tcW w:w="555" w:type="dxa"/>
            <w:tcBorders>
              <w:left w:val="single" w:sz="4" w:space="0" w:color="auto"/>
              <w:right w:val="single" w:sz="4" w:space="0" w:color="auto"/>
            </w:tcBorders>
            <w:shd w:val="clear" w:color="auto" w:fill="E7E6E6" w:themeFill="background2"/>
          </w:tcPr>
          <w:p w14:paraId="06D66819" w14:textId="30A6208C" w:rsidR="00932415" w:rsidRPr="00F67EE9" w:rsidRDefault="00932415" w:rsidP="00932415">
            <w:pPr>
              <w:spacing w:before="60" w:after="60"/>
              <w:rPr>
                <w:rFonts w:cstheme="minorHAnsi"/>
                <w:b/>
                <w:bCs/>
                <w:sz w:val="20"/>
                <w:szCs w:val="20"/>
              </w:rPr>
            </w:pPr>
            <w:r>
              <w:rPr>
                <w:rFonts w:cstheme="minorHAnsi"/>
                <w:b/>
                <w:bCs/>
                <w:sz w:val="20"/>
                <w:szCs w:val="20"/>
              </w:rPr>
              <w:t>No</w:t>
            </w:r>
          </w:p>
        </w:tc>
        <w:tc>
          <w:tcPr>
            <w:tcW w:w="6560" w:type="dxa"/>
            <w:tcBorders>
              <w:left w:val="single" w:sz="4" w:space="0" w:color="auto"/>
              <w:right w:val="single" w:sz="4" w:space="0" w:color="auto"/>
            </w:tcBorders>
            <w:shd w:val="clear" w:color="auto" w:fill="E7E6E6" w:themeFill="background2"/>
          </w:tcPr>
          <w:p w14:paraId="6A643C47" w14:textId="703B6184" w:rsidR="00932415" w:rsidRPr="00F67EE9" w:rsidRDefault="00932415" w:rsidP="00932415">
            <w:pPr>
              <w:spacing w:before="60" w:after="60"/>
              <w:rPr>
                <w:rFonts w:cstheme="minorHAnsi"/>
                <w:b/>
                <w:bCs/>
                <w:sz w:val="20"/>
                <w:szCs w:val="20"/>
              </w:rPr>
            </w:pPr>
            <w:r w:rsidRPr="00F67EE9">
              <w:rPr>
                <w:rFonts w:cstheme="minorHAnsi"/>
                <w:b/>
                <w:bCs/>
                <w:sz w:val="20"/>
                <w:szCs w:val="20"/>
              </w:rPr>
              <w:t>Recommendation</w:t>
            </w:r>
          </w:p>
        </w:tc>
        <w:tc>
          <w:tcPr>
            <w:tcW w:w="7610" w:type="dxa"/>
            <w:tcBorders>
              <w:left w:val="single" w:sz="4" w:space="0" w:color="auto"/>
              <w:right w:val="single" w:sz="4" w:space="0" w:color="auto"/>
            </w:tcBorders>
            <w:shd w:val="clear" w:color="auto" w:fill="E7E6E6" w:themeFill="background2"/>
          </w:tcPr>
          <w:p w14:paraId="22696EA6" w14:textId="3118E9CF" w:rsidR="00932415" w:rsidRPr="00F67EE9" w:rsidRDefault="00932415" w:rsidP="00932415">
            <w:pPr>
              <w:spacing w:before="60" w:after="60"/>
              <w:rPr>
                <w:rFonts w:cstheme="minorHAnsi"/>
                <w:sz w:val="20"/>
                <w:szCs w:val="20"/>
              </w:rPr>
            </w:pPr>
            <w:r w:rsidRPr="00F67EE9">
              <w:rPr>
                <w:rFonts w:cstheme="minorHAnsi"/>
                <w:b/>
                <w:bCs/>
                <w:sz w:val="20"/>
                <w:szCs w:val="20"/>
              </w:rPr>
              <w:t>DFAT responses (</w:t>
            </w:r>
            <w:r w:rsidRPr="00F67EE9">
              <w:rPr>
                <w:rFonts w:cstheme="minorHAnsi"/>
                <w:b/>
                <w:bCs/>
                <w:i/>
                <w:iCs/>
                <w:sz w:val="20"/>
                <w:szCs w:val="20"/>
              </w:rPr>
              <w:t xml:space="preserve">completed by </w:t>
            </w:r>
            <w:r>
              <w:rPr>
                <w:rFonts w:cstheme="minorHAnsi"/>
                <w:b/>
                <w:bCs/>
                <w:i/>
                <w:iCs/>
                <w:sz w:val="20"/>
                <w:szCs w:val="20"/>
              </w:rPr>
              <w:t>end-</w:t>
            </w:r>
            <w:r w:rsidRPr="00F67EE9">
              <w:rPr>
                <w:rFonts w:cstheme="minorHAnsi"/>
                <w:b/>
                <w:bCs/>
                <w:i/>
                <w:iCs/>
                <w:sz w:val="20"/>
                <w:szCs w:val="20"/>
              </w:rPr>
              <w:t>April 2024</w:t>
            </w:r>
            <w:r w:rsidRPr="00F67EE9">
              <w:rPr>
                <w:rFonts w:cstheme="minorHAnsi"/>
                <w:b/>
                <w:bCs/>
                <w:sz w:val="20"/>
                <w:szCs w:val="20"/>
              </w:rPr>
              <w:t>)</w:t>
            </w:r>
          </w:p>
        </w:tc>
      </w:tr>
      <w:tr w:rsidR="00932415" w:rsidRPr="00F67EE9" w14:paraId="4BB07926" w14:textId="77777777" w:rsidTr="00932415">
        <w:tc>
          <w:tcPr>
            <w:tcW w:w="555" w:type="dxa"/>
            <w:tcBorders>
              <w:bottom w:val="single" w:sz="4" w:space="0" w:color="auto"/>
            </w:tcBorders>
          </w:tcPr>
          <w:p w14:paraId="7B9A4D0E" w14:textId="7C36010E" w:rsidR="00932415" w:rsidRPr="006E2538" w:rsidRDefault="00932415" w:rsidP="00932415">
            <w:pPr>
              <w:pStyle w:val="ListParagraph"/>
              <w:spacing w:after="240" w:line="252" w:lineRule="auto"/>
              <w:ind w:left="0"/>
              <w:rPr>
                <w:b/>
                <w:bCs/>
                <w:sz w:val="20"/>
                <w:szCs w:val="20"/>
                <w:lang w:val="en-AU"/>
              </w:rPr>
            </w:pPr>
            <w:r w:rsidRPr="006E2538">
              <w:rPr>
                <w:b/>
                <w:bCs/>
                <w:sz w:val="20"/>
                <w:szCs w:val="20"/>
                <w:lang w:val="en-AU"/>
              </w:rPr>
              <w:t>19</w:t>
            </w:r>
          </w:p>
        </w:tc>
        <w:tc>
          <w:tcPr>
            <w:tcW w:w="6560" w:type="dxa"/>
            <w:tcBorders>
              <w:bottom w:val="single" w:sz="4" w:space="0" w:color="auto"/>
            </w:tcBorders>
          </w:tcPr>
          <w:p w14:paraId="698AFFEE" w14:textId="77777777" w:rsidR="00932415" w:rsidRPr="00F67EE9" w:rsidRDefault="00932415" w:rsidP="00932415">
            <w:pPr>
              <w:pStyle w:val="ListParagraph"/>
              <w:spacing w:after="240" w:line="252" w:lineRule="auto"/>
              <w:ind w:left="0"/>
              <w:rPr>
                <w:sz w:val="20"/>
                <w:szCs w:val="20"/>
                <w:lang w:val="en-AU"/>
              </w:rPr>
            </w:pPr>
            <w:r w:rsidRPr="5D8E5561">
              <w:rPr>
                <w:sz w:val="20"/>
                <w:szCs w:val="20"/>
                <w:lang w:val="en-AU"/>
              </w:rPr>
              <w:t>The overall issue of the EOPOs is best addressed in the imminent process to design the next phase. However, the 2024 review of the VAC should pay particular attention to clarifying the EOPOs and their timeframe in advance of the next phase design and should lead into a refreshed and more robust Monitoring, Evaluation and Learning (MEL) Framework to support the implementation and management of VAC activities in the short and medium term.</w:t>
            </w:r>
          </w:p>
        </w:tc>
        <w:tc>
          <w:tcPr>
            <w:tcW w:w="7610" w:type="dxa"/>
            <w:tcBorders>
              <w:bottom w:val="single" w:sz="4" w:space="0" w:color="auto"/>
            </w:tcBorders>
          </w:tcPr>
          <w:p w14:paraId="14893264" w14:textId="77777777" w:rsidR="00932415" w:rsidRPr="00F67EE9" w:rsidRDefault="00932415" w:rsidP="00932415">
            <w:pPr>
              <w:rPr>
                <w:rFonts w:cstheme="minorHAnsi"/>
                <w:b/>
                <w:bCs/>
                <w:sz w:val="20"/>
                <w:szCs w:val="20"/>
              </w:rPr>
            </w:pPr>
            <w:r w:rsidRPr="00F67EE9">
              <w:rPr>
                <w:rFonts w:cstheme="minorHAnsi"/>
                <w:b/>
                <w:bCs/>
                <w:sz w:val="20"/>
                <w:szCs w:val="20"/>
              </w:rPr>
              <w:t>Agree</w:t>
            </w:r>
          </w:p>
          <w:p w14:paraId="6E5EF380" w14:textId="77777777" w:rsidR="00932415" w:rsidRPr="00F67EE9" w:rsidRDefault="00932415" w:rsidP="00932415">
            <w:pPr>
              <w:rPr>
                <w:sz w:val="20"/>
                <w:szCs w:val="20"/>
              </w:rPr>
            </w:pPr>
          </w:p>
        </w:tc>
      </w:tr>
      <w:tr w:rsidR="00932415" w:rsidRPr="00F67EE9" w14:paraId="29A233CA" w14:textId="77777777" w:rsidTr="00932415">
        <w:tc>
          <w:tcPr>
            <w:tcW w:w="555" w:type="dxa"/>
            <w:tcBorders>
              <w:bottom w:val="single" w:sz="4" w:space="0" w:color="auto"/>
            </w:tcBorders>
          </w:tcPr>
          <w:p w14:paraId="4C248630" w14:textId="4E31EBE0" w:rsidR="00932415" w:rsidRPr="006E2538" w:rsidRDefault="00932415" w:rsidP="00932415">
            <w:pPr>
              <w:pStyle w:val="ListParagraph"/>
              <w:spacing w:after="240" w:line="252" w:lineRule="auto"/>
              <w:ind w:left="0"/>
              <w:contextualSpacing w:val="0"/>
              <w:rPr>
                <w:rFonts w:cstheme="minorHAnsi"/>
                <w:b/>
                <w:bCs/>
                <w:sz w:val="20"/>
                <w:szCs w:val="20"/>
                <w:lang w:val="en-AU"/>
              </w:rPr>
            </w:pPr>
            <w:r w:rsidRPr="006E2538">
              <w:rPr>
                <w:rFonts w:cstheme="minorHAnsi"/>
                <w:b/>
                <w:bCs/>
                <w:sz w:val="20"/>
                <w:szCs w:val="20"/>
                <w:lang w:val="en-AU"/>
              </w:rPr>
              <w:t>20</w:t>
            </w:r>
          </w:p>
        </w:tc>
        <w:tc>
          <w:tcPr>
            <w:tcW w:w="6560" w:type="dxa"/>
            <w:tcBorders>
              <w:bottom w:val="single" w:sz="4" w:space="0" w:color="auto"/>
            </w:tcBorders>
          </w:tcPr>
          <w:p w14:paraId="303CC20B" w14:textId="77777777" w:rsidR="00932415" w:rsidRPr="00F67EE9" w:rsidRDefault="00932415" w:rsidP="00932415">
            <w:pPr>
              <w:pStyle w:val="ListParagraph"/>
              <w:spacing w:after="240" w:line="252" w:lineRule="auto"/>
              <w:ind w:left="0"/>
              <w:contextualSpacing w:val="0"/>
              <w:rPr>
                <w:rFonts w:cstheme="minorHAnsi"/>
                <w:sz w:val="20"/>
                <w:szCs w:val="20"/>
                <w:lang w:val="en-AU"/>
              </w:rPr>
            </w:pPr>
            <w:r w:rsidRPr="00F67EE9">
              <w:rPr>
                <w:rFonts w:cstheme="minorHAnsi"/>
                <w:sz w:val="20"/>
                <w:szCs w:val="20"/>
                <w:lang w:val="en-AU"/>
              </w:rPr>
              <w:t>Aus4Skills should review the M</w:t>
            </w:r>
            <w:r>
              <w:rPr>
                <w:rFonts w:cstheme="minorHAnsi"/>
                <w:sz w:val="20"/>
                <w:szCs w:val="20"/>
                <w:lang w:val="en-AU"/>
              </w:rPr>
              <w:t>&amp;</w:t>
            </w:r>
            <w:r w:rsidRPr="00F67EE9">
              <w:rPr>
                <w:rFonts w:cstheme="minorHAnsi"/>
                <w:sz w:val="20"/>
                <w:szCs w:val="20"/>
                <w:lang w:val="en-AU"/>
              </w:rPr>
              <w:t>E</w:t>
            </w:r>
            <w:r>
              <w:rPr>
                <w:rFonts w:cstheme="minorHAnsi"/>
                <w:sz w:val="20"/>
                <w:szCs w:val="20"/>
                <w:lang w:val="en-AU"/>
              </w:rPr>
              <w:t xml:space="preserve"> </w:t>
            </w:r>
            <w:r w:rsidRPr="00F67EE9">
              <w:rPr>
                <w:rFonts w:cstheme="minorHAnsi"/>
                <w:sz w:val="20"/>
                <w:szCs w:val="20"/>
                <w:lang w:val="en-AU"/>
              </w:rPr>
              <w:t>F</w:t>
            </w:r>
            <w:r>
              <w:rPr>
                <w:rFonts w:cstheme="minorHAnsi"/>
                <w:sz w:val="20"/>
                <w:szCs w:val="20"/>
                <w:lang w:val="en-AU"/>
              </w:rPr>
              <w:t>ramework</w:t>
            </w:r>
            <w:r w:rsidRPr="00F67EE9">
              <w:rPr>
                <w:rFonts w:cstheme="minorHAnsi"/>
                <w:sz w:val="20"/>
                <w:szCs w:val="20"/>
                <w:lang w:val="en-AU"/>
              </w:rPr>
              <w:t xml:space="preserve"> </w:t>
            </w:r>
            <w:r>
              <w:rPr>
                <w:rFonts w:cstheme="minorHAnsi"/>
                <w:sz w:val="20"/>
                <w:szCs w:val="20"/>
                <w:lang w:val="en-AU"/>
              </w:rPr>
              <w:t xml:space="preserve">(MEF) </w:t>
            </w:r>
            <w:r w:rsidRPr="00F67EE9">
              <w:rPr>
                <w:rFonts w:cstheme="minorHAnsi"/>
                <w:sz w:val="20"/>
                <w:szCs w:val="20"/>
                <w:lang w:val="en-AU"/>
              </w:rPr>
              <w:t>and the VAC MEF (the latter as part of the overall review and refresh of the VAC) and strengthen the outcome level indicators to utilise more complex and robust measures of progress and performance. This should include qualitative as well as quantitative indicators with a more comprehensive coverage of the nature and scale of change the Program is aiming to achieve.</w:t>
            </w:r>
          </w:p>
        </w:tc>
        <w:tc>
          <w:tcPr>
            <w:tcW w:w="7610" w:type="dxa"/>
            <w:tcBorders>
              <w:bottom w:val="single" w:sz="4" w:space="0" w:color="auto"/>
            </w:tcBorders>
          </w:tcPr>
          <w:p w14:paraId="25ECFB56" w14:textId="77777777" w:rsidR="00932415" w:rsidRPr="00F67EE9" w:rsidRDefault="00932415" w:rsidP="00932415">
            <w:pPr>
              <w:rPr>
                <w:rFonts w:cstheme="minorHAnsi"/>
                <w:b/>
                <w:bCs/>
                <w:sz w:val="20"/>
                <w:szCs w:val="20"/>
              </w:rPr>
            </w:pPr>
            <w:r w:rsidRPr="00F67EE9">
              <w:rPr>
                <w:rFonts w:cstheme="minorHAnsi"/>
                <w:b/>
                <w:bCs/>
                <w:sz w:val="20"/>
                <w:szCs w:val="20"/>
              </w:rPr>
              <w:t>Partially Agree</w:t>
            </w:r>
          </w:p>
          <w:p w14:paraId="0F72D5D5" w14:textId="77777777" w:rsidR="00932415" w:rsidRPr="00F67EE9" w:rsidRDefault="00932415" w:rsidP="00932415">
            <w:pPr>
              <w:rPr>
                <w:sz w:val="20"/>
                <w:szCs w:val="20"/>
              </w:rPr>
            </w:pPr>
            <w:r w:rsidRPr="00F67EE9">
              <w:rPr>
                <w:sz w:val="20"/>
                <w:szCs w:val="20"/>
              </w:rPr>
              <w:t>The Aus4Skills MEF was reviewed before the MTR and improvements are underway.</w:t>
            </w:r>
          </w:p>
          <w:p w14:paraId="4381F9B6" w14:textId="77777777" w:rsidR="00932415" w:rsidRPr="00F67EE9" w:rsidRDefault="00932415" w:rsidP="00932415">
            <w:pPr>
              <w:rPr>
                <w:rFonts w:cstheme="minorHAnsi"/>
                <w:sz w:val="20"/>
                <w:szCs w:val="20"/>
              </w:rPr>
            </w:pPr>
          </w:p>
          <w:p w14:paraId="6C5590D5" w14:textId="77777777" w:rsidR="00932415" w:rsidRPr="00F67EE9" w:rsidRDefault="00932415" w:rsidP="00932415">
            <w:pPr>
              <w:spacing w:line="259" w:lineRule="auto"/>
              <w:rPr>
                <w:sz w:val="20"/>
                <w:szCs w:val="20"/>
              </w:rPr>
            </w:pPr>
            <w:r w:rsidRPr="210D0FC1">
              <w:rPr>
                <w:sz w:val="20"/>
                <w:szCs w:val="20"/>
              </w:rPr>
              <w:t>The VAC review will consider the VAC MEF. See recommendation No.19.</w:t>
            </w:r>
          </w:p>
        </w:tc>
      </w:tr>
      <w:tr w:rsidR="00932415" w:rsidRPr="00F67EE9" w14:paraId="7DAA330B" w14:textId="77777777" w:rsidTr="00932415">
        <w:tc>
          <w:tcPr>
            <w:tcW w:w="555" w:type="dxa"/>
          </w:tcPr>
          <w:p w14:paraId="4EA9A253" w14:textId="74228A89" w:rsidR="00932415" w:rsidRPr="006E2538" w:rsidRDefault="00932415" w:rsidP="00932415">
            <w:pPr>
              <w:rPr>
                <w:b/>
                <w:bCs/>
                <w:sz w:val="20"/>
                <w:szCs w:val="20"/>
                <w:lang w:val="en-AU"/>
              </w:rPr>
            </w:pPr>
            <w:r w:rsidRPr="006E2538">
              <w:rPr>
                <w:b/>
                <w:bCs/>
                <w:sz w:val="20"/>
                <w:szCs w:val="20"/>
                <w:lang w:val="en-AU"/>
              </w:rPr>
              <w:t>21</w:t>
            </w:r>
          </w:p>
        </w:tc>
        <w:tc>
          <w:tcPr>
            <w:tcW w:w="6560" w:type="dxa"/>
          </w:tcPr>
          <w:p w14:paraId="5CC5311A" w14:textId="77777777" w:rsidR="00932415" w:rsidRPr="00F67EE9" w:rsidRDefault="00932415" w:rsidP="00932415">
            <w:pPr>
              <w:rPr>
                <w:sz w:val="20"/>
                <w:szCs w:val="20"/>
              </w:rPr>
            </w:pPr>
            <w:r w:rsidRPr="5D8E5561">
              <w:rPr>
                <w:sz w:val="20"/>
                <w:szCs w:val="20"/>
                <w:lang w:val="en-AU"/>
              </w:rPr>
              <w:t>Aus4Skills should increasingly invest in evaluation work at the outcome level, including Case Studies which focus on specific outcome areas, and evaluations of key investments such as the development outcomes of a sample of Short Courses. These should be designed to assess the achievement of outcomes more deeply and to identify areas for continual improvement.</w:t>
            </w:r>
          </w:p>
        </w:tc>
        <w:tc>
          <w:tcPr>
            <w:tcW w:w="7610" w:type="dxa"/>
          </w:tcPr>
          <w:p w14:paraId="13F9A251" w14:textId="77777777" w:rsidR="00932415" w:rsidRPr="00F67EE9" w:rsidRDefault="00932415" w:rsidP="00932415">
            <w:pPr>
              <w:rPr>
                <w:rFonts w:cstheme="minorHAnsi"/>
                <w:b/>
                <w:bCs/>
                <w:sz w:val="20"/>
                <w:szCs w:val="20"/>
              </w:rPr>
            </w:pPr>
            <w:r w:rsidRPr="00F67EE9">
              <w:rPr>
                <w:rFonts w:cstheme="minorHAnsi"/>
                <w:b/>
                <w:bCs/>
                <w:sz w:val="20"/>
                <w:szCs w:val="20"/>
              </w:rPr>
              <w:t>Agree</w:t>
            </w:r>
          </w:p>
          <w:p w14:paraId="6AD4B82B" w14:textId="77777777" w:rsidR="00932415" w:rsidRPr="00F67EE9" w:rsidRDefault="00932415" w:rsidP="00932415">
            <w:pPr>
              <w:rPr>
                <w:sz w:val="20"/>
                <w:szCs w:val="20"/>
              </w:rPr>
            </w:pPr>
            <w:r w:rsidRPr="00F67EE9">
              <w:rPr>
                <w:sz w:val="20"/>
                <w:szCs w:val="20"/>
              </w:rPr>
              <w:t>DFAT has approved three case studies to be undertaken in 2024 and 2025, including one study of the effectiveness of using Australia Awards short courses to achieve the intended development outcomes of the current program.</w:t>
            </w:r>
          </w:p>
        </w:tc>
      </w:tr>
      <w:tr w:rsidR="00932415" w:rsidRPr="00F67EE9" w14:paraId="4EFE6CF4" w14:textId="77777777" w:rsidTr="00932415">
        <w:tc>
          <w:tcPr>
            <w:tcW w:w="555" w:type="dxa"/>
          </w:tcPr>
          <w:p w14:paraId="05751CB8" w14:textId="15E341C6" w:rsidR="00932415" w:rsidRPr="006E2538" w:rsidRDefault="00932415" w:rsidP="00932415">
            <w:pPr>
              <w:rPr>
                <w:b/>
                <w:bCs/>
                <w:sz w:val="20"/>
                <w:szCs w:val="20"/>
                <w:lang w:val="en-AU"/>
              </w:rPr>
            </w:pPr>
            <w:r w:rsidRPr="006E2538">
              <w:rPr>
                <w:b/>
                <w:bCs/>
                <w:sz w:val="20"/>
                <w:szCs w:val="20"/>
                <w:lang w:val="en-AU"/>
              </w:rPr>
              <w:t>22</w:t>
            </w:r>
          </w:p>
        </w:tc>
        <w:tc>
          <w:tcPr>
            <w:tcW w:w="6560" w:type="dxa"/>
          </w:tcPr>
          <w:p w14:paraId="78DB6BB9" w14:textId="77777777" w:rsidR="00932415" w:rsidRPr="00F67EE9" w:rsidRDefault="00932415" w:rsidP="00932415">
            <w:pPr>
              <w:rPr>
                <w:sz w:val="20"/>
                <w:szCs w:val="20"/>
              </w:rPr>
            </w:pPr>
            <w:r w:rsidRPr="5D8E5561">
              <w:rPr>
                <w:sz w:val="20"/>
                <w:szCs w:val="20"/>
                <w:lang w:val="en-AU"/>
              </w:rPr>
              <w:t>Program reporting should shift focus to EOPO (End of Program Outcome) reporting, both at whole-of-program and component levels, clearly presenting the extent of progress towards and achievement of outcomes. The range of data and analysis within the Program MEL systems should be utilised as the evidence base for this reporting, but detailed data such as reporting against annual targets, would be better situated in report annexes for cross-referencing as required.</w:t>
            </w:r>
          </w:p>
        </w:tc>
        <w:tc>
          <w:tcPr>
            <w:tcW w:w="7610" w:type="dxa"/>
          </w:tcPr>
          <w:p w14:paraId="14C090D8" w14:textId="77777777" w:rsidR="00932415" w:rsidRPr="00F67EE9" w:rsidRDefault="00932415" w:rsidP="00932415">
            <w:pPr>
              <w:rPr>
                <w:rFonts w:cstheme="minorHAnsi"/>
                <w:b/>
                <w:bCs/>
                <w:sz w:val="20"/>
                <w:szCs w:val="20"/>
              </w:rPr>
            </w:pPr>
            <w:r w:rsidRPr="00F67EE9">
              <w:rPr>
                <w:rFonts w:cstheme="minorHAnsi"/>
                <w:b/>
                <w:bCs/>
                <w:sz w:val="20"/>
                <w:szCs w:val="20"/>
              </w:rPr>
              <w:t>Agree</w:t>
            </w:r>
          </w:p>
          <w:p w14:paraId="3A817307" w14:textId="77777777" w:rsidR="00932415" w:rsidRPr="00F67EE9" w:rsidRDefault="00932415" w:rsidP="00932415">
            <w:pPr>
              <w:rPr>
                <w:sz w:val="20"/>
                <w:szCs w:val="20"/>
              </w:rPr>
            </w:pPr>
            <w:r w:rsidRPr="2742E47E">
              <w:rPr>
                <w:sz w:val="20"/>
                <w:szCs w:val="20"/>
              </w:rPr>
              <w:t>Changes have been applied to the Annual Plan 2024/25 and reporting to follow accordingly, with a better focus on analysis of progress towards and achievements of EOPOs as opposed to reporting against annual targets.</w:t>
            </w:r>
          </w:p>
          <w:p w14:paraId="1326B51A" w14:textId="77777777" w:rsidR="00932415" w:rsidRPr="00F67EE9" w:rsidRDefault="00932415" w:rsidP="00932415">
            <w:pPr>
              <w:rPr>
                <w:rFonts w:cstheme="minorHAnsi"/>
                <w:sz w:val="20"/>
                <w:szCs w:val="20"/>
              </w:rPr>
            </w:pPr>
          </w:p>
        </w:tc>
      </w:tr>
      <w:tr w:rsidR="00932415" w:rsidRPr="00F67EE9" w14:paraId="71EC3786" w14:textId="77777777" w:rsidTr="00932415">
        <w:tc>
          <w:tcPr>
            <w:tcW w:w="555" w:type="dxa"/>
          </w:tcPr>
          <w:p w14:paraId="11A6A390" w14:textId="3CD187BE" w:rsidR="00932415" w:rsidRPr="006E2538" w:rsidRDefault="00932415" w:rsidP="00932415">
            <w:pPr>
              <w:pStyle w:val="ListParagraph"/>
              <w:spacing w:after="240" w:line="252" w:lineRule="auto"/>
              <w:ind w:left="0"/>
              <w:rPr>
                <w:b/>
                <w:bCs/>
                <w:sz w:val="20"/>
                <w:szCs w:val="20"/>
                <w:lang w:val="en-AU"/>
              </w:rPr>
            </w:pPr>
            <w:r w:rsidRPr="006E2538">
              <w:rPr>
                <w:b/>
                <w:bCs/>
                <w:sz w:val="20"/>
                <w:szCs w:val="20"/>
                <w:lang w:val="en-AU"/>
              </w:rPr>
              <w:t>23</w:t>
            </w:r>
          </w:p>
        </w:tc>
        <w:tc>
          <w:tcPr>
            <w:tcW w:w="6560" w:type="dxa"/>
          </w:tcPr>
          <w:p w14:paraId="40DD7366" w14:textId="77777777" w:rsidR="00932415" w:rsidRPr="00F67EE9" w:rsidRDefault="00932415" w:rsidP="00932415">
            <w:pPr>
              <w:pStyle w:val="ListParagraph"/>
              <w:spacing w:after="240" w:line="252" w:lineRule="auto"/>
              <w:ind w:left="0"/>
              <w:rPr>
                <w:sz w:val="20"/>
                <w:szCs w:val="20"/>
                <w:lang w:val="en-AU"/>
              </w:rPr>
            </w:pPr>
            <w:r w:rsidRPr="72F939A8">
              <w:rPr>
                <w:sz w:val="20"/>
                <w:szCs w:val="20"/>
                <w:lang w:val="en-AU"/>
              </w:rPr>
              <w:t xml:space="preserve">DFAT should consider increasing the MEL budget so the Program can undertake more evaluative work in the final two years of Phase 2, especially focusing on EOPOs at component level. This would be of greatest value in Year </w:t>
            </w:r>
            <w:r w:rsidRPr="72F939A8">
              <w:rPr>
                <w:sz w:val="20"/>
                <w:szCs w:val="20"/>
                <w:lang w:val="en-AU"/>
              </w:rPr>
              <w:lastRenderedPageBreak/>
              <w:t>4 of Phase 2, so it can support evaluative work as an input to the design of the next phase.</w:t>
            </w:r>
          </w:p>
        </w:tc>
        <w:tc>
          <w:tcPr>
            <w:tcW w:w="7610" w:type="dxa"/>
          </w:tcPr>
          <w:p w14:paraId="0AA0F0B7" w14:textId="77777777" w:rsidR="00932415" w:rsidRPr="00F67EE9" w:rsidRDefault="00932415" w:rsidP="00932415">
            <w:pPr>
              <w:rPr>
                <w:sz w:val="20"/>
                <w:szCs w:val="20"/>
              </w:rPr>
            </w:pPr>
            <w:r w:rsidRPr="00F67EE9">
              <w:rPr>
                <w:b/>
                <w:bCs/>
                <w:sz w:val="20"/>
                <w:szCs w:val="20"/>
              </w:rPr>
              <w:lastRenderedPageBreak/>
              <w:t xml:space="preserve">Partially </w:t>
            </w:r>
            <w:proofErr w:type="gramStart"/>
            <w:r w:rsidRPr="00F67EE9">
              <w:rPr>
                <w:b/>
                <w:bCs/>
                <w:sz w:val="20"/>
                <w:szCs w:val="20"/>
              </w:rPr>
              <w:t>agree</w:t>
            </w:r>
            <w:proofErr w:type="gramEnd"/>
          </w:p>
          <w:p w14:paraId="5B3F5C18" w14:textId="77777777" w:rsidR="00932415" w:rsidRPr="00F67EE9" w:rsidRDefault="00932415" w:rsidP="00932415">
            <w:pPr>
              <w:rPr>
                <w:sz w:val="20"/>
                <w:szCs w:val="20"/>
              </w:rPr>
            </w:pPr>
            <w:r w:rsidRPr="00F67EE9">
              <w:rPr>
                <w:sz w:val="20"/>
                <w:szCs w:val="20"/>
              </w:rPr>
              <w:t>DFAT will conduct an independent evaluation in 2025-26 to inform the Final Investment Monitoring Report (FIMR)</w:t>
            </w:r>
            <w:r>
              <w:rPr>
                <w:sz w:val="20"/>
                <w:szCs w:val="20"/>
              </w:rPr>
              <w:t>.</w:t>
            </w:r>
            <w:r w:rsidRPr="00F67EE9">
              <w:rPr>
                <w:sz w:val="20"/>
                <w:szCs w:val="20"/>
              </w:rPr>
              <w:t xml:space="preserve"> </w:t>
            </w:r>
          </w:p>
          <w:p w14:paraId="28BCE6BA" w14:textId="77777777" w:rsidR="00932415" w:rsidRPr="00F67EE9" w:rsidRDefault="00932415" w:rsidP="00932415">
            <w:pPr>
              <w:rPr>
                <w:sz w:val="20"/>
                <w:szCs w:val="20"/>
              </w:rPr>
            </w:pPr>
            <w:r w:rsidRPr="00F67EE9">
              <w:rPr>
                <w:sz w:val="20"/>
                <w:szCs w:val="20"/>
              </w:rPr>
              <w:t xml:space="preserve">The existing MEL plan and budget, as a part of the overall Aus4Skills workplan, are sufficient to support an increase in evaluation during the remainder of the program.  </w:t>
            </w:r>
          </w:p>
        </w:tc>
      </w:tr>
      <w:tr w:rsidR="00932415" w:rsidRPr="00F67EE9" w14:paraId="09ACC223" w14:textId="77777777" w:rsidTr="00932415">
        <w:tc>
          <w:tcPr>
            <w:tcW w:w="555" w:type="dxa"/>
          </w:tcPr>
          <w:p w14:paraId="0E1AF43D" w14:textId="43B34E2B" w:rsidR="00932415" w:rsidRPr="006E2538" w:rsidRDefault="00932415" w:rsidP="00932415">
            <w:pPr>
              <w:spacing w:after="120"/>
              <w:rPr>
                <w:b/>
                <w:bCs/>
                <w:sz w:val="20"/>
                <w:szCs w:val="20"/>
              </w:rPr>
            </w:pPr>
            <w:r w:rsidRPr="006E2538">
              <w:rPr>
                <w:b/>
                <w:bCs/>
                <w:sz w:val="20"/>
                <w:szCs w:val="20"/>
              </w:rPr>
              <w:t>24</w:t>
            </w:r>
          </w:p>
        </w:tc>
        <w:tc>
          <w:tcPr>
            <w:tcW w:w="6560" w:type="dxa"/>
          </w:tcPr>
          <w:p w14:paraId="3B1872A5" w14:textId="77777777" w:rsidR="00932415" w:rsidRPr="00F67EE9" w:rsidRDefault="00932415" w:rsidP="00932415">
            <w:pPr>
              <w:spacing w:after="120"/>
              <w:rPr>
                <w:sz w:val="20"/>
                <w:szCs w:val="20"/>
              </w:rPr>
            </w:pPr>
            <w:r w:rsidRPr="3E292C52">
              <w:rPr>
                <w:sz w:val="20"/>
                <w:szCs w:val="20"/>
              </w:rPr>
              <w:t xml:space="preserve">Aus4Skills should further invest in MEL skills, </w:t>
            </w:r>
            <w:proofErr w:type="gramStart"/>
            <w:r w:rsidRPr="3E292C52">
              <w:rPr>
                <w:sz w:val="20"/>
                <w:szCs w:val="20"/>
              </w:rPr>
              <w:t>experience</w:t>
            </w:r>
            <w:proofErr w:type="gramEnd"/>
            <w:r w:rsidRPr="3E292C52">
              <w:rPr>
                <w:sz w:val="20"/>
                <w:szCs w:val="20"/>
              </w:rPr>
              <w:t xml:space="preserve"> and capacity in the overall Program team (including component leads), particularly to support the VAC with its complex political economy, and to strengthen the scope for more strategic and outcomes focused evaluative work which is less about reducing to quantification of qualitative changes, and more qualitative overall – capturing the nature and significance of the changes arising from Aus4Skills work.</w:t>
            </w:r>
          </w:p>
        </w:tc>
        <w:tc>
          <w:tcPr>
            <w:tcW w:w="7610" w:type="dxa"/>
          </w:tcPr>
          <w:p w14:paraId="33F2FD68" w14:textId="77777777" w:rsidR="00932415" w:rsidRPr="00F67EE9" w:rsidRDefault="00932415" w:rsidP="00932415">
            <w:pPr>
              <w:rPr>
                <w:rFonts w:cstheme="minorHAnsi"/>
                <w:b/>
                <w:bCs/>
                <w:sz w:val="20"/>
                <w:szCs w:val="20"/>
              </w:rPr>
            </w:pPr>
            <w:r w:rsidRPr="00F67EE9">
              <w:rPr>
                <w:rFonts w:cstheme="minorHAnsi"/>
                <w:b/>
                <w:bCs/>
                <w:sz w:val="20"/>
                <w:szCs w:val="20"/>
              </w:rPr>
              <w:t>Agree</w:t>
            </w:r>
          </w:p>
          <w:p w14:paraId="0BF053FA" w14:textId="77777777" w:rsidR="00932415" w:rsidRPr="00F67EE9" w:rsidRDefault="00932415" w:rsidP="00932415">
            <w:pPr>
              <w:rPr>
                <w:sz w:val="20"/>
                <w:szCs w:val="20"/>
              </w:rPr>
            </w:pPr>
            <w:r w:rsidRPr="00F67EE9">
              <w:rPr>
                <w:sz w:val="20"/>
                <w:szCs w:val="20"/>
              </w:rPr>
              <w:t xml:space="preserve">In </w:t>
            </w:r>
            <w:r>
              <w:rPr>
                <w:sz w:val="20"/>
                <w:szCs w:val="20"/>
              </w:rPr>
              <w:t>20</w:t>
            </w:r>
            <w:r w:rsidRPr="00F67EE9">
              <w:rPr>
                <w:sz w:val="20"/>
                <w:szCs w:val="20"/>
              </w:rPr>
              <w:t xml:space="preserve">24/25 Aus4Skills will develop a MEL professional development plan to enhance MEL skills for Program staff and selected partner </w:t>
            </w:r>
            <w:proofErr w:type="spellStart"/>
            <w:r w:rsidRPr="00F67EE9">
              <w:rPr>
                <w:sz w:val="20"/>
                <w:szCs w:val="20"/>
              </w:rPr>
              <w:t>organisations</w:t>
            </w:r>
            <w:proofErr w:type="spellEnd"/>
            <w:r w:rsidRPr="00F67EE9">
              <w:rPr>
                <w:sz w:val="20"/>
                <w:szCs w:val="20"/>
              </w:rPr>
              <w:t>.</w:t>
            </w:r>
          </w:p>
          <w:p w14:paraId="1DD26574" w14:textId="77777777" w:rsidR="00932415" w:rsidRPr="00F67EE9" w:rsidRDefault="00932415" w:rsidP="00932415">
            <w:pPr>
              <w:rPr>
                <w:sz w:val="20"/>
                <w:szCs w:val="20"/>
              </w:rPr>
            </w:pPr>
          </w:p>
          <w:p w14:paraId="2B8ADF7E" w14:textId="77777777" w:rsidR="00932415" w:rsidRPr="00F67EE9" w:rsidRDefault="00932415" w:rsidP="00932415">
            <w:pPr>
              <w:rPr>
                <w:sz w:val="20"/>
                <w:szCs w:val="20"/>
              </w:rPr>
            </w:pPr>
          </w:p>
        </w:tc>
      </w:tr>
    </w:tbl>
    <w:p w14:paraId="4EDA29F3" w14:textId="77777777" w:rsidR="00A5413D" w:rsidRDefault="00A5413D">
      <w:pPr>
        <w:rPr>
          <w:b/>
          <w:bCs/>
        </w:rPr>
      </w:pPr>
    </w:p>
    <w:p w14:paraId="75564D90" w14:textId="77777777" w:rsidR="00932415" w:rsidRPr="00F67EE9" w:rsidRDefault="00932415" w:rsidP="00932415">
      <w:pPr>
        <w:spacing w:before="60" w:after="60"/>
        <w:rPr>
          <w:rFonts w:cstheme="minorHAnsi"/>
          <w:b/>
          <w:bCs/>
          <w:sz w:val="20"/>
          <w:szCs w:val="20"/>
        </w:rPr>
      </w:pPr>
      <w:r w:rsidRPr="00F67EE9">
        <w:rPr>
          <w:rFonts w:cstheme="minorHAnsi"/>
          <w:b/>
          <w:bCs/>
          <w:sz w:val="20"/>
          <w:szCs w:val="20"/>
        </w:rPr>
        <w:t xml:space="preserve">Gender </w:t>
      </w:r>
      <w:r>
        <w:rPr>
          <w:rFonts w:cstheme="minorHAnsi"/>
          <w:b/>
          <w:bCs/>
          <w:sz w:val="20"/>
          <w:szCs w:val="20"/>
        </w:rPr>
        <w:t>E</w:t>
      </w:r>
      <w:r w:rsidRPr="00F67EE9">
        <w:rPr>
          <w:rFonts w:cstheme="minorHAnsi"/>
          <w:b/>
          <w:bCs/>
          <w:sz w:val="20"/>
          <w:szCs w:val="20"/>
        </w:rPr>
        <w:t xml:space="preserve">quality, </w:t>
      </w:r>
      <w:r>
        <w:rPr>
          <w:rFonts w:cstheme="minorHAnsi"/>
          <w:b/>
          <w:bCs/>
          <w:sz w:val="20"/>
          <w:szCs w:val="20"/>
        </w:rPr>
        <w:t>D</w:t>
      </w:r>
      <w:r w:rsidRPr="00F67EE9">
        <w:rPr>
          <w:rFonts w:cstheme="minorHAnsi"/>
          <w:b/>
          <w:bCs/>
          <w:sz w:val="20"/>
          <w:szCs w:val="20"/>
        </w:rPr>
        <w:t xml:space="preserve">isability and </w:t>
      </w:r>
      <w:r>
        <w:rPr>
          <w:rFonts w:cstheme="minorHAnsi"/>
          <w:b/>
          <w:bCs/>
          <w:sz w:val="20"/>
          <w:szCs w:val="20"/>
        </w:rPr>
        <w:t>S</w:t>
      </w:r>
      <w:r w:rsidRPr="00F67EE9">
        <w:rPr>
          <w:rFonts w:cstheme="minorHAnsi"/>
          <w:b/>
          <w:bCs/>
          <w:sz w:val="20"/>
          <w:szCs w:val="20"/>
        </w:rPr>
        <w:t xml:space="preserve">ocial </w:t>
      </w:r>
      <w:r>
        <w:rPr>
          <w:rFonts w:cstheme="minorHAnsi"/>
          <w:b/>
          <w:bCs/>
          <w:sz w:val="20"/>
          <w:szCs w:val="20"/>
        </w:rPr>
        <w:t>I</w:t>
      </w:r>
      <w:r w:rsidRPr="00F67EE9">
        <w:rPr>
          <w:rFonts w:cstheme="minorHAnsi"/>
          <w:b/>
          <w:bCs/>
          <w:sz w:val="20"/>
          <w:szCs w:val="20"/>
        </w:rPr>
        <w:t>nclusion</w:t>
      </w:r>
      <w:r>
        <w:rPr>
          <w:rFonts w:cstheme="minorHAnsi"/>
          <w:b/>
          <w:bCs/>
          <w:sz w:val="20"/>
          <w:szCs w:val="20"/>
        </w:rPr>
        <w:t xml:space="preserve"> (GEDSI)</w:t>
      </w:r>
    </w:p>
    <w:p w14:paraId="65B17485" w14:textId="77777777" w:rsidR="00932415" w:rsidRDefault="00932415">
      <w:pPr>
        <w:rPr>
          <w:b/>
          <w:bCs/>
        </w:rPr>
      </w:pPr>
    </w:p>
    <w:tbl>
      <w:tblPr>
        <w:tblStyle w:val="TableGrid"/>
        <w:tblW w:w="14725" w:type="dxa"/>
        <w:tblLook w:val="04A0" w:firstRow="1" w:lastRow="0" w:firstColumn="1" w:lastColumn="0" w:noHBand="0" w:noVBand="1"/>
      </w:tblPr>
      <w:tblGrid>
        <w:gridCol w:w="555"/>
        <w:gridCol w:w="6560"/>
        <w:gridCol w:w="7610"/>
      </w:tblGrid>
      <w:tr w:rsidR="00932415" w:rsidRPr="00F67EE9" w14:paraId="3E239855" w14:textId="77777777" w:rsidTr="00932415">
        <w:tc>
          <w:tcPr>
            <w:tcW w:w="555" w:type="dxa"/>
            <w:tcBorders>
              <w:left w:val="single" w:sz="4" w:space="0" w:color="auto"/>
              <w:right w:val="single" w:sz="4" w:space="0" w:color="auto"/>
            </w:tcBorders>
            <w:shd w:val="clear" w:color="auto" w:fill="E7E6E6" w:themeFill="background2"/>
          </w:tcPr>
          <w:p w14:paraId="1F1676EB" w14:textId="5DA858B5" w:rsidR="00932415" w:rsidRPr="00F67EE9" w:rsidRDefault="00932415" w:rsidP="00932415">
            <w:pPr>
              <w:spacing w:before="60" w:after="60"/>
              <w:rPr>
                <w:rFonts w:cstheme="minorHAnsi"/>
                <w:b/>
                <w:bCs/>
                <w:sz w:val="20"/>
                <w:szCs w:val="20"/>
              </w:rPr>
            </w:pPr>
            <w:r>
              <w:rPr>
                <w:rFonts w:cstheme="minorHAnsi"/>
                <w:b/>
                <w:bCs/>
                <w:sz w:val="20"/>
                <w:szCs w:val="20"/>
              </w:rPr>
              <w:t>No</w:t>
            </w:r>
          </w:p>
        </w:tc>
        <w:tc>
          <w:tcPr>
            <w:tcW w:w="6560" w:type="dxa"/>
            <w:tcBorders>
              <w:left w:val="single" w:sz="4" w:space="0" w:color="auto"/>
              <w:right w:val="single" w:sz="4" w:space="0" w:color="auto"/>
            </w:tcBorders>
            <w:shd w:val="clear" w:color="auto" w:fill="E7E6E6" w:themeFill="background2"/>
          </w:tcPr>
          <w:p w14:paraId="3BDCC76C" w14:textId="1E60017B" w:rsidR="00932415" w:rsidRPr="00F67EE9" w:rsidRDefault="00932415" w:rsidP="00932415">
            <w:pPr>
              <w:spacing w:before="60" w:after="60"/>
              <w:rPr>
                <w:rFonts w:cstheme="minorHAnsi"/>
                <w:b/>
                <w:bCs/>
                <w:sz w:val="20"/>
                <w:szCs w:val="20"/>
              </w:rPr>
            </w:pPr>
            <w:r w:rsidRPr="00F67EE9">
              <w:rPr>
                <w:rFonts w:cstheme="minorHAnsi"/>
                <w:b/>
                <w:bCs/>
                <w:sz w:val="20"/>
                <w:szCs w:val="20"/>
              </w:rPr>
              <w:t>Recommendation</w:t>
            </w:r>
          </w:p>
        </w:tc>
        <w:tc>
          <w:tcPr>
            <w:tcW w:w="7610" w:type="dxa"/>
            <w:tcBorders>
              <w:left w:val="single" w:sz="4" w:space="0" w:color="auto"/>
              <w:right w:val="single" w:sz="4" w:space="0" w:color="auto"/>
            </w:tcBorders>
            <w:shd w:val="clear" w:color="auto" w:fill="E7E6E6" w:themeFill="background2"/>
          </w:tcPr>
          <w:p w14:paraId="1FDB60F7" w14:textId="64258A79" w:rsidR="00932415" w:rsidRPr="00F67EE9" w:rsidRDefault="00932415" w:rsidP="00932415">
            <w:pPr>
              <w:spacing w:before="60" w:after="60"/>
              <w:rPr>
                <w:rFonts w:cstheme="minorHAnsi"/>
                <w:sz w:val="20"/>
                <w:szCs w:val="20"/>
              </w:rPr>
            </w:pPr>
            <w:r w:rsidRPr="00F67EE9">
              <w:rPr>
                <w:rFonts w:cstheme="minorHAnsi"/>
                <w:b/>
                <w:bCs/>
                <w:sz w:val="20"/>
                <w:szCs w:val="20"/>
              </w:rPr>
              <w:t>DFAT responses (</w:t>
            </w:r>
            <w:r w:rsidRPr="00F67EE9">
              <w:rPr>
                <w:rFonts w:cstheme="minorHAnsi"/>
                <w:b/>
                <w:bCs/>
                <w:i/>
                <w:iCs/>
                <w:sz w:val="20"/>
                <w:szCs w:val="20"/>
              </w:rPr>
              <w:t xml:space="preserve">completed by </w:t>
            </w:r>
            <w:r>
              <w:rPr>
                <w:rFonts w:cstheme="minorHAnsi"/>
                <w:b/>
                <w:bCs/>
                <w:i/>
                <w:iCs/>
                <w:sz w:val="20"/>
                <w:szCs w:val="20"/>
              </w:rPr>
              <w:t>end-</w:t>
            </w:r>
            <w:r w:rsidRPr="00F67EE9">
              <w:rPr>
                <w:rFonts w:cstheme="minorHAnsi"/>
                <w:b/>
                <w:bCs/>
                <w:i/>
                <w:iCs/>
                <w:sz w:val="20"/>
                <w:szCs w:val="20"/>
              </w:rPr>
              <w:t>April 2024</w:t>
            </w:r>
            <w:r w:rsidRPr="00F67EE9">
              <w:rPr>
                <w:rFonts w:cstheme="minorHAnsi"/>
                <w:b/>
                <w:bCs/>
                <w:sz w:val="20"/>
                <w:szCs w:val="20"/>
              </w:rPr>
              <w:t>)</w:t>
            </w:r>
          </w:p>
        </w:tc>
      </w:tr>
      <w:tr w:rsidR="00932415" w:rsidRPr="00F67EE9" w14:paraId="6BF01199" w14:textId="77777777" w:rsidTr="00932415">
        <w:tc>
          <w:tcPr>
            <w:tcW w:w="555" w:type="dxa"/>
            <w:tcBorders>
              <w:bottom w:val="single" w:sz="4" w:space="0" w:color="auto"/>
            </w:tcBorders>
          </w:tcPr>
          <w:p w14:paraId="7697BBFC" w14:textId="15F12B8F" w:rsidR="00932415" w:rsidRPr="00932415" w:rsidRDefault="00932415" w:rsidP="00932415">
            <w:pPr>
              <w:pStyle w:val="ListParagraph"/>
              <w:spacing w:after="240" w:line="252" w:lineRule="auto"/>
              <w:ind w:left="0"/>
              <w:rPr>
                <w:b/>
                <w:bCs/>
                <w:sz w:val="20"/>
                <w:szCs w:val="20"/>
                <w:lang w:val="en-AU"/>
              </w:rPr>
            </w:pPr>
            <w:r w:rsidRPr="00932415">
              <w:rPr>
                <w:b/>
                <w:bCs/>
                <w:sz w:val="20"/>
                <w:szCs w:val="20"/>
                <w:lang w:val="en-AU"/>
              </w:rPr>
              <w:t>25</w:t>
            </w:r>
          </w:p>
        </w:tc>
        <w:tc>
          <w:tcPr>
            <w:tcW w:w="6560" w:type="dxa"/>
            <w:tcBorders>
              <w:bottom w:val="single" w:sz="4" w:space="0" w:color="auto"/>
            </w:tcBorders>
          </w:tcPr>
          <w:p w14:paraId="36139AD9" w14:textId="77777777" w:rsidR="00932415" w:rsidRPr="00F67EE9" w:rsidRDefault="00932415" w:rsidP="00932415">
            <w:pPr>
              <w:pStyle w:val="ListParagraph"/>
              <w:spacing w:after="240" w:line="252" w:lineRule="auto"/>
              <w:ind w:left="0"/>
              <w:rPr>
                <w:sz w:val="20"/>
                <w:szCs w:val="20"/>
                <w:lang w:val="en-AU"/>
              </w:rPr>
            </w:pPr>
            <w:r w:rsidRPr="210D0FC1">
              <w:rPr>
                <w:sz w:val="20"/>
                <w:szCs w:val="20"/>
                <w:lang w:val="en-AU"/>
              </w:rPr>
              <w:t xml:space="preserve">The Program, and DFAT, should take care not to over-use the ‘GEDSI’ terminology, at the risk of losing the meaning and distinct issues associated with addressing gender equality, disability inclusion and the inclusion of other disadvantaged groups. </w:t>
            </w:r>
          </w:p>
          <w:p w14:paraId="29284AAE" w14:textId="77777777" w:rsidR="00932415" w:rsidRPr="00F67EE9" w:rsidRDefault="00932415" w:rsidP="00932415">
            <w:pPr>
              <w:pStyle w:val="ListParagraph"/>
              <w:spacing w:after="240" w:line="252" w:lineRule="auto"/>
              <w:ind w:left="0"/>
              <w:contextualSpacing w:val="0"/>
              <w:rPr>
                <w:rFonts w:cstheme="minorHAnsi"/>
                <w:sz w:val="20"/>
                <w:szCs w:val="20"/>
                <w:lang w:val="en-AU"/>
              </w:rPr>
            </w:pPr>
          </w:p>
        </w:tc>
        <w:tc>
          <w:tcPr>
            <w:tcW w:w="7610" w:type="dxa"/>
            <w:tcBorders>
              <w:bottom w:val="single" w:sz="4" w:space="0" w:color="auto"/>
            </w:tcBorders>
          </w:tcPr>
          <w:p w14:paraId="09C5B282" w14:textId="77777777" w:rsidR="00932415" w:rsidRPr="00F67EE9" w:rsidRDefault="00932415" w:rsidP="00932415">
            <w:pPr>
              <w:rPr>
                <w:rFonts w:cstheme="minorHAnsi"/>
                <w:b/>
                <w:bCs/>
                <w:sz w:val="20"/>
                <w:szCs w:val="20"/>
              </w:rPr>
            </w:pPr>
            <w:r w:rsidRPr="5D8E5561">
              <w:rPr>
                <w:b/>
                <w:bCs/>
                <w:sz w:val="20"/>
                <w:szCs w:val="20"/>
              </w:rPr>
              <w:t>Agree</w:t>
            </w:r>
          </w:p>
          <w:p w14:paraId="005DC8AC" w14:textId="77777777" w:rsidR="00932415" w:rsidRPr="00F67EE9" w:rsidRDefault="00932415" w:rsidP="00932415">
            <w:pPr>
              <w:rPr>
                <w:rFonts w:cstheme="minorHAnsi"/>
                <w:sz w:val="20"/>
                <w:szCs w:val="20"/>
              </w:rPr>
            </w:pPr>
            <w:r w:rsidRPr="3E292C52">
              <w:rPr>
                <w:sz w:val="20"/>
                <w:szCs w:val="20"/>
              </w:rPr>
              <w:t xml:space="preserve">Hanoi Post has dedicated gender and disability specialists working on DFAT programs. Aus4Skills has historically achieved strong results for both gender and disability inclusion (as per moderated Investment Monitoring Reports each year). Aus4Skills also has separate targets for ethnic minority and rural participants. </w:t>
            </w:r>
          </w:p>
          <w:p w14:paraId="28E81EBD" w14:textId="77777777" w:rsidR="00932415" w:rsidRPr="00F67EE9" w:rsidRDefault="00932415" w:rsidP="00932415">
            <w:pPr>
              <w:rPr>
                <w:sz w:val="20"/>
                <w:szCs w:val="20"/>
              </w:rPr>
            </w:pPr>
            <w:r w:rsidRPr="5D8E5561">
              <w:rPr>
                <w:sz w:val="20"/>
                <w:szCs w:val="20"/>
              </w:rPr>
              <w:t xml:space="preserve">This recommendation will be reflected in the respective GEDSI strategy of Aus4Skills. </w:t>
            </w:r>
          </w:p>
        </w:tc>
      </w:tr>
      <w:tr w:rsidR="00932415" w:rsidRPr="00F67EE9" w14:paraId="1746C0F4" w14:textId="77777777" w:rsidTr="00932415">
        <w:tc>
          <w:tcPr>
            <w:tcW w:w="555" w:type="dxa"/>
          </w:tcPr>
          <w:p w14:paraId="73E01A1B" w14:textId="64323F61" w:rsidR="00932415" w:rsidRPr="00932415" w:rsidRDefault="00932415" w:rsidP="00932415">
            <w:pPr>
              <w:pStyle w:val="ListParagraph"/>
              <w:spacing w:after="240" w:line="252" w:lineRule="auto"/>
              <w:ind w:left="0"/>
              <w:contextualSpacing w:val="0"/>
              <w:rPr>
                <w:rFonts w:cstheme="minorHAnsi"/>
                <w:b/>
                <w:bCs/>
                <w:sz w:val="20"/>
                <w:szCs w:val="20"/>
                <w:lang w:val="en-AU"/>
              </w:rPr>
            </w:pPr>
            <w:r w:rsidRPr="00932415">
              <w:rPr>
                <w:rFonts w:cstheme="minorHAnsi"/>
                <w:b/>
                <w:bCs/>
                <w:sz w:val="20"/>
                <w:szCs w:val="20"/>
                <w:lang w:val="en-AU"/>
              </w:rPr>
              <w:t>26</w:t>
            </w:r>
          </w:p>
        </w:tc>
        <w:tc>
          <w:tcPr>
            <w:tcW w:w="6560" w:type="dxa"/>
          </w:tcPr>
          <w:p w14:paraId="77568401" w14:textId="77777777" w:rsidR="00932415" w:rsidRPr="00F67EE9" w:rsidRDefault="00932415" w:rsidP="00932415">
            <w:pPr>
              <w:pStyle w:val="ListParagraph"/>
              <w:spacing w:after="240" w:line="252" w:lineRule="auto"/>
              <w:ind w:left="0"/>
              <w:contextualSpacing w:val="0"/>
              <w:rPr>
                <w:rFonts w:cstheme="minorHAnsi"/>
                <w:sz w:val="20"/>
                <w:szCs w:val="20"/>
                <w:lang w:val="en-AU"/>
              </w:rPr>
            </w:pPr>
            <w:r w:rsidRPr="00F67EE9">
              <w:rPr>
                <w:rFonts w:cstheme="minorHAnsi"/>
                <w:sz w:val="20"/>
                <w:szCs w:val="20"/>
                <w:lang w:val="en-AU"/>
              </w:rPr>
              <w:t xml:space="preserve">As an extension of the recommendation regarding, Program documents should expand their reporting of gender equality outcomes (not just participation numbers) and ensure the significance of gender equality achievements are more fully documented. </w:t>
            </w:r>
          </w:p>
          <w:p w14:paraId="4D13007D" w14:textId="77777777" w:rsidR="00932415" w:rsidRPr="00F67EE9" w:rsidRDefault="00932415" w:rsidP="00932415">
            <w:pPr>
              <w:rPr>
                <w:rFonts w:cstheme="minorHAnsi"/>
                <w:sz w:val="20"/>
                <w:szCs w:val="20"/>
              </w:rPr>
            </w:pPr>
          </w:p>
        </w:tc>
        <w:tc>
          <w:tcPr>
            <w:tcW w:w="7610" w:type="dxa"/>
          </w:tcPr>
          <w:p w14:paraId="6D06AB6D" w14:textId="77777777" w:rsidR="00932415" w:rsidRPr="00F67EE9" w:rsidRDefault="00932415" w:rsidP="00932415">
            <w:pPr>
              <w:rPr>
                <w:rFonts w:cstheme="minorHAnsi"/>
                <w:b/>
                <w:bCs/>
                <w:sz w:val="20"/>
                <w:szCs w:val="20"/>
              </w:rPr>
            </w:pPr>
            <w:r w:rsidRPr="00F67EE9">
              <w:rPr>
                <w:rFonts w:cstheme="minorHAnsi"/>
                <w:b/>
                <w:bCs/>
                <w:sz w:val="20"/>
                <w:szCs w:val="20"/>
              </w:rPr>
              <w:t>Partially Agree</w:t>
            </w:r>
          </w:p>
          <w:p w14:paraId="33EB63A4" w14:textId="77777777" w:rsidR="00932415" w:rsidRPr="00F67EE9" w:rsidRDefault="00932415" w:rsidP="00932415">
            <w:pPr>
              <w:pStyle w:val="ListParagraph"/>
              <w:spacing w:after="240" w:line="252" w:lineRule="auto"/>
              <w:ind w:left="0"/>
              <w:contextualSpacing w:val="0"/>
              <w:rPr>
                <w:rFonts w:cstheme="minorHAnsi"/>
                <w:sz w:val="20"/>
                <w:szCs w:val="20"/>
                <w:lang w:val="en-AU"/>
              </w:rPr>
            </w:pPr>
            <w:r w:rsidRPr="00F67EE9">
              <w:rPr>
                <w:rFonts w:cstheme="minorHAnsi"/>
                <w:sz w:val="20"/>
                <w:szCs w:val="20"/>
                <w:lang w:val="en-AU"/>
              </w:rPr>
              <w:t>Aus4</w:t>
            </w:r>
            <w:r>
              <w:rPr>
                <w:rFonts w:cstheme="minorHAnsi"/>
                <w:sz w:val="20"/>
                <w:szCs w:val="20"/>
                <w:lang w:val="en-AU"/>
              </w:rPr>
              <w:t>S</w:t>
            </w:r>
            <w:r w:rsidRPr="00F67EE9">
              <w:rPr>
                <w:rFonts w:cstheme="minorHAnsi"/>
                <w:sz w:val="20"/>
                <w:szCs w:val="20"/>
                <w:lang w:val="en-AU"/>
              </w:rPr>
              <w:t xml:space="preserve">kills has already collected qualitative information as part of MEL activities. </w:t>
            </w:r>
          </w:p>
          <w:p w14:paraId="685A6BE8" w14:textId="77777777" w:rsidR="00932415" w:rsidRPr="00F67EE9" w:rsidRDefault="00932415" w:rsidP="00932415">
            <w:pPr>
              <w:pStyle w:val="ListParagraph"/>
              <w:spacing w:after="240" w:line="252" w:lineRule="auto"/>
              <w:ind w:left="0"/>
              <w:rPr>
                <w:sz w:val="20"/>
                <w:szCs w:val="20"/>
                <w:lang w:val="en-AU"/>
              </w:rPr>
            </w:pPr>
            <w:r w:rsidRPr="210D0FC1">
              <w:rPr>
                <w:sz w:val="20"/>
                <w:szCs w:val="20"/>
                <w:lang w:val="en-AU"/>
              </w:rPr>
              <w:t>The program will continue to collect stories</w:t>
            </w:r>
            <w:r>
              <w:t xml:space="preserve"> </w:t>
            </w:r>
            <w:r w:rsidRPr="210D0FC1">
              <w:rPr>
                <w:sz w:val="20"/>
                <w:szCs w:val="20"/>
                <w:lang w:val="en-AU"/>
              </w:rPr>
              <w:t>of change about gender equality, disability, or social inclusion to demonstrate impact.</w:t>
            </w:r>
          </w:p>
          <w:p w14:paraId="6FEAA19C" w14:textId="77777777" w:rsidR="00932415" w:rsidRPr="00F67EE9" w:rsidRDefault="00932415" w:rsidP="00932415">
            <w:pPr>
              <w:pStyle w:val="ListParagraph"/>
              <w:spacing w:after="240" w:line="252" w:lineRule="auto"/>
              <w:ind w:left="0"/>
              <w:rPr>
                <w:sz w:val="20"/>
                <w:szCs w:val="20"/>
                <w:lang w:val="en-AU"/>
              </w:rPr>
            </w:pPr>
          </w:p>
        </w:tc>
      </w:tr>
    </w:tbl>
    <w:p w14:paraId="4CA034AE" w14:textId="77777777" w:rsidR="00932415" w:rsidRDefault="00932415">
      <w:pPr>
        <w:rPr>
          <w:b/>
          <w:bCs/>
        </w:rPr>
      </w:pPr>
      <w:r>
        <w:rPr>
          <w:b/>
          <w:bCs/>
        </w:rPr>
        <w:br w:type="page"/>
      </w:r>
    </w:p>
    <w:p w14:paraId="09426FAB" w14:textId="77777777" w:rsidR="00932415" w:rsidRDefault="00932415">
      <w:pPr>
        <w:rPr>
          <w:b/>
          <w:bCs/>
        </w:rPr>
      </w:pPr>
    </w:p>
    <w:p w14:paraId="02513B05" w14:textId="08B00DD2" w:rsidR="00932415" w:rsidRDefault="00932415" w:rsidP="00932415">
      <w:pPr>
        <w:pStyle w:val="Heading2"/>
      </w:pPr>
      <w:r w:rsidRPr="00F67EE9">
        <w:t>DFAT and Program recommendations</w:t>
      </w:r>
    </w:p>
    <w:tbl>
      <w:tblPr>
        <w:tblStyle w:val="TableGrid"/>
        <w:tblW w:w="14725" w:type="dxa"/>
        <w:tblLook w:val="04A0" w:firstRow="1" w:lastRow="0" w:firstColumn="1" w:lastColumn="0" w:noHBand="0" w:noVBand="1"/>
      </w:tblPr>
      <w:tblGrid>
        <w:gridCol w:w="555"/>
        <w:gridCol w:w="6560"/>
        <w:gridCol w:w="7610"/>
      </w:tblGrid>
      <w:tr w:rsidR="00932415" w:rsidRPr="00F67EE9" w14:paraId="2658BD9F" w14:textId="77777777" w:rsidTr="00932415">
        <w:trPr>
          <w:tblHeader/>
        </w:trPr>
        <w:tc>
          <w:tcPr>
            <w:tcW w:w="555" w:type="dxa"/>
            <w:tcBorders>
              <w:left w:val="single" w:sz="4" w:space="0" w:color="auto"/>
              <w:right w:val="single" w:sz="4" w:space="0" w:color="auto"/>
            </w:tcBorders>
            <w:shd w:val="clear" w:color="auto" w:fill="E7E6E6" w:themeFill="background2"/>
          </w:tcPr>
          <w:p w14:paraId="0EAA53DE" w14:textId="0ABB7363" w:rsidR="00932415" w:rsidRPr="00F67EE9" w:rsidRDefault="00932415" w:rsidP="00932415">
            <w:pPr>
              <w:spacing w:before="60" w:after="60"/>
              <w:rPr>
                <w:rFonts w:cstheme="minorHAnsi"/>
                <w:b/>
                <w:bCs/>
                <w:sz w:val="20"/>
                <w:szCs w:val="20"/>
              </w:rPr>
            </w:pPr>
            <w:r>
              <w:rPr>
                <w:rFonts w:cstheme="minorHAnsi"/>
                <w:b/>
                <w:bCs/>
                <w:sz w:val="20"/>
                <w:szCs w:val="20"/>
              </w:rPr>
              <w:t>No</w:t>
            </w:r>
          </w:p>
        </w:tc>
        <w:tc>
          <w:tcPr>
            <w:tcW w:w="6560" w:type="dxa"/>
            <w:tcBorders>
              <w:left w:val="single" w:sz="4" w:space="0" w:color="auto"/>
              <w:right w:val="single" w:sz="4" w:space="0" w:color="auto"/>
            </w:tcBorders>
            <w:shd w:val="clear" w:color="auto" w:fill="E7E6E6" w:themeFill="background2"/>
          </w:tcPr>
          <w:p w14:paraId="376013BC" w14:textId="54464EDE" w:rsidR="00932415" w:rsidRPr="00F67EE9" w:rsidRDefault="00932415" w:rsidP="00932415">
            <w:pPr>
              <w:spacing w:before="60" w:after="60"/>
              <w:rPr>
                <w:rFonts w:cstheme="minorHAnsi"/>
                <w:b/>
                <w:bCs/>
                <w:sz w:val="20"/>
                <w:szCs w:val="20"/>
              </w:rPr>
            </w:pPr>
            <w:r w:rsidRPr="00F67EE9">
              <w:rPr>
                <w:rFonts w:cstheme="minorHAnsi"/>
                <w:b/>
                <w:bCs/>
                <w:sz w:val="20"/>
                <w:szCs w:val="20"/>
              </w:rPr>
              <w:t>Recommendation</w:t>
            </w:r>
          </w:p>
        </w:tc>
        <w:tc>
          <w:tcPr>
            <w:tcW w:w="7610" w:type="dxa"/>
            <w:tcBorders>
              <w:left w:val="single" w:sz="4" w:space="0" w:color="auto"/>
              <w:right w:val="single" w:sz="4" w:space="0" w:color="auto"/>
            </w:tcBorders>
            <w:shd w:val="clear" w:color="auto" w:fill="E7E6E6" w:themeFill="background2"/>
          </w:tcPr>
          <w:p w14:paraId="7BE1F3F3" w14:textId="284C7371" w:rsidR="00932415" w:rsidRPr="00F67EE9" w:rsidRDefault="00932415" w:rsidP="00932415">
            <w:pPr>
              <w:spacing w:before="60" w:after="60"/>
              <w:rPr>
                <w:rFonts w:cstheme="minorHAnsi"/>
                <w:sz w:val="20"/>
                <w:szCs w:val="20"/>
              </w:rPr>
            </w:pPr>
            <w:r w:rsidRPr="00F67EE9">
              <w:rPr>
                <w:rFonts w:cstheme="minorHAnsi"/>
                <w:b/>
                <w:bCs/>
                <w:sz w:val="20"/>
                <w:szCs w:val="20"/>
              </w:rPr>
              <w:t>DFAT responses (</w:t>
            </w:r>
            <w:r w:rsidRPr="00F67EE9">
              <w:rPr>
                <w:rFonts w:cstheme="minorHAnsi"/>
                <w:b/>
                <w:bCs/>
                <w:i/>
                <w:iCs/>
                <w:sz w:val="20"/>
                <w:szCs w:val="20"/>
              </w:rPr>
              <w:t xml:space="preserve">completed by </w:t>
            </w:r>
            <w:r>
              <w:rPr>
                <w:rFonts w:cstheme="minorHAnsi"/>
                <w:b/>
                <w:bCs/>
                <w:i/>
                <w:iCs/>
                <w:sz w:val="20"/>
                <w:szCs w:val="20"/>
              </w:rPr>
              <w:t>end-</w:t>
            </w:r>
            <w:r w:rsidRPr="00F67EE9">
              <w:rPr>
                <w:rFonts w:cstheme="minorHAnsi"/>
                <w:b/>
                <w:bCs/>
                <w:i/>
                <w:iCs/>
                <w:sz w:val="20"/>
                <w:szCs w:val="20"/>
              </w:rPr>
              <w:t>April 2024</w:t>
            </w:r>
            <w:r w:rsidRPr="00F67EE9">
              <w:rPr>
                <w:rFonts w:cstheme="minorHAnsi"/>
                <w:b/>
                <w:bCs/>
                <w:sz w:val="20"/>
                <w:szCs w:val="20"/>
              </w:rPr>
              <w:t>)</w:t>
            </w:r>
          </w:p>
        </w:tc>
      </w:tr>
      <w:tr w:rsidR="00932415" w:rsidRPr="00F67EE9" w14:paraId="2608B2FA" w14:textId="77777777" w:rsidTr="00A94414">
        <w:tc>
          <w:tcPr>
            <w:tcW w:w="555" w:type="dxa"/>
            <w:tcBorders>
              <w:bottom w:val="single" w:sz="4" w:space="0" w:color="auto"/>
            </w:tcBorders>
          </w:tcPr>
          <w:p w14:paraId="356F387B" w14:textId="7E699EC8" w:rsidR="00932415" w:rsidRPr="00932415" w:rsidRDefault="00932415" w:rsidP="00932415">
            <w:pPr>
              <w:pStyle w:val="ListParagraph"/>
              <w:spacing w:after="240" w:line="252" w:lineRule="auto"/>
              <w:ind w:left="0"/>
              <w:contextualSpacing w:val="0"/>
              <w:rPr>
                <w:rFonts w:cstheme="minorHAnsi"/>
                <w:b/>
                <w:bCs/>
                <w:sz w:val="20"/>
                <w:szCs w:val="20"/>
                <w:lang w:val="en-AU"/>
              </w:rPr>
            </w:pPr>
            <w:r w:rsidRPr="00932415">
              <w:rPr>
                <w:rFonts w:cstheme="minorHAnsi"/>
                <w:b/>
                <w:bCs/>
                <w:sz w:val="20"/>
                <w:szCs w:val="20"/>
                <w:lang w:val="en-AU"/>
              </w:rPr>
              <w:t>27</w:t>
            </w:r>
          </w:p>
        </w:tc>
        <w:tc>
          <w:tcPr>
            <w:tcW w:w="6560" w:type="dxa"/>
            <w:tcBorders>
              <w:bottom w:val="single" w:sz="4" w:space="0" w:color="auto"/>
            </w:tcBorders>
          </w:tcPr>
          <w:p w14:paraId="06D6979C" w14:textId="77777777" w:rsidR="00932415" w:rsidRPr="00F67EE9" w:rsidRDefault="00932415" w:rsidP="00932415">
            <w:pPr>
              <w:pStyle w:val="ListParagraph"/>
              <w:spacing w:after="240" w:line="252" w:lineRule="auto"/>
              <w:ind w:left="0"/>
              <w:contextualSpacing w:val="0"/>
              <w:rPr>
                <w:rFonts w:cstheme="minorHAnsi"/>
                <w:sz w:val="20"/>
                <w:szCs w:val="20"/>
                <w:lang w:val="en-AU"/>
              </w:rPr>
            </w:pPr>
            <w:r w:rsidRPr="00F67EE9">
              <w:rPr>
                <w:rFonts w:cstheme="minorHAnsi"/>
                <w:sz w:val="20"/>
                <w:szCs w:val="20"/>
                <w:lang w:val="en-AU"/>
              </w:rPr>
              <w:t>There would be value in all whole-of-government partners within the Embassy with an interest in the Program participating in a partnership brokering exercise, or similar facilitated process, to ensure there is clear and shared understanding of the intended outcomes of Aus4Skills, to confirm roles and responsibilities, and to jointly develop plans and tactics for their contributions towards the intended outcomes.</w:t>
            </w:r>
          </w:p>
        </w:tc>
        <w:tc>
          <w:tcPr>
            <w:tcW w:w="7610" w:type="dxa"/>
            <w:tcBorders>
              <w:bottom w:val="single" w:sz="4" w:space="0" w:color="auto"/>
            </w:tcBorders>
          </w:tcPr>
          <w:p w14:paraId="7182F5BD" w14:textId="77777777" w:rsidR="00932415" w:rsidRPr="00F67EE9" w:rsidRDefault="00932415" w:rsidP="00932415">
            <w:pPr>
              <w:rPr>
                <w:rFonts w:cstheme="minorHAnsi"/>
                <w:sz w:val="20"/>
                <w:szCs w:val="20"/>
              </w:rPr>
            </w:pPr>
            <w:r w:rsidRPr="00F67EE9">
              <w:rPr>
                <w:rFonts w:cstheme="minorHAnsi"/>
                <w:b/>
                <w:bCs/>
                <w:sz w:val="20"/>
                <w:szCs w:val="20"/>
              </w:rPr>
              <w:t>Agree</w:t>
            </w:r>
          </w:p>
          <w:p w14:paraId="481A4B18" w14:textId="77777777" w:rsidR="00932415" w:rsidRPr="00F67EE9" w:rsidRDefault="00932415" w:rsidP="00932415">
            <w:pPr>
              <w:rPr>
                <w:sz w:val="20"/>
                <w:szCs w:val="20"/>
              </w:rPr>
            </w:pPr>
            <w:r w:rsidRPr="3A84FFDB">
              <w:rPr>
                <w:sz w:val="20"/>
                <w:szCs w:val="20"/>
              </w:rPr>
              <w:t xml:space="preserve">The Embassy has an internal monthly Deputy Head of Mission chaired, whole-of-government Education working group where HRD (including Aus4Skills) information is shared. The HRD team held a whole-of-Embassy information session on the VAC in 2022, targeted VET sessions during 2023, and other whole-of-government agencies are members of all three steering committees. </w:t>
            </w:r>
          </w:p>
          <w:p w14:paraId="33BFC63D" w14:textId="77777777" w:rsidR="00932415" w:rsidRPr="00F67EE9" w:rsidRDefault="00932415" w:rsidP="00932415">
            <w:pPr>
              <w:rPr>
                <w:rFonts w:cstheme="minorHAnsi"/>
                <w:sz w:val="20"/>
                <w:szCs w:val="20"/>
              </w:rPr>
            </w:pPr>
          </w:p>
          <w:p w14:paraId="5F24E8ED" w14:textId="77777777" w:rsidR="00932415" w:rsidRPr="00F67EE9" w:rsidRDefault="00932415" w:rsidP="00932415">
            <w:pPr>
              <w:rPr>
                <w:sz w:val="20"/>
                <w:szCs w:val="20"/>
              </w:rPr>
            </w:pPr>
            <w:r w:rsidRPr="210D0FC1">
              <w:rPr>
                <w:sz w:val="20"/>
                <w:szCs w:val="20"/>
              </w:rPr>
              <w:t xml:space="preserve">The coming HRD design process provides a good opportunity for the HRD team to </w:t>
            </w:r>
            <w:r>
              <w:rPr>
                <w:sz w:val="20"/>
                <w:szCs w:val="20"/>
              </w:rPr>
              <w:t>con</w:t>
            </w:r>
            <w:r w:rsidRPr="210D0FC1">
              <w:rPr>
                <w:sz w:val="20"/>
                <w:szCs w:val="20"/>
              </w:rPr>
              <w:t>tinue to consult and engage with whole-of-government partners to enable an increased shared understanding of the intended outcomes of Aus4Skills and its subsequent phase(s).</w:t>
            </w:r>
          </w:p>
        </w:tc>
      </w:tr>
      <w:tr w:rsidR="00932415" w:rsidRPr="00F67EE9" w14:paraId="5BDB4DE9" w14:textId="77777777" w:rsidTr="00A94414">
        <w:tc>
          <w:tcPr>
            <w:tcW w:w="555" w:type="dxa"/>
          </w:tcPr>
          <w:p w14:paraId="36C6E35C" w14:textId="78E1DC02" w:rsidR="00932415" w:rsidRPr="00932415" w:rsidRDefault="00932415" w:rsidP="00932415">
            <w:pPr>
              <w:rPr>
                <w:b/>
                <w:bCs/>
                <w:sz w:val="20"/>
                <w:szCs w:val="20"/>
              </w:rPr>
            </w:pPr>
            <w:r w:rsidRPr="00932415">
              <w:rPr>
                <w:b/>
                <w:bCs/>
                <w:sz w:val="20"/>
                <w:szCs w:val="20"/>
              </w:rPr>
              <w:t>28</w:t>
            </w:r>
          </w:p>
        </w:tc>
        <w:tc>
          <w:tcPr>
            <w:tcW w:w="6560" w:type="dxa"/>
          </w:tcPr>
          <w:p w14:paraId="070CFF4A" w14:textId="77777777" w:rsidR="00932415" w:rsidRPr="00F67EE9" w:rsidRDefault="00932415" w:rsidP="00932415">
            <w:pPr>
              <w:rPr>
                <w:sz w:val="20"/>
                <w:szCs w:val="20"/>
              </w:rPr>
            </w:pPr>
            <w:r w:rsidRPr="5D8E5561">
              <w:rPr>
                <w:sz w:val="20"/>
                <w:szCs w:val="20"/>
              </w:rPr>
              <w:t xml:space="preserve">The Program should consciously consider how to increase its attention to thinking and working politically, to more deliberately understanding and navigating the political economy which shapes the way change happens in the areas of Program activity, as this is central to achieving sustainable outcomes. As part of this the Program </w:t>
            </w:r>
            <w:r w:rsidRPr="5D8E5561">
              <w:rPr>
                <w:sz w:val="20"/>
                <w:szCs w:val="20"/>
                <w:lang w:val="en-AU"/>
              </w:rPr>
              <w:t>should</w:t>
            </w:r>
            <w:r w:rsidRPr="5D8E5561">
              <w:rPr>
                <w:sz w:val="20"/>
                <w:szCs w:val="20"/>
              </w:rPr>
              <w:t xml:space="preserve"> provide professional development for the program team to build their familiarity with, and capacity for, practical political economy analysis and/or thinking and working politically. This would be a worthwhile investment in supporting the transition to a more politically informed and strategic approach to implementation over the remaining two years of this Phase</w:t>
            </w:r>
          </w:p>
        </w:tc>
        <w:tc>
          <w:tcPr>
            <w:tcW w:w="7610" w:type="dxa"/>
          </w:tcPr>
          <w:p w14:paraId="18AA7C92" w14:textId="77777777" w:rsidR="00932415" w:rsidRPr="00F67EE9" w:rsidRDefault="00932415" w:rsidP="00932415">
            <w:pPr>
              <w:rPr>
                <w:rFonts w:cstheme="minorHAnsi"/>
                <w:b/>
                <w:bCs/>
                <w:sz w:val="20"/>
                <w:szCs w:val="20"/>
              </w:rPr>
            </w:pPr>
            <w:r w:rsidRPr="00F67EE9">
              <w:rPr>
                <w:rFonts w:cstheme="minorHAnsi"/>
                <w:b/>
                <w:bCs/>
                <w:sz w:val="20"/>
                <w:szCs w:val="20"/>
              </w:rPr>
              <w:t>Agree</w:t>
            </w:r>
          </w:p>
          <w:p w14:paraId="5F79B9D7" w14:textId="77777777" w:rsidR="00932415" w:rsidRPr="00F67EE9" w:rsidRDefault="00932415" w:rsidP="00932415">
            <w:pPr>
              <w:rPr>
                <w:sz w:val="20"/>
                <w:szCs w:val="20"/>
              </w:rPr>
            </w:pPr>
            <w:r w:rsidRPr="5D8E5561">
              <w:rPr>
                <w:sz w:val="20"/>
                <w:szCs w:val="20"/>
              </w:rPr>
              <w:t>For discussion between DFAT/Aus4Skills to look at professional training and on-the-job learning opportunities for HRD team and Aus4Skills team members for the remainder of this phase, noting some HRD team members participated in political economy analysis training in late 2023.</w:t>
            </w:r>
          </w:p>
        </w:tc>
      </w:tr>
    </w:tbl>
    <w:p w14:paraId="3BF0599B" w14:textId="77777777" w:rsidR="00932415" w:rsidRPr="00F67EE9" w:rsidRDefault="00932415" w:rsidP="00932415">
      <w:pPr>
        <w:rPr>
          <w:b/>
          <w:bCs/>
        </w:rPr>
      </w:pPr>
    </w:p>
    <w:sectPr w:rsidR="00932415" w:rsidRPr="00F67EE9" w:rsidSect="00352D82">
      <w:footerReference w:type="default" r:id="rId8"/>
      <w:pgSz w:w="16838" w:h="11906" w:orient="landscape"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C46D0" w14:textId="77777777" w:rsidR="007D0123" w:rsidRDefault="007D0123" w:rsidP="00183FB1">
      <w:pPr>
        <w:spacing w:after="0" w:line="240" w:lineRule="auto"/>
      </w:pPr>
      <w:r>
        <w:separator/>
      </w:r>
    </w:p>
  </w:endnote>
  <w:endnote w:type="continuationSeparator" w:id="0">
    <w:p w14:paraId="693E3AE5" w14:textId="77777777" w:rsidR="007D0123" w:rsidRDefault="007D0123" w:rsidP="00183FB1">
      <w:pPr>
        <w:spacing w:after="0" w:line="240" w:lineRule="auto"/>
      </w:pPr>
      <w:r>
        <w:continuationSeparator/>
      </w:r>
    </w:p>
  </w:endnote>
  <w:endnote w:type="continuationNotice" w:id="1">
    <w:p w14:paraId="5A2DE94B" w14:textId="77777777" w:rsidR="007D0123" w:rsidRDefault="007D01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0601735"/>
      <w:docPartObj>
        <w:docPartGallery w:val="Page Numbers (Bottom of Page)"/>
        <w:docPartUnique/>
      </w:docPartObj>
    </w:sdtPr>
    <w:sdtEndPr>
      <w:rPr>
        <w:noProof/>
      </w:rPr>
    </w:sdtEndPr>
    <w:sdtContent>
      <w:p w14:paraId="06D23B50" w14:textId="16A8E04C" w:rsidR="006409F7" w:rsidRDefault="006409F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F58900D" w14:textId="77777777" w:rsidR="00921F1F" w:rsidRDefault="00921F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0CBC1" w14:textId="77777777" w:rsidR="007D0123" w:rsidRDefault="007D0123" w:rsidP="00183FB1">
      <w:pPr>
        <w:spacing w:after="0" w:line="240" w:lineRule="auto"/>
      </w:pPr>
      <w:r>
        <w:separator/>
      </w:r>
    </w:p>
  </w:footnote>
  <w:footnote w:type="continuationSeparator" w:id="0">
    <w:p w14:paraId="50900690" w14:textId="77777777" w:rsidR="007D0123" w:rsidRDefault="007D0123" w:rsidP="00183FB1">
      <w:pPr>
        <w:spacing w:after="0" w:line="240" w:lineRule="auto"/>
      </w:pPr>
      <w:r>
        <w:continuationSeparator/>
      </w:r>
    </w:p>
  </w:footnote>
  <w:footnote w:type="continuationNotice" w:id="1">
    <w:p w14:paraId="21012623" w14:textId="77777777" w:rsidR="007D0123" w:rsidRDefault="007D012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47713"/>
    <w:multiLevelType w:val="hybridMultilevel"/>
    <w:tmpl w:val="162052C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2824335"/>
    <w:multiLevelType w:val="hybridMultilevel"/>
    <w:tmpl w:val="162052C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CC73060"/>
    <w:multiLevelType w:val="hybridMultilevel"/>
    <w:tmpl w:val="C57EF1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4933BA8"/>
    <w:multiLevelType w:val="hybridMultilevel"/>
    <w:tmpl w:val="30B60090"/>
    <w:lvl w:ilvl="0" w:tplc="FFB44134">
      <w:start w:val="1"/>
      <w:numFmt w:val="decimal"/>
      <w:lvlText w:val="Recommendation %1."/>
      <w:lvlJc w:val="left"/>
      <w:pPr>
        <w:ind w:left="3905" w:hanging="360"/>
      </w:pPr>
      <w:rPr>
        <w:rFonts w:hint="default"/>
        <w:b/>
        <w:bCs/>
      </w:rPr>
    </w:lvl>
    <w:lvl w:ilvl="1" w:tplc="08090019">
      <w:start w:val="1"/>
      <w:numFmt w:val="lowerLetter"/>
      <w:lvlText w:val="%2."/>
      <w:lvlJc w:val="left"/>
      <w:pPr>
        <w:ind w:left="6119" w:hanging="360"/>
      </w:pPr>
    </w:lvl>
    <w:lvl w:ilvl="2" w:tplc="0809001B" w:tentative="1">
      <w:start w:val="1"/>
      <w:numFmt w:val="lowerRoman"/>
      <w:lvlText w:val="%3."/>
      <w:lvlJc w:val="right"/>
      <w:pPr>
        <w:ind w:left="6839" w:hanging="180"/>
      </w:pPr>
    </w:lvl>
    <w:lvl w:ilvl="3" w:tplc="0809000F" w:tentative="1">
      <w:start w:val="1"/>
      <w:numFmt w:val="decimal"/>
      <w:lvlText w:val="%4."/>
      <w:lvlJc w:val="left"/>
      <w:pPr>
        <w:ind w:left="7559" w:hanging="360"/>
      </w:pPr>
    </w:lvl>
    <w:lvl w:ilvl="4" w:tplc="08090019" w:tentative="1">
      <w:start w:val="1"/>
      <w:numFmt w:val="lowerLetter"/>
      <w:lvlText w:val="%5."/>
      <w:lvlJc w:val="left"/>
      <w:pPr>
        <w:ind w:left="8279" w:hanging="360"/>
      </w:pPr>
    </w:lvl>
    <w:lvl w:ilvl="5" w:tplc="0809001B" w:tentative="1">
      <w:start w:val="1"/>
      <w:numFmt w:val="lowerRoman"/>
      <w:lvlText w:val="%6."/>
      <w:lvlJc w:val="right"/>
      <w:pPr>
        <w:ind w:left="8999" w:hanging="180"/>
      </w:pPr>
    </w:lvl>
    <w:lvl w:ilvl="6" w:tplc="0809000F" w:tentative="1">
      <w:start w:val="1"/>
      <w:numFmt w:val="decimal"/>
      <w:lvlText w:val="%7."/>
      <w:lvlJc w:val="left"/>
      <w:pPr>
        <w:ind w:left="9719" w:hanging="360"/>
      </w:pPr>
    </w:lvl>
    <w:lvl w:ilvl="7" w:tplc="08090019" w:tentative="1">
      <w:start w:val="1"/>
      <w:numFmt w:val="lowerLetter"/>
      <w:lvlText w:val="%8."/>
      <w:lvlJc w:val="left"/>
      <w:pPr>
        <w:ind w:left="10439" w:hanging="360"/>
      </w:pPr>
    </w:lvl>
    <w:lvl w:ilvl="8" w:tplc="0809001B" w:tentative="1">
      <w:start w:val="1"/>
      <w:numFmt w:val="lowerRoman"/>
      <w:lvlText w:val="%9."/>
      <w:lvlJc w:val="right"/>
      <w:pPr>
        <w:ind w:left="11159" w:hanging="180"/>
      </w:pPr>
    </w:lvl>
  </w:abstractNum>
  <w:abstractNum w:abstractNumId="4" w15:restartNumberingAfterBreak="0">
    <w:nsid w:val="40A121D9"/>
    <w:multiLevelType w:val="hybridMultilevel"/>
    <w:tmpl w:val="162052C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6492F2F"/>
    <w:multiLevelType w:val="hybridMultilevel"/>
    <w:tmpl w:val="C57EF1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8EA64D8"/>
    <w:multiLevelType w:val="hybridMultilevel"/>
    <w:tmpl w:val="C57EF1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DAB2372"/>
    <w:multiLevelType w:val="hybridMultilevel"/>
    <w:tmpl w:val="162052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6D5525"/>
    <w:multiLevelType w:val="hybridMultilevel"/>
    <w:tmpl w:val="C57EF1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16D6B02"/>
    <w:multiLevelType w:val="hybridMultilevel"/>
    <w:tmpl w:val="E70E9F60"/>
    <w:lvl w:ilvl="0" w:tplc="FFFFFFFF">
      <w:start w:val="1"/>
      <w:numFmt w:val="bullet"/>
      <w:lvlText w:val="-"/>
      <w:lvlJc w:val="left"/>
      <w:pPr>
        <w:ind w:left="360" w:hanging="360"/>
      </w:pPr>
      <w:rPr>
        <w:rFonts w:ascii="Calibri" w:hAnsi="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62D83817"/>
    <w:multiLevelType w:val="hybridMultilevel"/>
    <w:tmpl w:val="C57EF1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0F70CA"/>
    <w:multiLevelType w:val="hybridMultilevel"/>
    <w:tmpl w:val="162052C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50A4537"/>
    <w:multiLevelType w:val="hybridMultilevel"/>
    <w:tmpl w:val="B34CE5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A170CC"/>
    <w:multiLevelType w:val="hybridMultilevel"/>
    <w:tmpl w:val="C57EF1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B1C243B"/>
    <w:multiLevelType w:val="hybridMultilevel"/>
    <w:tmpl w:val="59D00590"/>
    <w:lvl w:ilvl="0" w:tplc="4B50935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02139387">
    <w:abstractNumId w:val="12"/>
  </w:num>
  <w:num w:numId="2" w16cid:durableId="1980987135">
    <w:abstractNumId w:val="10"/>
  </w:num>
  <w:num w:numId="3" w16cid:durableId="464810057">
    <w:abstractNumId w:val="2"/>
  </w:num>
  <w:num w:numId="4" w16cid:durableId="80492488">
    <w:abstractNumId w:val="13"/>
  </w:num>
  <w:num w:numId="5" w16cid:durableId="1806584016">
    <w:abstractNumId w:val="5"/>
  </w:num>
  <w:num w:numId="6" w16cid:durableId="1030951894">
    <w:abstractNumId w:val="8"/>
  </w:num>
  <w:num w:numId="7" w16cid:durableId="2112584648">
    <w:abstractNumId w:val="6"/>
  </w:num>
  <w:num w:numId="8" w16cid:durableId="609359162">
    <w:abstractNumId w:val="7"/>
  </w:num>
  <w:num w:numId="9" w16cid:durableId="2069183960">
    <w:abstractNumId w:val="1"/>
  </w:num>
  <w:num w:numId="10" w16cid:durableId="1169325361">
    <w:abstractNumId w:val="11"/>
  </w:num>
  <w:num w:numId="11" w16cid:durableId="1148206588">
    <w:abstractNumId w:val="4"/>
  </w:num>
  <w:num w:numId="12" w16cid:durableId="1756702552">
    <w:abstractNumId w:val="0"/>
  </w:num>
  <w:num w:numId="13" w16cid:durableId="2033870969">
    <w:abstractNumId w:val="14"/>
  </w:num>
  <w:num w:numId="14" w16cid:durableId="105085241">
    <w:abstractNumId w:val="3"/>
  </w:num>
  <w:num w:numId="15" w16cid:durableId="651518122">
    <w:abstractNumId w:val="3"/>
    <w:lvlOverride w:ilvl="0">
      <w:startOverride w:val="1"/>
    </w:lvlOverride>
  </w:num>
  <w:num w:numId="16" w16cid:durableId="12057484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7A6"/>
    <w:rsid w:val="00002FA5"/>
    <w:rsid w:val="000106AA"/>
    <w:rsid w:val="000147FE"/>
    <w:rsid w:val="000148A0"/>
    <w:rsid w:val="00020A2E"/>
    <w:rsid w:val="000262F9"/>
    <w:rsid w:val="000265B3"/>
    <w:rsid w:val="00027C77"/>
    <w:rsid w:val="00042FC2"/>
    <w:rsid w:val="00057BAB"/>
    <w:rsid w:val="0006103B"/>
    <w:rsid w:val="000613C3"/>
    <w:rsid w:val="00061623"/>
    <w:rsid w:val="0006546E"/>
    <w:rsid w:val="000732E2"/>
    <w:rsid w:val="00076869"/>
    <w:rsid w:val="00080139"/>
    <w:rsid w:val="000813BC"/>
    <w:rsid w:val="000875AE"/>
    <w:rsid w:val="00097D88"/>
    <w:rsid w:val="000A0012"/>
    <w:rsid w:val="000A05C7"/>
    <w:rsid w:val="000A2059"/>
    <w:rsid w:val="000A227C"/>
    <w:rsid w:val="000A4676"/>
    <w:rsid w:val="000A6875"/>
    <w:rsid w:val="000B0BD1"/>
    <w:rsid w:val="000B3384"/>
    <w:rsid w:val="000B367E"/>
    <w:rsid w:val="000B6A27"/>
    <w:rsid w:val="000C36C7"/>
    <w:rsid w:val="000D532A"/>
    <w:rsid w:val="000D5CB1"/>
    <w:rsid w:val="000E14F2"/>
    <w:rsid w:val="000E2500"/>
    <w:rsid w:val="000E26B2"/>
    <w:rsid w:val="000E745E"/>
    <w:rsid w:val="000E7596"/>
    <w:rsid w:val="000E7FBD"/>
    <w:rsid w:val="000F6FB9"/>
    <w:rsid w:val="00100D2C"/>
    <w:rsid w:val="001025E8"/>
    <w:rsid w:val="00104AD0"/>
    <w:rsid w:val="00105B24"/>
    <w:rsid w:val="00107FCB"/>
    <w:rsid w:val="00116960"/>
    <w:rsid w:val="001213C6"/>
    <w:rsid w:val="00122551"/>
    <w:rsid w:val="001277A7"/>
    <w:rsid w:val="00132B30"/>
    <w:rsid w:val="0013646E"/>
    <w:rsid w:val="00155853"/>
    <w:rsid w:val="00156E07"/>
    <w:rsid w:val="00157214"/>
    <w:rsid w:val="00157B83"/>
    <w:rsid w:val="00161846"/>
    <w:rsid w:val="00163F99"/>
    <w:rsid w:val="00166960"/>
    <w:rsid w:val="00167E0B"/>
    <w:rsid w:val="001815AF"/>
    <w:rsid w:val="00183FB1"/>
    <w:rsid w:val="00192AA7"/>
    <w:rsid w:val="0019362C"/>
    <w:rsid w:val="001A3950"/>
    <w:rsid w:val="001B3814"/>
    <w:rsid w:val="001B7DD4"/>
    <w:rsid w:val="001C4F0F"/>
    <w:rsid w:val="001D1E04"/>
    <w:rsid w:val="001D2968"/>
    <w:rsid w:val="001D2F7F"/>
    <w:rsid w:val="001D6BA4"/>
    <w:rsid w:val="001F578C"/>
    <w:rsid w:val="002028C4"/>
    <w:rsid w:val="002066B0"/>
    <w:rsid w:val="00212A7D"/>
    <w:rsid w:val="00212BAD"/>
    <w:rsid w:val="00212BFB"/>
    <w:rsid w:val="00217167"/>
    <w:rsid w:val="00217EEF"/>
    <w:rsid w:val="00225BF6"/>
    <w:rsid w:val="0023463F"/>
    <w:rsid w:val="002517FC"/>
    <w:rsid w:val="00252378"/>
    <w:rsid w:val="00254261"/>
    <w:rsid w:val="00255FF7"/>
    <w:rsid w:val="002615F0"/>
    <w:rsid w:val="0026787E"/>
    <w:rsid w:val="0027191D"/>
    <w:rsid w:val="00280C6E"/>
    <w:rsid w:val="0028321A"/>
    <w:rsid w:val="00293802"/>
    <w:rsid w:val="00296FB9"/>
    <w:rsid w:val="002B0004"/>
    <w:rsid w:val="002B5AA1"/>
    <w:rsid w:val="002C1163"/>
    <w:rsid w:val="002C4B27"/>
    <w:rsid w:val="002C523C"/>
    <w:rsid w:val="002D06E3"/>
    <w:rsid w:val="002D74A6"/>
    <w:rsid w:val="002D787B"/>
    <w:rsid w:val="002F02DA"/>
    <w:rsid w:val="003049CD"/>
    <w:rsid w:val="00306663"/>
    <w:rsid w:val="00307CEB"/>
    <w:rsid w:val="00311AB2"/>
    <w:rsid w:val="00312F93"/>
    <w:rsid w:val="00322CDC"/>
    <w:rsid w:val="00325479"/>
    <w:rsid w:val="003319A8"/>
    <w:rsid w:val="00342542"/>
    <w:rsid w:val="00346D8F"/>
    <w:rsid w:val="00352D82"/>
    <w:rsid w:val="00354FAA"/>
    <w:rsid w:val="00365ADC"/>
    <w:rsid w:val="00367AF7"/>
    <w:rsid w:val="00370F05"/>
    <w:rsid w:val="003764E4"/>
    <w:rsid w:val="003800DD"/>
    <w:rsid w:val="00391D9A"/>
    <w:rsid w:val="003953B4"/>
    <w:rsid w:val="00397709"/>
    <w:rsid w:val="003A045C"/>
    <w:rsid w:val="003A1D36"/>
    <w:rsid w:val="003A6442"/>
    <w:rsid w:val="003C1D52"/>
    <w:rsid w:val="003D07A6"/>
    <w:rsid w:val="003D0800"/>
    <w:rsid w:val="003D448E"/>
    <w:rsid w:val="003D6084"/>
    <w:rsid w:val="003E21AB"/>
    <w:rsid w:val="003F4800"/>
    <w:rsid w:val="003F4986"/>
    <w:rsid w:val="003F6B10"/>
    <w:rsid w:val="003F700D"/>
    <w:rsid w:val="0040159C"/>
    <w:rsid w:val="00402D85"/>
    <w:rsid w:val="00405917"/>
    <w:rsid w:val="00405E99"/>
    <w:rsid w:val="004060CC"/>
    <w:rsid w:val="00412B23"/>
    <w:rsid w:val="00416EA4"/>
    <w:rsid w:val="00425A18"/>
    <w:rsid w:val="004328C5"/>
    <w:rsid w:val="004406A1"/>
    <w:rsid w:val="0044089B"/>
    <w:rsid w:val="004563F5"/>
    <w:rsid w:val="00464B0D"/>
    <w:rsid w:val="004712E0"/>
    <w:rsid w:val="0047394B"/>
    <w:rsid w:val="00477269"/>
    <w:rsid w:val="0047729C"/>
    <w:rsid w:val="00491AE2"/>
    <w:rsid w:val="004976B1"/>
    <w:rsid w:val="004A374F"/>
    <w:rsid w:val="004A7D53"/>
    <w:rsid w:val="004C6212"/>
    <w:rsid w:val="004CA5BC"/>
    <w:rsid w:val="004D03E0"/>
    <w:rsid w:val="004D292E"/>
    <w:rsid w:val="004D3784"/>
    <w:rsid w:val="004D52B8"/>
    <w:rsid w:val="004E27C4"/>
    <w:rsid w:val="004E42F1"/>
    <w:rsid w:val="004F0355"/>
    <w:rsid w:val="004F07FD"/>
    <w:rsid w:val="004F10B7"/>
    <w:rsid w:val="004F4E66"/>
    <w:rsid w:val="00504969"/>
    <w:rsid w:val="0050629A"/>
    <w:rsid w:val="005078D7"/>
    <w:rsid w:val="0051267B"/>
    <w:rsid w:val="005145B8"/>
    <w:rsid w:val="00522679"/>
    <w:rsid w:val="005265B9"/>
    <w:rsid w:val="00534BD0"/>
    <w:rsid w:val="00546E6F"/>
    <w:rsid w:val="00547933"/>
    <w:rsid w:val="00550867"/>
    <w:rsid w:val="0055449A"/>
    <w:rsid w:val="00555389"/>
    <w:rsid w:val="005712AB"/>
    <w:rsid w:val="00572727"/>
    <w:rsid w:val="0057554C"/>
    <w:rsid w:val="005760F8"/>
    <w:rsid w:val="00583F14"/>
    <w:rsid w:val="005853BF"/>
    <w:rsid w:val="00585948"/>
    <w:rsid w:val="00587B5A"/>
    <w:rsid w:val="005A59FA"/>
    <w:rsid w:val="005B2689"/>
    <w:rsid w:val="005B3344"/>
    <w:rsid w:val="005B6707"/>
    <w:rsid w:val="005B6B3E"/>
    <w:rsid w:val="005C5111"/>
    <w:rsid w:val="005C5E4B"/>
    <w:rsid w:val="005D04DF"/>
    <w:rsid w:val="005D0C5E"/>
    <w:rsid w:val="005D207C"/>
    <w:rsid w:val="005D2534"/>
    <w:rsid w:val="005D3B39"/>
    <w:rsid w:val="005D4E83"/>
    <w:rsid w:val="005E0646"/>
    <w:rsid w:val="005E2638"/>
    <w:rsid w:val="005E2B26"/>
    <w:rsid w:val="005E2DD6"/>
    <w:rsid w:val="005E4EA1"/>
    <w:rsid w:val="005E784C"/>
    <w:rsid w:val="005F2A2A"/>
    <w:rsid w:val="00601570"/>
    <w:rsid w:val="00602DD5"/>
    <w:rsid w:val="00603163"/>
    <w:rsid w:val="006059C8"/>
    <w:rsid w:val="0060760E"/>
    <w:rsid w:val="00622755"/>
    <w:rsid w:val="00624803"/>
    <w:rsid w:val="00625137"/>
    <w:rsid w:val="0063215F"/>
    <w:rsid w:val="00640443"/>
    <w:rsid w:val="006409F7"/>
    <w:rsid w:val="006417B7"/>
    <w:rsid w:val="00642C8F"/>
    <w:rsid w:val="00645DEE"/>
    <w:rsid w:val="00646431"/>
    <w:rsid w:val="006638C1"/>
    <w:rsid w:val="00672717"/>
    <w:rsid w:val="00677E7B"/>
    <w:rsid w:val="00682187"/>
    <w:rsid w:val="00686ABB"/>
    <w:rsid w:val="00697681"/>
    <w:rsid w:val="006A15DA"/>
    <w:rsid w:val="006A4C46"/>
    <w:rsid w:val="006A736A"/>
    <w:rsid w:val="006B6407"/>
    <w:rsid w:val="006B6C73"/>
    <w:rsid w:val="006C51B9"/>
    <w:rsid w:val="006D0DA6"/>
    <w:rsid w:val="006D6C39"/>
    <w:rsid w:val="006E2538"/>
    <w:rsid w:val="006E26BD"/>
    <w:rsid w:val="006E621A"/>
    <w:rsid w:val="006E63A5"/>
    <w:rsid w:val="006E7401"/>
    <w:rsid w:val="006F0CC2"/>
    <w:rsid w:val="006F37BE"/>
    <w:rsid w:val="006F3F58"/>
    <w:rsid w:val="006F5301"/>
    <w:rsid w:val="00700400"/>
    <w:rsid w:val="00702BC1"/>
    <w:rsid w:val="0073377B"/>
    <w:rsid w:val="00737055"/>
    <w:rsid w:val="007435A9"/>
    <w:rsid w:val="00743DCA"/>
    <w:rsid w:val="007537BA"/>
    <w:rsid w:val="0075478F"/>
    <w:rsid w:val="007607A6"/>
    <w:rsid w:val="00761D19"/>
    <w:rsid w:val="007623A2"/>
    <w:rsid w:val="00763722"/>
    <w:rsid w:val="0076377E"/>
    <w:rsid w:val="00767E86"/>
    <w:rsid w:val="00772B60"/>
    <w:rsid w:val="00772E77"/>
    <w:rsid w:val="00783662"/>
    <w:rsid w:val="00783729"/>
    <w:rsid w:val="007840E9"/>
    <w:rsid w:val="007909A8"/>
    <w:rsid w:val="007928A6"/>
    <w:rsid w:val="007A3537"/>
    <w:rsid w:val="007B53AC"/>
    <w:rsid w:val="007B7A20"/>
    <w:rsid w:val="007B7CD2"/>
    <w:rsid w:val="007C11AB"/>
    <w:rsid w:val="007C213E"/>
    <w:rsid w:val="007D0123"/>
    <w:rsid w:val="007D0431"/>
    <w:rsid w:val="007D13B1"/>
    <w:rsid w:val="00800603"/>
    <w:rsid w:val="00801084"/>
    <w:rsid w:val="008023DB"/>
    <w:rsid w:val="00803736"/>
    <w:rsid w:val="00803B1B"/>
    <w:rsid w:val="008110EF"/>
    <w:rsid w:val="00812F09"/>
    <w:rsid w:val="00816C7B"/>
    <w:rsid w:val="008179B4"/>
    <w:rsid w:val="00820BE8"/>
    <w:rsid w:val="00820D86"/>
    <w:rsid w:val="00824548"/>
    <w:rsid w:val="00826479"/>
    <w:rsid w:val="008328D3"/>
    <w:rsid w:val="0083450E"/>
    <w:rsid w:val="00834ABA"/>
    <w:rsid w:val="008502DB"/>
    <w:rsid w:val="00856CD4"/>
    <w:rsid w:val="008643DD"/>
    <w:rsid w:val="00866AF8"/>
    <w:rsid w:val="00871A90"/>
    <w:rsid w:val="0088333D"/>
    <w:rsid w:val="0089009B"/>
    <w:rsid w:val="008927DE"/>
    <w:rsid w:val="008932E2"/>
    <w:rsid w:val="008933F7"/>
    <w:rsid w:val="00894164"/>
    <w:rsid w:val="008A064E"/>
    <w:rsid w:val="008A2C60"/>
    <w:rsid w:val="008A3AE6"/>
    <w:rsid w:val="008A620F"/>
    <w:rsid w:val="008B0B61"/>
    <w:rsid w:val="008B2B4D"/>
    <w:rsid w:val="008B5A0F"/>
    <w:rsid w:val="008C6ED0"/>
    <w:rsid w:val="008D09C7"/>
    <w:rsid w:val="008D5CDA"/>
    <w:rsid w:val="008D7EE3"/>
    <w:rsid w:val="008E46E9"/>
    <w:rsid w:val="008F271E"/>
    <w:rsid w:val="008F2740"/>
    <w:rsid w:val="008F42CC"/>
    <w:rsid w:val="009018A4"/>
    <w:rsid w:val="00904C3E"/>
    <w:rsid w:val="009062B1"/>
    <w:rsid w:val="00906D30"/>
    <w:rsid w:val="00906DAF"/>
    <w:rsid w:val="00912901"/>
    <w:rsid w:val="0091685E"/>
    <w:rsid w:val="0092003E"/>
    <w:rsid w:val="009216F9"/>
    <w:rsid w:val="009218EA"/>
    <w:rsid w:val="00921F1F"/>
    <w:rsid w:val="009258E9"/>
    <w:rsid w:val="00932415"/>
    <w:rsid w:val="00933895"/>
    <w:rsid w:val="00936C70"/>
    <w:rsid w:val="00942742"/>
    <w:rsid w:val="00943C98"/>
    <w:rsid w:val="00945EF6"/>
    <w:rsid w:val="009512F1"/>
    <w:rsid w:val="009536A1"/>
    <w:rsid w:val="0095404C"/>
    <w:rsid w:val="0095774C"/>
    <w:rsid w:val="009604FE"/>
    <w:rsid w:val="00961101"/>
    <w:rsid w:val="00964531"/>
    <w:rsid w:val="009702F8"/>
    <w:rsid w:val="009745B0"/>
    <w:rsid w:val="00980A7C"/>
    <w:rsid w:val="00991FAF"/>
    <w:rsid w:val="0099284D"/>
    <w:rsid w:val="0099583B"/>
    <w:rsid w:val="0099708E"/>
    <w:rsid w:val="009A105C"/>
    <w:rsid w:val="009A3DD8"/>
    <w:rsid w:val="009A7027"/>
    <w:rsid w:val="009B0200"/>
    <w:rsid w:val="009C14F2"/>
    <w:rsid w:val="009C7B9D"/>
    <w:rsid w:val="009D2F00"/>
    <w:rsid w:val="009D6408"/>
    <w:rsid w:val="009D7C31"/>
    <w:rsid w:val="009F00F7"/>
    <w:rsid w:val="009F0248"/>
    <w:rsid w:val="009F08DB"/>
    <w:rsid w:val="009F0DCF"/>
    <w:rsid w:val="00A014B8"/>
    <w:rsid w:val="00A056AF"/>
    <w:rsid w:val="00A11F93"/>
    <w:rsid w:val="00A1393F"/>
    <w:rsid w:val="00A14F69"/>
    <w:rsid w:val="00A22516"/>
    <w:rsid w:val="00A25B47"/>
    <w:rsid w:val="00A313A8"/>
    <w:rsid w:val="00A32E29"/>
    <w:rsid w:val="00A35890"/>
    <w:rsid w:val="00A35E32"/>
    <w:rsid w:val="00A458C7"/>
    <w:rsid w:val="00A4708C"/>
    <w:rsid w:val="00A4B392"/>
    <w:rsid w:val="00A51B39"/>
    <w:rsid w:val="00A53327"/>
    <w:rsid w:val="00A5413D"/>
    <w:rsid w:val="00A65D3F"/>
    <w:rsid w:val="00A67376"/>
    <w:rsid w:val="00A701D7"/>
    <w:rsid w:val="00A73200"/>
    <w:rsid w:val="00A76634"/>
    <w:rsid w:val="00A76868"/>
    <w:rsid w:val="00A864FE"/>
    <w:rsid w:val="00A92FE2"/>
    <w:rsid w:val="00AB17D1"/>
    <w:rsid w:val="00AB71ED"/>
    <w:rsid w:val="00AC20DB"/>
    <w:rsid w:val="00AC5269"/>
    <w:rsid w:val="00AC608B"/>
    <w:rsid w:val="00AC72E4"/>
    <w:rsid w:val="00AD2E52"/>
    <w:rsid w:val="00AD4089"/>
    <w:rsid w:val="00AE1DE5"/>
    <w:rsid w:val="00AE2EF5"/>
    <w:rsid w:val="00AE6890"/>
    <w:rsid w:val="00AE724B"/>
    <w:rsid w:val="00AE77A8"/>
    <w:rsid w:val="00AF18A8"/>
    <w:rsid w:val="00AF1DD7"/>
    <w:rsid w:val="00AF22B8"/>
    <w:rsid w:val="00AF2F74"/>
    <w:rsid w:val="00AF3BC8"/>
    <w:rsid w:val="00AF4D9A"/>
    <w:rsid w:val="00AF61D1"/>
    <w:rsid w:val="00B0003A"/>
    <w:rsid w:val="00B10DA4"/>
    <w:rsid w:val="00B1109C"/>
    <w:rsid w:val="00B11488"/>
    <w:rsid w:val="00B11514"/>
    <w:rsid w:val="00B115EA"/>
    <w:rsid w:val="00B20D87"/>
    <w:rsid w:val="00B26F21"/>
    <w:rsid w:val="00B4378D"/>
    <w:rsid w:val="00B47888"/>
    <w:rsid w:val="00B56D9C"/>
    <w:rsid w:val="00B64683"/>
    <w:rsid w:val="00B656BB"/>
    <w:rsid w:val="00B70B45"/>
    <w:rsid w:val="00B72A3A"/>
    <w:rsid w:val="00B73B30"/>
    <w:rsid w:val="00B7460D"/>
    <w:rsid w:val="00B76B2B"/>
    <w:rsid w:val="00B808CC"/>
    <w:rsid w:val="00B80D02"/>
    <w:rsid w:val="00B8281B"/>
    <w:rsid w:val="00B91F8A"/>
    <w:rsid w:val="00B92057"/>
    <w:rsid w:val="00B94E3C"/>
    <w:rsid w:val="00BA0662"/>
    <w:rsid w:val="00BA4467"/>
    <w:rsid w:val="00BA6D3B"/>
    <w:rsid w:val="00BC41AF"/>
    <w:rsid w:val="00BD2752"/>
    <w:rsid w:val="00BD389C"/>
    <w:rsid w:val="00BD5C4F"/>
    <w:rsid w:val="00BE34AE"/>
    <w:rsid w:val="00BE444F"/>
    <w:rsid w:val="00BE4CC9"/>
    <w:rsid w:val="00C006F1"/>
    <w:rsid w:val="00C05962"/>
    <w:rsid w:val="00C16F31"/>
    <w:rsid w:val="00C219D1"/>
    <w:rsid w:val="00C22BCF"/>
    <w:rsid w:val="00C239C4"/>
    <w:rsid w:val="00C30439"/>
    <w:rsid w:val="00C31946"/>
    <w:rsid w:val="00C41DCF"/>
    <w:rsid w:val="00C4269D"/>
    <w:rsid w:val="00C46D44"/>
    <w:rsid w:val="00C541C1"/>
    <w:rsid w:val="00C55DB2"/>
    <w:rsid w:val="00C613D7"/>
    <w:rsid w:val="00C6244C"/>
    <w:rsid w:val="00C6466C"/>
    <w:rsid w:val="00C712CE"/>
    <w:rsid w:val="00C75BC5"/>
    <w:rsid w:val="00C82866"/>
    <w:rsid w:val="00C85ACD"/>
    <w:rsid w:val="00C906A0"/>
    <w:rsid w:val="00C97966"/>
    <w:rsid w:val="00CA0DEB"/>
    <w:rsid w:val="00CA5879"/>
    <w:rsid w:val="00CB3D57"/>
    <w:rsid w:val="00CB7F3B"/>
    <w:rsid w:val="00CC031A"/>
    <w:rsid w:val="00CC09BD"/>
    <w:rsid w:val="00CD4225"/>
    <w:rsid w:val="00CF0AD0"/>
    <w:rsid w:val="00CF13F2"/>
    <w:rsid w:val="00CF1951"/>
    <w:rsid w:val="00CF3357"/>
    <w:rsid w:val="00CF4251"/>
    <w:rsid w:val="00D02D96"/>
    <w:rsid w:val="00D0475A"/>
    <w:rsid w:val="00D127F9"/>
    <w:rsid w:val="00D25B6C"/>
    <w:rsid w:val="00D35E32"/>
    <w:rsid w:val="00D42E79"/>
    <w:rsid w:val="00D45F93"/>
    <w:rsid w:val="00D46D7F"/>
    <w:rsid w:val="00D516A5"/>
    <w:rsid w:val="00D67E45"/>
    <w:rsid w:val="00D73F78"/>
    <w:rsid w:val="00D907F5"/>
    <w:rsid w:val="00DA381B"/>
    <w:rsid w:val="00DA3A01"/>
    <w:rsid w:val="00DA6351"/>
    <w:rsid w:val="00DB15E3"/>
    <w:rsid w:val="00DB1DB6"/>
    <w:rsid w:val="00DB43DF"/>
    <w:rsid w:val="00DB448D"/>
    <w:rsid w:val="00DB60F5"/>
    <w:rsid w:val="00DBA394"/>
    <w:rsid w:val="00DC17FE"/>
    <w:rsid w:val="00DC3C62"/>
    <w:rsid w:val="00DD3852"/>
    <w:rsid w:val="00DD6B8E"/>
    <w:rsid w:val="00DE12C0"/>
    <w:rsid w:val="00DE2C81"/>
    <w:rsid w:val="00DE5E52"/>
    <w:rsid w:val="00DF066A"/>
    <w:rsid w:val="00DF7D65"/>
    <w:rsid w:val="00E014EC"/>
    <w:rsid w:val="00E02091"/>
    <w:rsid w:val="00E022E5"/>
    <w:rsid w:val="00E04F99"/>
    <w:rsid w:val="00E10EB4"/>
    <w:rsid w:val="00E16805"/>
    <w:rsid w:val="00E21FD6"/>
    <w:rsid w:val="00E26D0E"/>
    <w:rsid w:val="00E3483E"/>
    <w:rsid w:val="00E34ACA"/>
    <w:rsid w:val="00E40F5E"/>
    <w:rsid w:val="00E530EF"/>
    <w:rsid w:val="00E568E1"/>
    <w:rsid w:val="00E65E0C"/>
    <w:rsid w:val="00E74717"/>
    <w:rsid w:val="00E801FB"/>
    <w:rsid w:val="00EB32AC"/>
    <w:rsid w:val="00EB5DFA"/>
    <w:rsid w:val="00ED42FC"/>
    <w:rsid w:val="00EE7C3B"/>
    <w:rsid w:val="00F00AA5"/>
    <w:rsid w:val="00F06C1C"/>
    <w:rsid w:val="00F1230D"/>
    <w:rsid w:val="00F12859"/>
    <w:rsid w:val="00F16823"/>
    <w:rsid w:val="00F23A1A"/>
    <w:rsid w:val="00F347CA"/>
    <w:rsid w:val="00F379BD"/>
    <w:rsid w:val="00F4497F"/>
    <w:rsid w:val="00F572CC"/>
    <w:rsid w:val="00F65850"/>
    <w:rsid w:val="00F67EE9"/>
    <w:rsid w:val="00F71150"/>
    <w:rsid w:val="00F71F7E"/>
    <w:rsid w:val="00F72CB8"/>
    <w:rsid w:val="00F75BAA"/>
    <w:rsid w:val="00F8362B"/>
    <w:rsid w:val="00F8756D"/>
    <w:rsid w:val="00F9093E"/>
    <w:rsid w:val="00FA18FB"/>
    <w:rsid w:val="00FA40F5"/>
    <w:rsid w:val="00FB488E"/>
    <w:rsid w:val="00FB7546"/>
    <w:rsid w:val="00FC0415"/>
    <w:rsid w:val="00FC15F4"/>
    <w:rsid w:val="00FC35FB"/>
    <w:rsid w:val="00FC496F"/>
    <w:rsid w:val="00FD26D2"/>
    <w:rsid w:val="00FD487F"/>
    <w:rsid w:val="00FD6023"/>
    <w:rsid w:val="00FD7141"/>
    <w:rsid w:val="00FE1C8F"/>
    <w:rsid w:val="00FE522C"/>
    <w:rsid w:val="00FF1ED9"/>
    <w:rsid w:val="00FF48CA"/>
    <w:rsid w:val="015FAB97"/>
    <w:rsid w:val="0187D72F"/>
    <w:rsid w:val="01AB2EC0"/>
    <w:rsid w:val="01C7151E"/>
    <w:rsid w:val="01EA39F5"/>
    <w:rsid w:val="01EEC26B"/>
    <w:rsid w:val="0253CF26"/>
    <w:rsid w:val="025F2382"/>
    <w:rsid w:val="02FA8D59"/>
    <w:rsid w:val="0303EA3C"/>
    <w:rsid w:val="036C1E8F"/>
    <w:rsid w:val="0373CE3B"/>
    <w:rsid w:val="03C4E882"/>
    <w:rsid w:val="03D6C7A2"/>
    <w:rsid w:val="03E0BFBE"/>
    <w:rsid w:val="03E0F193"/>
    <w:rsid w:val="043FEE90"/>
    <w:rsid w:val="0496ACEC"/>
    <w:rsid w:val="04BB7014"/>
    <w:rsid w:val="04C637D9"/>
    <w:rsid w:val="0513D113"/>
    <w:rsid w:val="0633BD3A"/>
    <w:rsid w:val="065D75AE"/>
    <w:rsid w:val="06B4105C"/>
    <w:rsid w:val="06CF8832"/>
    <w:rsid w:val="06F3C0BD"/>
    <w:rsid w:val="073FA806"/>
    <w:rsid w:val="078D0506"/>
    <w:rsid w:val="07AA1BF9"/>
    <w:rsid w:val="07BE07C5"/>
    <w:rsid w:val="08920583"/>
    <w:rsid w:val="08EBC0FB"/>
    <w:rsid w:val="08FFD5E1"/>
    <w:rsid w:val="096A3B08"/>
    <w:rsid w:val="098470AA"/>
    <w:rsid w:val="0999A8FC"/>
    <w:rsid w:val="09C05D5E"/>
    <w:rsid w:val="0A04FD83"/>
    <w:rsid w:val="0A17EED0"/>
    <w:rsid w:val="0A6C3BF6"/>
    <w:rsid w:val="0A9919A4"/>
    <w:rsid w:val="0B26EB8D"/>
    <w:rsid w:val="0B3C0522"/>
    <w:rsid w:val="0B74F937"/>
    <w:rsid w:val="0BC9A645"/>
    <w:rsid w:val="0BF16476"/>
    <w:rsid w:val="0C2ACC81"/>
    <w:rsid w:val="0C622EE2"/>
    <w:rsid w:val="0C6E859A"/>
    <w:rsid w:val="0CB9B2F8"/>
    <w:rsid w:val="0CDDF8F7"/>
    <w:rsid w:val="0D6576A6"/>
    <w:rsid w:val="0D9EC900"/>
    <w:rsid w:val="0DA3DCB8"/>
    <w:rsid w:val="0DA6DA70"/>
    <w:rsid w:val="0E3D4000"/>
    <w:rsid w:val="0E3EBD1C"/>
    <w:rsid w:val="0E7D8B90"/>
    <w:rsid w:val="0E87A8F4"/>
    <w:rsid w:val="0ED9C585"/>
    <w:rsid w:val="0F30B2DC"/>
    <w:rsid w:val="0F9C3361"/>
    <w:rsid w:val="0FB10F2A"/>
    <w:rsid w:val="0FBA93AF"/>
    <w:rsid w:val="1022E5FC"/>
    <w:rsid w:val="105FA993"/>
    <w:rsid w:val="10DB7D7A"/>
    <w:rsid w:val="1126994F"/>
    <w:rsid w:val="1140B7B8"/>
    <w:rsid w:val="118450EF"/>
    <w:rsid w:val="11A22516"/>
    <w:rsid w:val="11A7D033"/>
    <w:rsid w:val="125F778C"/>
    <w:rsid w:val="12621A5F"/>
    <w:rsid w:val="12774DDB"/>
    <w:rsid w:val="12A7D82D"/>
    <w:rsid w:val="12E8AFEC"/>
    <w:rsid w:val="132DD37D"/>
    <w:rsid w:val="132E2002"/>
    <w:rsid w:val="135043A8"/>
    <w:rsid w:val="13632C7D"/>
    <w:rsid w:val="13B2EF21"/>
    <w:rsid w:val="14131E3C"/>
    <w:rsid w:val="1443DBD9"/>
    <w:rsid w:val="14AB6939"/>
    <w:rsid w:val="14B4EDC7"/>
    <w:rsid w:val="14CB200A"/>
    <w:rsid w:val="14E4F212"/>
    <w:rsid w:val="150E8C00"/>
    <w:rsid w:val="16D6CF2D"/>
    <w:rsid w:val="1799D1E1"/>
    <w:rsid w:val="180C1100"/>
    <w:rsid w:val="183258DE"/>
    <w:rsid w:val="18467394"/>
    <w:rsid w:val="186547AF"/>
    <w:rsid w:val="18A5947F"/>
    <w:rsid w:val="18ECA12C"/>
    <w:rsid w:val="18F039BE"/>
    <w:rsid w:val="18F2D629"/>
    <w:rsid w:val="1907EEAC"/>
    <w:rsid w:val="1913E5A0"/>
    <w:rsid w:val="1915EB32"/>
    <w:rsid w:val="195E823E"/>
    <w:rsid w:val="1961F2F6"/>
    <w:rsid w:val="1999A1D8"/>
    <w:rsid w:val="19D1D117"/>
    <w:rsid w:val="19DF1547"/>
    <w:rsid w:val="1A05CD31"/>
    <w:rsid w:val="1A436550"/>
    <w:rsid w:val="1A5A8D3D"/>
    <w:rsid w:val="1B023625"/>
    <w:rsid w:val="1B263ECA"/>
    <w:rsid w:val="1BB50D95"/>
    <w:rsid w:val="1BDD3541"/>
    <w:rsid w:val="1BEA8EC8"/>
    <w:rsid w:val="1BEAEF9B"/>
    <w:rsid w:val="1BF1B804"/>
    <w:rsid w:val="1C21A531"/>
    <w:rsid w:val="1C359216"/>
    <w:rsid w:val="1C42C8C3"/>
    <w:rsid w:val="1C62172D"/>
    <w:rsid w:val="1CD29A22"/>
    <w:rsid w:val="1CEF5B0E"/>
    <w:rsid w:val="1D19E4B7"/>
    <w:rsid w:val="1D669F42"/>
    <w:rsid w:val="1D69C6A5"/>
    <w:rsid w:val="1D7905A2"/>
    <w:rsid w:val="1DBD7592"/>
    <w:rsid w:val="1E0AE940"/>
    <w:rsid w:val="1E111143"/>
    <w:rsid w:val="1E5F22CA"/>
    <w:rsid w:val="1E60B37C"/>
    <w:rsid w:val="1EAF5853"/>
    <w:rsid w:val="1EC51509"/>
    <w:rsid w:val="1ECAF100"/>
    <w:rsid w:val="1F14D603"/>
    <w:rsid w:val="1F6D32D8"/>
    <w:rsid w:val="1F9ED105"/>
    <w:rsid w:val="1FBEBB14"/>
    <w:rsid w:val="1FEC222D"/>
    <w:rsid w:val="1FF13B1E"/>
    <w:rsid w:val="20057232"/>
    <w:rsid w:val="2046D66B"/>
    <w:rsid w:val="2060D17B"/>
    <w:rsid w:val="207A72EB"/>
    <w:rsid w:val="20B0A664"/>
    <w:rsid w:val="20B52631"/>
    <w:rsid w:val="20F48709"/>
    <w:rsid w:val="20F51654"/>
    <w:rsid w:val="21090339"/>
    <w:rsid w:val="210D0FC1"/>
    <w:rsid w:val="21244712"/>
    <w:rsid w:val="21272AB9"/>
    <w:rsid w:val="21608CBE"/>
    <w:rsid w:val="217C4472"/>
    <w:rsid w:val="21B17BFC"/>
    <w:rsid w:val="21B228D2"/>
    <w:rsid w:val="21B94566"/>
    <w:rsid w:val="21D6E407"/>
    <w:rsid w:val="21E64EAA"/>
    <w:rsid w:val="226B9C10"/>
    <w:rsid w:val="22D4FD62"/>
    <w:rsid w:val="22E22CF2"/>
    <w:rsid w:val="23158E75"/>
    <w:rsid w:val="2329A629"/>
    <w:rsid w:val="236CD52F"/>
    <w:rsid w:val="23905CE3"/>
    <w:rsid w:val="23E84726"/>
    <w:rsid w:val="23F1A8EF"/>
    <w:rsid w:val="23F87CD5"/>
    <w:rsid w:val="2454D8B1"/>
    <w:rsid w:val="2481DE87"/>
    <w:rsid w:val="24CC3C98"/>
    <w:rsid w:val="251D3F0E"/>
    <w:rsid w:val="2536DC57"/>
    <w:rsid w:val="25F622A7"/>
    <w:rsid w:val="2645DD6E"/>
    <w:rsid w:val="26F3966D"/>
    <w:rsid w:val="27188447"/>
    <w:rsid w:val="2742E47E"/>
    <w:rsid w:val="27504A79"/>
    <w:rsid w:val="27EB43D0"/>
    <w:rsid w:val="27F95CC3"/>
    <w:rsid w:val="28592CD5"/>
    <w:rsid w:val="289D7DE3"/>
    <w:rsid w:val="28BBB849"/>
    <w:rsid w:val="2952946E"/>
    <w:rsid w:val="296FEA6E"/>
    <w:rsid w:val="297C8404"/>
    <w:rsid w:val="298CF380"/>
    <w:rsid w:val="299869E4"/>
    <w:rsid w:val="29AD6FF8"/>
    <w:rsid w:val="2B28C3E1"/>
    <w:rsid w:val="2B3B0EF1"/>
    <w:rsid w:val="2B8D6F52"/>
    <w:rsid w:val="2B8E1F72"/>
    <w:rsid w:val="2B8F96EE"/>
    <w:rsid w:val="2B9AB852"/>
    <w:rsid w:val="2BF3590B"/>
    <w:rsid w:val="2C7A3793"/>
    <w:rsid w:val="2D12B1DF"/>
    <w:rsid w:val="2E72ADC5"/>
    <w:rsid w:val="2EB8205C"/>
    <w:rsid w:val="2F564160"/>
    <w:rsid w:val="2F7CC04E"/>
    <w:rsid w:val="2FAAF7F2"/>
    <w:rsid w:val="2FF4E9CA"/>
    <w:rsid w:val="30227555"/>
    <w:rsid w:val="302B39E7"/>
    <w:rsid w:val="30570436"/>
    <w:rsid w:val="3090A2A3"/>
    <w:rsid w:val="309EC8F7"/>
    <w:rsid w:val="3101E601"/>
    <w:rsid w:val="3138796A"/>
    <w:rsid w:val="3166D40F"/>
    <w:rsid w:val="316FD6AD"/>
    <w:rsid w:val="31EE451F"/>
    <w:rsid w:val="31F2D497"/>
    <w:rsid w:val="3268E4C4"/>
    <w:rsid w:val="326A6B6F"/>
    <w:rsid w:val="326E2EFB"/>
    <w:rsid w:val="32FE3997"/>
    <w:rsid w:val="33B0D380"/>
    <w:rsid w:val="33C84365"/>
    <w:rsid w:val="345255FC"/>
    <w:rsid w:val="345F3FFF"/>
    <w:rsid w:val="349355DB"/>
    <w:rsid w:val="34C6AEE4"/>
    <w:rsid w:val="3521EDEC"/>
    <w:rsid w:val="3561E339"/>
    <w:rsid w:val="356A51AC"/>
    <w:rsid w:val="359A3B51"/>
    <w:rsid w:val="3615237A"/>
    <w:rsid w:val="365ECFA2"/>
    <w:rsid w:val="36BDBE4D"/>
    <w:rsid w:val="36CC2D15"/>
    <w:rsid w:val="36CC5983"/>
    <w:rsid w:val="36F4DDA4"/>
    <w:rsid w:val="36FCB806"/>
    <w:rsid w:val="374D368C"/>
    <w:rsid w:val="37A87FD5"/>
    <w:rsid w:val="37D0A961"/>
    <w:rsid w:val="38190456"/>
    <w:rsid w:val="385C618F"/>
    <w:rsid w:val="389BB488"/>
    <w:rsid w:val="38AE1334"/>
    <w:rsid w:val="38E92F7A"/>
    <w:rsid w:val="39A23DC4"/>
    <w:rsid w:val="39B49FEA"/>
    <w:rsid w:val="39F55F0F"/>
    <w:rsid w:val="39FC1B47"/>
    <w:rsid w:val="3A09B0B0"/>
    <w:rsid w:val="3A0E4FC3"/>
    <w:rsid w:val="3A1755F1"/>
    <w:rsid w:val="3A84FFDB"/>
    <w:rsid w:val="3AD94176"/>
    <w:rsid w:val="3AEF13F1"/>
    <w:rsid w:val="3B36E0FA"/>
    <w:rsid w:val="3B7ADFC5"/>
    <w:rsid w:val="3BD811C2"/>
    <w:rsid w:val="3BF787BC"/>
    <w:rsid w:val="3C1779A6"/>
    <w:rsid w:val="3C2ADA11"/>
    <w:rsid w:val="3C90470C"/>
    <w:rsid w:val="3CA16FCE"/>
    <w:rsid w:val="3CAA7472"/>
    <w:rsid w:val="3CD32EA9"/>
    <w:rsid w:val="3D1A8EC3"/>
    <w:rsid w:val="3D2CFFD1"/>
    <w:rsid w:val="3D34D11A"/>
    <w:rsid w:val="3D3D91C5"/>
    <w:rsid w:val="3D5D7571"/>
    <w:rsid w:val="3D7EB5D2"/>
    <w:rsid w:val="3D893935"/>
    <w:rsid w:val="3DF4B459"/>
    <w:rsid w:val="3E10CC0D"/>
    <w:rsid w:val="3E292C52"/>
    <w:rsid w:val="3E3D402F"/>
    <w:rsid w:val="3E3E2E35"/>
    <w:rsid w:val="3EBE2395"/>
    <w:rsid w:val="3EC26057"/>
    <w:rsid w:val="3ED16D41"/>
    <w:rsid w:val="3F0716F9"/>
    <w:rsid w:val="3F490B1D"/>
    <w:rsid w:val="3FA846BA"/>
    <w:rsid w:val="3FC663B8"/>
    <w:rsid w:val="3FC95EF6"/>
    <w:rsid w:val="4008D428"/>
    <w:rsid w:val="4132227A"/>
    <w:rsid w:val="41377696"/>
    <w:rsid w:val="41E419E3"/>
    <w:rsid w:val="41FFCE60"/>
    <w:rsid w:val="42DFB8D2"/>
    <w:rsid w:val="4300AD7E"/>
    <w:rsid w:val="43192977"/>
    <w:rsid w:val="436C9E9F"/>
    <w:rsid w:val="43DBD695"/>
    <w:rsid w:val="4444037E"/>
    <w:rsid w:val="44849A2F"/>
    <w:rsid w:val="44A4C499"/>
    <w:rsid w:val="44FD995B"/>
    <w:rsid w:val="4521D82F"/>
    <w:rsid w:val="457D803E"/>
    <w:rsid w:val="45A023CD"/>
    <w:rsid w:val="45F6AF32"/>
    <w:rsid w:val="4652557F"/>
    <w:rsid w:val="46B779AE"/>
    <w:rsid w:val="47143919"/>
    <w:rsid w:val="471D2A46"/>
    <w:rsid w:val="4762AD64"/>
    <w:rsid w:val="47666155"/>
    <w:rsid w:val="476B1AE5"/>
    <w:rsid w:val="47808DA4"/>
    <w:rsid w:val="4792A23D"/>
    <w:rsid w:val="47A5FD26"/>
    <w:rsid w:val="47C9E3C4"/>
    <w:rsid w:val="47D28AAA"/>
    <w:rsid w:val="47F86FFF"/>
    <w:rsid w:val="47FB633C"/>
    <w:rsid w:val="482EB798"/>
    <w:rsid w:val="4868777B"/>
    <w:rsid w:val="48B85FA5"/>
    <w:rsid w:val="48CDD1DA"/>
    <w:rsid w:val="48EFED63"/>
    <w:rsid w:val="49405023"/>
    <w:rsid w:val="49D5FF27"/>
    <w:rsid w:val="4A36CA27"/>
    <w:rsid w:val="4A60DECD"/>
    <w:rsid w:val="4ABD0375"/>
    <w:rsid w:val="4ACE5B53"/>
    <w:rsid w:val="4AE74E34"/>
    <w:rsid w:val="4C0CF11A"/>
    <w:rsid w:val="4C9B8F9F"/>
    <w:rsid w:val="4CF70B68"/>
    <w:rsid w:val="4D0D3672"/>
    <w:rsid w:val="4D4D8FAC"/>
    <w:rsid w:val="4DA1F054"/>
    <w:rsid w:val="4DD98D3D"/>
    <w:rsid w:val="4E357B57"/>
    <w:rsid w:val="4E4F04CC"/>
    <w:rsid w:val="4E5FE40B"/>
    <w:rsid w:val="4E8573E8"/>
    <w:rsid w:val="4EBDECB9"/>
    <w:rsid w:val="4EF7D39B"/>
    <w:rsid w:val="4F2FD134"/>
    <w:rsid w:val="4F87405C"/>
    <w:rsid w:val="4FFBB46C"/>
    <w:rsid w:val="5077B35A"/>
    <w:rsid w:val="50922652"/>
    <w:rsid w:val="50A27FC2"/>
    <w:rsid w:val="50AD55A2"/>
    <w:rsid w:val="50CA6E7B"/>
    <w:rsid w:val="50CA99B1"/>
    <w:rsid w:val="5112B8C2"/>
    <w:rsid w:val="52163167"/>
    <w:rsid w:val="5239415A"/>
    <w:rsid w:val="5255B94E"/>
    <w:rsid w:val="5281B41D"/>
    <w:rsid w:val="5282D7F5"/>
    <w:rsid w:val="52C62137"/>
    <w:rsid w:val="53114BAA"/>
    <w:rsid w:val="533EB030"/>
    <w:rsid w:val="53722F4F"/>
    <w:rsid w:val="53FCAD7E"/>
    <w:rsid w:val="5474A263"/>
    <w:rsid w:val="54B4DD7D"/>
    <w:rsid w:val="54CB9886"/>
    <w:rsid w:val="54D854C4"/>
    <w:rsid w:val="550D302F"/>
    <w:rsid w:val="5570E21C"/>
    <w:rsid w:val="5647E2D3"/>
    <w:rsid w:val="56C1B4C4"/>
    <w:rsid w:val="56DD72BD"/>
    <w:rsid w:val="57101781"/>
    <w:rsid w:val="57504435"/>
    <w:rsid w:val="57916CF7"/>
    <w:rsid w:val="57D6284C"/>
    <w:rsid w:val="57EC3AA9"/>
    <w:rsid w:val="58D4E0D5"/>
    <w:rsid w:val="58E84A81"/>
    <w:rsid w:val="592028F8"/>
    <w:rsid w:val="594A87FF"/>
    <w:rsid w:val="598060CD"/>
    <w:rsid w:val="59FA31B9"/>
    <w:rsid w:val="5A1380EC"/>
    <w:rsid w:val="5A70B136"/>
    <w:rsid w:val="5AB1E6FA"/>
    <w:rsid w:val="5AC960C0"/>
    <w:rsid w:val="5B0A584C"/>
    <w:rsid w:val="5B7C7C24"/>
    <w:rsid w:val="5B7CE15E"/>
    <w:rsid w:val="5B81EB0F"/>
    <w:rsid w:val="5BD74A0F"/>
    <w:rsid w:val="5C2BDAA4"/>
    <w:rsid w:val="5C904374"/>
    <w:rsid w:val="5CA51523"/>
    <w:rsid w:val="5CBD618C"/>
    <w:rsid w:val="5D108765"/>
    <w:rsid w:val="5D13D3AF"/>
    <w:rsid w:val="5D184C85"/>
    <w:rsid w:val="5D3DD473"/>
    <w:rsid w:val="5D70EF1D"/>
    <w:rsid w:val="5D8E5561"/>
    <w:rsid w:val="5DF2E71B"/>
    <w:rsid w:val="5E15411E"/>
    <w:rsid w:val="5E2C65EA"/>
    <w:rsid w:val="5EB41CE6"/>
    <w:rsid w:val="5ED99973"/>
    <w:rsid w:val="5EF9637A"/>
    <w:rsid w:val="5FAB1D28"/>
    <w:rsid w:val="5FF7262A"/>
    <w:rsid w:val="6019C5BC"/>
    <w:rsid w:val="6027EC10"/>
    <w:rsid w:val="6074F3CD"/>
    <w:rsid w:val="60B16B5E"/>
    <w:rsid w:val="60C684BD"/>
    <w:rsid w:val="6113F44E"/>
    <w:rsid w:val="61508F0C"/>
    <w:rsid w:val="6198F83E"/>
    <w:rsid w:val="62051682"/>
    <w:rsid w:val="632CFF1D"/>
    <w:rsid w:val="635F8CD2"/>
    <w:rsid w:val="63CE2EBA"/>
    <w:rsid w:val="63DB5FB4"/>
    <w:rsid w:val="646B1583"/>
    <w:rsid w:val="6535D3D8"/>
    <w:rsid w:val="65A4F3A0"/>
    <w:rsid w:val="662229ED"/>
    <w:rsid w:val="6622D8A1"/>
    <w:rsid w:val="666E069E"/>
    <w:rsid w:val="667FF50E"/>
    <w:rsid w:val="66857A70"/>
    <w:rsid w:val="6686E7E1"/>
    <w:rsid w:val="66C08509"/>
    <w:rsid w:val="6808879D"/>
    <w:rsid w:val="6882B0F1"/>
    <w:rsid w:val="68B27AF3"/>
    <w:rsid w:val="68B5E6D2"/>
    <w:rsid w:val="68BD507A"/>
    <w:rsid w:val="69D2C2E0"/>
    <w:rsid w:val="6A5316C5"/>
    <w:rsid w:val="6AADC56A"/>
    <w:rsid w:val="6ACA0682"/>
    <w:rsid w:val="6AE97F94"/>
    <w:rsid w:val="6B101D4E"/>
    <w:rsid w:val="6B42845F"/>
    <w:rsid w:val="6B4D553D"/>
    <w:rsid w:val="6BB1C9D8"/>
    <w:rsid w:val="6BE3AF21"/>
    <w:rsid w:val="6C0E7540"/>
    <w:rsid w:val="6C5DBBEE"/>
    <w:rsid w:val="6C65D6E3"/>
    <w:rsid w:val="6C988217"/>
    <w:rsid w:val="6CAD91CC"/>
    <w:rsid w:val="6CC988F7"/>
    <w:rsid w:val="6D1E0F2A"/>
    <w:rsid w:val="6D73DAEA"/>
    <w:rsid w:val="6D90C19D"/>
    <w:rsid w:val="6DF40F85"/>
    <w:rsid w:val="6EEE269E"/>
    <w:rsid w:val="6EF4FC32"/>
    <w:rsid w:val="6F0E50B0"/>
    <w:rsid w:val="6FA4DB2A"/>
    <w:rsid w:val="6FA9E59F"/>
    <w:rsid w:val="6FCE590E"/>
    <w:rsid w:val="6FFA1940"/>
    <w:rsid w:val="703880A2"/>
    <w:rsid w:val="7046DFF0"/>
    <w:rsid w:val="70BB9ACF"/>
    <w:rsid w:val="70F91A6A"/>
    <w:rsid w:val="7117C9E5"/>
    <w:rsid w:val="71DF93C2"/>
    <w:rsid w:val="72717188"/>
    <w:rsid w:val="72F939A8"/>
    <w:rsid w:val="730561B9"/>
    <w:rsid w:val="7336CAFF"/>
    <w:rsid w:val="73734E21"/>
    <w:rsid w:val="73EC3D97"/>
    <w:rsid w:val="73F0D71E"/>
    <w:rsid w:val="741A57B4"/>
    <w:rsid w:val="743534B0"/>
    <w:rsid w:val="7461AB89"/>
    <w:rsid w:val="746FB9E1"/>
    <w:rsid w:val="74A393FC"/>
    <w:rsid w:val="74C841C5"/>
    <w:rsid w:val="74E02D5D"/>
    <w:rsid w:val="75032BFE"/>
    <w:rsid w:val="755E7D59"/>
    <w:rsid w:val="7621D4CB"/>
    <w:rsid w:val="76A9EA84"/>
    <w:rsid w:val="76B5C280"/>
    <w:rsid w:val="777C2BE5"/>
    <w:rsid w:val="77F3A4C8"/>
    <w:rsid w:val="780179FF"/>
    <w:rsid w:val="78716B41"/>
    <w:rsid w:val="78788783"/>
    <w:rsid w:val="78D748AC"/>
    <w:rsid w:val="78E6C8B7"/>
    <w:rsid w:val="78FA2A9C"/>
    <w:rsid w:val="793187DF"/>
    <w:rsid w:val="799424A7"/>
    <w:rsid w:val="79956181"/>
    <w:rsid w:val="7A055580"/>
    <w:rsid w:val="7A2653C8"/>
    <w:rsid w:val="7A420BCD"/>
    <w:rsid w:val="7A47D04E"/>
    <w:rsid w:val="7A5326B9"/>
    <w:rsid w:val="7A7EA250"/>
    <w:rsid w:val="7B055E0C"/>
    <w:rsid w:val="7B077E4E"/>
    <w:rsid w:val="7B352C3D"/>
    <w:rsid w:val="7C17AF97"/>
    <w:rsid w:val="7C1AF1AD"/>
    <w:rsid w:val="7C2B5EE9"/>
    <w:rsid w:val="7CAFEC21"/>
    <w:rsid w:val="7CDC24F6"/>
    <w:rsid w:val="7D1F7260"/>
    <w:rsid w:val="7D829A9C"/>
    <w:rsid w:val="7E1F52F2"/>
    <w:rsid w:val="7E271C35"/>
    <w:rsid w:val="7E5BDCA6"/>
    <w:rsid w:val="7E65CF60"/>
    <w:rsid w:val="7EB19BE2"/>
    <w:rsid w:val="7EB3E6B0"/>
    <w:rsid w:val="7F103B06"/>
    <w:rsid w:val="7F44F65C"/>
    <w:rsid w:val="7F471CD6"/>
    <w:rsid w:val="7F56727A"/>
    <w:rsid w:val="7F92FDD9"/>
    <w:rsid w:val="7F994903"/>
    <w:rsid w:val="7F99703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1B472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413D"/>
    <w:pPr>
      <w:outlineLvl w:val="0"/>
    </w:pPr>
    <w:rPr>
      <w:b/>
      <w:bCs/>
      <w:sz w:val="32"/>
      <w:szCs w:val="32"/>
    </w:rPr>
  </w:style>
  <w:style w:type="paragraph" w:styleId="Heading2">
    <w:name w:val="heading 2"/>
    <w:basedOn w:val="BodyText"/>
    <w:next w:val="Normal"/>
    <w:link w:val="Heading2Char"/>
    <w:uiPriority w:val="9"/>
    <w:unhideWhenUsed/>
    <w:qFormat/>
    <w:rsid w:val="00A5413D"/>
    <w:pPr>
      <w:outlineLvl w:val="1"/>
    </w:pPr>
    <w:rPr>
      <w:rFonts w:cstheme="minorHAns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83F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Point,Bullet point,Bullet points,Content descriptions,DDM Gen Text,Dot point 1.5 line spacing,L,List Paragraph - bullets,List Paragraph Number,List Paragraph1,List Paragraph11,NFP GP Bulleted List,Recommendation,bullet point list"/>
    <w:basedOn w:val="Normal"/>
    <w:link w:val="ListParagraphChar"/>
    <w:qFormat/>
    <w:rsid w:val="00183FB1"/>
    <w:pPr>
      <w:ind w:left="720"/>
      <w:contextualSpacing/>
    </w:pPr>
  </w:style>
  <w:style w:type="character" w:customStyle="1" w:styleId="ListParagraphChar">
    <w:name w:val="List Paragraph Char"/>
    <w:aliases w:val="Bullet Point Char,Bullet point Char,Bullet points Char,Content descriptions Char,DDM Gen Text Char,Dot point 1.5 line spacing Char,L Char,List Paragraph - bullets Char,List Paragraph Number Char,List Paragraph1 Char"/>
    <w:basedOn w:val="DefaultParagraphFont"/>
    <w:link w:val="ListParagraph"/>
    <w:uiPriority w:val="34"/>
    <w:qFormat/>
    <w:locked/>
    <w:rsid w:val="00183FB1"/>
  </w:style>
  <w:style w:type="paragraph" w:styleId="FootnoteText">
    <w:name w:val="footnote text"/>
    <w:aliases w:val="Footnote Text Char1 Char,Footnote Text Char Char Char,Footnote Text Char1 Char1 Char Char,Footnote Text Char Char Char Char Char,Footnote Text Char1 Char Char Char Char,Footnote Text Char Char1 Char Char Char Char,fn,C,ADB,ft,single space"/>
    <w:basedOn w:val="Normal"/>
    <w:link w:val="FootnoteTextChar"/>
    <w:uiPriority w:val="99"/>
    <w:unhideWhenUsed/>
    <w:qFormat/>
    <w:rsid w:val="00183FB1"/>
    <w:pPr>
      <w:spacing w:after="0" w:line="240" w:lineRule="auto"/>
    </w:pPr>
    <w:rPr>
      <w:rFonts w:ascii="Open Sans" w:hAnsi="Open Sans"/>
      <w:kern w:val="0"/>
      <w:sz w:val="20"/>
      <w:szCs w:val="20"/>
      <w:lang w:val="en-AU"/>
      <w14:ligatures w14:val="none"/>
    </w:rPr>
  </w:style>
  <w:style w:type="character" w:customStyle="1" w:styleId="FootnoteTextChar">
    <w:name w:val="Footnote Text Char"/>
    <w:aliases w:val="Footnote Text Char1 Char Char,Footnote Text Char Char Char Char,Footnote Text Char1 Char1 Char Char Char,Footnote Text Char Char Char Char Char Char,Footnote Text Char1 Char Char Char Char Char,fn Char,C Char,ADB Char,ft Char"/>
    <w:basedOn w:val="DefaultParagraphFont"/>
    <w:link w:val="FootnoteText"/>
    <w:uiPriority w:val="99"/>
    <w:rsid w:val="00183FB1"/>
    <w:rPr>
      <w:rFonts w:ascii="Open Sans" w:hAnsi="Open Sans"/>
      <w:kern w:val="0"/>
      <w:sz w:val="20"/>
      <w:szCs w:val="20"/>
      <w:lang w:val="en-AU"/>
      <w14:ligatures w14:val="none"/>
    </w:rPr>
  </w:style>
  <w:style w:type="character" w:styleId="FootnoteReference">
    <w:name w:val="footnote reference"/>
    <w:aliases w:val="(NECG) Footnote Reference,16 Point,BVI fnr,FnR-ANZDEC,Footnote Ref in FtNote,Footnote text,Fußnotenzeichen DISS,Ref,SUPERS,Superscript 6 Point,de nota al pie,footnote ref,fr,ftref,Normal + Font:9 Point,Superscript 3 Point Times,f,4_G"/>
    <w:basedOn w:val="DefaultParagraphFont"/>
    <w:link w:val="footnotenumber"/>
    <w:uiPriority w:val="99"/>
    <w:unhideWhenUsed/>
    <w:qFormat/>
    <w:rsid w:val="00183FB1"/>
    <w:rPr>
      <w:vertAlign w:val="superscript"/>
    </w:rPr>
  </w:style>
  <w:style w:type="paragraph" w:customStyle="1" w:styleId="footnotenumber">
    <w:name w:val="footnote number"/>
    <w:basedOn w:val="FootnoteText"/>
    <w:next w:val="FootnoteText"/>
    <w:link w:val="FootnoteReference"/>
    <w:autoRedefine/>
    <w:uiPriority w:val="99"/>
    <w:rsid w:val="00183FB1"/>
    <w:pPr>
      <w:ind w:left="142" w:hanging="142"/>
      <w:jc w:val="both"/>
    </w:pPr>
    <w:rPr>
      <w:rFonts w:asciiTheme="minorHAnsi" w:hAnsiTheme="minorHAnsi"/>
      <w:kern w:val="2"/>
      <w:sz w:val="22"/>
      <w:szCs w:val="22"/>
      <w:vertAlign w:val="superscript"/>
      <w:lang w:val="en-US"/>
      <w14:ligatures w14:val="standardContextual"/>
    </w:rPr>
  </w:style>
  <w:style w:type="paragraph" w:styleId="Revision">
    <w:name w:val="Revision"/>
    <w:hidden/>
    <w:uiPriority w:val="99"/>
    <w:semiHidden/>
    <w:rsid w:val="004F07FD"/>
    <w:pPr>
      <w:spacing w:after="0" w:line="240" w:lineRule="auto"/>
    </w:pPr>
  </w:style>
  <w:style w:type="character" w:styleId="CommentReference">
    <w:name w:val="annotation reference"/>
    <w:basedOn w:val="DefaultParagraphFont"/>
    <w:uiPriority w:val="99"/>
    <w:semiHidden/>
    <w:unhideWhenUsed/>
    <w:rsid w:val="00F8362B"/>
    <w:rPr>
      <w:sz w:val="16"/>
      <w:szCs w:val="16"/>
    </w:rPr>
  </w:style>
  <w:style w:type="paragraph" w:styleId="CommentText">
    <w:name w:val="annotation text"/>
    <w:basedOn w:val="Normal"/>
    <w:link w:val="CommentTextChar"/>
    <w:uiPriority w:val="99"/>
    <w:unhideWhenUsed/>
    <w:rsid w:val="00F8362B"/>
    <w:pPr>
      <w:spacing w:line="240" w:lineRule="auto"/>
    </w:pPr>
    <w:rPr>
      <w:sz w:val="20"/>
      <w:szCs w:val="20"/>
    </w:rPr>
  </w:style>
  <w:style w:type="character" w:customStyle="1" w:styleId="CommentTextChar">
    <w:name w:val="Comment Text Char"/>
    <w:basedOn w:val="DefaultParagraphFont"/>
    <w:link w:val="CommentText"/>
    <w:uiPriority w:val="99"/>
    <w:rsid w:val="00F8362B"/>
    <w:rPr>
      <w:sz w:val="20"/>
      <w:szCs w:val="20"/>
    </w:rPr>
  </w:style>
  <w:style w:type="paragraph" w:styleId="CommentSubject">
    <w:name w:val="annotation subject"/>
    <w:basedOn w:val="CommentText"/>
    <w:next w:val="CommentText"/>
    <w:link w:val="CommentSubjectChar"/>
    <w:uiPriority w:val="99"/>
    <w:semiHidden/>
    <w:unhideWhenUsed/>
    <w:rsid w:val="00F8362B"/>
    <w:rPr>
      <w:b/>
      <w:bCs/>
    </w:rPr>
  </w:style>
  <w:style w:type="character" w:customStyle="1" w:styleId="CommentSubjectChar">
    <w:name w:val="Comment Subject Char"/>
    <w:basedOn w:val="CommentTextChar"/>
    <w:link w:val="CommentSubject"/>
    <w:uiPriority w:val="99"/>
    <w:semiHidden/>
    <w:rsid w:val="00F8362B"/>
    <w:rPr>
      <w:b/>
      <w:bCs/>
      <w:sz w:val="20"/>
      <w:szCs w:val="20"/>
    </w:rPr>
  </w:style>
  <w:style w:type="paragraph" w:styleId="Header">
    <w:name w:val="header"/>
    <w:basedOn w:val="Normal"/>
    <w:link w:val="HeaderChar"/>
    <w:uiPriority w:val="99"/>
    <w:unhideWhenUsed/>
    <w:rsid w:val="00921F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1F1F"/>
  </w:style>
  <w:style w:type="paragraph" w:styleId="Footer">
    <w:name w:val="footer"/>
    <w:basedOn w:val="Normal"/>
    <w:link w:val="FooterChar"/>
    <w:uiPriority w:val="99"/>
    <w:unhideWhenUsed/>
    <w:rsid w:val="00921F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1F1F"/>
  </w:style>
  <w:style w:type="paragraph" w:styleId="BodyText">
    <w:name w:val="Body Text"/>
    <w:link w:val="BodyTextChar"/>
    <w:qFormat/>
    <w:rsid w:val="00DB60F5"/>
    <w:pPr>
      <w:spacing w:after="240" w:line="252" w:lineRule="auto"/>
    </w:pPr>
    <w:rPr>
      <w:rFonts w:ascii="Arial" w:hAnsi="Arial" w:cs="Arial"/>
      <w:kern w:val="0"/>
      <w:lang w:val="en-GB" w:eastAsia="en-GB"/>
      <w14:ligatures w14:val="none"/>
    </w:rPr>
  </w:style>
  <w:style w:type="character" w:customStyle="1" w:styleId="BodyTextChar">
    <w:name w:val="Body Text Char"/>
    <w:basedOn w:val="DefaultParagraphFont"/>
    <w:link w:val="BodyText"/>
    <w:rsid w:val="00DB60F5"/>
    <w:rPr>
      <w:rFonts w:ascii="Arial" w:hAnsi="Arial" w:cs="Arial"/>
      <w:kern w:val="0"/>
      <w:lang w:val="en-GB" w:eastAsia="en-GB"/>
      <w14:ligatures w14:val="none"/>
    </w:rPr>
  </w:style>
  <w:style w:type="character" w:customStyle="1" w:styleId="cf01">
    <w:name w:val="cf01"/>
    <w:basedOn w:val="DefaultParagraphFont"/>
    <w:rsid w:val="00254261"/>
    <w:rPr>
      <w:rFonts w:ascii="Segoe UI" w:hAnsi="Segoe UI" w:cs="Segoe UI" w:hint="default"/>
      <w:sz w:val="18"/>
      <w:szCs w:val="18"/>
    </w:rPr>
  </w:style>
  <w:style w:type="character" w:styleId="Mention">
    <w:name w:val="Mention"/>
    <w:basedOn w:val="DefaultParagraphFont"/>
    <w:uiPriority w:val="99"/>
    <w:unhideWhenUsed/>
    <w:rPr>
      <w:color w:val="2B579A"/>
      <w:shd w:val="clear" w:color="auto" w:fill="E6E6E6"/>
    </w:rPr>
  </w:style>
  <w:style w:type="character" w:customStyle="1" w:styleId="Heading2Char">
    <w:name w:val="Heading 2 Char"/>
    <w:basedOn w:val="DefaultParagraphFont"/>
    <w:link w:val="Heading2"/>
    <w:uiPriority w:val="9"/>
    <w:rsid w:val="00A5413D"/>
    <w:rPr>
      <w:rFonts w:ascii="Arial" w:hAnsi="Arial" w:cstheme="minorHAnsi"/>
      <w:b/>
      <w:bCs/>
      <w:kern w:val="0"/>
      <w:sz w:val="20"/>
      <w:szCs w:val="20"/>
      <w:lang w:val="en-GB" w:eastAsia="en-GB"/>
      <w14:ligatures w14:val="none"/>
    </w:rPr>
  </w:style>
  <w:style w:type="character" w:customStyle="1" w:styleId="Heading1Char">
    <w:name w:val="Heading 1 Char"/>
    <w:basedOn w:val="DefaultParagraphFont"/>
    <w:link w:val="Heading1"/>
    <w:uiPriority w:val="9"/>
    <w:rsid w:val="00A5413D"/>
    <w:rPr>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FF68C9-E0E8-40A6-80E9-A9E0F30EB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3318</Words>
  <Characters>18827</Characters>
  <Application>Microsoft Office Word</Application>
  <DocSecurity>0</DocSecurity>
  <Lines>406</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DFAT Management Response to the Mid-term Review of the Aus4Skills Phase 2</dc:title>
  <dc:subject/>
  <dc:creator/>
  <cp:keywords>[SEC=OFFICIAL]</cp:keywords>
  <dc:description/>
  <cp:lastModifiedBy/>
  <cp:revision>1</cp:revision>
  <dcterms:created xsi:type="dcterms:W3CDTF">2024-07-04T06:23:00Z</dcterms:created>
  <dcterms:modified xsi:type="dcterms:W3CDTF">2024-07-04T06:32:00Z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Version">
    <vt:lpwstr>2018.4</vt:lpwstr>
  </property>
  <property fmtid="{D5CDD505-2E9C-101B-9397-08002B2CF9AE}" pid="4" name="PM_SecurityClassification">
    <vt:lpwstr>OFFICIAL</vt:lpwstr>
  </property>
  <property fmtid="{D5CDD505-2E9C-101B-9397-08002B2CF9AE}" pid="5" name="PMHMAC">
    <vt:lpwstr>v=2022.1;a=SHA256;h=30DD19675B71D8C0C82F4D0CEBF3794028E941D5C0B5059CA2A5B38049F87B00</vt:lpwstr>
  </property>
  <property fmtid="{D5CDD505-2E9C-101B-9397-08002B2CF9AE}" pid="6" name="PM_Qualifier">
    <vt:lpwstr/>
  </property>
  <property fmtid="{D5CDD505-2E9C-101B-9397-08002B2CF9AE}" pid="7" name="PM_Note">
    <vt:lpwstr/>
  </property>
  <property fmtid="{D5CDD505-2E9C-101B-9397-08002B2CF9AE}" pid="8" name="PM_ProtectiveMarkingValue_Header">
    <vt:lpwstr>OFFICIAL</vt:lpwstr>
  </property>
  <property fmtid="{D5CDD505-2E9C-101B-9397-08002B2CF9AE}" pid="9" name="PM_OriginationTimeStamp">
    <vt:lpwstr>2023-12-28T09:19:31Z</vt:lpwstr>
  </property>
  <property fmtid="{D5CDD505-2E9C-101B-9397-08002B2CF9AE}" pid="10" name="PM_Markers">
    <vt:lpwstr/>
  </property>
  <property fmtid="{D5CDD505-2E9C-101B-9397-08002B2CF9AE}" pid="11" name="PM_InsertionValue">
    <vt:lpwstr>OFFICIAL</vt:lpwstr>
  </property>
  <property fmtid="{D5CDD505-2E9C-101B-9397-08002B2CF9AE}" pid="12" name="PM_Originator_Hash_SHA1">
    <vt:lpwstr>D9F6E5C82DFAF7AB6E3D596D48DD43C72EDFDAB4</vt:lpwstr>
  </property>
  <property fmtid="{D5CDD505-2E9C-101B-9397-08002B2CF9AE}" pid="13" name="PM_DisplayValueSecClassificationWithQualifier">
    <vt:lpwstr>OFFICIAL</vt:lpwstr>
  </property>
  <property fmtid="{D5CDD505-2E9C-101B-9397-08002B2CF9AE}" pid="14" name="PM_ProtectiveMarkingValue_Footer">
    <vt:lpwstr>OFFICIAL</vt:lpwstr>
  </property>
  <property fmtid="{D5CDD505-2E9C-101B-9397-08002B2CF9AE}" pid="15" name="PM_Originating_FileId">
    <vt:lpwstr>3E4C03CA9A644C82B8EB9C7C19C4708D</vt:lpwstr>
  </property>
  <property fmtid="{D5CDD505-2E9C-101B-9397-08002B2CF9AE}" pid="16" name="PM_ProtectiveMarkingImage_Header">
    <vt:lpwstr>C:\Program Files (x86)\Common Files\janusNET Shared\janusSEAL\Images\DocumentSlashBlue.png</vt:lpwstr>
  </property>
  <property fmtid="{D5CDD505-2E9C-101B-9397-08002B2CF9AE}" pid="17" name="PM_ProtectiveMarkingImage_Footer">
    <vt:lpwstr>C:\Program Files (x86)\Common Files\janusNET Shared\janusSEAL\Images\DocumentSlashBlue.png</vt:lpwstr>
  </property>
  <property fmtid="{D5CDD505-2E9C-101B-9397-08002B2CF9AE}" pid="18" name="PM_Display">
    <vt:lpwstr>OFFICIAL</vt:lpwstr>
  </property>
  <property fmtid="{D5CDD505-2E9C-101B-9397-08002B2CF9AE}" pid="19" name="PM_OriginatorUserAccountName_SHA256">
    <vt:lpwstr>3E9DB5AB808CA91EB3E8EC398CDB7F67B110581D6BB28BC88565729DCE387350</vt:lpwstr>
  </property>
  <property fmtid="{D5CDD505-2E9C-101B-9397-08002B2CF9AE}" pid="20" name="PM_OriginatorDomainName_SHA256">
    <vt:lpwstr>6F3591835F3B2A8A025B00B5BA6418010DA3A17C9C26EA9C049FFD28039489A2</vt:lpwstr>
  </property>
  <property fmtid="{D5CDD505-2E9C-101B-9397-08002B2CF9AE}" pid="21" name="PMUuid">
    <vt:lpwstr>v=2022.2;d=gov.au;g=46DD6D7C-8107-577B-BC6E-F348953B2E44</vt:lpwstr>
  </property>
  <property fmtid="{D5CDD505-2E9C-101B-9397-08002B2CF9AE}" pid="22" name="PM_Hash_Version">
    <vt:lpwstr>2022.1</vt:lpwstr>
  </property>
  <property fmtid="{D5CDD505-2E9C-101B-9397-08002B2CF9AE}" pid="23" name="PM_Hash_Salt_Prev">
    <vt:lpwstr>9A45614237A0B02F84304D6F13E3B55C</vt:lpwstr>
  </property>
  <property fmtid="{D5CDD505-2E9C-101B-9397-08002B2CF9AE}" pid="24" name="PM_Hash_Salt">
    <vt:lpwstr>1C18BDCFB234D8A086306C4E206CE88E</vt:lpwstr>
  </property>
  <property fmtid="{D5CDD505-2E9C-101B-9397-08002B2CF9AE}" pid="25" name="PM_Hash_SHA1">
    <vt:lpwstr>25C5425619A7C73359E1007B45D9CFC02C399653</vt:lpwstr>
  </property>
  <property fmtid="{D5CDD505-2E9C-101B-9397-08002B2CF9AE}" pid="26" name="PM_SecurityClassification_Prev">
    <vt:lpwstr>OFFICIAL</vt:lpwstr>
  </property>
  <property fmtid="{D5CDD505-2E9C-101B-9397-08002B2CF9AE}" pid="27" name="PM_Qualifier_Prev">
    <vt:lpwstr/>
  </property>
  <property fmtid="{D5CDD505-2E9C-101B-9397-08002B2CF9AE}" pid="28" name="PM_Caveats_Count">
    <vt:lpwstr>0</vt:lpwstr>
  </property>
</Properties>
</file>