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D417B" w14:textId="44BC63E2" w:rsidR="00A32858" w:rsidRPr="00A32858" w:rsidRDefault="00921A8C" w:rsidP="00A32858">
      <w:pPr>
        <w:spacing w:after="120"/>
        <w:rPr>
          <w:sz w:val="21"/>
          <w:szCs w:val="21"/>
        </w:rPr>
      </w:pPr>
      <w:r>
        <w:rPr>
          <w:sz w:val="21"/>
          <w:szCs w:val="21"/>
        </w:rPr>
        <w:t xml:space="preserve"> </w:t>
      </w:r>
    </w:p>
    <w:p w14:paraId="47E5E30D" w14:textId="11A772F9" w:rsidR="00A32858" w:rsidRPr="009B5F2E" w:rsidRDefault="00A32858" w:rsidP="005B1D67">
      <w:pPr>
        <w:pBdr>
          <w:top w:val="single" w:sz="4" w:space="9"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before="240" w:after="120"/>
        <w:jc w:val="center"/>
        <w:rPr>
          <w:sz w:val="32"/>
          <w:szCs w:val="32"/>
        </w:rPr>
      </w:pPr>
      <w:r w:rsidRPr="009B5F2E">
        <w:rPr>
          <w:b/>
          <w:sz w:val="32"/>
          <w:szCs w:val="32"/>
        </w:rPr>
        <w:t>Investment Design</w:t>
      </w:r>
      <w:r w:rsidR="00B80830" w:rsidRPr="009B5F2E">
        <w:rPr>
          <w:b/>
          <w:sz w:val="32"/>
          <w:szCs w:val="32"/>
        </w:rPr>
        <w:t xml:space="preserve"> Update</w:t>
      </w:r>
      <w:r w:rsidRPr="009B5F2E">
        <w:rPr>
          <w:b/>
          <w:sz w:val="32"/>
          <w:szCs w:val="32"/>
        </w:rPr>
        <w:t>:</w:t>
      </w:r>
      <w:r w:rsidR="008E7337" w:rsidRPr="009B5F2E">
        <w:rPr>
          <w:b/>
          <w:sz w:val="32"/>
          <w:szCs w:val="32"/>
        </w:rPr>
        <w:t xml:space="preserve"> </w:t>
      </w:r>
      <w:r w:rsidR="007902E3" w:rsidRPr="009B5F2E">
        <w:rPr>
          <w:b/>
          <w:sz w:val="32"/>
          <w:szCs w:val="32"/>
        </w:rPr>
        <w:t xml:space="preserve">Australian Humanitarian Partnership </w:t>
      </w:r>
      <w:r w:rsidR="00B80830" w:rsidRPr="009B5F2E">
        <w:rPr>
          <w:b/>
          <w:sz w:val="32"/>
          <w:szCs w:val="32"/>
        </w:rPr>
        <w:t>Phase II</w:t>
      </w:r>
    </w:p>
    <w:p w14:paraId="59443B9E" w14:textId="128D0E13" w:rsidR="00A32858" w:rsidRPr="00A32858" w:rsidRDefault="00A32858" w:rsidP="001A33E4">
      <w:pPr>
        <w:pBdr>
          <w:top w:val="single" w:sz="4" w:space="9"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before="240" w:after="120" w:line="240" w:lineRule="auto"/>
        <w:rPr>
          <w:b/>
          <w:sz w:val="21"/>
          <w:szCs w:val="21"/>
        </w:rPr>
      </w:pPr>
      <w:r w:rsidRPr="00A32858">
        <w:rPr>
          <w:b/>
          <w:sz w:val="21"/>
          <w:szCs w:val="21"/>
        </w:rPr>
        <w:t>Start date:</w:t>
      </w:r>
      <w:r w:rsidR="0021650C">
        <w:rPr>
          <w:b/>
          <w:sz w:val="21"/>
          <w:szCs w:val="21"/>
        </w:rPr>
        <w:t xml:space="preserve"> </w:t>
      </w:r>
      <w:r w:rsidR="007902E3" w:rsidRPr="0021650C">
        <w:rPr>
          <w:bCs/>
          <w:sz w:val="21"/>
          <w:szCs w:val="21"/>
        </w:rPr>
        <w:t>July 2022</w:t>
      </w:r>
      <w:r w:rsidRPr="0021650C">
        <w:rPr>
          <w:bCs/>
          <w:sz w:val="21"/>
          <w:szCs w:val="21"/>
        </w:rPr>
        <w:tab/>
      </w:r>
      <w:r w:rsidRPr="00A32858">
        <w:rPr>
          <w:b/>
          <w:sz w:val="21"/>
          <w:szCs w:val="21"/>
        </w:rPr>
        <w:tab/>
      </w:r>
      <w:r w:rsidRPr="00A32858">
        <w:rPr>
          <w:b/>
          <w:sz w:val="21"/>
          <w:szCs w:val="21"/>
        </w:rPr>
        <w:tab/>
      </w:r>
      <w:r w:rsidR="0021650C">
        <w:rPr>
          <w:b/>
          <w:sz w:val="21"/>
          <w:szCs w:val="21"/>
        </w:rPr>
        <w:tab/>
      </w:r>
      <w:r w:rsidR="0021650C">
        <w:rPr>
          <w:b/>
          <w:sz w:val="21"/>
          <w:szCs w:val="21"/>
        </w:rPr>
        <w:tab/>
      </w:r>
      <w:r w:rsidRPr="00A32858">
        <w:rPr>
          <w:b/>
          <w:sz w:val="21"/>
          <w:szCs w:val="21"/>
        </w:rPr>
        <w:t xml:space="preserve">End date: </w:t>
      </w:r>
      <w:r w:rsidR="0021650C">
        <w:rPr>
          <w:b/>
          <w:sz w:val="21"/>
          <w:szCs w:val="21"/>
        </w:rPr>
        <w:t xml:space="preserve"> </w:t>
      </w:r>
      <w:r w:rsidR="00B80830">
        <w:rPr>
          <w:bCs/>
          <w:sz w:val="21"/>
          <w:szCs w:val="21"/>
        </w:rPr>
        <w:t>January</w:t>
      </w:r>
      <w:r w:rsidR="007902E3" w:rsidRPr="0021650C">
        <w:rPr>
          <w:bCs/>
          <w:sz w:val="21"/>
          <w:szCs w:val="21"/>
        </w:rPr>
        <w:t xml:space="preserve"> 2027</w:t>
      </w:r>
      <w:r w:rsidRPr="0021650C">
        <w:rPr>
          <w:bCs/>
          <w:sz w:val="21"/>
          <w:szCs w:val="21"/>
        </w:rPr>
        <w:tab/>
      </w:r>
    </w:p>
    <w:p w14:paraId="29B00AB2" w14:textId="57F7857D" w:rsidR="00A32858" w:rsidRPr="00A32858" w:rsidRDefault="00A32858" w:rsidP="001A33E4">
      <w:pPr>
        <w:pBdr>
          <w:top w:val="single" w:sz="4" w:space="9"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spacing w:before="240" w:after="120" w:line="240" w:lineRule="auto"/>
        <w:rPr>
          <w:sz w:val="21"/>
          <w:szCs w:val="21"/>
        </w:rPr>
      </w:pPr>
      <w:r w:rsidRPr="00A32858">
        <w:rPr>
          <w:b/>
          <w:sz w:val="21"/>
          <w:szCs w:val="21"/>
        </w:rPr>
        <w:t xml:space="preserve">Total proposed DFAT funding: </w:t>
      </w:r>
      <w:r w:rsidR="00B80830">
        <w:rPr>
          <w:sz w:val="21"/>
          <w:szCs w:val="21"/>
        </w:rPr>
        <w:t>$</w:t>
      </w:r>
      <w:r w:rsidR="007902E3">
        <w:rPr>
          <w:sz w:val="21"/>
          <w:szCs w:val="21"/>
        </w:rPr>
        <w:t>50 million</w:t>
      </w:r>
      <w:r w:rsidRPr="00A32858">
        <w:rPr>
          <w:b/>
          <w:sz w:val="21"/>
          <w:szCs w:val="21"/>
        </w:rPr>
        <w:tab/>
      </w:r>
      <w:r w:rsidRPr="00A32858">
        <w:rPr>
          <w:b/>
          <w:sz w:val="21"/>
          <w:szCs w:val="21"/>
        </w:rPr>
        <w:tab/>
      </w:r>
      <w:r w:rsidR="00B80830">
        <w:rPr>
          <w:b/>
          <w:sz w:val="21"/>
          <w:szCs w:val="21"/>
        </w:rPr>
        <w:tab/>
      </w:r>
      <w:r w:rsidRPr="00A32858">
        <w:rPr>
          <w:b/>
          <w:sz w:val="21"/>
          <w:szCs w:val="21"/>
        </w:rPr>
        <w:t xml:space="preserve">Total proposed funding from all donor/s: </w:t>
      </w:r>
      <w:r w:rsidR="00B80830">
        <w:rPr>
          <w:sz w:val="21"/>
          <w:szCs w:val="21"/>
        </w:rPr>
        <w:t>$</w:t>
      </w:r>
      <w:r w:rsidR="007902E3">
        <w:rPr>
          <w:sz w:val="21"/>
          <w:szCs w:val="21"/>
        </w:rPr>
        <w:t>50</w:t>
      </w:r>
      <w:r w:rsidR="00B80830">
        <w:rPr>
          <w:sz w:val="21"/>
          <w:szCs w:val="21"/>
        </w:rPr>
        <w:t xml:space="preserve"> million</w:t>
      </w:r>
    </w:p>
    <w:p w14:paraId="178CF886" w14:textId="150D58AB" w:rsidR="00D272E8" w:rsidRDefault="00D272E8" w:rsidP="00117035">
      <w:r>
        <w:br w:type="page"/>
      </w:r>
    </w:p>
    <w:p w14:paraId="047D19F8" w14:textId="77777777" w:rsidR="0047031F" w:rsidRPr="00F6083E" w:rsidRDefault="0047031F" w:rsidP="0047031F">
      <w:pPr>
        <w:pStyle w:val="Heading1"/>
        <w:pBdr>
          <w:top w:val="single" w:sz="4" w:space="1" w:color="auto"/>
          <w:left w:val="single" w:sz="4" w:space="4" w:color="auto"/>
          <w:bottom w:val="single" w:sz="4" w:space="1" w:color="auto"/>
          <w:right w:val="single" w:sz="4" w:space="4" w:color="auto"/>
        </w:pBdr>
        <w:shd w:val="clear" w:color="auto" w:fill="E0F3EF" w:themeFill="accent1" w:themeFillTint="33"/>
        <w:rPr>
          <w:rFonts w:eastAsiaTheme="minorHAnsi" w:cstheme="minorBidi"/>
          <w:bCs w:val="0"/>
          <w:sz w:val="22"/>
          <w:szCs w:val="21"/>
        </w:rPr>
      </w:pPr>
      <w:bookmarkStart w:id="0" w:name="_Toc101521647"/>
      <w:r w:rsidRPr="00D272E8">
        <w:rPr>
          <w:rFonts w:eastAsiaTheme="minorHAnsi" w:cstheme="minorBidi"/>
          <w:bCs w:val="0"/>
          <w:sz w:val="22"/>
          <w:szCs w:val="21"/>
        </w:rPr>
        <w:lastRenderedPageBreak/>
        <w:t>Executive Summary</w:t>
      </w:r>
      <w:bookmarkEnd w:id="0"/>
      <w:r w:rsidRPr="00D272E8">
        <w:rPr>
          <w:rFonts w:eastAsiaTheme="minorHAnsi" w:cstheme="minorBidi"/>
          <w:bCs w:val="0"/>
          <w:sz w:val="22"/>
          <w:szCs w:val="21"/>
        </w:rPr>
        <w:t xml:space="preserve">  </w:t>
      </w:r>
    </w:p>
    <w:p w14:paraId="50B1C271" w14:textId="12822136" w:rsidR="00151856" w:rsidRPr="003A6E13" w:rsidRDefault="00151856" w:rsidP="00151856">
      <w:pPr>
        <w:pStyle w:val="ListParagraph"/>
        <w:tabs>
          <w:tab w:val="left" w:pos="284"/>
        </w:tabs>
        <w:suppressAutoHyphens w:val="0"/>
        <w:spacing w:before="200" w:after="0" w:line="280" w:lineRule="exact"/>
        <w:ind w:left="0"/>
        <w:contextualSpacing w:val="0"/>
        <w:rPr>
          <w:rFonts w:eastAsia="Times New Roman" w:cs="Times New Roman"/>
          <w:sz w:val="21"/>
          <w:szCs w:val="21"/>
          <w:lang w:val="en-AU"/>
        </w:rPr>
      </w:pPr>
      <w:bookmarkStart w:id="1" w:name="_Hlk90288166"/>
      <w:r w:rsidRPr="003A6E13">
        <w:rPr>
          <w:rFonts w:eastAsia="Times New Roman" w:cs="Times New Roman"/>
          <w:sz w:val="21"/>
          <w:szCs w:val="21"/>
          <w:lang w:val="en-AU"/>
        </w:rPr>
        <w:t>The Australian Humanitarian Partnership</w:t>
      </w:r>
      <w:r w:rsidR="00EF776E">
        <w:rPr>
          <w:rFonts w:eastAsia="Times New Roman" w:cs="Times New Roman"/>
          <w:sz w:val="21"/>
          <w:szCs w:val="21"/>
          <w:lang w:val="en-AU"/>
        </w:rPr>
        <w:t xml:space="preserve"> </w:t>
      </w:r>
      <w:r w:rsidRPr="003A6E13">
        <w:rPr>
          <w:rFonts w:eastAsia="Times New Roman" w:cs="Times New Roman"/>
          <w:sz w:val="21"/>
          <w:szCs w:val="21"/>
          <w:lang w:val="en-AU"/>
        </w:rPr>
        <w:t>(AHP</w:t>
      </w:r>
      <w:r w:rsidR="00E37C37" w:rsidRPr="003A6E13">
        <w:rPr>
          <w:rFonts w:eastAsia="Times New Roman" w:cs="Times New Roman"/>
          <w:sz w:val="21"/>
          <w:szCs w:val="21"/>
          <w:lang w:val="en-AU"/>
        </w:rPr>
        <w:t xml:space="preserve"> or the Partnership</w:t>
      </w:r>
      <w:r w:rsidR="0085155B" w:rsidRPr="003A6E13">
        <w:rPr>
          <w:rFonts w:eastAsia="Times New Roman" w:cs="Times New Roman"/>
          <w:sz w:val="21"/>
          <w:szCs w:val="21"/>
          <w:lang w:val="en-AU"/>
        </w:rPr>
        <w:t xml:space="preserve">; </w:t>
      </w:r>
      <w:r w:rsidR="0085155B">
        <w:rPr>
          <w:rFonts w:eastAsia="Times New Roman" w:cs="Times New Roman"/>
          <w:sz w:val="21"/>
          <w:szCs w:val="21"/>
          <w:lang w:val="en-AU"/>
        </w:rPr>
        <w:t>Phase I</w:t>
      </w:r>
      <w:r w:rsidR="0085155B" w:rsidRPr="003A6E13">
        <w:rPr>
          <w:rFonts w:eastAsia="Times New Roman" w:cs="Times New Roman"/>
          <w:sz w:val="21"/>
          <w:szCs w:val="21"/>
          <w:lang w:val="en-AU"/>
        </w:rPr>
        <w:t xml:space="preserve"> 2017-22</w:t>
      </w:r>
      <w:r w:rsidRPr="003A6E13">
        <w:rPr>
          <w:rFonts w:eastAsia="Times New Roman" w:cs="Times New Roman"/>
          <w:sz w:val="21"/>
          <w:szCs w:val="21"/>
          <w:lang w:val="en-AU"/>
        </w:rPr>
        <w:t xml:space="preserve">) was established in 2016 </w:t>
      </w:r>
      <w:r w:rsidR="00E47DC3" w:rsidRPr="003A6E13">
        <w:rPr>
          <w:rFonts w:eastAsia="Times New Roman" w:cs="Times New Roman"/>
          <w:sz w:val="21"/>
          <w:szCs w:val="21"/>
          <w:lang w:val="en-AU"/>
        </w:rPr>
        <w:t>to provide a</w:t>
      </w:r>
      <w:r w:rsidRPr="003A6E13">
        <w:rPr>
          <w:rFonts w:eastAsia="Times New Roman" w:cs="Times New Roman"/>
          <w:sz w:val="21"/>
          <w:szCs w:val="21"/>
          <w:lang w:val="en-AU"/>
        </w:rPr>
        <w:t xml:space="preserve"> funding mechanism </w:t>
      </w:r>
      <w:r w:rsidR="00E47DC3" w:rsidRPr="003A6E13">
        <w:rPr>
          <w:rFonts w:eastAsia="Times New Roman" w:cs="Times New Roman"/>
          <w:sz w:val="21"/>
          <w:szCs w:val="21"/>
          <w:lang w:val="en-AU"/>
        </w:rPr>
        <w:t>between the Department of Foreign Affairs and Trade (DFAT) and</w:t>
      </w:r>
      <w:r w:rsidRPr="003A6E13">
        <w:rPr>
          <w:rFonts w:eastAsia="Times New Roman" w:cs="Times New Roman"/>
          <w:sz w:val="21"/>
          <w:szCs w:val="21"/>
          <w:lang w:val="en-AU"/>
        </w:rPr>
        <w:t xml:space="preserve"> </w:t>
      </w:r>
      <w:r w:rsidR="00E47DC3" w:rsidRPr="003A6E13">
        <w:rPr>
          <w:rFonts w:eastAsia="Times New Roman" w:cs="Times New Roman"/>
          <w:sz w:val="21"/>
          <w:szCs w:val="21"/>
          <w:lang w:val="en-AU"/>
        </w:rPr>
        <w:t xml:space="preserve">six </w:t>
      </w:r>
      <w:r w:rsidRPr="003A6E13">
        <w:rPr>
          <w:rFonts w:eastAsia="Times New Roman" w:cs="Times New Roman"/>
          <w:sz w:val="21"/>
          <w:szCs w:val="21"/>
          <w:lang w:val="en-AU"/>
        </w:rPr>
        <w:t>selected Australian Non-Government Organisations (ANGOs</w:t>
      </w:r>
      <w:r w:rsidR="00167902">
        <w:rPr>
          <w:rFonts w:eastAsia="Times New Roman" w:cs="Times New Roman"/>
          <w:sz w:val="21"/>
          <w:szCs w:val="21"/>
          <w:lang w:val="en-AU"/>
        </w:rPr>
        <w:t>)</w:t>
      </w:r>
      <w:r w:rsidR="00E47DC3" w:rsidRPr="003A6E13">
        <w:rPr>
          <w:rFonts w:eastAsia="Times New Roman" w:cs="Times New Roman"/>
          <w:sz w:val="21"/>
          <w:szCs w:val="21"/>
          <w:lang w:val="en-AU"/>
        </w:rPr>
        <w:t xml:space="preserve"> </w:t>
      </w:r>
      <w:r w:rsidR="00EF776E">
        <w:rPr>
          <w:rFonts w:eastAsia="Times New Roman" w:cs="Times New Roman"/>
          <w:sz w:val="21"/>
          <w:szCs w:val="21"/>
          <w:lang w:val="en-AU"/>
        </w:rPr>
        <w:t>for</w:t>
      </w:r>
      <w:r w:rsidRPr="003A6E13">
        <w:rPr>
          <w:rFonts w:eastAsia="Times New Roman" w:cs="Times New Roman"/>
          <w:sz w:val="21"/>
          <w:szCs w:val="21"/>
          <w:lang w:val="en-AU"/>
        </w:rPr>
        <w:t xml:space="preserve"> timely and efficient response</w:t>
      </w:r>
      <w:r w:rsidR="00E47DC3" w:rsidRPr="003A6E13">
        <w:rPr>
          <w:rFonts w:eastAsia="Times New Roman" w:cs="Times New Roman"/>
          <w:sz w:val="21"/>
          <w:szCs w:val="21"/>
          <w:lang w:val="en-AU"/>
        </w:rPr>
        <w:t>s</w:t>
      </w:r>
      <w:r w:rsidRPr="003A6E13">
        <w:rPr>
          <w:rFonts w:eastAsia="Times New Roman" w:cs="Times New Roman"/>
          <w:sz w:val="21"/>
          <w:szCs w:val="21"/>
          <w:lang w:val="en-AU"/>
        </w:rPr>
        <w:t xml:space="preserve"> to and recovery from rapid onset and protracted cris</w:t>
      </w:r>
      <w:r w:rsidR="00E47DC3" w:rsidRPr="003A6E13">
        <w:rPr>
          <w:rFonts w:eastAsia="Times New Roman" w:cs="Times New Roman"/>
          <w:sz w:val="21"/>
          <w:szCs w:val="21"/>
          <w:lang w:val="en-AU"/>
        </w:rPr>
        <w:t>e</w:t>
      </w:r>
      <w:r w:rsidRPr="003A6E13">
        <w:rPr>
          <w:rFonts w:eastAsia="Times New Roman" w:cs="Times New Roman"/>
          <w:sz w:val="21"/>
          <w:szCs w:val="21"/>
          <w:lang w:val="en-AU"/>
        </w:rPr>
        <w:t xml:space="preserve">s. </w:t>
      </w:r>
      <w:bookmarkStart w:id="2" w:name="_Hlk95235494"/>
      <w:r w:rsidR="00EF776E">
        <w:rPr>
          <w:rFonts w:eastAsia="Times New Roman" w:cs="Times New Roman"/>
          <w:sz w:val="21"/>
          <w:szCs w:val="21"/>
          <w:lang w:val="en-AU"/>
        </w:rPr>
        <w:t>Since then, the Partnership has delivered</w:t>
      </w:r>
      <w:r w:rsidR="009456CE">
        <w:rPr>
          <w:rFonts w:eastAsia="Times New Roman" w:cs="Times New Roman"/>
          <w:sz w:val="21"/>
          <w:szCs w:val="21"/>
          <w:lang w:val="en-AU"/>
        </w:rPr>
        <w:t xml:space="preserve"> more than</w:t>
      </w:r>
      <w:r w:rsidR="00EF776E">
        <w:rPr>
          <w:rFonts w:eastAsia="Times New Roman" w:cs="Times New Roman"/>
          <w:sz w:val="21"/>
          <w:szCs w:val="21"/>
          <w:lang w:val="en-AU"/>
        </w:rPr>
        <w:t xml:space="preserve"> </w:t>
      </w:r>
      <w:r w:rsidR="002E435F" w:rsidRPr="002E435F">
        <w:rPr>
          <w:rFonts w:eastAsia="Times New Roman" w:cs="Times New Roman"/>
          <w:sz w:val="21"/>
          <w:szCs w:val="21"/>
          <w:lang w:val="en-AU"/>
        </w:rPr>
        <w:t xml:space="preserve">44 humanitarian responses </w:t>
      </w:r>
      <w:r w:rsidR="004F1D37">
        <w:rPr>
          <w:rFonts w:eastAsia="Times New Roman" w:cs="Times New Roman"/>
          <w:sz w:val="21"/>
          <w:szCs w:val="21"/>
          <w:lang w:val="en-AU"/>
        </w:rPr>
        <w:t xml:space="preserve">across the globe </w:t>
      </w:r>
      <w:r w:rsidR="00EF776E">
        <w:rPr>
          <w:rFonts w:eastAsia="Times New Roman" w:cs="Times New Roman"/>
          <w:sz w:val="21"/>
          <w:szCs w:val="21"/>
          <w:lang w:val="en-AU"/>
        </w:rPr>
        <w:t xml:space="preserve">collectively valued at over </w:t>
      </w:r>
      <w:r w:rsidR="00A81EC7">
        <w:rPr>
          <w:rFonts w:eastAsia="Times New Roman" w:cs="Times New Roman"/>
          <w:sz w:val="21"/>
          <w:szCs w:val="21"/>
          <w:lang w:val="en-AU"/>
        </w:rPr>
        <w:t>$</w:t>
      </w:r>
      <w:r w:rsidR="00EF776E">
        <w:rPr>
          <w:rFonts w:eastAsia="Times New Roman" w:cs="Times New Roman"/>
          <w:sz w:val="21"/>
          <w:szCs w:val="21"/>
          <w:lang w:val="en-AU"/>
        </w:rPr>
        <w:t>190</w:t>
      </w:r>
      <w:r w:rsidR="00EF776E" w:rsidRPr="002E435F">
        <w:rPr>
          <w:rFonts w:eastAsia="Times New Roman" w:cs="Times New Roman"/>
          <w:sz w:val="21"/>
          <w:szCs w:val="21"/>
          <w:lang w:val="en-AU"/>
        </w:rPr>
        <w:t xml:space="preserve"> million, </w:t>
      </w:r>
      <w:r w:rsidR="002E435F" w:rsidRPr="002E435F">
        <w:rPr>
          <w:rFonts w:eastAsia="Times New Roman" w:cs="Times New Roman"/>
          <w:sz w:val="21"/>
          <w:szCs w:val="21"/>
          <w:lang w:val="en-AU"/>
        </w:rPr>
        <w:t>with over 7.1 million people projected to be reached.</w:t>
      </w:r>
      <w:r w:rsidR="002E435F">
        <w:rPr>
          <w:rFonts w:eastAsia="Times New Roman" w:cs="Times New Roman"/>
          <w:sz w:val="21"/>
          <w:szCs w:val="21"/>
          <w:lang w:val="en-AU"/>
        </w:rPr>
        <w:t xml:space="preserve"> </w:t>
      </w:r>
      <w:bookmarkEnd w:id="2"/>
      <w:r w:rsidR="00EF776E">
        <w:rPr>
          <w:rFonts w:eastAsia="Times New Roman" w:cs="Times New Roman"/>
          <w:sz w:val="21"/>
          <w:szCs w:val="21"/>
          <w:lang w:val="en-AU"/>
        </w:rPr>
        <w:t>In addition, t</w:t>
      </w:r>
      <w:r w:rsidRPr="003A6E13">
        <w:rPr>
          <w:rFonts w:eastAsia="Times New Roman" w:cs="Times New Roman"/>
          <w:sz w:val="21"/>
          <w:szCs w:val="21"/>
          <w:lang w:val="en-AU"/>
        </w:rPr>
        <w:t xml:space="preserve">he </w:t>
      </w:r>
      <w:r w:rsidR="00EF776E">
        <w:rPr>
          <w:rFonts w:eastAsia="Times New Roman" w:cs="Times New Roman"/>
          <w:sz w:val="21"/>
          <w:szCs w:val="21"/>
          <w:lang w:val="en-AU"/>
        </w:rPr>
        <w:t>AHP also</w:t>
      </w:r>
      <w:r w:rsidR="00EF776E" w:rsidRPr="003A6E13">
        <w:rPr>
          <w:rFonts w:eastAsia="Times New Roman" w:cs="Times New Roman"/>
          <w:sz w:val="21"/>
          <w:szCs w:val="21"/>
          <w:lang w:val="en-AU"/>
        </w:rPr>
        <w:t xml:space="preserve"> </w:t>
      </w:r>
      <w:r w:rsidR="00EF776E">
        <w:rPr>
          <w:rFonts w:eastAsia="Times New Roman" w:cs="Times New Roman"/>
          <w:sz w:val="21"/>
          <w:szCs w:val="21"/>
          <w:lang w:val="en-AU"/>
        </w:rPr>
        <w:t>implements</w:t>
      </w:r>
      <w:r w:rsidRPr="003A6E13">
        <w:rPr>
          <w:rFonts w:eastAsia="Times New Roman" w:cs="Times New Roman"/>
          <w:sz w:val="21"/>
          <w:szCs w:val="21"/>
          <w:lang w:val="en-AU"/>
        </w:rPr>
        <w:t xml:space="preserve"> Disaster READY, a disaster preparedness program </w:t>
      </w:r>
      <w:r w:rsidR="00E47DC3" w:rsidRPr="003A6E13">
        <w:rPr>
          <w:rFonts w:eastAsia="Times New Roman" w:cs="Times New Roman"/>
          <w:sz w:val="21"/>
          <w:szCs w:val="21"/>
          <w:lang w:val="en-AU"/>
        </w:rPr>
        <w:t xml:space="preserve">implemented by the ANGOs </w:t>
      </w:r>
      <w:r w:rsidRPr="003A6E13">
        <w:rPr>
          <w:rFonts w:eastAsia="Times New Roman" w:cs="Times New Roman"/>
          <w:sz w:val="21"/>
          <w:szCs w:val="21"/>
          <w:lang w:val="en-AU"/>
        </w:rPr>
        <w:t xml:space="preserve">in PNG, Vanuatu, Solomon Islands, </w:t>
      </w:r>
      <w:r w:rsidR="0032033C" w:rsidRPr="003A6E13">
        <w:rPr>
          <w:rFonts w:eastAsia="Times New Roman" w:cs="Times New Roman"/>
          <w:sz w:val="21"/>
          <w:szCs w:val="21"/>
          <w:lang w:val="en-AU"/>
        </w:rPr>
        <w:t>Fiji,</w:t>
      </w:r>
      <w:r w:rsidRPr="003A6E13">
        <w:rPr>
          <w:rFonts w:eastAsia="Times New Roman" w:cs="Times New Roman"/>
          <w:sz w:val="21"/>
          <w:szCs w:val="21"/>
          <w:lang w:val="en-AU"/>
        </w:rPr>
        <w:t xml:space="preserve"> and Timor-Leste</w:t>
      </w:r>
      <w:r w:rsidR="00E47DC3" w:rsidRPr="003A6E13">
        <w:rPr>
          <w:rFonts w:eastAsia="Times New Roman" w:cs="Times New Roman"/>
          <w:sz w:val="21"/>
          <w:szCs w:val="21"/>
          <w:lang w:val="en-AU"/>
        </w:rPr>
        <w:t xml:space="preserve"> (</w:t>
      </w:r>
      <w:r w:rsidR="0085155B">
        <w:rPr>
          <w:rFonts w:eastAsia="Times New Roman" w:cs="Times New Roman"/>
          <w:sz w:val="21"/>
          <w:szCs w:val="21"/>
          <w:lang w:val="en-AU"/>
        </w:rPr>
        <w:t>$</w:t>
      </w:r>
      <w:r w:rsidR="00E47DC3" w:rsidRPr="003A6E13">
        <w:rPr>
          <w:rFonts w:eastAsia="Times New Roman" w:cs="Times New Roman"/>
          <w:sz w:val="21"/>
          <w:szCs w:val="21"/>
          <w:lang w:val="en-AU"/>
        </w:rPr>
        <w:t>45 million over five years 2017-2</w:t>
      </w:r>
      <w:r w:rsidR="006F03B1" w:rsidRPr="003A6E13">
        <w:rPr>
          <w:rFonts w:eastAsia="Times New Roman" w:cs="Times New Roman"/>
          <w:sz w:val="21"/>
          <w:szCs w:val="21"/>
          <w:lang w:val="en-AU"/>
        </w:rPr>
        <w:t>2</w:t>
      </w:r>
      <w:r w:rsidR="00E47DC3" w:rsidRPr="003A6E13">
        <w:rPr>
          <w:rFonts w:eastAsia="Times New Roman" w:cs="Times New Roman"/>
          <w:sz w:val="21"/>
          <w:szCs w:val="21"/>
          <w:lang w:val="en-AU"/>
        </w:rPr>
        <w:t>)</w:t>
      </w:r>
      <w:r w:rsidRPr="003A6E13">
        <w:rPr>
          <w:rFonts w:eastAsia="Times New Roman" w:cs="Times New Roman"/>
          <w:sz w:val="21"/>
          <w:szCs w:val="21"/>
          <w:lang w:val="en-AU"/>
        </w:rPr>
        <w:t xml:space="preserve">. The Partnership </w:t>
      </w:r>
      <w:r w:rsidR="00EF776E">
        <w:rPr>
          <w:rFonts w:eastAsia="Times New Roman" w:cs="Times New Roman"/>
          <w:sz w:val="21"/>
          <w:szCs w:val="21"/>
          <w:lang w:val="en-AU"/>
        </w:rPr>
        <w:t>is</w:t>
      </w:r>
      <w:r w:rsidR="00EF776E" w:rsidRPr="003A6E13">
        <w:rPr>
          <w:rFonts w:eastAsia="Times New Roman" w:cs="Times New Roman"/>
          <w:sz w:val="21"/>
          <w:szCs w:val="21"/>
          <w:lang w:val="en-AU"/>
        </w:rPr>
        <w:t xml:space="preserve"> </w:t>
      </w:r>
      <w:r w:rsidR="00E47DC3" w:rsidRPr="003A6E13">
        <w:rPr>
          <w:rFonts w:eastAsia="Times New Roman" w:cs="Times New Roman"/>
          <w:sz w:val="21"/>
          <w:szCs w:val="21"/>
          <w:lang w:val="en-AU"/>
        </w:rPr>
        <w:t>administered</w:t>
      </w:r>
      <w:r w:rsidRPr="003A6E13">
        <w:rPr>
          <w:rFonts w:eastAsia="Times New Roman" w:cs="Times New Roman"/>
          <w:sz w:val="21"/>
          <w:szCs w:val="21"/>
          <w:lang w:val="en-AU"/>
        </w:rPr>
        <w:t xml:space="preserve"> by a contracted Support Unit (the AHPSU</w:t>
      </w:r>
      <w:r w:rsidR="00E47DC3" w:rsidRPr="003A6E13">
        <w:rPr>
          <w:rFonts w:eastAsia="Times New Roman" w:cs="Times New Roman"/>
          <w:sz w:val="21"/>
          <w:szCs w:val="21"/>
          <w:lang w:val="en-AU"/>
        </w:rPr>
        <w:t xml:space="preserve">; </w:t>
      </w:r>
      <w:r w:rsidR="0085155B">
        <w:rPr>
          <w:rFonts w:eastAsia="Times New Roman" w:cs="Times New Roman"/>
          <w:sz w:val="21"/>
          <w:szCs w:val="21"/>
          <w:lang w:val="en-AU"/>
        </w:rPr>
        <w:t>$</w:t>
      </w:r>
      <w:r w:rsidR="00E47DC3" w:rsidRPr="003A6E13">
        <w:rPr>
          <w:rFonts w:eastAsia="Times New Roman" w:cs="Times New Roman"/>
          <w:sz w:val="21"/>
          <w:szCs w:val="21"/>
          <w:lang w:val="en-AU"/>
        </w:rPr>
        <w:t>5 million over five years 2017-2</w:t>
      </w:r>
      <w:r w:rsidR="006F03B1" w:rsidRPr="003A6E13">
        <w:rPr>
          <w:rFonts w:eastAsia="Times New Roman" w:cs="Times New Roman"/>
          <w:sz w:val="21"/>
          <w:szCs w:val="21"/>
          <w:lang w:val="en-AU"/>
        </w:rPr>
        <w:t>2</w:t>
      </w:r>
      <w:r w:rsidRPr="003A6E13">
        <w:rPr>
          <w:rFonts w:eastAsia="Times New Roman" w:cs="Times New Roman"/>
          <w:sz w:val="21"/>
          <w:szCs w:val="21"/>
          <w:lang w:val="en-AU"/>
        </w:rPr>
        <w:t xml:space="preserve">) who </w:t>
      </w:r>
      <w:r w:rsidR="00EF776E" w:rsidRPr="003A6E13">
        <w:rPr>
          <w:rFonts w:eastAsia="Times New Roman" w:cs="Times New Roman"/>
          <w:sz w:val="21"/>
          <w:szCs w:val="21"/>
          <w:lang w:val="en-AU"/>
        </w:rPr>
        <w:t>act</w:t>
      </w:r>
      <w:r w:rsidR="00EF776E">
        <w:rPr>
          <w:rFonts w:eastAsia="Times New Roman" w:cs="Times New Roman"/>
          <w:sz w:val="21"/>
          <w:szCs w:val="21"/>
          <w:lang w:val="en-AU"/>
        </w:rPr>
        <w:t>s</w:t>
      </w:r>
      <w:r w:rsidR="00EF776E" w:rsidRPr="003A6E13">
        <w:rPr>
          <w:rFonts w:eastAsia="Times New Roman" w:cs="Times New Roman"/>
          <w:sz w:val="21"/>
          <w:szCs w:val="21"/>
          <w:lang w:val="en-AU"/>
        </w:rPr>
        <w:t xml:space="preserve"> </w:t>
      </w:r>
      <w:r w:rsidRPr="003A6E13">
        <w:rPr>
          <w:rFonts w:eastAsia="Times New Roman" w:cs="Times New Roman"/>
          <w:sz w:val="21"/>
          <w:szCs w:val="21"/>
          <w:lang w:val="en-AU"/>
        </w:rPr>
        <w:t>as a bridge between DFAT</w:t>
      </w:r>
      <w:r w:rsidR="005E34D3" w:rsidRPr="003A6E13">
        <w:rPr>
          <w:rFonts w:eastAsia="Times New Roman" w:cs="Times New Roman"/>
          <w:sz w:val="21"/>
          <w:szCs w:val="21"/>
          <w:lang w:val="en-AU"/>
        </w:rPr>
        <w:t>’</w:t>
      </w:r>
      <w:r w:rsidRPr="003A6E13">
        <w:rPr>
          <w:rFonts w:eastAsia="Times New Roman" w:cs="Times New Roman"/>
          <w:sz w:val="21"/>
          <w:szCs w:val="21"/>
          <w:lang w:val="en-AU"/>
        </w:rPr>
        <w:t>s Humanitarian</w:t>
      </w:r>
      <w:r w:rsidR="00DC7DD5" w:rsidRPr="003A6E13">
        <w:rPr>
          <w:rFonts w:eastAsia="Times New Roman" w:cs="Times New Roman"/>
          <w:sz w:val="21"/>
          <w:szCs w:val="21"/>
          <w:lang w:val="en-AU"/>
        </w:rPr>
        <w:t xml:space="preserve"> </w:t>
      </w:r>
      <w:r w:rsidR="00E47DC3" w:rsidRPr="003A6E13">
        <w:rPr>
          <w:rFonts w:eastAsia="Times New Roman" w:cs="Times New Roman"/>
          <w:sz w:val="21"/>
          <w:szCs w:val="21"/>
          <w:lang w:val="en-AU"/>
        </w:rPr>
        <w:t xml:space="preserve">and </w:t>
      </w:r>
      <w:r w:rsidRPr="003A6E13">
        <w:rPr>
          <w:rFonts w:eastAsia="Times New Roman" w:cs="Times New Roman"/>
          <w:sz w:val="21"/>
          <w:szCs w:val="21"/>
          <w:lang w:val="en-AU"/>
        </w:rPr>
        <w:t>Partnership</w:t>
      </w:r>
      <w:r w:rsidR="00DC7DD5" w:rsidRPr="003A6E13">
        <w:rPr>
          <w:rFonts w:eastAsia="Times New Roman" w:cs="Times New Roman"/>
          <w:sz w:val="21"/>
          <w:szCs w:val="21"/>
          <w:lang w:val="en-AU"/>
        </w:rPr>
        <w:t>s</w:t>
      </w:r>
      <w:r w:rsidRPr="003A6E13">
        <w:rPr>
          <w:rFonts w:eastAsia="Times New Roman" w:cs="Times New Roman"/>
          <w:sz w:val="21"/>
          <w:szCs w:val="21"/>
          <w:lang w:val="en-AU"/>
        </w:rPr>
        <w:t xml:space="preserve"> Division (HPD) and the six ANGOs. </w:t>
      </w:r>
    </w:p>
    <w:bookmarkEnd w:id="1"/>
    <w:p w14:paraId="4E7D3DDE" w14:textId="516AA16E" w:rsidR="00151856" w:rsidRPr="003A6E13" w:rsidRDefault="00E47DC3" w:rsidP="00D729EC">
      <w:pPr>
        <w:pStyle w:val="ListParagraph"/>
        <w:tabs>
          <w:tab w:val="left" w:pos="284"/>
        </w:tabs>
        <w:suppressAutoHyphens w:val="0"/>
        <w:spacing w:before="200" w:after="0" w:line="280" w:lineRule="exact"/>
        <w:ind w:left="0"/>
        <w:contextualSpacing w:val="0"/>
        <w:rPr>
          <w:rFonts w:eastAsia="Times New Roman" w:cs="Times New Roman"/>
          <w:sz w:val="21"/>
          <w:szCs w:val="21"/>
          <w:lang w:val="en-AU"/>
        </w:rPr>
      </w:pPr>
      <w:r w:rsidRPr="003A6E13">
        <w:rPr>
          <w:rFonts w:eastAsia="Times New Roman" w:cs="Times New Roman"/>
          <w:sz w:val="21"/>
          <w:szCs w:val="21"/>
          <w:lang w:val="en-AU"/>
        </w:rPr>
        <w:t xml:space="preserve">The AHP was designed as a 10-year partnership with two five-year phases, and the open tender for the AHPSU and the competitive grant guideline for the </w:t>
      </w:r>
      <w:r w:rsidR="00BD49C4">
        <w:rPr>
          <w:rFonts w:eastAsia="Times New Roman" w:cs="Times New Roman"/>
          <w:sz w:val="21"/>
          <w:szCs w:val="21"/>
          <w:lang w:val="en-AU"/>
        </w:rPr>
        <w:t>A</w:t>
      </w:r>
      <w:r w:rsidRPr="003A6E13">
        <w:rPr>
          <w:rFonts w:eastAsia="Times New Roman" w:cs="Times New Roman"/>
          <w:sz w:val="21"/>
          <w:szCs w:val="21"/>
          <w:lang w:val="en-AU"/>
        </w:rPr>
        <w:t xml:space="preserve">NGO selection included a </w:t>
      </w:r>
      <w:r w:rsidR="006F03B1" w:rsidRPr="003A6E13">
        <w:rPr>
          <w:rFonts w:eastAsia="Times New Roman" w:cs="Times New Roman"/>
          <w:sz w:val="21"/>
          <w:szCs w:val="21"/>
          <w:lang w:val="en-AU"/>
        </w:rPr>
        <w:t>five-year</w:t>
      </w:r>
      <w:r w:rsidRPr="003A6E13">
        <w:rPr>
          <w:rFonts w:eastAsia="Times New Roman" w:cs="Times New Roman"/>
          <w:sz w:val="21"/>
          <w:szCs w:val="21"/>
          <w:lang w:val="en-AU"/>
        </w:rPr>
        <w:t xml:space="preserve"> extension option. </w:t>
      </w:r>
      <w:bookmarkStart w:id="3" w:name="_Hlk90288588"/>
      <w:r w:rsidR="00584B1C" w:rsidRPr="003A6E13">
        <w:rPr>
          <w:rFonts w:eastAsia="Times New Roman" w:cs="Times New Roman"/>
          <w:sz w:val="21"/>
          <w:szCs w:val="21"/>
          <w:lang w:val="en-AU"/>
        </w:rPr>
        <w:t>A</w:t>
      </w:r>
      <w:r w:rsidR="006F03B1" w:rsidRPr="003A6E13">
        <w:rPr>
          <w:rFonts w:eastAsia="Times New Roman" w:cs="Times New Roman"/>
          <w:sz w:val="21"/>
          <w:szCs w:val="21"/>
          <w:lang w:val="en-AU"/>
        </w:rPr>
        <w:t xml:space="preserve"> 2020</w:t>
      </w:r>
      <w:r w:rsidR="00151856" w:rsidRPr="003A6E13">
        <w:rPr>
          <w:rFonts w:eastAsia="Times New Roman" w:cs="Times New Roman"/>
          <w:sz w:val="21"/>
          <w:szCs w:val="21"/>
          <w:lang w:val="en-AU"/>
        </w:rPr>
        <w:t xml:space="preserve"> Mid Term Evaluation (MTE) </w:t>
      </w:r>
      <w:r w:rsidR="006F03B1" w:rsidRPr="003A6E13">
        <w:rPr>
          <w:rFonts w:eastAsia="Times New Roman" w:cs="Times New Roman"/>
          <w:sz w:val="21"/>
          <w:szCs w:val="21"/>
          <w:lang w:val="en-AU"/>
        </w:rPr>
        <w:t>found</w:t>
      </w:r>
      <w:r w:rsidR="00151856" w:rsidRPr="003A6E13">
        <w:rPr>
          <w:rFonts w:eastAsia="Times New Roman" w:cs="Times New Roman"/>
          <w:sz w:val="21"/>
          <w:szCs w:val="21"/>
          <w:lang w:val="en-AU"/>
        </w:rPr>
        <w:t xml:space="preserve"> </w:t>
      </w:r>
      <w:r w:rsidRPr="003A6E13">
        <w:rPr>
          <w:rFonts w:eastAsia="Times New Roman" w:cs="Times New Roman"/>
          <w:sz w:val="21"/>
          <w:szCs w:val="21"/>
          <w:lang w:val="en-AU"/>
        </w:rPr>
        <w:t xml:space="preserve">the </w:t>
      </w:r>
      <w:r w:rsidR="00151856" w:rsidRPr="003A6E13">
        <w:rPr>
          <w:rFonts w:eastAsia="Times New Roman" w:cs="Times New Roman"/>
          <w:sz w:val="21"/>
          <w:szCs w:val="21"/>
          <w:lang w:val="en-AU"/>
        </w:rPr>
        <w:t>AHP is an effective and high performing program that is largely fit for purpose</w:t>
      </w:r>
      <w:r w:rsidR="00584B1C" w:rsidRPr="003A6E13">
        <w:rPr>
          <w:rFonts w:eastAsia="Times New Roman" w:cs="Times New Roman"/>
          <w:sz w:val="21"/>
          <w:szCs w:val="21"/>
          <w:lang w:val="en-AU"/>
        </w:rPr>
        <w:t xml:space="preserve">, supporting </w:t>
      </w:r>
      <w:r w:rsidR="00151856" w:rsidRPr="003A6E13">
        <w:rPr>
          <w:rFonts w:eastAsia="Times New Roman" w:cs="Times New Roman"/>
          <w:sz w:val="21"/>
          <w:szCs w:val="21"/>
          <w:lang w:val="en-AU"/>
        </w:rPr>
        <w:t>DFAT</w:t>
      </w:r>
      <w:r w:rsidR="00584B1C" w:rsidRPr="003A6E13">
        <w:rPr>
          <w:rFonts w:eastAsia="Times New Roman" w:cs="Times New Roman"/>
          <w:sz w:val="21"/>
          <w:szCs w:val="21"/>
          <w:lang w:val="en-AU"/>
        </w:rPr>
        <w:t>‘s decision</w:t>
      </w:r>
      <w:r w:rsidRPr="003A6E13">
        <w:rPr>
          <w:rFonts w:eastAsia="Times New Roman" w:cs="Times New Roman"/>
          <w:sz w:val="21"/>
          <w:szCs w:val="21"/>
          <w:lang w:val="en-AU"/>
        </w:rPr>
        <w:t xml:space="preserve"> </w:t>
      </w:r>
      <w:r w:rsidR="00151856" w:rsidRPr="003A6E13">
        <w:rPr>
          <w:rFonts w:eastAsia="Times New Roman" w:cs="Times New Roman"/>
          <w:sz w:val="21"/>
          <w:szCs w:val="21"/>
          <w:lang w:val="en-AU"/>
        </w:rPr>
        <w:t xml:space="preserve">to extend the AHP into </w:t>
      </w:r>
      <w:r w:rsidRPr="003A6E13">
        <w:rPr>
          <w:rFonts w:eastAsia="Times New Roman" w:cs="Times New Roman"/>
          <w:sz w:val="21"/>
          <w:szCs w:val="21"/>
          <w:lang w:val="en-AU"/>
        </w:rPr>
        <w:t>its</w:t>
      </w:r>
      <w:r w:rsidR="00151856" w:rsidRPr="003A6E13">
        <w:rPr>
          <w:rFonts w:eastAsia="Times New Roman" w:cs="Times New Roman"/>
          <w:sz w:val="21"/>
          <w:szCs w:val="21"/>
          <w:lang w:val="en-AU"/>
        </w:rPr>
        <w:t xml:space="preserve"> second phase</w:t>
      </w:r>
      <w:r w:rsidR="006F03B1" w:rsidRPr="003A6E13">
        <w:rPr>
          <w:rFonts w:eastAsia="Times New Roman" w:cs="Times New Roman"/>
          <w:sz w:val="21"/>
          <w:szCs w:val="21"/>
          <w:lang w:val="en-AU"/>
        </w:rPr>
        <w:t xml:space="preserve"> </w:t>
      </w:r>
      <w:r w:rsidR="00F7644B">
        <w:rPr>
          <w:rFonts w:eastAsia="Times New Roman" w:cs="Times New Roman"/>
          <w:sz w:val="21"/>
          <w:szCs w:val="21"/>
          <w:lang w:val="en-AU"/>
        </w:rPr>
        <w:t>with an updated</w:t>
      </w:r>
      <w:r w:rsidR="006F03B1" w:rsidRPr="003A6E13">
        <w:rPr>
          <w:rFonts w:eastAsia="Times New Roman" w:cs="Times New Roman"/>
          <w:sz w:val="21"/>
          <w:szCs w:val="21"/>
          <w:lang w:val="en-AU"/>
        </w:rPr>
        <w:t xml:space="preserve"> design</w:t>
      </w:r>
      <w:r w:rsidR="00151856" w:rsidRPr="003A6E13">
        <w:rPr>
          <w:rFonts w:eastAsia="Times New Roman" w:cs="Times New Roman"/>
          <w:sz w:val="21"/>
          <w:szCs w:val="21"/>
          <w:lang w:val="en-AU"/>
        </w:rPr>
        <w:t xml:space="preserve">. </w:t>
      </w:r>
      <w:r w:rsidR="006F03B1" w:rsidRPr="003A6E13">
        <w:rPr>
          <w:rFonts w:eastAsia="Times New Roman" w:cs="Times New Roman"/>
          <w:sz w:val="21"/>
          <w:szCs w:val="21"/>
          <w:lang w:val="en-AU"/>
        </w:rPr>
        <w:t xml:space="preserve">This Design Update Investment Design Document (IDD) will guide the implementation of </w:t>
      </w:r>
      <w:r w:rsidR="00406F84">
        <w:rPr>
          <w:rFonts w:eastAsia="Times New Roman" w:cs="Times New Roman"/>
          <w:sz w:val="21"/>
          <w:szCs w:val="21"/>
          <w:lang w:val="en-AU"/>
        </w:rPr>
        <w:t>Phase II</w:t>
      </w:r>
      <w:r w:rsidR="006F03B1" w:rsidRPr="003A6E13">
        <w:rPr>
          <w:rFonts w:eastAsia="Times New Roman" w:cs="Times New Roman"/>
          <w:sz w:val="21"/>
          <w:szCs w:val="21"/>
          <w:lang w:val="en-AU"/>
        </w:rPr>
        <w:t xml:space="preserve"> (2022-27), and has been informed by e</w:t>
      </w:r>
      <w:r w:rsidR="00151856" w:rsidRPr="003A6E13">
        <w:rPr>
          <w:rFonts w:eastAsia="Times New Roman" w:cs="Times New Roman"/>
          <w:sz w:val="21"/>
          <w:szCs w:val="21"/>
          <w:lang w:val="en-AU"/>
        </w:rPr>
        <w:t>xtensive consultation with internal and external stakeholders</w:t>
      </w:r>
      <w:r w:rsidR="00150E46">
        <w:rPr>
          <w:rFonts w:eastAsia="Times New Roman" w:cs="Times New Roman"/>
          <w:sz w:val="21"/>
          <w:szCs w:val="21"/>
          <w:lang w:val="en-AU"/>
        </w:rPr>
        <w:t xml:space="preserve"> </w:t>
      </w:r>
      <w:r w:rsidR="00151856" w:rsidRPr="003A6E13">
        <w:rPr>
          <w:rFonts w:eastAsia="Times New Roman" w:cs="Times New Roman"/>
          <w:sz w:val="21"/>
          <w:szCs w:val="21"/>
          <w:lang w:val="en-AU"/>
        </w:rPr>
        <w:t xml:space="preserve">from May to November 2021, together with analysis of the changing operating context, the impact of COVID-19, and lessons learnt from </w:t>
      </w:r>
      <w:r w:rsidR="00406F84">
        <w:rPr>
          <w:rFonts w:eastAsia="Times New Roman" w:cs="Times New Roman"/>
          <w:sz w:val="21"/>
          <w:szCs w:val="21"/>
          <w:lang w:val="en-AU"/>
        </w:rPr>
        <w:t>Phase I</w:t>
      </w:r>
      <w:r w:rsidR="00151856" w:rsidRPr="003A6E13">
        <w:rPr>
          <w:rFonts w:eastAsia="Times New Roman" w:cs="Times New Roman"/>
          <w:sz w:val="21"/>
          <w:szCs w:val="21"/>
          <w:lang w:val="en-AU"/>
        </w:rPr>
        <w:t>.</w:t>
      </w:r>
    </w:p>
    <w:bookmarkEnd w:id="3"/>
    <w:p w14:paraId="35BB5F2A" w14:textId="0C3EA567" w:rsidR="00151856" w:rsidRPr="003A6E13" w:rsidRDefault="006F03B1" w:rsidP="00415502">
      <w:pPr>
        <w:pStyle w:val="ListParagraph"/>
        <w:tabs>
          <w:tab w:val="left" w:pos="284"/>
        </w:tabs>
        <w:suppressAutoHyphens w:val="0"/>
        <w:spacing w:before="200" w:after="0" w:line="280" w:lineRule="exact"/>
        <w:ind w:left="0"/>
        <w:contextualSpacing w:val="0"/>
        <w:rPr>
          <w:rFonts w:eastAsia="Times New Roman" w:cs="Times New Roman"/>
          <w:sz w:val="21"/>
          <w:szCs w:val="21"/>
          <w:lang w:val="en-AU"/>
        </w:rPr>
      </w:pPr>
      <w:r w:rsidRPr="003A6E13">
        <w:rPr>
          <w:rFonts w:eastAsia="Times New Roman" w:cs="Times New Roman"/>
          <w:sz w:val="21"/>
          <w:szCs w:val="21"/>
          <w:lang w:val="en-AU"/>
        </w:rPr>
        <w:t xml:space="preserve">Consistent with a design ‘update’ and the findings of the MTE, the fundamental high-performing features of the AHP will be continued into </w:t>
      </w:r>
      <w:r w:rsidR="00406F84">
        <w:rPr>
          <w:rFonts w:eastAsia="Times New Roman" w:cs="Times New Roman"/>
          <w:sz w:val="21"/>
          <w:szCs w:val="21"/>
          <w:lang w:val="en-AU"/>
        </w:rPr>
        <w:t>Phase II</w:t>
      </w:r>
      <w:r w:rsidRPr="003A6E13">
        <w:rPr>
          <w:rFonts w:eastAsia="Times New Roman" w:cs="Times New Roman"/>
          <w:sz w:val="21"/>
          <w:szCs w:val="21"/>
          <w:lang w:val="en-AU"/>
        </w:rPr>
        <w:t xml:space="preserve">. The </w:t>
      </w:r>
      <w:r w:rsidR="00E37C37" w:rsidRPr="003A6E13">
        <w:rPr>
          <w:rFonts w:eastAsia="Times New Roman" w:cs="Times New Roman"/>
          <w:sz w:val="21"/>
          <w:szCs w:val="21"/>
          <w:lang w:val="en-AU"/>
        </w:rPr>
        <w:t>AHP</w:t>
      </w:r>
      <w:r w:rsidRPr="003A6E13">
        <w:rPr>
          <w:rFonts w:eastAsia="Times New Roman" w:cs="Times New Roman"/>
          <w:sz w:val="21"/>
          <w:szCs w:val="21"/>
          <w:lang w:val="en-AU"/>
        </w:rPr>
        <w:t xml:space="preserve"> </w:t>
      </w:r>
      <w:r w:rsidR="00151856" w:rsidRPr="003A6E13">
        <w:rPr>
          <w:rFonts w:eastAsia="Times New Roman" w:cs="Times New Roman"/>
          <w:sz w:val="21"/>
          <w:szCs w:val="21"/>
          <w:lang w:val="en-AU"/>
        </w:rPr>
        <w:t xml:space="preserve">will continue to be implemented through </w:t>
      </w:r>
      <w:r w:rsidR="00E37C37" w:rsidRPr="003A6E13">
        <w:rPr>
          <w:rFonts w:eastAsia="Times New Roman" w:cs="Times New Roman"/>
          <w:sz w:val="21"/>
          <w:szCs w:val="21"/>
          <w:lang w:val="en-AU"/>
        </w:rPr>
        <w:t xml:space="preserve">the six lead </w:t>
      </w:r>
      <w:r w:rsidRPr="003A6E13">
        <w:rPr>
          <w:rFonts w:eastAsia="Times New Roman" w:cs="Times New Roman"/>
          <w:sz w:val="21"/>
          <w:szCs w:val="21"/>
          <w:lang w:val="en-AU"/>
        </w:rPr>
        <w:t>A</w:t>
      </w:r>
      <w:r w:rsidR="00151856" w:rsidRPr="003A6E13">
        <w:rPr>
          <w:rFonts w:eastAsia="Times New Roman" w:cs="Times New Roman"/>
          <w:sz w:val="21"/>
          <w:szCs w:val="21"/>
          <w:lang w:val="en-AU"/>
        </w:rPr>
        <w:t xml:space="preserve">NGOs, and their consortia and local partners. It will maintain a focus on partnership and collaboration </w:t>
      </w:r>
      <w:r w:rsidR="0032033C" w:rsidRPr="003A6E13">
        <w:rPr>
          <w:rFonts w:eastAsia="Times New Roman" w:cs="Times New Roman"/>
          <w:sz w:val="21"/>
          <w:szCs w:val="21"/>
          <w:lang w:val="en-AU"/>
        </w:rPr>
        <w:t>to</w:t>
      </w:r>
      <w:r w:rsidR="00151856" w:rsidRPr="003A6E13">
        <w:rPr>
          <w:rFonts w:eastAsia="Times New Roman" w:cs="Times New Roman"/>
          <w:sz w:val="21"/>
          <w:szCs w:val="21"/>
          <w:lang w:val="en-AU"/>
        </w:rPr>
        <w:t xml:space="preserve"> leverage </w:t>
      </w:r>
      <w:r w:rsidR="00E37C37" w:rsidRPr="003A6E13">
        <w:rPr>
          <w:rFonts w:eastAsia="Times New Roman" w:cs="Times New Roman"/>
          <w:sz w:val="21"/>
          <w:szCs w:val="21"/>
          <w:lang w:val="en-AU"/>
        </w:rPr>
        <w:t xml:space="preserve">collective </w:t>
      </w:r>
      <w:r w:rsidR="00151856" w:rsidRPr="003A6E13">
        <w:rPr>
          <w:rFonts w:eastAsia="Times New Roman" w:cs="Times New Roman"/>
          <w:sz w:val="21"/>
          <w:szCs w:val="21"/>
          <w:lang w:val="en-AU"/>
        </w:rPr>
        <w:t xml:space="preserve">impact. Building on the learning from </w:t>
      </w:r>
      <w:r w:rsidR="00406F84">
        <w:rPr>
          <w:rFonts w:eastAsia="Times New Roman" w:cs="Times New Roman"/>
          <w:sz w:val="21"/>
          <w:szCs w:val="21"/>
          <w:lang w:val="en-AU"/>
        </w:rPr>
        <w:t>Phase I</w:t>
      </w:r>
      <w:r w:rsidR="005E34D3" w:rsidRPr="003A6E13">
        <w:rPr>
          <w:rFonts w:eastAsia="Times New Roman" w:cs="Times New Roman"/>
          <w:sz w:val="21"/>
          <w:szCs w:val="21"/>
          <w:lang w:val="en-AU"/>
        </w:rPr>
        <w:t>,</w:t>
      </w:r>
      <w:r w:rsidR="00151856" w:rsidRPr="003A6E13">
        <w:rPr>
          <w:rFonts w:eastAsia="Times New Roman" w:cs="Times New Roman"/>
          <w:sz w:val="21"/>
          <w:szCs w:val="21"/>
          <w:lang w:val="en-AU"/>
        </w:rPr>
        <w:t xml:space="preserve"> it will work proactively to enhance resilience and minimise the vulnerability of people to disasters and the impacts of climate change. In line with DFAT policy, it will maintain and further improve gender</w:t>
      </w:r>
      <w:r w:rsidR="00B17863">
        <w:rPr>
          <w:rFonts w:eastAsia="Times New Roman" w:cs="Times New Roman"/>
          <w:sz w:val="21"/>
          <w:szCs w:val="21"/>
          <w:lang w:val="en-AU"/>
        </w:rPr>
        <w:t xml:space="preserve">, </w:t>
      </w:r>
      <w:r w:rsidR="0043380E">
        <w:rPr>
          <w:rFonts w:eastAsia="Times New Roman" w:cs="Times New Roman"/>
          <w:sz w:val="21"/>
          <w:szCs w:val="21"/>
          <w:lang w:val="en-AU"/>
        </w:rPr>
        <w:t>disability,</w:t>
      </w:r>
      <w:r w:rsidR="00151856" w:rsidRPr="003A6E13">
        <w:rPr>
          <w:rFonts w:eastAsia="Times New Roman" w:cs="Times New Roman"/>
          <w:sz w:val="21"/>
          <w:szCs w:val="21"/>
          <w:lang w:val="en-AU"/>
        </w:rPr>
        <w:t xml:space="preserve"> and social inclusion</w:t>
      </w:r>
      <w:r w:rsidR="00B17863">
        <w:rPr>
          <w:rFonts w:eastAsia="Times New Roman" w:cs="Times New Roman"/>
          <w:sz w:val="21"/>
          <w:szCs w:val="21"/>
          <w:lang w:val="en-AU"/>
        </w:rPr>
        <w:t xml:space="preserve"> (GEDSI)</w:t>
      </w:r>
      <w:r w:rsidR="00151856" w:rsidRPr="003A6E13">
        <w:rPr>
          <w:rFonts w:eastAsia="Times New Roman" w:cs="Times New Roman"/>
          <w:sz w:val="21"/>
          <w:szCs w:val="21"/>
          <w:lang w:val="en-AU"/>
        </w:rPr>
        <w:t>. In addition</w:t>
      </w:r>
      <w:r w:rsidR="00E37C37" w:rsidRPr="003A6E13">
        <w:rPr>
          <w:rFonts w:eastAsia="Times New Roman" w:cs="Times New Roman"/>
          <w:sz w:val="21"/>
          <w:szCs w:val="21"/>
          <w:lang w:val="en-AU"/>
        </w:rPr>
        <w:t>,</w:t>
      </w:r>
      <w:r w:rsidR="00151856" w:rsidRPr="003A6E13">
        <w:rPr>
          <w:rFonts w:eastAsia="Times New Roman" w:cs="Times New Roman"/>
          <w:sz w:val="21"/>
          <w:szCs w:val="21"/>
          <w:lang w:val="en-AU"/>
        </w:rPr>
        <w:t xml:space="preserve"> </w:t>
      </w:r>
      <w:r w:rsidR="00406F84">
        <w:rPr>
          <w:rFonts w:eastAsia="Times New Roman" w:cs="Times New Roman"/>
          <w:sz w:val="21"/>
          <w:szCs w:val="21"/>
          <w:lang w:val="en-AU"/>
        </w:rPr>
        <w:t>Phase II</w:t>
      </w:r>
      <w:r w:rsidR="00151856" w:rsidRPr="003A6E13">
        <w:rPr>
          <w:rFonts w:eastAsia="Times New Roman" w:cs="Times New Roman"/>
          <w:sz w:val="21"/>
          <w:szCs w:val="21"/>
          <w:lang w:val="en-AU"/>
        </w:rPr>
        <w:t xml:space="preserve"> will: </w:t>
      </w:r>
    </w:p>
    <w:p w14:paraId="703EAF36" w14:textId="6EE4ECDE" w:rsidR="00151856" w:rsidRPr="005B092D" w:rsidRDefault="00151856" w:rsidP="0011591E">
      <w:pPr>
        <w:pStyle w:val="ListParagraph"/>
        <w:numPr>
          <w:ilvl w:val="0"/>
          <w:numId w:val="35"/>
        </w:numPr>
        <w:spacing w:before="60"/>
        <w:ind w:left="714" w:hanging="357"/>
        <w:contextualSpacing w:val="0"/>
        <w:rPr>
          <w:sz w:val="21"/>
          <w:szCs w:val="21"/>
        </w:rPr>
      </w:pPr>
      <w:r w:rsidRPr="005B092D">
        <w:rPr>
          <w:sz w:val="21"/>
          <w:szCs w:val="21"/>
        </w:rPr>
        <w:t>promote a stronger whole-of-program and partnership approach by Partners</w:t>
      </w:r>
      <w:r w:rsidR="00E37C37" w:rsidRPr="005B092D">
        <w:rPr>
          <w:sz w:val="21"/>
          <w:szCs w:val="21"/>
        </w:rPr>
        <w:t>;</w:t>
      </w:r>
      <w:r w:rsidRPr="005B092D">
        <w:rPr>
          <w:sz w:val="21"/>
          <w:szCs w:val="21"/>
        </w:rPr>
        <w:t xml:space="preserve"> </w:t>
      </w:r>
    </w:p>
    <w:p w14:paraId="2FD4AC78" w14:textId="442925D3" w:rsidR="00151856" w:rsidRPr="005B092D" w:rsidRDefault="00E37C37" w:rsidP="0011591E">
      <w:pPr>
        <w:pStyle w:val="ListParagraph"/>
        <w:numPr>
          <w:ilvl w:val="0"/>
          <w:numId w:val="35"/>
        </w:numPr>
        <w:spacing w:before="60"/>
        <w:ind w:left="714" w:hanging="357"/>
        <w:contextualSpacing w:val="0"/>
        <w:rPr>
          <w:sz w:val="21"/>
          <w:szCs w:val="21"/>
        </w:rPr>
      </w:pPr>
      <w:r w:rsidRPr="005B092D">
        <w:rPr>
          <w:sz w:val="21"/>
          <w:szCs w:val="21"/>
        </w:rPr>
        <w:t xml:space="preserve">strengthen the focus on </w:t>
      </w:r>
      <w:r w:rsidR="00151856" w:rsidRPr="005B092D">
        <w:rPr>
          <w:sz w:val="21"/>
          <w:szCs w:val="21"/>
        </w:rPr>
        <w:t>localisation as key commitment and outcome</w:t>
      </w:r>
      <w:r w:rsidRPr="005B092D">
        <w:rPr>
          <w:sz w:val="21"/>
          <w:szCs w:val="21"/>
        </w:rPr>
        <w:t>;</w:t>
      </w:r>
    </w:p>
    <w:p w14:paraId="0CE94932" w14:textId="112CB5AD" w:rsidR="00151856" w:rsidRPr="005B092D" w:rsidRDefault="00151856" w:rsidP="0011591E">
      <w:pPr>
        <w:pStyle w:val="ListParagraph"/>
        <w:numPr>
          <w:ilvl w:val="0"/>
          <w:numId w:val="35"/>
        </w:numPr>
        <w:spacing w:before="60"/>
        <w:ind w:left="714" w:hanging="357"/>
        <w:contextualSpacing w:val="0"/>
        <w:rPr>
          <w:sz w:val="21"/>
          <w:szCs w:val="21"/>
        </w:rPr>
      </w:pPr>
      <w:r w:rsidRPr="005B092D">
        <w:rPr>
          <w:sz w:val="21"/>
          <w:szCs w:val="21"/>
        </w:rPr>
        <w:t>better leverage the comparative advantage of ANGOs and their cooperation with other stakeholders, including other DFAT funded investments</w:t>
      </w:r>
      <w:r w:rsidR="00E37C37" w:rsidRPr="005B092D">
        <w:rPr>
          <w:sz w:val="21"/>
          <w:szCs w:val="21"/>
        </w:rPr>
        <w:t>; and</w:t>
      </w:r>
      <w:r w:rsidRPr="005B092D">
        <w:rPr>
          <w:sz w:val="21"/>
          <w:szCs w:val="21"/>
        </w:rPr>
        <w:t xml:space="preserve">  </w:t>
      </w:r>
    </w:p>
    <w:p w14:paraId="6CA9AF38" w14:textId="1652D423" w:rsidR="00151856" w:rsidRPr="005B092D" w:rsidRDefault="00151856" w:rsidP="0011591E">
      <w:pPr>
        <w:pStyle w:val="ListParagraph"/>
        <w:numPr>
          <w:ilvl w:val="0"/>
          <w:numId w:val="35"/>
        </w:numPr>
        <w:spacing w:before="60"/>
        <w:ind w:left="714" w:hanging="357"/>
        <w:contextualSpacing w:val="0"/>
        <w:rPr>
          <w:sz w:val="21"/>
          <w:szCs w:val="21"/>
        </w:rPr>
      </w:pPr>
      <w:r w:rsidRPr="005B092D">
        <w:rPr>
          <w:sz w:val="21"/>
          <w:szCs w:val="21"/>
        </w:rPr>
        <w:t>incentivise innovation and collective effort to improve performance and influence others</w:t>
      </w:r>
      <w:r w:rsidR="00E37C37" w:rsidRPr="005B092D">
        <w:rPr>
          <w:sz w:val="21"/>
          <w:szCs w:val="21"/>
        </w:rPr>
        <w:t>.</w:t>
      </w:r>
      <w:r w:rsidRPr="005B092D">
        <w:rPr>
          <w:sz w:val="21"/>
          <w:szCs w:val="21"/>
        </w:rPr>
        <w:t xml:space="preserve"> </w:t>
      </w:r>
    </w:p>
    <w:p w14:paraId="3376A402" w14:textId="7BF732C7" w:rsidR="007532EC" w:rsidRPr="009E5484" w:rsidRDefault="00151856" w:rsidP="00BD49C4">
      <w:pPr>
        <w:pStyle w:val="ListParagraph"/>
        <w:tabs>
          <w:tab w:val="left" w:pos="284"/>
        </w:tabs>
        <w:suppressAutoHyphens w:val="0"/>
        <w:spacing w:before="200" w:after="0" w:line="280" w:lineRule="exact"/>
        <w:ind w:left="0"/>
        <w:contextualSpacing w:val="0"/>
        <w:rPr>
          <w:rFonts w:eastAsia="Times New Roman" w:cs="Times New Roman"/>
          <w:sz w:val="21"/>
          <w:szCs w:val="21"/>
          <w:lang w:val="en-AU"/>
        </w:rPr>
      </w:pPr>
      <w:r w:rsidRPr="003A6E13">
        <w:rPr>
          <w:rFonts w:eastAsia="Times New Roman" w:cs="Times New Roman"/>
          <w:sz w:val="21"/>
          <w:szCs w:val="21"/>
          <w:lang w:val="en-AU"/>
        </w:rPr>
        <w:t xml:space="preserve">The </w:t>
      </w:r>
      <w:r w:rsidR="00E37C37" w:rsidRPr="003A6E13">
        <w:rPr>
          <w:rFonts w:eastAsia="Times New Roman" w:cs="Times New Roman"/>
          <w:sz w:val="21"/>
          <w:szCs w:val="21"/>
          <w:lang w:val="en-AU"/>
        </w:rPr>
        <w:t xml:space="preserve">program logic for AHP </w:t>
      </w:r>
      <w:r w:rsidR="00406F84">
        <w:rPr>
          <w:rFonts w:eastAsia="Times New Roman" w:cs="Times New Roman"/>
          <w:sz w:val="21"/>
          <w:szCs w:val="21"/>
          <w:lang w:val="en-AU"/>
        </w:rPr>
        <w:t>Phase II</w:t>
      </w:r>
      <w:r w:rsidR="00E37C37" w:rsidRPr="003A6E13">
        <w:rPr>
          <w:rFonts w:eastAsia="Times New Roman" w:cs="Times New Roman"/>
          <w:sz w:val="21"/>
          <w:szCs w:val="21"/>
          <w:lang w:val="en-AU"/>
        </w:rPr>
        <w:t xml:space="preserve"> has been updated to reflect changes to the policy and operating context. </w:t>
      </w:r>
    </w:p>
    <w:p w14:paraId="75E3D948" w14:textId="7744EC9B" w:rsidR="009633CD" w:rsidRPr="005B092D" w:rsidRDefault="00E37C37" w:rsidP="005B092D">
      <w:pPr>
        <w:pStyle w:val="ListParagraph"/>
        <w:suppressAutoHyphens w:val="0"/>
        <w:ind w:left="357"/>
        <w:contextualSpacing w:val="0"/>
        <w:rPr>
          <w:b/>
          <w:bCs/>
          <w:sz w:val="21"/>
          <w:szCs w:val="21"/>
        </w:rPr>
      </w:pPr>
      <w:r w:rsidRPr="005B092D">
        <w:rPr>
          <w:sz w:val="21"/>
          <w:szCs w:val="21"/>
        </w:rPr>
        <w:t xml:space="preserve">The </w:t>
      </w:r>
      <w:r w:rsidR="00151856" w:rsidRPr="005B092D">
        <w:rPr>
          <w:sz w:val="21"/>
          <w:szCs w:val="21"/>
          <w:u w:val="single"/>
        </w:rPr>
        <w:t>goal</w:t>
      </w:r>
      <w:r w:rsidR="00151856" w:rsidRPr="005B092D">
        <w:rPr>
          <w:sz w:val="21"/>
          <w:szCs w:val="21"/>
        </w:rPr>
        <w:t xml:space="preserve"> of the </w:t>
      </w:r>
      <w:r w:rsidRPr="005B092D">
        <w:rPr>
          <w:sz w:val="21"/>
          <w:szCs w:val="21"/>
        </w:rPr>
        <w:t xml:space="preserve">AHP </w:t>
      </w:r>
      <w:r w:rsidR="00406F84">
        <w:rPr>
          <w:sz w:val="21"/>
          <w:szCs w:val="21"/>
        </w:rPr>
        <w:t>Phase II</w:t>
      </w:r>
      <w:r w:rsidR="00151856" w:rsidRPr="005B092D">
        <w:rPr>
          <w:sz w:val="21"/>
          <w:szCs w:val="21"/>
        </w:rPr>
        <w:t xml:space="preserve"> </w:t>
      </w:r>
      <w:r w:rsidRPr="005B092D">
        <w:rPr>
          <w:sz w:val="21"/>
          <w:szCs w:val="21"/>
        </w:rPr>
        <w:t>is</w:t>
      </w:r>
      <w:r w:rsidR="00151856" w:rsidRPr="005B092D">
        <w:rPr>
          <w:sz w:val="21"/>
          <w:szCs w:val="21"/>
        </w:rPr>
        <w:t>:</w:t>
      </w:r>
      <w:r w:rsidR="007532EC" w:rsidRPr="005B092D">
        <w:rPr>
          <w:sz w:val="21"/>
          <w:szCs w:val="21"/>
        </w:rPr>
        <w:t xml:space="preserve"> </w:t>
      </w:r>
    </w:p>
    <w:p w14:paraId="1C66860C" w14:textId="110EA343" w:rsidR="007532EC" w:rsidRPr="005B092D" w:rsidRDefault="007532EC" w:rsidP="005B092D">
      <w:pPr>
        <w:spacing w:before="60"/>
        <w:ind w:left="720"/>
        <w:rPr>
          <w:b/>
          <w:bCs/>
          <w:sz w:val="21"/>
          <w:szCs w:val="21"/>
        </w:rPr>
      </w:pPr>
      <w:r w:rsidRPr="005B092D">
        <w:rPr>
          <w:b/>
          <w:bCs/>
          <w:sz w:val="21"/>
          <w:szCs w:val="21"/>
        </w:rPr>
        <w:t xml:space="preserve">To save lives and alleviate suffering by supporting partner countries, local </w:t>
      </w:r>
      <w:r w:rsidR="0043380E" w:rsidRPr="005B092D">
        <w:rPr>
          <w:b/>
          <w:bCs/>
          <w:sz w:val="21"/>
          <w:szCs w:val="21"/>
        </w:rPr>
        <w:t>organisations,</w:t>
      </w:r>
      <w:r w:rsidRPr="005B092D">
        <w:rPr>
          <w:b/>
          <w:bCs/>
          <w:sz w:val="21"/>
          <w:szCs w:val="21"/>
        </w:rPr>
        <w:t xml:space="preserve"> and communities to prevent, prepare for, respond </w:t>
      </w:r>
      <w:r w:rsidR="0043380E" w:rsidRPr="005B092D">
        <w:rPr>
          <w:b/>
          <w:bCs/>
          <w:sz w:val="21"/>
          <w:szCs w:val="21"/>
        </w:rPr>
        <w:t>to,</w:t>
      </w:r>
      <w:r w:rsidRPr="005B092D">
        <w:rPr>
          <w:b/>
          <w:bCs/>
          <w:sz w:val="21"/>
          <w:szCs w:val="21"/>
        </w:rPr>
        <w:t xml:space="preserve"> and recover from disasters and other humanitarian crises.</w:t>
      </w:r>
    </w:p>
    <w:p w14:paraId="2BE544A5" w14:textId="77777777" w:rsidR="009633CD" w:rsidRPr="005B092D" w:rsidRDefault="007532EC" w:rsidP="005B092D">
      <w:pPr>
        <w:ind w:left="357"/>
        <w:rPr>
          <w:sz w:val="21"/>
          <w:szCs w:val="21"/>
        </w:rPr>
      </w:pPr>
      <w:r w:rsidRPr="005B092D">
        <w:rPr>
          <w:sz w:val="21"/>
          <w:szCs w:val="21"/>
        </w:rPr>
        <w:t xml:space="preserve">The </w:t>
      </w:r>
      <w:r w:rsidRPr="005B092D">
        <w:rPr>
          <w:sz w:val="21"/>
          <w:szCs w:val="21"/>
          <w:u w:val="single"/>
        </w:rPr>
        <w:t>objective</w:t>
      </w:r>
      <w:r w:rsidRPr="005B092D">
        <w:rPr>
          <w:sz w:val="21"/>
          <w:szCs w:val="21"/>
        </w:rPr>
        <w:t xml:space="preserve"> is: </w:t>
      </w:r>
    </w:p>
    <w:p w14:paraId="3302B6B8" w14:textId="5B40ADD3" w:rsidR="003A6E13" w:rsidRPr="005B092D" w:rsidRDefault="003A6E13" w:rsidP="005B092D">
      <w:pPr>
        <w:spacing w:before="60"/>
        <w:ind w:left="720"/>
        <w:rPr>
          <w:b/>
          <w:bCs/>
          <w:sz w:val="21"/>
          <w:szCs w:val="21"/>
          <w:lang w:val="en-AU"/>
        </w:rPr>
      </w:pPr>
      <w:r w:rsidRPr="005B092D">
        <w:rPr>
          <w:b/>
          <w:bCs/>
          <w:sz w:val="21"/>
          <w:szCs w:val="21"/>
          <w:lang w:val="en-AU"/>
        </w:rPr>
        <w:t>To strengthen resilience</w:t>
      </w:r>
      <w:r w:rsidR="00096107">
        <w:rPr>
          <w:b/>
          <w:bCs/>
          <w:sz w:val="21"/>
          <w:szCs w:val="21"/>
          <w:lang w:val="en-AU"/>
        </w:rPr>
        <w:t xml:space="preserve">, </w:t>
      </w:r>
      <w:r w:rsidR="0043380E" w:rsidRPr="005B092D">
        <w:rPr>
          <w:b/>
          <w:bCs/>
          <w:sz w:val="21"/>
          <w:szCs w:val="21"/>
          <w:lang w:val="en-AU"/>
        </w:rPr>
        <w:t>stability,</w:t>
      </w:r>
      <w:r w:rsidR="00096107">
        <w:rPr>
          <w:b/>
          <w:bCs/>
          <w:sz w:val="21"/>
          <w:szCs w:val="21"/>
          <w:lang w:val="en-AU"/>
        </w:rPr>
        <w:t xml:space="preserve"> and equality</w:t>
      </w:r>
      <w:r w:rsidRPr="005B092D">
        <w:rPr>
          <w:b/>
          <w:bCs/>
          <w:sz w:val="21"/>
          <w:szCs w:val="21"/>
          <w:lang w:val="en-AU"/>
        </w:rPr>
        <w:t>, particularly in the Indo-Pacific region, by addressing the challenges of disaster</w:t>
      </w:r>
      <w:r w:rsidR="00532C15">
        <w:rPr>
          <w:b/>
          <w:bCs/>
          <w:sz w:val="21"/>
          <w:szCs w:val="21"/>
          <w:lang w:val="en-AU"/>
        </w:rPr>
        <w:t>s</w:t>
      </w:r>
      <w:r w:rsidRPr="005B092D">
        <w:rPr>
          <w:b/>
          <w:bCs/>
          <w:sz w:val="21"/>
          <w:szCs w:val="21"/>
          <w:lang w:val="en-AU"/>
        </w:rPr>
        <w:t>, changing climate, conflict and other threats and hazards.</w:t>
      </w:r>
    </w:p>
    <w:p w14:paraId="7ED9C899" w14:textId="71D78193" w:rsidR="00151856" w:rsidRPr="003A6E13" w:rsidRDefault="00151856" w:rsidP="005B092D">
      <w:pPr>
        <w:rPr>
          <w:rFonts w:eastAsia="Times New Roman" w:cs="Times New Roman"/>
          <w:sz w:val="21"/>
          <w:szCs w:val="21"/>
          <w:lang w:val="en-AU"/>
        </w:rPr>
      </w:pPr>
      <w:r w:rsidRPr="003A6E13">
        <w:rPr>
          <w:rFonts w:eastAsia="Times New Roman" w:cs="Times New Roman"/>
          <w:sz w:val="21"/>
          <w:szCs w:val="21"/>
          <w:lang w:val="en-AU"/>
        </w:rPr>
        <w:t xml:space="preserve">There </w:t>
      </w:r>
      <w:r w:rsidR="00AB086A">
        <w:rPr>
          <w:rFonts w:eastAsia="Times New Roman" w:cs="Times New Roman"/>
          <w:sz w:val="21"/>
          <w:szCs w:val="21"/>
          <w:lang w:val="en-AU"/>
        </w:rPr>
        <w:t>are</w:t>
      </w:r>
      <w:r w:rsidR="00AB086A" w:rsidRPr="003A6E13">
        <w:rPr>
          <w:rFonts w:eastAsia="Times New Roman" w:cs="Times New Roman"/>
          <w:sz w:val="21"/>
          <w:szCs w:val="21"/>
          <w:lang w:val="en-AU"/>
        </w:rPr>
        <w:t xml:space="preserve"> </w:t>
      </w:r>
      <w:r w:rsidRPr="003A6E13">
        <w:rPr>
          <w:rFonts w:eastAsia="Times New Roman" w:cs="Times New Roman"/>
          <w:sz w:val="21"/>
          <w:szCs w:val="21"/>
          <w:lang w:val="en-AU"/>
        </w:rPr>
        <w:t xml:space="preserve">three </w:t>
      </w:r>
      <w:r w:rsidR="00E37C37" w:rsidRPr="003A6E13">
        <w:rPr>
          <w:rFonts w:eastAsia="Times New Roman" w:cs="Times New Roman"/>
          <w:sz w:val="21"/>
          <w:szCs w:val="21"/>
          <w:lang w:val="en-AU"/>
        </w:rPr>
        <w:t xml:space="preserve">key </w:t>
      </w:r>
      <w:r w:rsidRPr="003A6E13">
        <w:rPr>
          <w:rFonts w:eastAsia="Times New Roman" w:cs="Times New Roman"/>
          <w:sz w:val="21"/>
          <w:szCs w:val="21"/>
          <w:lang w:val="en-AU"/>
        </w:rPr>
        <w:t xml:space="preserve">components to the Partnership, with </w:t>
      </w:r>
      <w:r w:rsidR="00E37C37" w:rsidRPr="003A6E13">
        <w:rPr>
          <w:rFonts w:eastAsia="Times New Roman" w:cs="Times New Roman"/>
          <w:sz w:val="21"/>
          <w:szCs w:val="21"/>
          <w:lang w:val="en-AU"/>
        </w:rPr>
        <w:t xml:space="preserve">associated </w:t>
      </w:r>
      <w:r w:rsidRPr="003A6E13">
        <w:rPr>
          <w:rFonts w:eastAsia="Times New Roman" w:cs="Times New Roman"/>
          <w:sz w:val="21"/>
          <w:szCs w:val="21"/>
          <w:lang w:val="en-AU"/>
        </w:rPr>
        <w:t xml:space="preserve">End of Program </w:t>
      </w:r>
      <w:r w:rsidR="00D94B0E" w:rsidRPr="003A6E13">
        <w:rPr>
          <w:rFonts w:eastAsia="Times New Roman" w:cs="Times New Roman"/>
          <w:sz w:val="21"/>
          <w:szCs w:val="21"/>
          <w:lang w:val="en-AU"/>
        </w:rPr>
        <w:t xml:space="preserve">(EOPOs) </w:t>
      </w:r>
      <w:r w:rsidRPr="003A6E13">
        <w:rPr>
          <w:rFonts w:eastAsia="Times New Roman" w:cs="Times New Roman"/>
          <w:sz w:val="21"/>
          <w:szCs w:val="21"/>
          <w:lang w:val="en-AU"/>
        </w:rPr>
        <w:t>and Intermediate Outcomes</w:t>
      </w:r>
      <w:r w:rsidR="00D94B0E" w:rsidRPr="003A6E13">
        <w:rPr>
          <w:rFonts w:eastAsia="Times New Roman" w:cs="Times New Roman"/>
          <w:sz w:val="21"/>
          <w:szCs w:val="21"/>
          <w:lang w:val="en-AU"/>
        </w:rPr>
        <w:t xml:space="preserve"> (IOs)</w:t>
      </w:r>
      <w:r w:rsidR="00AB086A">
        <w:rPr>
          <w:rFonts w:eastAsia="Times New Roman" w:cs="Times New Roman"/>
          <w:sz w:val="21"/>
          <w:szCs w:val="21"/>
          <w:lang w:val="en-AU"/>
        </w:rPr>
        <w:t xml:space="preserve"> which have been updated for </w:t>
      </w:r>
      <w:r w:rsidR="00406F84">
        <w:rPr>
          <w:rFonts w:eastAsia="Times New Roman" w:cs="Times New Roman"/>
          <w:sz w:val="21"/>
          <w:szCs w:val="21"/>
          <w:lang w:val="en-AU"/>
        </w:rPr>
        <w:t>Phase II</w:t>
      </w:r>
      <w:r w:rsidRPr="003A6E13">
        <w:rPr>
          <w:rFonts w:eastAsia="Times New Roman" w:cs="Times New Roman"/>
          <w:sz w:val="21"/>
          <w:szCs w:val="21"/>
          <w:lang w:val="en-AU"/>
        </w:rPr>
        <w:t>:</w:t>
      </w:r>
    </w:p>
    <w:p w14:paraId="03F186F4" w14:textId="255870D3" w:rsidR="00151856" w:rsidRPr="003A6E13" w:rsidRDefault="00D94B0E" w:rsidP="003E2C60">
      <w:pPr>
        <w:pStyle w:val="ListParagraph"/>
        <w:tabs>
          <w:tab w:val="left" w:pos="0"/>
        </w:tabs>
        <w:spacing w:before="200" w:after="0" w:line="280" w:lineRule="exact"/>
        <w:ind w:left="0"/>
        <w:contextualSpacing w:val="0"/>
        <w:rPr>
          <w:rFonts w:eastAsia="Times New Roman"/>
          <w:b/>
          <w:bCs/>
          <w:i/>
          <w:iCs/>
          <w:sz w:val="21"/>
          <w:szCs w:val="21"/>
          <w:u w:val="single"/>
        </w:rPr>
      </w:pPr>
      <w:r w:rsidRPr="003A6E13">
        <w:rPr>
          <w:rFonts w:eastAsia="Times New Roman" w:cs="Times New Roman"/>
          <w:b/>
          <w:bCs/>
          <w:sz w:val="21"/>
          <w:szCs w:val="21"/>
          <w:u w:val="single"/>
          <w:lang w:val="en-AU"/>
        </w:rPr>
        <w:t xml:space="preserve">Component and EOPO 1: </w:t>
      </w:r>
      <w:r w:rsidR="00151856" w:rsidRPr="003A6E13">
        <w:rPr>
          <w:rFonts w:eastAsia="Times New Roman" w:cs="Times New Roman"/>
          <w:b/>
          <w:bCs/>
          <w:sz w:val="21"/>
          <w:szCs w:val="21"/>
          <w:u w:val="single"/>
          <w:lang w:val="en-AU"/>
        </w:rPr>
        <w:t>Disaster READY: Preparedness</w:t>
      </w:r>
      <w:r w:rsidRPr="003A6E13">
        <w:rPr>
          <w:rFonts w:eastAsia="Times New Roman" w:cs="Times New Roman"/>
          <w:b/>
          <w:bCs/>
          <w:sz w:val="21"/>
          <w:szCs w:val="21"/>
          <w:u w:val="single"/>
          <w:lang w:val="en-AU"/>
        </w:rPr>
        <w:t xml:space="preserve"> and Resilience</w:t>
      </w:r>
    </w:p>
    <w:p w14:paraId="63D2EB5F" w14:textId="2F841CB0" w:rsidR="00151856" w:rsidRPr="00B47A57" w:rsidRDefault="006E3D42" w:rsidP="0011591E">
      <w:pPr>
        <w:pStyle w:val="ListParagraph"/>
        <w:numPr>
          <w:ilvl w:val="0"/>
          <w:numId w:val="45"/>
        </w:numPr>
        <w:tabs>
          <w:tab w:val="left" w:pos="426"/>
        </w:tabs>
        <w:spacing w:before="60" w:afterLines="60" w:after="144" w:line="280" w:lineRule="exact"/>
        <w:rPr>
          <w:rFonts w:eastAsia="Times New Roman"/>
          <w:sz w:val="21"/>
          <w:szCs w:val="21"/>
        </w:rPr>
      </w:pPr>
      <w:bookmarkStart w:id="4" w:name="_Hlk95492050"/>
      <w:r w:rsidRPr="00B47A57">
        <w:rPr>
          <w:rFonts w:eastAsia="Times New Roman"/>
          <w:sz w:val="21"/>
          <w:szCs w:val="21"/>
        </w:rPr>
        <w:t>W</w:t>
      </w:r>
      <w:r w:rsidR="00151856" w:rsidRPr="00B47A57">
        <w:rPr>
          <w:rFonts w:eastAsia="Times New Roman"/>
          <w:sz w:val="21"/>
          <w:szCs w:val="21"/>
        </w:rPr>
        <w:t xml:space="preserve">omen, youth, children, people </w:t>
      </w:r>
      <w:r w:rsidR="00EC6E33">
        <w:rPr>
          <w:rFonts w:eastAsia="Times New Roman"/>
          <w:sz w:val="21"/>
          <w:szCs w:val="21"/>
        </w:rPr>
        <w:t xml:space="preserve">living </w:t>
      </w:r>
      <w:r w:rsidR="00151856" w:rsidRPr="00B47A57">
        <w:rPr>
          <w:rFonts w:eastAsia="Times New Roman"/>
          <w:sz w:val="21"/>
          <w:szCs w:val="21"/>
        </w:rPr>
        <w:t xml:space="preserve">with disabilities and other </w:t>
      </w:r>
      <w:r w:rsidR="00096107" w:rsidRPr="00B47A57">
        <w:rPr>
          <w:rFonts w:eastAsia="Times New Roman"/>
          <w:sz w:val="21"/>
          <w:szCs w:val="21"/>
        </w:rPr>
        <w:t>at-risk</w:t>
      </w:r>
      <w:r w:rsidR="00151856" w:rsidRPr="00B47A57">
        <w:rPr>
          <w:rFonts w:eastAsia="Times New Roman"/>
          <w:sz w:val="21"/>
          <w:szCs w:val="21"/>
        </w:rPr>
        <w:t xml:space="preserve"> </w:t>
      </w:r>
      <w:r w:rsidR="003B469E" w:rsidRPr="00B47A57">
        <w:rPr>
          <w:rFonts w:eastAsia="Times New Roman"/>
          <w:sz w:val="21"/>
          <w:szCs w:val="21"/>
        </w:rPr>
        <w:t xml:space="preserve">groups, </w:t>
      </w:r>
      <w:r w:rsidR="00151856" w:rsidRPr="00B47A57">
        <w:rPr>
          <w:rFonts w:eastAsia="Times New Roman"/>
          <w:sz w:val="21"/>
          <w:szCs w:val="21"/>
        </w:rPr>
        <w:t xml:space="preserve">are better prepared </w:t>
      </w:r>
      <w:r w:rsidR="00532C15" w:rsidRPr="00B47A57">
        <w:rPr>
          <w:rFonts w:eastAsia="Times New Roman"/>
          <w:sz w:val="21"/>
          <w:szCs w:val="21"/>
        </w:rPr>
        <w:t xml:space="preserve">for </w:t>
      </w:r>
      <w:r w:rsidR="00151856" w:rsidRPr="00B47A57">
        <w:rPr>
          <w:rFonts w:eastAsia="Times New Roman"/>
          <w:sz w:val="21"/>
          <w:szCs w:val="21"/>
        </w:rPr>
        <w:t>and more resilient to disasters</w:t>
      </w:r>
      <w:r w:rsidR="003B469E" w:rsidRPr="00B47A57">
        <w:rPr>
          <w:rFonts w:eastAsia="Times New Roman"/>
          <w:sz w:val="21"/>
          <w:szCs w:val="21"/>
        </w:rPr>
        <w:t xml:space="preserve"> and climate change</w:t>
      </w:r>
      <w:r w:rsidR="00151856" w:rsidRPr="00B47A57">
        <w:rPr>
          <w:rFonts w:eastAsia="Times New Roman"/>
          <w:sz w:val="21"/>
          <w:szCs w:val="21"/>
        </w:rPr>
        <w:t>, in selected Pacific countries and Timor-Leste.</w:t>
      </w:r>
      <w:bookmarkEnd w:id="4"/>
    </w:p>
    <w:p w14:paraId="2D9C8636" w14:textId="235EEFF0" w:rsidR="00151856" w:rsidRPr="003A6E13" w:rsidRDefault="00151856" w:rsidP="004706AF">
      <w:pPr>
        <w:pStyle w:val="ListParagraph"/>
        <w:keepNext/>
        <w:tabs>
          <w:tab w:val="left" w:pos="426"/>
        </w:tabs>
        <w:spacing w:before="200" w:after="0" w:line="280" w:lineRule="exact"/>
        <w:ind w:left="426"/>
        <w:contextualSpacing w:val="0"/>
        <w:rPr>
          <w:rFonts w:eastAsia="Times New Roman"/>
          <w:i/>
          <w:iCs/>
          <w:sz w:val="21"/>
          <w:szCs w:val="21"/>
        </w:rPr>
      </w:pPr>
      <w:r w:rsidRPr="003A6E13">
        <w:rPr>
          <w:rFonts w:eastAsia="Times New Roman" w:cs="Times New Roman"/>
          <w:i/>
          <w:iCs/>
          <w:sz w:val="21"/>
          <w:szCs w:val="21"/>
          <w:lang w:val="en-AU"/>
        </w:rPr>
        <w:lastRenderedPageBreak/>
        <w:t>Intermediate</w:t>
      </w:r>
      <w:r w:rsidRPr="003A6E13">
        <w:rPr>
          <w:rFonts w:eastAsia="Times New Roman"/>
          <w:i/>
          <w:iCs/>
          <w:sz w:val="21"/>
          <w:szCs w:val="21"/>
        </w:rPr>
        <w:t xml:space="preserve"> Outcomes:</w:t>
      </w:r>
    </w:p>
    <w:p w14:paraId="68D59244" w14:textId="1D2BECFD" w:rsidR="00151856" w:rsidRPr="003A6E13" w:rsidRDefault="00151856" w:rsidP="0011591E">
      <w:pPr>
        <w:pStyle w:val="ListParagraph"/>
        <w:numPr>
          <w:ilvl w:val="1"/>
          <w:numId w:val="46"/>
        </w:numPr>
        <w:tabs>
          <w:tab w:val="left" w:pos="426"/>
        </w:tabs>
        <w:spacing w:before="60" w:afterLines="60" w:after="144" w:line="280" w:lineRule="exact"/>
        <w:ind w:left="1077" w:hanging="357"/>
        <w:contextualSpacing w:val="0"/>
        <w:rPr>
          <w:rFonts w:eastAsia="Times New Roman"/>
          <w:sz w:val="21"/>
          <w:szCs w:val="21"/>
          <w:lang w:val="en-AU"/>
        </w:rPr>
      </w:pPr>
      <w:bookmarkStart w:id="5" w:name="_Hlk97708222"/>
      <w:r w:rsidRPr="003A6E13">
        <w:rPr>
          <w:rFonts w:eastAsia="Times New Roman"/>
          <w:sz w:val="21"/>
          <w:szCs w:val="21"/>
          <w:lang w:val="en-AU"/>
        </w:rPr>
        <w:t xml:space="preserve">Communities (especially </w:t>
      </w:r>
      <w:r w:rsidR="00096107">
        <w:rPr>
          <w:rFonts w:eastAsia="Times New Roman"/>
          <w:sz w:val="21"/>
          <w:szCs w:val="21"/>
          <w:lang w:val="en-AU"/>
        </w:rPr>
        <w:t>at-risk</w:t>
      </w:r>
      <w:r w:rsidRPr="003A6E13">
        <w:rPr>
          <w:rFonts w:eastAsia="Times New Roman"/>
          <w:sz w:val="21"/>
          <w:szCs w:val="21"/>
          <w:lang w:val="en-AU"/>
        </w:rPr>
        <w:t xml:space="preserve"> groups</w:t>
      </w:r>
      <w:r w:rsidRPr="003A6E13">
        <w:rPr>
          <w:rFonts w:eastAsia="Times New Roman"/>
          <w:sz w:val="21"/>
          <w:szCs w:val="21"/>
        </w:rPr>
        <w:t xml:space="preserve">) </w:t>
      </w:r>
      <w:r w:rsidR="00096107">
        <w:rPr>
          <w:rFonts w:eastAsia="Times New Roman"/>
          <w:sz w:val="21"/>
          <w:szCs w:val="21"/>
        </w:rPr>
        <w:t xml:space="preserve">are empowered to </w:t>
      </w:r>
      <w:r w:rsidRPr="003A6E13">
        <w:rPr>
          <w:rFonts w:eastAsia="Times New Roman"/>
          <w:sz w:val="21"/>
          <w:szCs w:val="21"/>
          <w:lang w:val="en-AU"/>
        </w:rPr>
        <w:t xml:space="preserve">plan and implement effective, </w:t>
      </w:r>
      <w:r w:rsidR="00096107">
        <w:rPr>
          <w:rFonts w:eastAsia="Times New Roman"/>
          <w:sz w:val="21"/>
          <w:szCs w:val="21"/>
          <w:lang w:val="en-AU"/>
        </w:rPr>
        <w:t>gender-</w:t>
      </w:r>
      <w:r w:rsidR="00096107" w:rsidRPr="00816F01">
        <w:rPr>
          <w:rFonts w:eastAsia="Times New Roman"/>
          <w:sz w:val="21"/>
          <w:szCs w:val="21"/>
        </w:rPr>
        <w:t>responsive</w:t>
      </w:r>
      <w:r w:rsidR="00096107">
        <w:rPr>
          <w:rFonts w:eastAsia="Times New Roman"/>
          <w:sz w:val="21"/>
          <w:szCs w:val="21"/>
          <w:lang w:val="en-AU"/>
        </w:rPr>
        <w:t xml:space="preserve">, socially </w:t>
      </w:r>
      <w:r w:rsidR="0043380E" w:rsidRPr="003A6E13">
        <w:rPr>
          <w:rFonts w:eastAsia="Times New Roman"/>
          <w:sz w:val="21"/>
          <w:szCs w:val="21"/>
          <w:lang w:val="en-AU"/>
        </w:rPr>
        <w:t>inclusive,</w:t>
      </w:r>
      <w:r w:rsidRPr="003A6E13">
        <w:rPr>
          <w:rFonts w:eastAsia="Times New Roman"/>
          <w:sz w:val="21"/>
          <w:szCs w:val="21"/>
          <w:lang w:val="en-AU"/>
        </w:rPr>
        <w:t xml:space="preserve"> and integrated </w:t>
      </w:r>
      <w:r w:rsidR="009215EC">
        <w:rPr>
          <w:rFonts w:eastAsia="Times New Roman"/>
          <w:sz w:val="21"/>
          <w:szCs w:val="21"/>
          <w:lang w:val="en-AU"/>
        </w:rPr>
        <w:t>disaster preparedness</w:t>
      </w:r>
      <w:r w:rsidRPr="003A6E13">
        <w:rPr>
          <w:rFonts w:eastAsia="Times New Roman"/>
          <w:sz w:val="21"/>
          <w:szCs w:val="21"/>
          <w:lang w:val="en-AU"/>
        </w:rPr>
        <w:t xml:space="preserve"> and adaptation activities.</w:t>
      </w:r>
    </w:p>
    <w:p w14:paraId="645933EF" w14:textId="07E39BC6" w:rsidR="00151856" w:rsidRPr="003A6E13" w:rsidRDefault="00151856" w:rsidP="0011591E">
      <w:pPr>
        <w:pStyle w:val="ListParagraph"/>
        <w:numPr>
          <w:ilvl w:val="1"/>
          <w:numId w:val="46"/>
        </w:numPr>
        <w:tabs>
          <w:tab w:val="left" w:pos="426"/>
        </w:tabs>
        <w:spacing w:before="60" w:afterLines="60" w:after="144" w:line="280" w:lineRule="exact"/>
        <w:ind w:left="1077" w:hanging="357"/>
        <w:contextualSpacing w:val="0"/>
        <w:rPr>
          <w:rFonts w:eastAsia="Times New Roman"/>
          <w:sz w:val="21"/>
          <w:szCs w:val="21"/>
          <w:lang w:val="en-AU"/>
        </w:rPr>
      </w:pPr>
      <w:r w:rsidRPr="003A6E13">
        <w:rPr>
          <w:rFonts w:eastAsia="Times New Roman"/>
          <w:sz w:val="21"/>
          <w:szCs w:val="21"/>
        </w:rPr>
        <w:t xml:space="preserve">Local </w:t>
      </w:r>
      <w:r w:rsidRPr="003A6E13">
        <w:rPr>
          <w:rFonts w:eastAsia="Times New Roman"/>
          <w:sz w:val="21"/>
          <w:szCs w:val="21"/>
          <w:lang w:val="en-AU"/>
        </w:rPr>
        <w:t>civil</w:t>
      </w:r>
      <w:r w:rsidRPr="003A6E13">
        <w:rPr>
          <w:rFonts w:eastAsia="Times New Roman"/>
          <w:sz w:val="21"/>
          <w:szCs w:val="21"/>
        </w:rPr>
        <w:t xml:space="preserve"> </w:t>
      </w:r>
      <w:r w:rsidRPr="00AF68AB">
        <w:rPr>
          <w:rFonts w:eastAsia="Times New Roman"/>
          <w:sz w:val="21"/>
          <w:szCs w:val="21"/>
          <w:lang w:val="en-AU"/>
        </w:rPr>
        <w:t>society actors (NGOs, C</w:t>
      </w:r>
      <w:r w:rsidR="00E37C37" w:rsidRPr="00AF68AB">
        <w:rPr>
          <w:rFonts w:eastAsia="Times New Roman"/>
          <w:sz w:val="21"/>
          <w:szCs w:val="21"/>
          <w:lang w:val="en-AU"/>
        </w:rPr>
        <w:t>ommunity Based Organisations (C</w:t>
      </w:r>
      <w:r w:rsidRPr="00AF68AB">
        <w:rPr>
          <w:rFonts w:eastAsia="Times New Roman"/>
          <w:sz w:val="21"/>
          <w:szCs w:val="21"/>
          <w:lang w:val="en-AU"/>
        </w:rPr>
        <w:t>BOs</w:t>
      </w:r>
      <w:r w:rsidR="00E37C37" w:rsidRPr="00AF68AB">
        <w:rPr>
          <w:rFonts w:eastAsia="Times New Roman"/>
          <w:sz w:val="21"/>
          <w:szCs w:val="21"/>
          <w:lang w:val="en-AU"/>
        </w:rPr>
        <w:t>)</w:t>
      </w:r>
      <w:r w:rsidRPr="00AF68AB">
        <w:rPr>
          <w:rFonts w:eastAsia="Times New Roman"/>
          <w:sz w:val="21"/>
          <w:szCs w:val="21"/>
          <w:lang w:val="en-AU"/>
        </w:rPr>
        <w:t>,</w:t>
      </w:r>
      <w:r w:rsidR="002602ED" w:rsidRPr="00AF68AB">
        <w:rPr>
          <w:rFonts w:eastAsia="Times New Roman"/>
          <w:sz w:val="21"/>
          <w:szCs w:val="21"/>
          <w:lang w:val="en-AU"/>
        </w:rPr>
        <w:t xml:space="preserve"> Organisations of Persons wit</w:t>
      </w:r>
      <w:r w:rsidR="00AF68AB" w:rsidRPr="00AF68AB">
        <w:rPr>
          <w:rFonts w:eastAsia="Times New Roman"/>
          <w:sz w:val="21"/>
          <w:szCs w:val="21"/>
          <w:lang w:val="en-AU"/>
        </w:rPr>
        <w:t xml:space="preserve">h </w:t>
      </w:r>
      <w:r w:rsidR="002602ED" w:rsidRPr="00816F01">
        <w:rPr>
          <w:rFonts w:eastAsia="Times New Roman"/>
          <w:sz w:val="21"/>
          <w:szCs w:val="21"/>
        </w:rPr>
        <w:t>Disability</w:t>
      </w:r>
      <w:r w:rsidR="002602ED" w:rsidRPr="00AF68AB">
        <w:rPr>
          <w:rFonts w:eastAsia="Times New Roman"/>
          <w:sz w:val="21"/>
          <w:szCs w:val="21"/>
          <w:lang w:val="en-AU"/>
        </w:rPr>
        <w:t xml:space="preserve"> (OPDs)</w:t>
      </w:r>
      <w:r w:rsidR="00532C15" w:rsidRPr="00AF68AB">
        <w:rPr>
          <w:rFonts w:eastAsia="Times New Roman"/>
          <w:sz w:val="21"/>
          <w:szCs w:val="21"/>
          <w:lang w:val="en-AU"/>
        </w:rPr>
        <w:t>,</w:t>
      </w:r>
      <w:r w:rsidRPr="00AF68AB">
        <w:rPr>
          <w:rFonts w:eastAsia="Times New Roman"/>
          <w:sz w:val="21"/>
          <w:szCs w:val="21"/>
          <w:lang w:val="en-AU"/>
        </w:rPr>
        <w:t xml:space="preserve"> churches, informal groups) have improved institutional and </w:t>
      </w:r>
      <w:r w:rsidRPr="003A6E13">
        <w:rPr>
          <w:rFonts w:eastAsia="Times New Roman"/>
          <w:sz w:val="21"/>
          <w:szCs w:val="21"/>
          <w:lang w:val="en-AU"/>
        </w:rPr>
        <w:t>technical</w:t>
      </w:r>
      <w:r w:rsidRPr="00AF68AB">
        <w:rPr>
          <w:rFonts w:eastAsia="Times New Roman"/>
          <w:sz w:val="21"/>
          <w:szCs w:val="21"/>
          <w:lang w:val="en-AU"/>
        </w:rPr>
        <w:t xml:space="preserve"> capacity to </w:t>
      </w:r>
      <w:r w:rsidR="002E3346" w:rsidRPr="00AF68AB">
        <w:rPr>
          <w:rFonts w:eastAsia="Times New Roman"/>
          <w:sz w:val="21"/>
          <w:szCs w:val="21"/>
          <w:lang w:val="en-AU"/>
        </w:rPr>
        <w:t xml:space="preserve">fulfil their role in effective </w:t>
      </w:r>
      <w:r w:rsidR="009215EC">
        <w:rPr>
          <w:rFonts w:eastAsia="Times New Roman"/>
          <w:sz w:val="21"/>
          <w:szCs w:val="21"/>
          <w:lang w:val="en-AU"/>
        </w:rPr>
        <w:t>disaster preparedness</w:t>
      </w:r>
      <w:r w:rsidR="009215EC" w:rsidRPr="003A6E13">
        <w:rPr>
          <w:rFonts w:eastAsia="Times New Roman"/>
          <w:sz w:val="21"/>
          <w:szCs w:val="21"/>
          <w:lang w:val="en-AU"/>
        </w:rPr>
        <w:t xml:space="preserve"> and adaptation</w:t>
      </w:r>
      <w:r w:rsidRPr="00AF68AB">
        <w:rPr>
          <w:rFonts w:eastAsia="Times New Roman"/>
          <w:sz w:val="21"/>
          <w:szCs w:val="21"/>
          <w:lang w:val="en-AU"/>
        </w:rPr>
        <w:t>.</w:t>
      </w:r>
    </w:p>
    <w:p w14:paraId="4D2A53FB" w14:textId="74A6F5B9" w:rsidR="00151856" w:rsidRPr="003A6E13" w:rsidRDefault="009215EC" w:rsidP="0011591E">
      <w:pPr>
        <w:pStyle w:val="ListParagraph"/>
        <w:numPr>
          <w:ilvl w:val="1"/>
          <w:numId w:val="46"/>
        </w:numPr>
        <w:tabs>
          <w:tab w:val="left" w:pos="426"/>
        </w:tabs>
        <w:spacing w:before="60" w:afterLines="60" w:after="144" w:line="280" w:lineRule="exact"/>
        <w:ind w:left="1077" w:hanging="357"/>
        <w:contextualSpacing w:val="0"/>
        <w:rPr>
          <w:rFonts w:eastAsia="Times New Roman"/>
          <w:sz w:val="21"/>
          <w:szCs w:val="21"/>
        </w:rPr>
      </w:pPr>
      <w:bookmarkStart w:id="6" w:name="_Hlk95492118"/>
      <w:r w:rsidRPr="00816F01">
        <w:rPr>
          <w:rFonts w:eastAsia="Times New Roman"/>
          <w:sz w:val="21"/>
          <w:szCs w:val="21"/>
          <w:lang w:val="en-AU"/>
        </w:rPr>
        <w:t>National</w:t>
      </w:r>
      <w:r w:rsidRPr="009215EC">
        <w:rPr>
          <w:rFonts w:eastAsia="Times New Roman"/>
          <w:sz w:val="21"/>
          <w:szCs w:val="21"/>
          <w:lang w:val="en-AU"/>
        </w:rPr>
        <w:t xml:space="preserve"> and sub-national governments are </w:t>
      </w:r>
      <w:r w:rsidR="00756CC9">
        <w:rPr>
          <w:rFonts w:eastAsia="Times New Roman"/>
          <w:sz w:val="21"/>
          <w:szCs w:val="21"/>
          <w:lang w:val="en-AU"/>
        </w:rPr>
        <w:t>supported</w:t>
      </w:r>
      <w:r w:rsidRPr="009215EC">
        <w:rPr>
          <w:rFonts w:eastAsia="Times New Roman"/>
          <w:sz w:val="21"/>
          <w:szCs w:val="21"/>
          <w:lang w:val="en-AU"/>
        </w:rPr>
        <w:t xml:space="preserve"> to lead effective, </w:t>
      </w:r>
      <w:r w:rsidR="006E3D42">
        <w:rPr>
          <w:rFonts w:eastAsia="Times New Roman"/>
          <w:sz w:val="21"/>
          <w:szCs w:val="21"/>
          <w:lang w:val="en-AU"/>
        </w:rPr>
        <w:t xml:space="preserve">gender responsive, socially </w:t>
      </w:r>
      <w:r w:rsidR="0043380E" w:rsidRPr="009215EC">
        <w:rPr>
          <w:rFonts w:eastAsia="Times New Roman"/>
          <w:sz w:val="21"/>
          <w:szCs w:val="21"/>
          <w:lang w:val="en-AU"/>
        </w:rPr>
        <w:t>inclusive,</w:t>
      </w:r>
      <w:r w:rsidRPr="009215EC">
        <w:rPr>
          <w:rFonts w:eastAsia="Times New Roman"/>
          <w:sz w:val="21"/>
          <w:szCs w:val="21"/>
          <w:lang w:val="en-AU"/>
        </w:rPr>
        <w:t xml:space="preserve"> and</w:t>
      </w:r>
      <w:r w:rsidR="006E3D42">
        <w:rPr>
          <w:rFonts w:eastAsia="Times New Roman"/>
          <w:sz w:val="21"/>
          <w:szCs w:val="21"/>
          <w:lang w:val="en-AU"/>
        </w:rPr>
        <w:t xml:space="preserve"> better</w:t>
      </w:r>
      <w:r w:rsidRPr="009215EC">
        <w:rPr>
          <w:rFonts w:eastAsia="Times New Roman"/>
          <w:sz w:val="21"/>
          <w:szCs w:val="21"/>
          <w:lang w:val="en-AU"/>
        </w:rPr>
        <w:t xml:space="preserve"> coordinated disaster preparedness, </w:t>
      </w:r>
      <w:r w:rsidR="0043380E" w:rsidRPr="009215EC">
        <w:rPr>
          <w:rFonts w:eastAsia="Times New Roman"/>
          <w:sz w:val="21"/>
          <w:szCs w:val="21"/>
          <w:lang w:val="en-AU"/>
        </w:rPr>
        <w:t>adaptation,</w:t>
      </w:r>
      <w:r w:rsidRPr="009215EC">
        <w:rPr>
          <w:rFonts w:eastAsia="Times New Roman"/>
          <w:sz w:val="21"/>
          <w:szCs w:val="21"/>
          <w:lang w:val="en-AU"/>
        </w:rPr>
        <w:t xml:space="preserve"> and response activities</w:t>
      </w:r>
      <w:bookmarkEnd w:id="6"/>
      <w:r w:rsidRPr="009215EC">
        <w:rPr>
          <w:rFonts w:eastAsia="Times New Roman"/>
          <w:sz w:val="21"/>
          <w:szCs w:val="21"/>
          <w:lang w:val="en-AU"/>
        </w:rPr>
        <w:t>.</w:t>
      </w:r>
    </w:p>
    <w:bookmarkEnd w:id="5"/>
    <w:p w14:paraId="3C6F7F46" w14:textId="4CED13D0" w:rsidR="00151856" w:rsidRPr="003E2C60" w:rsidRDefault="00D94B0E" w:rsidP="003E2C60">
      <w:pPr>
        <w:pStyle w:val="ListParagraph"/>
        <w:tabs>
          <w:tab w:val="left" w:pos="0"/>
        </w:tabs>
        <w:spacing w:before="200" w:after="0" w:line="280" w:lineRule="exact"/>
        <w:ind w:left="0"/>
        <w:contextualSpacing w:val="0"/>
        <w:rPr>
          <w:rFonts w:eastAsia="Times New Roman"/>
          <w:b/>
          <w:bCs/>
          <w:sz w:val="21"/>
          <w:u w:val="single"/>
        </w:rPr>
      </w:pPr>
      <w:r>
        <w:rPr>
          <w:rFonts w:eastAsia="Times New Roman" w:cs="Times New Roman"/>
          <w:b/>
          <w:bCs/>
          <w:sz w:val="21"/>
          <w:szCs w:val="24"/>
          <w:u w:val="single"/>
          <w:lang w:val="en-AU"/>
        </w:rPr>
        <w:t xml:space="preserve">Component and EOPO 2: </w:t>
      </w:r>
      <w:r w:rsidR="00530616">
        <w:rPr>
          <w:rFonts w:eastAsia="Times New Roman" w:cs="Times New Roman"/>
          <w:b/>
          <w:bCs/>
          <w:sz w:val="21"/>
          <w:szCs w:val="24"/>
          <w:u w:val="single"/>
          <w:lang w:val="en-AU"/>
        </w:rPr>
        <w:t xml:space="preserve">Rapid Onset and Protracted Crisis </w:t>
      </w:r>
      <w:r w:rsidR="00151856" w:rsidRPr="003E2C60">
        <w:rPr>
          <w:rFonts w:eastAsia="Times New Roman" w:cs="Times New Roman"/>
          <w:b/>
          <w:bCs/>
          <w:sz w:val="21"/>
          <w:szCs w:val="24"/>
          <w:u w:val="single"/>
          <w:lang w:val="en-AU"/>
        </w:rPr>
        <w:t>Response</w:t>
      </w:r>
    </w:p>
    <w:p w14:paraId="1C7280DD" w14:textId="60401537" w:rsidR="00151856" w:rsidRPr="003E2C60" w:rsidRDefault="00E80FC7" w:rsidP="0011591E">
      <w:pPr>
        <w:pStyle w:val="ListParagraph"/>
        <w:numPr>
          <w:ilvl w:val="0"/>
          <w:numId w:val="45"/>
        </w:numPr>
        <w:tabs>
          <w:tab w:val="left" w:pos="426"/>
        </w:tabs>
        <w:spacing w:before="60" w:afterLines="60" w:after="144" w:line="280" w:lineRule="exact"/>
        <w:rPr>
          <w:rFonts w:eastAsia="Times New Roman"/>
          <w:sz w:val="21"/>
        </w:rPr>
      </w:pPr>
      <w:r w:rsidRPr="00B47A57">
        <w:rPr>
          <w:rFonts w:eastAsia="Times New Roman"/>
          <w:sz w:val="21"/>
          <w:szCs w:val="21"/>
        </w:rPr>
        <w:t>Affected</w:t>
      </w:r>
      <w:r w:rsidR="005C6115" w:rsidRPr="005C6115">
        <w:rPr>
          <w:rFonts w:eastAsia="Times New Roman"/>
          <w:sz w:val="21"/>
        </w:rPr>
        <w:t xml:space="preserve"> </w:t>
      </w:r>
      <w:r w:rsidR="005C6115" w:rsidRPr="00B47A57">
        <w:rPr>
          <w:rFonts w:eastAsia="Times New Roman"/>
          <w:sz w:val="21"/>
          <w:szCs w:val="21"/>
        </w:rPr>
        <w:t>populations</w:t>
      </w:r>
      <w:r w:rsidR="005C6115" w:rsidRPr="005C6115">
        <w:rPr>
          <w:rFonts w:eastAsia="Times New Roman"/>
          <w:sz w:val="21"/>
        </w:rPr>
        <w:t>, particularly women</w:t>
      </w:r>
      <w:r w:rsidR="00B66820">
        <w:rPr>
          <w:rFonts w:eastAsia="Times New Roman"/>
          <w:sz w:val="21"/>
        </w:rPr>
        <w:t xml:space="preserve">, people </w:t>
      </w:r>
      <w:r w:rsidR="00EC6E33">
        <w:rPr>
          <w:rFonts w:eastAsia="Times New Roman"/>
          <w:sz w:val="21"/>
        </w:rPr>
        <w:t xml:space="preserve">living </w:t>
      </w:r>
      <w:r w:rsidR="00B66820">
        <w:rPr>
          <w:rFonts w:eastAsia="Times New Roman"/>
          <w:sz w:val="21"/>
        </w:rPr>
        <w:t>with a disability</w:t>
      </w:r>
      <w:r w:rsidR="005C6115" w:rsidRPr="005C6115">
        <w:rPr>
          <w:rFonts w:eastAsia="Times New Roman"/>
          <w:sz w:val="21"/>
        </w:rPr>
        <w:t xml:space="preserve"> and other </w:t>
      </w:r>
      <w:r w:rsidR="00096107">
        <w:rPr>
          <w:rFonts w:eastAsia="Times New Roman"/>
          <w:sz w:val="21"/>
        </w:rPr>
        <w:t>at-risk</w:t>
      </w:r>
      <w:r w:rsidR="005C6115" w:rsidRPr="005C6115">
        <w:rPr>
          <w:rFonts w:eastAsia="Times New Roman"/>
          <w:sz w:val="21"/>
        </w:rPr>
        <w:t xml:space="preserve"> groups, </w:t>
      </w:r>
      <w:r w:rsidR="00B055EE">
        <w:rPr>
          <w:rFonts w:eastAsia="Times New Roman"/>
          <w:sz w:val="21"/>
        </w:rPr>
        <w:t>benefit from</w:t>
      </w:r>
      <w:r w:rsidR="005C6115" w:rsidRPr="005C6115">
        <w:rPr>
          <w:rFonts w:eastAsia="Times New Roman"/>
          <w:sz w:val="21"/>
        </w:rPr>
        <w:t xml:space="preserve"> timely, high </w:t>
      </w:r>
      <w:r w:rsidR="005C6115" w:rsidRPr="00B47A57">
        <w:rPr>
          <w:rFonts w:eastAsia="Times New Roman"/>
          <w:sz w:val="21"/>
          <w:szCs w:val="21"/>
        </w:rPr>
        <w:t>quality</w:t>
      </w:r>
      <w:r w:rsidR="005C6115" w:rsidRPr="005C6115">
        <w:rPr>
          <w:rFonts w:eastAsia="Times New Roman"/>
          <w:sz w:val="21"/>
        </w:rPr>
        <w:t xml:space="preserve"> and locally led humanitarian assistance </w:t>
      </w:r>
      <w:r w:rsidR="002F0DDA">
        <w:rPr>
          <w:rFonts w:eastAsia="Times New Roman"/>
          <w:sz w:val="21"/>
        </w:rPr>
        <w:t xml:space="preserve">that meets priority needs </w:t>
      </w:r>
      <w:r w:rsidR="005C6115" w:rsidRPr="005C6115">
        <w:rPr>
          <w:rFonts w:eastAsia="Times New Roman"/>
          <w:sz w:val="21"/>
        </w:rPr>
        <w:t>appropriate to the context</w:t>
      </w:r>
      <w:r w:rsidR="00151856" w:rsidRPr="003E2C60">
        <w:rPr>
          <w:rFonts w:eastAsia="Times New Roman"/>
          <w:sz w:val="21"/>
        </w:rPr>
        <w:t>.</w:t>
      </w:r>
    </w:p>
    <w:p w14:paraId="6FC66F5B" w14:textId="77777777" w:rsidR="00151856" w:rsidRPr="003E2C60" w:rsidRDefault="00151856" w:rsidP="003E2C60">
      <w:pPr>
        <w:pStyle w:val="ListParagraph"/>
        <w:tabs>
          <w:tab w:val="left" w:pos="426"/>
        </w:tabs>
        <w:spacing w:before="200" w:after="0" w:line="280" w:lineRule="exact"/>
        <w:ind w:left="426"/>
        <w:contextualSpacing w:val="0"/>
        <w:rPr>
          <w:rFonts w:eastAsia="Times New Roman"/>
          <w:i/>
          <w:iCs/>
          <w:sz w:val="21"/>
        </w:rPr>
      </w:pPr>
      <w:r w:rsidRPr="003E2C60">
        <w:rPr>
          <w:rFonts w:eastAsia="Times New Roman" w:cs="Times New Roman"/>
          <w:i/>
          <w:iCs/>
          <w:sz w:val="21"/>
          <w:szCs w:val="24"/>
          <w:lang w:val="en-AU"/>
        </w:rPr>
        <w:t>Intermediate</w:t>
      </w:r>
      <w:r w:rsidRPr="003E2C60">
        <w:rPr>
          <w:rFonts w:eastAsia="Times New Roman"/>
          <w:i/>
          <w:iCs/>
          <w:sz w:val="21"/>
        </w:rPr>
        <w:t xml:space="preserve"> Outcomes:</w:t>
      </w:r>
    </w:p>
    <w:p w14:paraId="4D794022" w14:textId="41C0A89F" w:rsidR="00054F0F" w:rsidRPr="00816F01" w:rsidRDefault="00054F0F" w:rsidP="0011591E">
      <w:pPr>
        <w:pStyle w:val="ListParagraph"/>
        <w:numPr>
          <w:ilvl w:val="1"/>
          <w:numId w:val="47"/>
        </w:numPr>
        <w:tabs>
          <w:tab w:val="left" w:pos="426"/>
        </w:tabs>
        <w:spacing w:before="60" w:afterLines="60" w:after="144" w:line="280" w:lineRule="exact"/>
        <w:ind w:left="1077" w:hanging="357"/>
        <w:contextualSpacing w:val="0"/>
        <w:rPr>
          <w:rFonts w:eastAsia="Times New Roman"/>
          <w:sz w:val="21"/>
          <w:szCs w:val="21"/>
        </w:rPr>
      </w:pPr>
      <w:r w:rsidRPr="00054F0F">
        <w:rPr>
          <w:rFonts w:eastAsia="Times New Roman"/>
          <w:sz w:val="21"/>
        </w:rPr>
        <w:t xml:space="preserve">AHP </w:t>
      </w:r>
      <w:r w:rsidR="00CC57D4" w:rsidRPr="00AF68AB">
        <w:rPr>
          <w:rFonts w:eastAsia="Times New Roman"/>
          <w:sz w:val="21"/>
          <w:szCs w:val="21"/>
          <w:lang w:val="en-AU"/>
        </w:rPr>
        <w:t xml:space="preserve">NGO </w:t>
      </w:r>
      <w:r w:rsidRPr="00AF68AB">
        <w:rPr>
          <w:rFonts w:eastAsia="Times New Roman"/>
          <w:sz w:val="21"/>
          <w:szCs w:val="21"/>
          <w:lang w:val="en-AU"/>
        </w:rPr>
        <w:t xml:space="preserve">partners </w:t>
      </w:r>
      <w:r w:rsidR="00B055EE" w:rsidRPr="00AF68AB">
        <w:rPr>
          <w:rFonts w:eastAsia="Times New Roman"/>
          <w:sz w:val="21"/>
          <w:szCs w:val="21"/>
          <w:lang w:val="en-AU"/>
        </w:rPr>
        <w:t>deliver</w:t>
      </w:r>
      <w:r w:rsidRPr="00AF68AB">
        <w:rPr>
          <w:rFonts w:eastAsia="Times New Roman"/>
          <w:sz w:val="21"/>
          <w:szCs w:val="21"/>
          <w:lang w:val="en-AU"/>
        </w:rPr>
        <w:t xml:space="preserve"> timely, well-coordinated and integrated responses to rapid onset </w:t>
      </w:r>
      <w:r w:rsidRPr="00816F01">
        <w:rPr>
          <w:rFonts w:eastAsia="Times New Roman"/>
          <w:sz w:val="21"/>
          <w:szCs w:val="21"/>
        </w:rPr>
        <w:t>disasters</w:t>
      </w:r>
      <w:r w:rsidRPr="00AF68AB">
        <w:rPr>
          <w:rFonts w:eastAsia="Times New Roman"/>
          <w:sz w:val="21"/>
          <w:szCs w:val="21"/>
          <w:lang w:val="en-AU"/>
        </w:rPr>
        <w:t xml:space="preserve"> that </w:t>
      </w:r>
      <w:r w:rsidRPr="00A7709B">
        <w:rPr>
          <w:rFonts w:eastAsia="Times New Roman"/>
          <w:sz w:val="21"/>
          <w:szCs w:val="21"/>
          <w:lang w:val="en-AU"/>
        </w:rPr>
        <w:t>promote</w:t>
      </w:r>
      <w:r w:rsidRPr="00AF68AB">
        <w:rPr>
          <w:rFonts w:eastAsia="Times New Roman"/>
          <w:sz w:val="21"/>
          <w:szCs w:val="21"/>
          <w:lang w:val="en-AU"/>
        </w:rPr>
        <w:t xml:space="preserve"> </w:t>
      </w:r>
      <w:r w:rsidRPr="00816F01">
        <w:rPr>
          <w:rFonts w:eastAsia="Times New Roman"/>
          <w:sz w:val="21"/>
          <w:szCs w:val="21"/>
        </w:rPr>
        <w:t xml:space="preserve">early recovery and resilience to future disaster. </w:t>
      </w:r>
    </w:p>
    <w:p w14:paraId="3F9E2A66" w14:textId="4286EF8E" w:rsidR="00054F0F" w:rsidRPr="00816F01" w:rsidRDefault="00054F0F" w:rsidP="0011591E">
      <w:pPr>
        <w:pStyle w:val="ListParagraph"/>
        <w:numPr>
          <w:ilvl w:val="1"/>
          <w:numId w:val="47"/>
        </w:numPr>
        <w:tabs>
          <w:tab w:val="left" w:pos="426"/>
        </w:tabs>
        <w:spacing w:before="60" w:afterLines="60" w:after="144" w:line="280" w:lineRule="exact"/>
        <w:ind w:left="1077" w:hanging="357"/>
        <w:contextualSpacing w:val="0"/>
        <w:rPr>
          <w:rFonts w:eastAsia="Times New Roman"/>
          <w:sz w:val="21"/>
          <w:szCs w:val="21"/>
        </w:rPr>
      </w:pPr>
      <w:r w:rsidRPr="00816F01">
        <w:rPr>
          <w:rFonts w:eastAsia="Times New Roman"/>
          <w:sz w:val="21"/>
          <w:szCs w:val="21"/>
        </w:rPr>
        <w:t xml:space="preserve">AHP </w:t>
      </w:r>
      <w:r w:rsidR="00CC57D4" w:rsidRPr="00816F01">
        <w:rPr>
          <w:rFonts w:eastAsia="Times New Roman"/>
          <w:sz w:val="21"/>
          <w:szCs w:val="21"/>
        </w:rPr>
        <w:t xml:space="preserve">NGO </w:t>
      </w:r>
      <w:r w:rsidRPr="00816F01">
        <w:rPr>
          <w:rFonts w:eastAsia="Times New Roman"/>
          <w:sz w:val="21"/>
          <w:szCs w:val="21"/>
        </w:rPr>
        <w:t xml:space="preserve">partners </w:t>
      </w:r>
      <w:r w:rsidR="00B055EE" w:rsidRPr="00816F01">
        <w:rPr>
          <w:rFonts w:eastAsia="Times New Roman"/>
          <w:sz w:val="21"/>
          <w:szCs w:val="21"/>
        </w:rPr>
        <w:t>deliver</w:t>
      </w:r>
      <w:r w:rsidRPr="00816F01">
        <w:rPr>
          <w:rFonts w:eastAsia="Times New Roman"/>
          <w:sz w:val="21"/>
          <w:szCs w:val="21"/>
        </w:rPr>
        <w:t xml:space="preserve"> responses to protracted crises with context-specific design and management arrangements</w:t>
      </w:r>
      <w:r w:rsidR="00B91A4C" w:rsidRPr="00816F01">
        <w:rPr>
          <w:rFonts w:eastAsia="Times New Roman"/>
          <w:sz w:val="21"/>
          <w:szCs w:val="21"/>
        </w:rPr>
        <w:t xml:space="preserve"> that </w:t>
      </w:r>
      <w:r w:rsidRPr="00816F01">
        <w:rPr>
          <w:rFonts w:eastAsia="Times New Roman"/>
          <w:sz w:val="21"/>
          <w:szCs w:val="21"/>
        </w:rPr>
        <w:t xml:space="preserve">promote sustainability. </w:t>
      </w:r>
    </w:p>
    <w:p w14:paraId="41049927" w14:textId="753C4688" w:rsidR="00054F0F" w:rsidRPr="00816F01" w:rsidRDefault="00054F0F" w:rsidP="0011591E">
      <w:pPr>
        <w:pStyle w:val="ListParagraph"/>
        <w:numPr>
          <w:ilvl w:val="1"/>
          <w:numId w:val="47"/>
        </w:numPr>
        <w:tabs>
          <w:tab w:val="left" w:pos="426"/>
        </w:tabs>
        <w:spacing w:before="60" w:afterLines="60" w:after="144" w:line="280" w:lineRule="exact"/>
        <w:ind w:left="1077" w:hanging="357"/>
        <w:contextualSpacing w:val="0"/>
        <w:rPr>
          <w:rFonts w:eastAsia="Times New Roman"/>
          <w:sz w:val="21"/>
          <w:szCs w:val="21"/>
        </w:rPr>
      </w:pPr>
      <w:r w:rsidRPr="00816F01">
        <w:rPr>
          <w:rFonts w:eastAsia="Times New Roman"/>
          <w:sz w:val="21"/>
          <w:szCs w:val="21"/>
        </w:rPr>
        <w:t xml:space="preserve">AHP </w:t>
      </w:r>
      <w:r w:rsidR="00CC57D4" w:rsidRPr="00816F01">
        <w:rPr>
          <w:rFonts w:eastAsia="Times New Roman"/>
          <w:sz w:val="21"/>
          <w:szCs w:val="21"/>
        </w:rPr>
        <w:t xml:space="preserve">NGO </w:t>
      </w:r>
      <w:r w:rsidRPr="00816F01">
        <w:rPr>
          <w:rFonts w:eastAsia="Times New Roman"/>
          <w:sz w:val="21"/>
          <w:szCs w:val="21"/>
        </w:rPr>
        <w:t xml:space="preserve">partner responses in Disaster READY countries </w:t>
      </w:r>
      <w:r w:rsidR="006E3D42" w:rsidRPr="00816F01">
        <w:rPr>
          <w:rFonts w:eastAsia="Times New Roman"/>
          <w:sz w:val="21"/>
          <w:szCs w:val="21"/>
        </w:rPr>
        <w:t>demonstrate</w:t>
      </w:r>
      <w:r w:rsidRPr="00816F01">
        <w:rPr>
          <w:rFonts w:eastAsia="Times New Roman"/>
          <w:sz w:val="21"/>
          <w:szCs w:val="21"/>
        </w:rPr>
        <w:t xml:space="preserve"> </w:t>
      </w:r>
      <w:r w:rsidR="00B055EE" w:rsidRPr="00816F01">
        <w:rPr>
          <w:rFonts w:eastAsia="Times New Roman"/>
          <w:sz w:val="21"/>
          <w:szCs w:val="21"/>
        </w:rPr>
        <w:t>increased</w:t>
      </w:r>
      <w:r w:rsidRPr="00816F01">
        <w:rPr>
          <w:rFonts w:eastAsia="Times New Roman"/>
          <w:sz w:val="21"/>
          <w:szCs w:val="21"/>
        </w:rPr>
        <w:t xml:space="preserve"> </w:t>
      </w:r>
      <w:r w:rsidR="00EB36B9" w:rsidRPr="00816F01">
        <w:rPr>
          <w:rFonts w:eastAsia="Times New Roman"/>
          <w:sz w:val="21"/>
          <w:szCs w:val="21"/>
        </w:rPr>
        <w:t>local</w:t>
      </w:r>
      <w:r w:rsidRPr="00816F01">
        <w:rPr>
          <w:rFonts w:eastAsia="Times New Roman"/>
          <w:sz w:val="21"/>
          <w:szCs w:val="21"/>
        </w:rPr>
        <w:t xml:space="preserve"> leadership, </w:t>
      </w:r>
      <w:r w:rsidR="0043380E" w:rsidRPr="00816F01">
        <w:rPr>
          <w:rFonts w:eastAsia="Times New Roman"/>
          <w:sz w:val="21"/>
          <w:szCs w:val="21"/>
        </w:rPr>
        <w:t>coordination,</w:t>
      </w:r>
      <w:r w:rsidRPr="00816F01">
        <w:rPr>
          <w:rFonts w:eastAsia="Times New Roman"/>
          <w:sz w:val="21"/>
          <w:szCs w:val="21"/>
        </w:rPr>
        <w:t xml:space="preserve"> and capacity.</w:t>
      </w:r>
    </w:p>
    <w:p w14:paraId="4AA066C7" w14:textId="1B0633FC" w:rsidR="00151856" w:rsidRPr="003E2C60" w:rsidRDefault="00D94B0E" w:rsidP="003E2C60">
      <w:pPr>
        <w:pStyle w:val="ListParagraph"/>
        <w:tabs>
          <w:tab w:val="left" w:pos="0"/>
        </w:tabs>
        <w:spacing w:before="200" w:after="0" w:line="280" w:lineRule="exact"/>
        <w:ind w:left="0"/>
        <w:contextualSpacing w:val="0"/>
        <w:rPr>
          <w:rFonts w:eastAsia="Times New Roman" w:cs="Times New Roman"/>
          <w:b/>
          <w:bCs/>
          <w:sz w:val="21"/>
          <w:szCs w:val="24"/>
          <w:u w:val="single"/>
          <w:lang w:val="en-AU"/>
        </w:rPr>
      </w:pPr>
      <w:r>
        <w:rPr>
          <w:rFonts w:eastAsia="Times New Roman" w:cs="Times New Roman"/>
          <w:b/>
          <w:bCs/>
          <w:sz w:val="21"/>
          <w:szCs w:val="24"/>
          <w:u w:val="single"/>
          <w:lang w:val="en-AU"/>
        </w:rPr>
        <w:t xml:space="preserve">Component and EOPO 3: </w:t>
      </w:r>
      <w:r w:rsidR="00151856" w:rsidRPr="003E2C60">
        <w:rPr>
          <w:rFonts w:eastAsia="Times New Roman" w:cs="Times New Roman"/>
          <w:b/>
          <w:bCs/>
          <w:sz w:val="21"/>
          <w:szCs w:val="24"/>
          <w:u w:val="single"/>
          <w:lang w:val="en-AU"/>
        </w:rPr>
        <w:t>Partnership learning and practice</w:t>
      </w:r>
    </w:p>
    <w:p w14:paraId="0693C8AC" w14:textId="15845D9C" w:rsidR="00151856" w:rsidRPr="003E2C60" w:rsidRDefault="00151856" w:rsidP="0011591E">
      <w:pPr>
        <w:pStyle w:val="ListParagraph"/>
        <w:numPr>
          <w:ilvl w:val="0"/>
          <w:numId w:val="45"/>
        </w:numPr>
        <w:tabs>
          <w:tab w:val="left" w:pos="426"/>
        </w:tabs>
        <w:spacing w:before="60" w:afterLines="60" w:after="144" w:line="280" w:lineRule="exact"/>
        <w:rPr>
          <w:rFonts w:eastAsia="Times New Roman"/>
          <w:sz w:val="21"/>
          <w:lang w:val="en-AU"/>
        </w:rPr>
      </w:pPr>
      <w:r w:rsidRPr="003E2C60">
        <w:rPr>
          <w:rFonts w:eastAsia="Times New Roman"/>
          <w:sz w:val="21"/>
          <w:lang w:val="en-AU"/>
        </w:rPr>
        <w:t xml:space="preserve">AHP Partners and other humanitarian stakeholders </w:t>
      </w:r>
      <w:r w:rsidR="00875E0C" w:rsidRPr="00505260">
        <w:rPr>
          <w:rFonts w:eastAsia="Times New Roman"/>
          <w:sz w:val="21"/>
          <w:lang w:val="en-AU"/>
        </w:rPr>
        <w:t>in Australia and the region</w:t>
      </w:r>
      <w:r w:rsidR="00875E0C" w:rsidRPr="00D729EC">
        <w:rPr>
          <w:rFonts w:eastAsia="Times New Roman"/>
          <w:sz w:val="21"/>
          <w:lang w:val="en-AU"/>
        </w:rPr>
        <w:t xml:space="preserve"> </w:t>
      </w:r>
      <w:r w:rsidRPr="003E2C60">
        <w:rPr>
          <w:rFonts w:eastAsia="Times New Roman"/>
          <w:sz w:val="21"/>
          <w:lang w:val="en-AU"/>
        </w:rPr>
        <w:t xml:space="preserve">strengthen policy and practice </w:t>
      </w:r>
      <w:r w:rsidRPr="00816F01">
        <w:rPr>
          <w:rFonts w:eastAsia="Times New Roman"/>
          <w:sz w:val="21"/>
          <w:szCs w:val="21"/>
        </w:rPr>
        <w:t>through</w:t>
      </w:r>
      <w:r w:rsidRPr="003E2C60">
        <w:rPr>
          <w:rFonts w:eastAsia="Times New Roman"/>
          <w:sz w:val="21"/>
          <w:lang w:val="en-AU"/>
        </w:rPr>
        <w:t xml:space="preserve"> </w:t>
      </w:r>
      <w:r w:rsidRPr="00B47A57">
        <w:rPr>
          <w:rFonts w:eastAsia="Times New Roman"/>
          <w:sz w:val="21"/>
          <w:szCs w:val="21"/>
        </w:rPr>
        <w:t>collaboration</w:t>
      </w:r>
      <w:r w:rsidRPr="003E2C60">
        <w:rPr>
          <w:rFonts w:eastAsia="Times New Roman"/>
          <w:sz w:val="21"/>
          <w:lang w:val="en-AU"/>
        </w:rPr>
        <w:t xml:space="preserve"> and lessons learnt.</w:t>
      </w:r>
    </w:p>
    <w:p w14:paraId="6E8622EF" w14:textId="77777777" w:rsidR="00151856" w:rsidRPr="003E2C60" w:rsidRDefault="00151856" w:rsidP="003E2C60">
      <w:pPr>
        <w:pStyle w:val="ListParagraph"/>
        <w:tabs>
          <w:tab w:val="left" w:pos="426"/>
        </w:tabs>
        <w:spacing w:before="200" w:after="0" w:line="280" w:lineRule="exact"/>
        <w:ind w:left="426"/>
        <w:contextualSpacing w:val="0"/>
        <w:rPr>
          <w:rFonts w:eastAsia="Times New Roman"/>
          <w:i/>
          <w:iCs/>
          <w:sz w:val="21"/>
          <w:lang w:val="en-AU"/>
        </w:rPr>
      </w:pPr>
      <w:r w:rsidRPr="003E2C60">
        <w:rPr>
          <w:rFonts w:eastAsia="Times New Roman" w:cs="Times New Roman"/>
          <w:i/>
          <w:iCs/>
          <w:sz w:val="21"/>
          <w:szCs w:val="24"/>
          <w:lang w:val="en-AU"/>
        </w:rPr>
        <w:t>Intermediate</w:t>
      </w:r>
      <w:r w:rsidRPr="003E2C60">
        <w:rPr>
          <w:rFonts w:eastAsia="Times New Roman"/>
          <w:i/>
          <w:iCs/>
          <w:sz w:val="21"/>
          <w:lang w:val="en-AU"/>
        </w:rPr>
        <w:t xml:space="preserve"> Outcomes:</w:t>
      </w:r>
    </w:p>
    <w:p w14:paraId="2AF70A5C" w14:textId="2EB707A2" w:rsidR="00151856" w:rsidRPr="00816F01" w:rsidRDefault="00151856" w:rsidP="0011591E">
      <w:pPr>
        <w:pStyle w:val="ListParagraph"/>
        <w:numPr>
          <w:ilvl w:val="1"/>
          <w:numId w:val="48"/>
        </w:numPr>
        <w:tabs>
          <w:tab w:val="left" w:pos="426"/>
        </w:tabs>
        <w:spacing w:before="60" w:afterLines="60" w:after="144" w:line="280" w:lineRule="exact"/>
        <w:ind w:left="1077" w:hanging="357"/>
        <w:contextualSpacing w:val="0"/>
        <w:rPr>
          <w:rFonts w:eastAsia="Times New Roman"/>
          <w:sz w:val="21"/>
          <w:szCs w:val="21"/>
        </w:rPr>
      </w:pPr>
      <w:r w:rsidRPr="003E2C60">
        <w:rPr>
          <w:rFonts w:eastAsia="Times New Roman"/>
          <w:sz w:val="21"/>
        </w:rPr>
        <w:t>AHP</w:t>
      </w:r>
      <w:r w:rsidR="00722AEE">
        <w:rPr>
          <w:rFonts w:eastAsia="Times New Roman"/>
          <w:sz w:val="21"/>
        </w:rPr>
        <w:t xml:space="preserve"> </w:t>
      </w:r>
      <w:r w:rsidR="00722AEE" w:rsidRPr="00816F01">
        <w:rPr>
          <w:rFonts w:eastAsia="Times New Roman"/>
          <w:sz w:val="21"/>
          <w:szCs w:val="21"/>
        </w:rPr>
        <w:t>NGO</w:t>
      </w:r>
      <w:r w:rsidRPr="003E2C60">
        <w:rPr>
          <w:rFonts w:eastAsia="Times New Roman"/>
          <w:sz w:val="21"/>
        </w:rPr>
        <w:t xml:space="preserve"> </w:t>
      </w:r>
      <w:r w:rsidRPr="00816F01">
        <w:rPr>
          <w:rFonts w:eastAsia="Times New Roman"/>
          <w:sz w:val="21"/>
          <w:szCs w:val="21"/>
        </w:rPr>
        <w:t xml:space="preserve">Partners </w:t>
      </w:r>
      <w:r w:rsidR="00BF783C" w:rsidRPr="00816F01">
        <w:rPr>
          <w:rFonts w:eastAsia="Times New Roman"/>
          <w:sz w:val="21"/>
          <w:szCs w:val="21"/>
        </w:rPr>
        <w:t>learn and adapt</w:t>
      </w:r>
      <w:r w:rsidRPr="00816F01">
        <w:rPr>
          <w:rFonts w:eastAsia="Times New Roman"/>
          <w:sz w:val="21"/>
          <w:szCs w:val="21"/>
        </w:rPr>
        <w:t xml:space="preserve"> through reflection, monitoring, </w:t>
      </w:r>
      <w:r w:rsidR="0043380E" w:rsidRPr="00816F01">
        <w:rPr>
          <w:rFonts w:eastAsia="Times New Roman"/>
          <w:sz w:val="21"/>
          <w:szCs w:val="21"/>
        </w:rPr>
        <w:t>evaluation,</w:t>
      </w:r>
      <w:r w:rsidRPr="00816F01">
        <w:rPr>
          <w:rFonts w:eastAsia="Times New Roman"/>
          <w:sz w:val="21"/>
          <w:szCs w:val="21"/>
        </w:rPr>
        <w:t xml:space="preserve"> </w:t>
      </w:r>
      <w:r w:rsidR="009D33DB" w:rsidRPr="00816F01">
        <w:rPr>
          <w:rFonts w:eastAsia="Times New Roman"/>
          <w:sz w:val="21"/>
          <w:szCs w:val="21"/>
        </w:rPr>
        <w:t xml:space="preserve">and learning (MEL) </w:t>
      </w:r>
      <w:r w:rsidRPr="00816F01">
        <w:rPr>
          <w:rFonts w:eastAsia="Times New Roman"/>
          <w:sz w:val="21"/>
          <w:szCs w:val="21"/>
        </w:rPr>
        <w:t xml:space="preserve">and research. </w:t>
      </w:r>
    </w:p>
    <w:p w14:paraId="625535AD" w14:textId="34CF8C6C" w:rsidR="00151856" w:rsidRPr="00816F01" w:rsidRDefault="00BF783C" w:rsidP="0011591E">
      <w:pPr>
        <w:pStyle w:val="ListParagraph"/>
        <w:numPr>
          <w:ilvl w:val="1"/>
          <w:numId w:val="48"/>
        </w:numPr>
        <w:tabs>
          <w:tab w:val="left" w:pos="426"/>
        </w:tabs>
        <w:spacing w:before="60" w:afterLines="60" w:after="144" w:line="280" w:lineRule="exact"/>
        <w:ind w:left="1077" w:hanging="357"/>
        <w:contextualSpacing w:val="0"/>
        <w:rPr>
          <w:rFonts w:eastAsia="Times New Roman"/>
          <w:sz w:val="21"/>
          <w:szCs w:val="21"/>
        </w:rPr>
      </w:pPr>
      <w:r w:rsidRPr="00816F01">
        <w:rPr>
          <w:rFonts w:eastAsia="Times New Roman"/>
          <w:sz w:val="21"/>
          <w:szCs w:val="21"/>
        </w:rPr>
        <w:t>AHP NGO Partners enhance p</w:t>
      </w:r>
      <w:r w:rsidR="00151856" w:rsidRPr="00816F01">
        <w:rPr>
          <w:rFonts w:eastAsia="Times New Roman"/>
          <w:sz w:val="21"/>
          <w:szCs w:val="21"/>
        </w:rPr>
        <w:t xml:space="preserve">rogram quality through joint activity in key cross-cutting areas, including localisation, accountability to affected populations, </w:t>
      </w:r>
      <w:r w:rsidR="00065D57" w:rsidRPr="00816F01">
        <w:rPr>
          <w:rFonts w:eastAsia="Times New Roman"/>
          <w:sz w:val="21"/>
          <w:szCs w:val="21"/>
        </w:rPr>
        <w:t xml:space="preserve">and </w:t>
      </w:r>
      <w:r w:rsidR="00F717BD" w:rsidRPr="00816F01">
        <w:rPr>
          <w:rFonts w:eastAsia="Times New Roman"/>
          <w:sz w:val="21"/>
          <w:szCs w:val="21"/>
        </w:rPr>
        <w:t>GEDSI</w:t>
      </w:r>
      <w:r w:rsidR="00151856" w:rsidRPr="00816F01">
        <w:rPr>
          <w:rFonts w:eastAsia="Times New Roman"/>
          <w:sz w:val="21"/>
          <w:szCs w:val="21"/>
        </w:rPr>
        <w:t>.</w:t>
      </w:r>
    </w:p>
    <w:p w14:paraId="79F907E9" w14:textId="194AE3CD" w:rsidR="00151856" w:rsidRPr="00816F01" w:rsidRDefault="00151856" w:rsidP="0011591E">
      <w:pPr>
        <w:pStyle w:val="ListParagraph"/>
        <w:numPr>
          <w:ilvl w:val="1"/>
          <w:numId w:val="48"/>
        </w:numPr>
        <w:tabs>
          <w:tab w:val="left" w:pos="426"/>
        </w:tabs>
        <w:spacing w:before="60" w:afterLines="60" w:after="144" w:line="280" w:lineRule="exact"/>
        <w:ind w:left="1077" w:hanging="357"/>
        <w:contextualSpacing w:val="0"/>
        <w:rPr>
          <w:rFonts w:eastAsia="Times New Roman"/>
          <w:sz w:val="21"/>
          <w:szCs w:val="21"/>
        </w:rPr>
      </w:pPr>
      <w:r w:rsidRPr="00816F01">
        <w:rPr>
          <w:rFonts w:eastAsia="Times New Roman"/>
          <w:sz w:val="21"/>
          <w:szCs w:val="21"/>
        </w:rPr>
        <w:t xml:space="preserve">AHP </w:t>
      </w:r>
      <w:r w:rsidR="00722AEE" w:rsidRPr="00816F01">
        <w:rPr>
          <w:rFonts w:eastAsia="Times New Roman"/>
          <w:sz w:val="21"/>
          <w:szCs w:val="21"/>
        </w:rPr>
        <w:t>P</w:t>
      </w:r>
      <w:r w:rsidRPr="00816F01">
        <w:rPr>
          <w:rFonts w:eastAsia="Times New Roman"/>
          <w:sz w:val="21"/>
          <w:szCs w:val="21"/>
        </w:rPr>
        <w:t xml:space="preserve">artners engage effectively with external stakeholders at country, regional and global levels. </w:t>
      </w:r>
    </w:p>
    <w:p w14:paraId="6C2BC3CE" w14:textId="64140EBE" w:rsidR="00151856" w:rsidRDefault="00406F84" w:rsidP="00151856">
      <w:pPr>
        <w:pStyle w:val="ListParagraph"/>
        <w:tabs>
          <w:tab w:val="left" w:pos="284"/>
        </w:tabs>
        <w:suppressAutoHyphens w:val="0"/>
        <w:spacing w:before="200" w:after="0" w:line="280" w:lineRule="exact"/>
        <w:ind w:left="0"/>
        <w:contextualSpacing w:val="0"/>
        <w:rPr>
          <w:rFonts w:eastAsia="Times New Roman" w:cs="Times New Roman"/>
          <w:sz w:val="21"/>
          <w:szCs w:val="24"/>
          <w:lang w:val="en-AU"/>
        </w:rPr>
      </w:pPr>
      <w:r>
        <w:rPr>
          <w:rFonts w:eastAsia="Times New Roman" w:cs="Times New Roman"/>
          <w:sz w:val="21"/>
          <w:szCs w:val="24"/>
          <w:lang w:val="en-AU"/>
        </w:rPr>
        <w:t>Phase II</w:t>
      </w:r>
      <w:r w:rsidR="00151856">
        <w:rPr>
          <w:rFonts w:eastAsia="Times New Roman" w:cs="Times New Roman"/>
          <w:sz w:val="21"/>
          <w:szCs w:val="24"/>
          <w:lang w:val="en-AU"/>
        </w:rPr>
        <w:t xml:space="preserve"> </w:t>
      </w:r>
      <w:r w:rsidR="00DC7DD5">
        <w:rPr>
          <w:rFonts w:eastAsia="Times New Roman" w:cs="Times New Roman"/>
          <w:sz w:val="21"/>
          <w:szCs w:val="24"/>
          <w:lang w:val="en-AU"/>
        </w:rPr>
        <w:t xml:space="preserve">will continue to be </w:t>
      </w:r>
      <w:r w:rsidR="00151856">
        <w:rPr>
          <w:rFonts w:eastAsia="Times New Roman" w:cs="Times New Roman"/>
          <w:sz w:val="21"/>
          <w:szCs w:val="24"/>
          <w:lang w:val="en-AU"/>
        </w:rPr>
        <w:t xml:space="preserve">delivered through </w:t>
      </w:r>
      <w:r w:rsidR="00DC7DD5">
        <w:rPr>
          <w:rFonts w:eastAsia="Times New Roman" w:cs="Times New Roman"/>
          <w:sz w:val="21"/>
          <w:szCs w:val="24"/>
          <w:lang w:val="en-AU"/>
        </w:rPr>
        <w:t xml:space="preserve">the AHP’s </w:t>
      </w:r>
      <w:r w:rsidR="00151856">
        <w:rPr>
          <w:rFonts w:eastAsia="Times New Roman" w:cs="Times New Roman"/>
          <w:sz w:val="21"/>
          <w:szCs w:val="24"/>
          <w:lang w:val="en-AU"/>
        </w:rPr>
        <w:t>three delivery mechanisms:</w:t>
      </w:r>
    </w:p>
    <w:p w14:paraId="6603B284" w14:textId="4C90E3F3" w:rsidR="00151856" w:rsidRPr="00232353" w:rsidRDefault="00151856" w:rsidP="00151856">
      <w:pPr>
        <w:pStyle w:val="ListParagraph"/>
        <w:tabs>
          <w:tab w:val="left" w:pos="284"/>
        </w:tabs>
        <w:suppressAutoHyphens w:val="0"/>
        <w:spacing w:before="200" w:after="0" w:line="280" w:lineRule="exact"/>
        <w:ind w:left="284"/>
        <w:contextualSpacing w:val="0"/>
        <w:rPr>
          <w:rFonts w:eastAsia="Times New Roman" w:cs="Times New Roman"/>
          <w:sz w:val="21"/>
          <w:szCs w:val="21"/>
          <w:lang w:val="en-AU"/>
        </w:rPr>
      </w:pPr>
      <w:r w:rsidRPr="00232353">
        <w:rPr>
          <w:sz w:val="21"/>
          <w:szCs w:val="21"/>
          <w:lang w:val="en-AU"/>
        </w:rPr>
        <w:t xml:space="preserve">1. </w:t>
      </w:r>
      <w:r w:rsidRPr="00FB2802">
        <w:rPr>
          <w:b/>
          <w:bCs/>
          <w:sz w:val="21"/>
          <w:szCs w:val="21"/>
          <w:lang w:val="en-AU"/>
        </w:rPr>
        <w:t>ANGOs and their local partners</w:t>
      </w:r>
      <w:r w:rsidRPr="00232353">
        <w:rPr>
          <w:sz w:val="21"/>
          <w:szCs w:val="21"/>
          <w:lang w:val="en-AU"/>
        </w:rPr>
        <w:t xml:space="preserve"> plan, implement and adapt humanitarian programs in accordance with international</w:t>
      </w:r>
      <w:r w:rsidR="006621C0">
        <w:rPr>
          <w:sz w:val="21"/>
          <w:szCs w:val="21"/>
          <w:lang w:val="en-AU"/>
        </w:rPr>
        <w:t xml:space="preserve"> humanitarian, </w:t>
      </w:r>
      <w:r w:rsidR="003C0F48">
        <w:rPr>
          <w:sz w:val="21"/>
          <w:szCs w:val="21"/>
          <w:lang w:val="en-AU"/>
        </w:rPr>
        <w:t>DFAT policy</w:t>
      </w:r>
      <w:r w:rsidRPr="00232353">
        <w:rPr>
          <w:sz w:val="21"/>
          <w:szCs w:val="21"/>
          <w:lang w:val="en-AU"/>
        </w:rPr>
        <w:t xml:space="preserve"> and </w:t>
      </w:r>
      <w:r w:rsidR="003C0F48">
        <w:rPr>
          <w:sz w:val="21"/>
          <w:szCs w:val="21"/>
          <w:lang w:val="en-AU"/>
        </w:rPr>
        <w:t xml:space="preserve">agreed </w:t>
      </w:r>
      <w:r w:rsidR="00070348">
        <w:rPr>
          <w:sz w:val="21"/>
          <w:szCs w:val="21"/>
          <w:lang w:val="en-AU"/>
        </w:rPr>
        <w:t>MEL</w:t>
      </w:r>
      <w:r w:rsidRPr="00232353">
        <w:rPr>
          <w:sz w:val="21"/>
          <w:szCs w:val="21"/>
          <w:lang w:val="en-AU"/>
        </w:rPr>
        <w:t xml:space="preserve"> standards.</w:t>
      </w:r>
    </w:p>
    <w:p w14:paraId="36E45562" w14:textId="46F39DC9" w:rsidR="00151856" w:rsidRPr="00232353" w:rsidRDefault="00151856" w:rsidP="00151856">
      <w:pPr>
        <w:pStyle w:val="ListParagraph"/>
        <w:tabs>
          <w:tab w:val="left" w:pos="284"/>
        </w:tabs>
        <w:suppressAutoHyphens w:val="0"/>
        <w:spacing w:before="200" w:after="0" w:line="280" w:lineRule="exact"/>
        <w:ind w:left="284"/>
        <w:contextualSpacing w:val="0"/>
        <w:rPr>
          <w:rFonts w:eastAsia="Times New Roman" w:cs="Times New Roman"/>
          <w:sz w:val="21"/>
          <w:szCs w:val="24"/>
          <w:lang w:val="en-AU"/>
        </w:rPr>
      </w:pPr>
      <w:r w:rsidRPr="00232353">
        <w:rPr>
          <w:rFonts w:eastAsia="Times New Roman" w:cs="Times New Roman"/>
          <w:sz w:val="21"/>
          <w:szCs w:val="24"/>
          <w:lang w:val="en-AU"/>
        </w:rPr>
        <w:t xml:space="preserve">2. </w:t>
      </w:r>
      <w:r w:rsidRPr="00FB2802">
        <w:rPr>
          <w:rFonts w:eastAsia="Times New Roman" w:cs="Times New Roman"/>
          <w:b/>
          <w:bCs/>
          <w:sz w:val="21"/>
          <w:szCs w:val="24"/>
          <w:lang w:val="en-AU"/>
        </w:rPr>
        <w:t xml:space="preserve">The </w:t>
      </w:r>
      <w:r w:rsidR="00CA7F1C">
        <w:rPr>
          <w:rFonts w:eastAsia="Times New Roman" w:cs="Times New Roman"/>
          <w:b/>
          <w:bCs/>
          <w:sz w:val="21"/>
          <w:szCs w:val="24"/>
          <w:lang w:val="en-AU"/>
        </w:rPr>
        <w:t>AHPSU</w:t>
      </w:r>
      <w:r w:rsidR="00DC7DD5">
        <w:rPr>
          <w:rFonts w:eastAsia="Times New Roman" w:cs="Times New Roman"/>
          <w:sz w:val="21"/>
          <w:szCs w:val="24"/>
          <w:lang w:val="en-AU"/>
        </w:rPr>
        <w:t xml:space="preserve"> </w:t>
      </w:r>
      <w:r w:rsidRPr="00232353">
        <w:rPr>
          <w:rFonts w:eastAsia="Times New Roman" w:cs="Times New Roman"/>
          <w:sz w:val="21"/>
          <w:szCs w:val="24"/>
          <w:lang w:val="en-AU"/>
        </w:rPr>
        <w:t xml:space="preserve">facilitates coordination, communication and learning between DFAT, ANGOs and other stakeholders to promote overall program quality, </w:t>
      </w:r>
      <w:r w:rsidR="004C374B" w:rsidRPr="00232353">
        <w:rPr>
          <w:rFonts w:eastAsia="Times New Roman" w:cs="Times New Roman"/>
          <w:sz w:val="21"/>
          <w:szCs w:val="24"/>
          <w:lang w:val="en-AU"/>
        </w:rPr>
        <w:t>compliance,</w:t>
      </w:r>
      <w:r w:rsidRPr="00232353">
        <w:rPr>
          <w:rFonts w:eastAsia="Times New Roman" w:cs="Times New Roman"/>
          <w:sz w:val="21"/>
          <w:szCs w:val="24"/>
          <w:lang w:val="en-AU"/>
        </w:rPr>
        <w:t xml:space="preserve"> and collaboration. </w:t>
      </w:r>
    </w:p>
    <w:p w14:paraId="70AC6BDD" w14:textId="00006BC5" w:rsidR="00151856" w:rsidRPr="00232353" w:rsidRDefault="00151856" w:rsidP="00151856">
      <w:pPr>
        <w:pStyle w:val="ListParagraph"/>
        <w:tabs>
          <w:tab w:val="left" w:pos="284"/>
        </w:tabs>
        <w:suppressAutoHyphens w:val="0"/>
        <w:spacing w:before="200" w:after="0" w:line="280" w:lineRule="exact"/>
        <w:ind w:left="284"/>
        <w:contextualSpacing w:val="0"/>
        <w:rPr>
          <w:rFonts w:eastAsia="Times New Roman" w:cs="Times New Roman"/>
          <w:sz w:val="21"/>
          <w:szCs w:val="24"/>
          <w:lang w:val="en-AU"/>
        </w:rPr>
      </w:pPr>
      <w:r w:rsidRPr="00232353">
        <w:rPr>
          <w:rFonts w:eastAsia="Times New Roman" w:cs="Times New Roman"/>
          <w:sz w:val="21"/>
          <w:szCs w:val="24"/>
          <w:lang w:val="en-AU"/>
        </w:rPr>
        <w:t xml:space="preserve">3. </w:t>
      </w:r>
      <w:r w:rsidRPr="00FB2802">
        <w:rPr>
          <w:rFonts w:eastAsia="Times New Roman" w:cs="Times New Roman"/>
          <w:b/>
          <w:bCs/>
          <w:sz w:val="21"/>
          <w:szCs w:val="24"/>
          <w:lang w:val="en-AU"/>
        </w:rPr>
        <w:t xml:space="preserve">DFAT </w:t>
      </w:r>
      <w:r w:rsidR="00CA7F1C">
        <w:rPr>
          <w:rFonts w:eastAsia="Times New Roman" w:cs="Times New Roman"/>
          <w:b/>
          <w:bCs/>
          <w:sz w:val="21"/>
          <w:szCs w:val="24"/>
          <w:lang w:val="en-AU"/>
        </w:rPr>
        <w:t>HPD</w:t>
      </w:r>
      <w:r w:rsidRPr="00232353">
        <w:rPr>
          <w:rFonts w:eastAsia="Times New Roman" w:cs="Times New Roman"/>
          <w:sz w:val="21"/>
          <w:szCs w:val="24"/>
          <w:lang w:val="en-AU"/>
        </w:rPr>
        <w:t xml:space="preserve"> leads policy and program engagement with internal and external stakeholders to mobilise resources, ensure policy coherence and represent Australia's interests.</w:t>
      </w:r>
    </w:p>
    <w:p w14:paraId="66526898" w14:textId="35E0FB68" w:rsidR="00151856" w:rsidRPr="001B5D46" w:rsidRDefault="00DC7DD5" w:rsidP="00151856">
      <w:pPr>
        <w:pStyle w:val="ListParagraph"/>
        <w:tabs>
          <w:tab w:val="left" w:pos="284"/>
        </w:tabs>
        <w:suppressAutoHyphens w:val="0"/>
        <w:spacing w:before="200" w:after="0" w:line="280" w:lineRule="exact"/>
        <w:ind w:left="0"/>
        <w:contextualSpacing w:val="0"/>
        <w:rPr>
          <w:rFonts w:eastAsia="Times New Roman" w:cs="Times New Roman"/>
          <w:sz w:val="21"/>
          <w:szCs w:val="24"/>
          <w:lang w:val="en-AU"/>
        </w:rPr>
      </w:pPr>
      <w:bookmarkStart w:id="7" w:name="_Hlk90300420"/>
      <w:r>
        <w:rPr>
          <w:rFonts w:eastAsia="Times New Roman" w:cs="Times New Roman"/>
          <w:b/>
          <w:bCs/>
          <w:sz w:val="21"/>
          <w:szCs w:val="24"/>
          <w:lang w:val="en-AU"/>
        </w:rPr>
        <w:t xml:space="preserve">The AHP governance arrangements </w:t>
      </w:r>
      <w:r w:rsidRPr="003E2C60">
        <w:rPr>
          <w:rFonts w:eastAsia="Times New Roman" w:cs="Times New Roman"/>
          <w:sz w:val="21"/>
          <w:szCs w:val="24"/>
          <w:lang w:val="en-AU"/>
        </w:rPr>
        <w:t xml:space="preserve">have been updated to </w:t>
      </w:r>
      <w:r w:rsidR="003C0F48">
        <w:rPr>
          <w:rFonts w:eastAsia="Times New Roman" w:cs="Times New Roman"/>
          <w:sz w:val="21"/>
          <w:szCs w:val="24"/>
          <w:lang w:val="en-AU"/>
        </w:rPr>
        <w:t>be</w:t>
      </w:r>
      <w:r w:rsidRPr="003E2C60">
        <w:rPr>
          <w:rFonts w:eastAsia="Times New Roman" w:cs="Times New Roman"/>
          <w:sz w:val="21"/>
          <w:szCs w:val="24"/>
          <w:lang w:val="en-AU"/>
        </w:rPr>
        <w:t xml:space="preserve"> fit-for-purpose </w:t>
      </w:r>
      <w:r w:rsidR="00886029">
        <w:rPr>
          <w:rFonts w:eastAsia="Times New Roman" w:cs="Times New Roman"/>
          <w:sz w:val="21"/>
          <w:szCs w:val="24"/>
          <w:lang w:val="en-AU"/>
        </w:rPr>
        <w:t xml:space="preserve">and strengthen local and inclusive representation </w:t>
      </w:r>
      <w:r w:rsidRPr="003E2C60">
        <w:rPr>
          <w:rFonts w:eastAsia="Times New Roman" w:cs="Times New Roman"/>
          <w:sz w:val="21"/>
          <w:szCs w:val="24"/>
          <w:lang w:val="en-AU"/>
        </w:rPr>
        <w:t xml:space="preserve">for </w:t>
      </w:r>
      <w:r w:rsidR="00406F84">
        <w:rPr>
          <w:rFonts w:eastAsia="Times New Roman" w:cs="Times New Roman"/>
          <w:sz w:val="21"/>
          <w:szCs w:val="24"/>
          <w:lang w:val="en-AU"/>
        </w:rPr>
        <w:t>Phase II</w:t>
      </w:r>
      <w:r w:rsidRPr="003E2C60">
        <w:rPr>
          <w:rFonts w:eastAsia="Times New Roman" w:cs="Times New Roman"/>
          <w:sz w:val="21"/>
          <w:szCs w:val="24"/>
          <w:lang w:val="en-AU"/>
        </w:rPr>
        <w:t xml:space="preserve">. </w:t>
      </w:r>
      <w:bookmarkEnd w:id="7"/>
      <w:r w:rsidR="00151856" w:rsidRPr="003E2C60">
        <w:rPr>
          <w:rFonts w:eastAsia="Times New Roman" w:cs="Times New Roman"/>
          <w:sz w:val="21"/>
          <w:szCs w:val="24"/>
          <w:lang w:val="en-AU"/>
        </w:rPr>
        <w:t>A</w:t>
      </w:r>
      <w:r w:rsidR="00151856" w:rsidRPr="00D729EC">
        <w:rPr>
          <w:rFonts w:eastAsia="Times New Roman" w:cs="Times New Roman"/>
          <w:sz w:val="21"/>
          <w:szCs w:val="24"/>
          <w:lang w:val="en-AU"/>
        </w:rPr>
        <w:t xml:space="preserve"> </w:t>
      </w:r>
      <w:r>
        <w:rPr>
          <w:rFonts w:eastAsia="Times New Roman" w:cs="Times New Roman"/>
          <w:sz w:val="21"/>
          <w:szCs w:val="24"/>
          <w:lang w:val="en-AU"/>
        </w:rPr>
        <w:t xml:space="preserve">revised </w:t>
      </w:r>
      <w:r w:rsidR="00151856" w:rsidRPr="003E2C60">
        <w:rPr>
          <w:rFonts w:eastAsia="Times New Roman" w:cs="Times New Roman"/>
          <w:sz w:val="21"/>
          <w:szCs w:val="24"/>
          <w:lang w:val="en-AU"/>
        </w:rPr>
        <w:t xml:space="preserve">Steering </w:t>
      </w:r>
      <w:r w:rsidR="007E33CF">
        <w:rPr>
          <w:rFonts w:eastAsia="Times New Roman" w:cs="Times New Roman"/>
          <w:sz w:val="21"/>
          <w:szCs w:val="24"/>
          <w:lang w:val="en-AU"/>
        </w:rPr>
        <w:t>Committee</w:t>
      </w:r>
      <w:r w:rsidR="007E33CF" w:rsidRPr="003E2C60">
        <w:rPr>
          <w:rFonts w:eastAsia="Times New Roman" w:cs="Times New Roman"/>
          <w:sz w:val="21"/>
          <w:szCs w:val="24"/>
          <w:lang w:val="en-AU"/>
        </w:rPr>
        <w:t xml:space="preserve"> </w:t>
      </w:r>
      <w:r w:rsidR="00151856" w:rsidRPr="001B5D46">
        <w:rPr>
          <w:rFonts w:eastAsia="Times New Roman" w:cs="Times New Roman"/>
          <w:sz w:val="21"/>
          <w:szCs w:val="24"/>
          <w:lang w:val="en-AU"/>
        </w:rPr>
        <w:t xml:space="preserve">will be responsible for </w:t>
      </w:r>
      <w:r w:rsidR="004F514D">
        <w:rPr>
          <w:rFonts w:eastAsia="Times New Roman" w:cs="Times New Roman"/>
          <w:sz w:val="21"/>
          <w:szCs w:val="24"/>
          <w:lang w:val="en-AU"/>
        </w:rPr>
        <w:t xml:space="preserve">advising on </w:t>
      </w:r>
      <w:r w:rsidR="00151856" w:rsidRPr="001B5D46">
        <w:rPr>
          <w:rFonts w:eastAsia="Times New Roman" w:cs="Times New Roman"/>
          <w:sz w:val="21"/>
          <w:szCs w:val="24"/>
          <w:lang w:val="en-AU"/>
        </w:rPr>
        <w:t xml:space="preserve">the strategic direction, </w:t>
      </w:r>
      <w:r w:rsidR="004C374B" w:rsidRPr="001B5D46">
        <w:rPr>
          <w:rFonts w:eastAsia="Times New Roman" w:cs="Times New Roman"/>
          <w:sz w:val="21"/>
          <w:szCs w:val="24"/>
          <w:lang w:val="en-AU"/>
        </w:rPr>
        <w:t>oversight,</w:t>
      </w:r>
      <w:r w:rsidR="00151856" w:rsidRPr="001B5D46">
        <w:rPr>
          <w:rFonts w:eastAsia="Times New Roman" w:cs="Times New Roman"/>
          <w:sz w:val="21"/>
          <w:szCs w:val="24"/>
          <w:lang w:val="en-AU"/>
        </w:rPr>
        <w:t xml:space="preserve"> and decision-making of the </w:t>
      </w:r>
      <w:r>
        <w:rPr>
          <w:rFonts w:eastAsia="Times New Roman" w:cs="Times New Roman"/>
          <w:sz w:val="21"/>
          <w:szCs w:val="24"/>
          <w:lang w:val="en-AU"/>
        </w:rPr>
        <w:t>P</w:t>
      </w:r>
      <w:r w:rsidR="00151856" w:rsidRPr="001B5D46">
        <w:rPr>
          <w:rFonts w:eastAsia="Times New Roman" w:cs="Times New Roman"/>
          <w:sz w:val="21"/>
          <w:szCs w:val="24"/>
          <w:lang w:val="en-AU"/>
        </w:rPr>
        <w:t>artnership</w:t>
      </w:r>
      <w:r w:rsidR="00A456B3">
        <w:rPr>
          <w:rFonts w:eastAsia="Times New Roman" w:cs="Times New Roman"/>
          <w:sz w:val="21"/>
          <w:szCs w:val="24"/>
          <w:lang w:val="en-AU"/>
        </w:rPr>
        <w:t xml:space="preserve"> with </w:t>
      </w:r>
      <w:r w:rsidR="002C35E2">
        <w:rPr>
          <w:rFonts w:eastAsia="Times New Roman" w:cs="Times New Roman"/>
          <w:sz w:val="21"/>
          <w:szCs w:val="24"/>
          <w:lang w:val="en-AU"/>
        </w:rPr>
        <w:t>membership comprised of a</w:t>
      </w:r>
      <w:r w:rsidR="00151856">
        <w:rPr>
          <w:rFonts w:eastAsia="Times New Roman" w:cs="Times New Roman"/>
          <w:sz w:val="21"/>
          <w:szCs w:val="24"/>
          <w:lang w:val="en-AU"/>
        </w:rPr>
        <w:t xml:space="preserve"> Director from </w:t>
      </w:r>
      <w:r>
        <w:rPr>
          <w:rFonts w:eastAsia="Times New Roman" w:cs="Times New Roman"/>
          <w:sz w:val="21"/>
          <w:szCs w:val="24"/>
          <w:lang w:val="en-AU"/>
        </w:rPr>
        <w:t>HPD</w:t>
      </w:r>
      <w:r w:rsidR="002C35E2">
        <w:rPr>
          <w:rFonts w:eastAsia="Times New Roman" w:cs="Times New Roman"/>
          <w:sz w:val="21"/>
          <w:szCs w:val="24"/>
          <w:lang w:val="en-AU"/>
        </w:rPr>
        <w:t xml:space="preserve"> (</w:t>
      </w:r>
      <w:r w:rsidR="00151856">
        <w:rPr>
          <w:rFonts w:eastAsia="Times New Roman" w:cs="Times New Roman"/>
          <w:sz w:val="21"/>
          <w:szCs w:val="24"/>
          <w:lang w:val="en-AU"/>
        </w:rPr>
        <w:t>Chair</w:t>
      </w:r>
      <w:r w:rsidR="002C35E2">
        <w:rPr>
          <w:rFonts w:eastAsia="Times New Roman" w:cs="Times New Roman"/>
          <w:sz w:val="21"/>
          <w:szCs w:val="24"/>
          <w:lang w:val="en-AU"/>
        </w:rPr>
        <w:t>)</w:t>
      </w:r>
      <w:r w:rsidR="00151856">
        <w:rPr>
          <w:rFonts w:eastAsia="Times New Roman" w:cs="Times New Roman"/>
          <w:sz w:val="21"/>
          <w:szCs w:val="24"/>
          <w:lang w:val="en-AU"/>
        </w:rPr>
        <w:t xml:space="preserve">, representatives from </w:t>
      </w:r>
      <w:r w:rsidR="002C35E2">
        <w:rPr>
          <w:rFonts w:eastAsia="Times New Roman" w:cs="Times New Roman"/>
          <w:sz w:val="21"/>
          <w:szCs w:val="24"/>
          <w:lang w:val="en-AU"/>
        </w:rPr>
        <w:t>each</w:t>
      </w:r>
      <w:r w:rsidR="00151856">
        <w:rPr>
          <w:rFonts w:eastAsia="Times New Roman" w:cs="Times New Roman"/>
          <w:sz w:val="21"/>
          <w:szCs w:val="24"/>
          <w:lang w:val="en-AU"/>
        </w:rPr>
        <w:t xml:space="preserve"> ANGO </w:t>
      </w:r>
      <w:r w:rsidR="00A456B3">
        <w:rPr>
          <w:rFonts w:eastAsia="Times New Roman" w:cs="Times New Roman"/>
          <w:sz w:val="21"/>
          <w:szCs w:val="24"/>
          <w:lang w:val="en-AU"/>
        </w:rPr>
        <w:t xml:space="preserve">and </w:t>
      </w:r>
      <w:r w:rsidR="00151856">
        <w:rPr>
          <w:rFonts w:eastAsia="Times New Roman" w:cs="Times New Roman"/>
          <w:sz w:val="21"/>
          <w:szCs w:val="24"/>
          <w:lang w:val="en-AU"/>
        </w:rPr>
        <w:t>a disability organisation</w:t>
      </w:r>
      <w:r w:rsidR="002C35E2">
        <w:rPr>
          <w:rFonts w:eastAsia="Times New Roman" w:cs="Times New Roman"/>
          <w:sz w:val="21"/>
          <w:szCs w:val="24"/>
          <w:lang w:val="en-AU"/>
        </w:rPr>
        <w:t>, and r</w:t>
      </w:r>
      <w:r w:rsidR="00151856">
        <w:rPr>
          <w:rFonts w:eastAsia="Times New Roman" w:cs="Times New Roman"/>
          <w:sz w:val="21"/>
          <w:szCs w:val="24"/>
          <w:lang w:val="en-AU"/>
        </w:rPr>
        <w:t>epresentatives from</w:t>
      </w:r>
      <w:r w:rsidR="002C35E2">
        <w:rPr>
          <w:rFonts w:eastAsia="Times New Roman" w:cs="Times New Roman"/>
          <w:sz w:val="21"/>
          <w:szCs w:val="24"/>
          <w:lang w:val="en-AU"/>
        </w:rPr>
        <w:t xml:space="preserve"> consortia, </w:t>
      </w:r>
      <w:r w:rsidR="00A456B3">
        <w:rPr>
          <w:rFonts w:eastAsia="Times New Roman" w:cs="Times New Roman"/>
          <w:sz w:val="21"/>
          <w:szCs w:val="24"/>
          <w:lang w:val="en-AU"/>
        </w:rPr>
        <w:t xml:space="preserve">local </w:t>
      </w:r>
      <w:r w:rsidR="00A456B3">
        <w:rPr>
          <w:rFonts w:eastAsia="Times New Roman" w:cs="Times New Roman"/>
          <w:sz w:val="21"/>
          <w:szCs w:val="24"/>
          <w:lang w:val="en-AU"/>
        </w:rPr>
        <w:lastRenderedPageBreak/>
        <w:t xml:space="preserve">partners and other stakeholders invited to </w:t>
      </w:r>
      <w:r w:rsidR="002C35E2">
        <w:rPr>
          <w:rFonts w:eastAsia="Times New Roman" w:cs="Times New Roman"/>
          <w:sz w:val="21"/>
          <w:szCs w:val="24"/>
          <w:lang w:val="en-AU"/>
        </w:rPr>
        <w:t xml:space="preserve">all </w:t>
      </w:r>
      <w:r w:rsidR="00A456B3">
        <w:rPr>
          <w:rFonts w:eastAsia="Times New Roman" w:cs="Times New Roman"/>
          <w:sz w:val="21"/>
          <w:szCs w:val="24"/>
          <w:lang w:val="en-AU"/>
        </w:rPr>
        <w:t xml:space="preserve">relevant </w:t>
      </w:r>
      <w:r w:rsidR="002C35E2">
        <w:rPr>
          <w:rFonts w:eastAsia="Times New Roman" w:cs="Times New Roman"/>
          <w:sz w:val="21"/>
          <w:szCs w:val="24"/>
          <w:lang w:val="en-AU"/>
        </w:rPr>
        <w:t>sessions</w:t>
      </w:r>
      <w:r w:rsidR="00151856">
        <w:rPr>
          <w:rFonts w:eastAsia="Times New Roman" w:cs="Times New Roman"/>
          <w:sz w:val="21"/>
          <w:szCs w:val="24"/>
          <w:lang w:val="en-AU"/>
        </w:rPr>
        <w:t>.</w:t>
      </w:r>
      <w:r w:rsidR="00117458">
        <w:rPr>
          <w:rFonts w:eastAsia="Times New Roman" w:cs="Times New Roman"/>
          <w:sz w:val="21"/>
          <w:szCs w:val="24"/>
          <w:lang w:val="en-AU"/>
        </w:rPr>
        <w:t xml:space="preserve"> Disaster READY Country Committees </w:t>
      </w:r>
      <w:r w:rsidR="00343653">
        <w:rPr>
          <w:rFonts w:eastAsia="Times New Roman" w:cs="Times New Roman"/>
          <w:sz w:val="21"/>
          <w:szCs w:val="24"/>
          <w:lang w:val="en-AU"/>
        </w:rPr>
        <w:t xml:space="preserve">(DRCCs) </w:t>
      </w:r>
      <w:r w:rsidR="00117458">
        <w:rPr>
          <w:rFonts w:eastAsia="Times New Roman" w:cs="Times New Roman"/>
          <w:sz w:val="21"/>
          <w:szCs w:val="24"/>
          <w:lang w:val="en-AU"/>
        </w:rPr>
        <w:t xml:space="preserve">will remain the </w:t>
      </w:r>
      <w:r w:rsidR="00DE1487">
        <w:rPr>
          <w:rFonts w:eastAsia="Times New Roman" w:cs="Times New Roman"/>
          <w:sz w:val="21"/>
          <w:szCs w:val="24"/>
          <w:lang w:val="en-AU"/>
        </w:rPr>
        <w:t>country</w:t>
      </w:r>
      <w:r w:rsidR="00117458">
        <w:rPr>
          <w:rFonts w:eastAsia="Times New Roman" w:cs="Times New Roman"/>
          <w:sz w:val="21"/>
          <w:szCs w:val="24"/>
          <w:lang w:val="en-AU"/>
        </w:rPr>
        <w:t xml:space="preserve">-level governance bodies for </w:t>
      </w:r>
      <w:r w:rsidR="00257BF1">
        <w:rPr>
          <w:rFonts w:eastAsia="Times New Roman" w:cs="Times New Roman"/>
          <w:sz w:val="21"/>
          <w:szCs w:val="24"/>
          <w:lang w:val="en-AU"/>
        </w:rPr>
        <w:t>Disaster READY with a newly formalised role in humanitarian response.</w:t>
      </w:r>
    </w:p>
    <w:p w14:paraId="3F2F276C" w14:textId="7776E57A" w:rsidR="00530616" w:rsidRDefault="00151856" w:rsidP="00151856">
      <w:pPr>
        <w:pStyle w:val="ListParagraph"/>
        <w:tabs>
          <w:tab w:val="left" w:pos="284"/>
        </w:tabs>
        <w:suppressAutoHyphens w:val="0"/>
        <w:spacing w:before="200" w:after="0" w:line="280" w:lineRule="exact"/>
        <w:ind w:left="0"/>
        <w:contextualSpacing w:val="0"/>
        <w:rPr>
          <w:rFonts w:eastAsia="Times New Roman" w:cs="Times New Roman"/>
          <w:sz w:val="21"/>
          <w:szCs w:val="24"/>
          <w:lang w:val="en-AU"/>
        </w:rPr>
      </w:pPr>
      <w:r w:rsidRPr="00853365">
        <w:rPr>
          <w:rFonts w:eastAsia="Times New Roman" w:cs="Times New Roman"/>
          <w:b/>
          <w:bCs/>
          <w:sz w:val="21"/>
          <w:szCs w:val="24"/>
          <w:lang w:val="en-AU"/>
        </w:rPr>
        <w:t xml:space="preserve">The </w:t>
      </w:r>
      <w:r w:rsidR="00DC7DD5">
        <w:rPr>
          <w:rFonts w:eastAsia="Times New Roman" w:cs="Times New Roman"/>
          <w:b/>
          <w:bCs/>
          <w:sz w:val="21"/>
          <w:szCs w:val="24"/>
          <w:lang w:val="en-AU"/>
        </w:rPr>
        <w:t xml:space="preserve">AHP implementation </w:t>
      </w:r>
      <w:r w:rsidR="00DC7DD5" w:rsidRPr="00415502">
        <w:rPr>
          <w:rFonts w:eastAsia="Times New Roman" w:cs="Times New Roman"/>
          <w:b/>
          <w:bCs/>
          <w:sz w:val="21"/>
          <w:szCs w:val="24"/>
          <w:lang w:val="en-AU"/>
        </w:rPr>
        <w:t>arrangements</w:t>
      </w:r>
      <w:r w:rsidR="00DC7DD5">
        <w:rPr>
          <w:rFonts w:eastAsia="Times New Roman" w:cs="Times New Roman"/>
          <w:sz w:val="21"/>
          <w:szCs w:val="24"/>
          <w:lang w:val="en-AU"/>
        </w:rPr>
        <w:t xml:space="preserve"> will remain consistent with </w:t>
      </w:r>
      <w:r w:rsidR="00406F84">
        <w:rPr>
          <w:rFonts w:eastAsia="Times New Roman" w:cs="Times New Roman"/>
          <w:sz w:val="21"/>
          <w:szCs w:val="24"/>
          <w:lang w:val="en-AU"/>
        </w:rPr>
        <w:t>Phase I</w:t>
      </w:r>
      <w:r w:rsidR="00DC7DD5">
        <w:rPr>
          <w:rFonts w:eastAsia="Times New Roman" w:cs="Times New Roman"/>
          <w:sz w:val="21"/>
          <w:szCs w:val="24"/>
          <w:lang w:val="en-AU"/>
        </w:rPr>
        <w:t>. DFAT will extend its Deed of Standing Offer with the AHPSU to 2027, and the AHPSU will extend or enter into revised contractual arrangements with the six lead ANGOs who will in turn update their arrangements with consortia</w:t>
      </w:r>
      <w:r w:rsidRPr="003E2C60">
        <w:rPr>
          <w:rFonts w:eastAsia="Times New Roman" w:cs="Times New Roman"/>
          <w:sz w:val="21"/>
          <w:szCs w:val="24"/>
          <w:lang w:val="en-AU"/>
        </w:rPr>
        <w:t xml:space="preserve"> and local </w:t>
      </w:r>
      <w:r w:rsidR="00DC7DD5">
        <w:rPr>
          <w:rFonts w:eastAsia="Times New Roman" w:cs="Times New Roman"/>
          <w:sz w:val="21"/>
          <w:szCs w:val="24"/>
          <w:lang w:val="en-AU"/>
        </w:rPr>
        <w:t>p</w:t>
      </w:r>
      <w:r w:rsidRPr="003E2C60">
        <w:rPr>
          <w:rFonts w:eastAsia="Times New Roman" w:cs="Times New Roman"/>
          <w:sz w:val="21"/>
          <w:szCs w:val="24"/>
          <w:lang w:val="en-AU"/>
        </w:rPr>
        <w:t>artners</w:t>
      </w:r>
      <w:r w:rsidR="00DC7DD5">
        <w:rPr>
          <w:rFonts w:eastAsia="Times New Roman" w:cs="Times New Roman"/>
          <w:sz w:val="21"/>
          <w:szCs w:val="24"/>
          <w:lang w:val="en-AU"/>
        </w:rPr>
        <w:t xml:space="preserve">. </w:t>
      </w:r>
    </w:p>
    <w:p w14:paraId="37D6C30C" w14:textId="1405A2D5" w:rsidR="00151856" w:rsidRPr="001B5D46" w:rsidRDefault="000E5911" w:rsidP="00415502">
      <w:pPr>
        <w:pStyle w:val="ListParagraph"/>
        <w:tabs>
          <w:tab w:val="left" w:pos="284"/>
        </w:tabs>
        <w:suppressAutoHyphens w:val="0"/>
        <w:spacing w:before="200" w:after="0" w:line="280" w:lineRule="exact"/>
        <w:ind w:left="0"/>
        <w:contextualSpacing w:val="0"/>
        <w:rPr>
          <w:rFonts w:eastAsia="Times New Roman" w:cs="Times New Roman"/>
          <w:sz w:val="21"/>
          <w:szCs w:val="24"/>
          <w:lang w:val="en-AU"/>
        </w:rPr>
      </w:pPr>
      <w:r>
        <w:rPr>
          <w:rFonts w:eastAsia="Times New Roman" w:cs="Times New Roman"/>
          <w:sz w:val="21"/>
          <w:szCs w:val="24"/>
          <w:lang w:val="en-AU"/>
        </w:rPr>
        <w:t>T</w:t>
      </w:r>
      <w:r w:rsidR="00530616">
        <w:rPr>
          <w:rFonts w:eastAsia="Times New Roman" w:cs="Times New Roman"/>
          <w:sz w:val="21"/>
          <w:szCs w:val="24"/>
          <w:lang w:val="en-AU"/>
        </w:rPr>
        <w:t xml:space="preserve">he Terms of Reference (TORs) for the AHPSU have been updated consistent with the design. </w:t>
      </w:r>
      <w:r w:rsidR="00834B5E">
        <w:rPr>
          <w:rFonts w:eastAsia="Times New Roman" w:cs="Times New Roman"/>
          <w:sz w:val="21"/>
          <w:szCs w:val="24"/>
          <w:lang w:val="en-AU"/>
        </w:rPr>
        <w:t>Updates have also been made</w:t>
      </w:r>
      <w:r w:rsidR="00530616">
        <w:rPr>
          <w:rFonts w:eastAsia="Times New Roman" w:cs="Times New Roman"/>
          <w:sz w:val="21"/>
          <w:szCs w:val="24"/>
          <w:lang w:val="en-AU"/>
        </w:rPr>
        <w:t xml:space="preserve"> to </w:t>
      </w:r>
      <w:r w:rsidR="00151856" w:rsidRPr="001B5D46">
        <w:rPr>
          <w:rFonts w:eastAsia="Times New Roman" w:cs="Times New Roman"/>
          <w:sz w:val="21"/>
          <w:szCs w:val="24"/>
          <w:lang w:val="en-AU"/>
        </w:rPr>
        <w:t xml:space="preserve">the key processes for decision making and implementation </w:t>
      </w:r>
      <w:r w:rsidR="00530616">
        <w:rPr>
          <w:rFonts w:eastAsia="Times New Roman" w:cs="Times New Roman"/>
          <w:sz w:val="21"/>
          <w:szCs w:val="24"/>
          <w:lang w:val="en-AU"/>
        </w:rPr>
        <w:t>of</w:t>
      </w:r>
      <w:r w:rsidR="00530616" w:rsidRPr="001B5D46">
        <w:rPr>
          <w:rFonts w:eastAsia="Times New Roman" w:cs="Times New Roman"/>
          <w:sz w:val="21"/>
          <w:szCs w:val="24"/>
          <w:lang w:val="en-AU"/>
        </w:rPr>
        <w:t xml:space="preserve"> </w:t>
      </w:r>
      <w:r w:rsidR="00151856" w:rsidRPr="001B5D46">
        <w:rPr>
          <w:rFonts w:eastAsia="Times New Roman" w:cs="Times New Roman"/>
          <w:sz w:val="21"/>
          <w:szCs w:val="24"/>
          <w:lang w:val="en-AU"/>
        </w:rPr>
        <w:t xml:space="preserve">each component of the program: Disaster READY, rapid onset and protracted crisis; and </w:t>
      </w:r>
      <w:r w:rsidR="00530616">
        <w:rPr>
          <w:rFonts w:eastAsia="Times New Roman" w:cs="Times New Roman"/>
          <w:sz w:val="21"/>
          <w:szCs w:val="24"/>
          <w:lang w:val="en-AU"/>
        </w:rPr>
        <w:t>partnership learning and practice</w:t>
      </w:r>
      <w:r w:rsidR="00151856">
        <w:rPr>
          <w:rFonts w:eastAsia="Times New Roman" w:cs="Times New Roman"/>
          <w:sz w:val="21"/>
          <w:szCs w:val="24"/>
          <w:lang w:val="en-AU"/>
        </w:rPr>
        <w:t xml:space="preserve">. </w:t>
      </w:r>
      <w:r w:rsidR="00151856" w:rsidRPr="001B5D46">
        <w:rPr>
          <w:rFonts w:eastAsia="Times New Roman" w:cs="Times New Roman"/>
          <w:sz w:val="21"/>
          <w:szCs w:val="24"/>
          <w:lang w:val="en-AU"/>
        </w:rPr>
        <w:t xml:space="preserve">These </w:t>
      </w:r>
      <w:r w:rsidR="00530616">
        <w:rPr>
          <w:rFonts w:eastAsia="Times New Roman" w:cs="Times New Roman"/>
          <w:sz w:val="21"/>
          <w:szCs w:val="24"/>
          <w:lang w:val="en-AU"/>
        </w:rPr>
        <w:t xml:space="preserve">arrangements </w:t>
      </w:r>
      <w:r w:rsidR="00151856" w:rsidRPr="001B5D46">
        <w:rPr>
          <w:rFonts w:eastAsia="Times New Roman" w:cs="Times New Roman"/>
          <w:sz w:val="21"/>
          <w:szCs w:val="24"/>
          <w:lang w:val="en-AU"/>
        </w:rPr>
        <w:t xml:space="preserve">will be regularly </w:t>
      </w:r>
      <w:r w:rsidR="00530616">
        <w:rPr>
          <w:rFonts w:eastAsia="Times New Roman" w:cs="Times New Roman"/>
          <w:sz w:val="21"/>
          <w:szCs w:val="24"/>
          <w:lang w:val="en-AU"/>
        </w:rPr>
        <w:t>reviewed</w:t>
      </w:r>
      <w:r w:rsidR="00530616" w:rsidRPr="001B5D46">
        <w:rPr>
          <w:rFonts w:eastAsia="Times New Roman" w:cs="Times New Roman"/>
          <w:sz w:val="21"/>
          <w:szCs w:val="24"/>
          <w:lang w:val="en-AU"/>
        </w:rPr>
        <w:t xml:space="preserve"> </w:t>
      </w:r>
      <w:r w:rsidR="00151856" w:rsidRPr="001B5D46">
        <w:rPr>
          <w:rFonts w:eastAsia="Times New Roman" w:cs="Times New Roman"/>
          <w:sz w:val="21"/>
          <w:szCs w:val="24"/>
          <w:lang w:val="en-AU"/>
        </w:rPr>
        <w:t>by the AHPSU and Steering Committee</w:t>
      </w:r>
      <w:r w:rsidR="00530616">
        <w:rPr>
          <w:rFonts w:eastAsia="Times New Roman" w:cs="Times New Roman"/>
          <w:sz w:val="21"/>
          <w:szCs w:val="24"/>
          <w:lang w:val="en-AU"/>
        </w:rPr>
        <w:t xml:space="preserve"> for continuous improvement in </w:t>
      </w:r>
      <w:r w:rsidR="00406F84">
        <w:rPr>
          <w:rFonts w:eastAsia="Times New Roman" w:cs="Times New Roman"/>
          <w:sz w:val="21"/>
          <w:szCs w:val="24"/>
          <w:lang w:val="en-AU"/>
        </w:rPr>
        <w:t>Phase II</w:t>
      </w:r>
      <w:r w:rsidR="00151856" w:rsidRPr="001B5D46">
        <w:rPr>
          <w:rFonts w:eastAsia="Times New Roman" w:cs="Times New Roman"/>
          <w:sz w:val="21"/>
          <w:szCs w:val="24"/>
          <w:lang w:val="en-AU"/>
        </w:rPr>
        <w:t xml:space="preserve">.  </w:t>
      </w:r>
    </w:p>
    <w:p w14:paraId="45056E94" w14:textId="0785FAF5" w:rsidR="00151856" w:rsidRPr="001B5D46" w:rsidRDefault="00151856" w:rsidP="00151856">
      <w:pPr>
        <w:pStyle w:val="ListParagraph"/>
        <w:tabs>
          <w:tab w:val="left" w:pos="284"/>
        </w:tabs>
        <w:suppressAutoHyphens w:val="0"/>
        <w:spacing w:before="200" w:after="0" w:line="280" w:lineRule="exact"/>
        <w:ind w:left="0"/>
        <w:contextualSpacing w:val="0"/>
        <w:rPr>
          <w:rFonts w:eastAsia="Times New Roman" w:cs="Times New Roman"/>
          <w:sz w:val="21"/>
          <w:szCs w:val="24"/>
          <w:lang w:val="en-AU"/>
        </w:rPr>
      </w:pPr>
      <w:r w:rsidRPr="003E2C60">
        <w:rPr>
          <w:rFonts w:eastAsia="Times New Roman" w:cs="Times New Roman"/>
          <w:b/>
          <w:bCs/>
          <w:sz w:val="21"/>
          <w:szCs w:val="24"/>
          <w:lang w:val="en-AU"/>
        </w:rPr>
        <w:t xml:space="preserve">The </w:t>
      </w:r>
      <w:r w:rsidR="00844F20">
        <w:rPr>
          <w:rFonts w:eastAsia="Times New Roman" w:cs="Times New Roman"/>
          <w:b/>
          <w:bCs/>
          <w:sz w:val="21"/>
          <w:szCs w:val="24"/>
          <w:lang w:val="en-AU"/>
        </w:rPr>
        <w:t xml:space="preserve">MEL </w:t>
      </w:r>
      <w:r w:rsidR="00530616" w:rsidRPr="003E2C60">
        <w:rPr>
          <w:rFonts w:eastAsia="Times New Roman" w:cs="Times New Roman"/>
          <w:b/>
          <w:bCs/>
          <w:sz w:val="21"/>
          <w:szCs w:val="24"/>
          <w:lang w:val="en-AU"/>
        </w:rPr>
        <w:t>strategy</w:t>
      </w:r>
      <w:r w:rsidR="00530616">
        <w:rPr>
          <w:rFonts w:eastAsia="Times New Roman" w:cs="Times New Roman"/>
          <w:sz w:val="21"/>
          <w:szCs w:val="24"/>
          <w:lang w:val="en-AU"/>
        </w:rPr>
        <w:t xml:space="preserve"> </w:t>
      </w:r>
      <w:r w:rsidRPr="001B5D46">
        <w:rPr>
          <w:rFonts w:eastAsia="Times New Roman" w:cs="Times New Roman"/>
          <w:sz w:val="21"/>
          <w:szCs w:val="24"/>
          <w:lang w:val="en-AU"/>
        </w:rPr>
        <w:t>for</w:t>
      </w:r>
      <w:r w:rsidR="00530616">
        <w:rPr>
          <w:rFonts w:eastAsia="Times New Roman" w:cs="Times New Roman"/>
          <w:sz w:val="21"/>
          <w:szCs w:val="24"/>
          <w:lang w:val="en-AU"/>
        </w:rPr>
        <w:t xml:space="preserve"> AHP</w:t>
      </w:r>
      <w:r w:rsidRPr="001B5D46">
        <w:rPr>
          <w:rFonts w:eastAsia="Times New Roman" w:cs="Times New Roman"/>
          <w:sz w:val="21"/>
          <w:szCs w:val="24"/>
          <w:lang w:val="en-AU"/>
        </w:rPr>
        <w:t xml:space="preserve"> </w:t>
      </w:r>
      <w:r w:rsidR="00406F84">
        <w:rPr>
          <w:rFonts w:eastAsia="Times New Roman" w:cs="Times New Roman"/>
          <w:sz w:val="21"/>
          <w:szCs w:val="24"/>
          <w:lang w:val="en-AU"/>
        </w:rPr>
        <w:t>Phase II</w:t>
      </w:r>
      <w:r>
        <w:rPr>
          <w:rFonts w:eastAsia="Times New Roman" w:cs="Times New Roman"/>
          <w:sz w:val="21"/>
          <w:szCs w:val="24"/>
          <w:lang w:val="en-AU"/>
        </w:rPr>
        <w:t xml:space="preserve"> </w:t>
      </w:r>
      <w:r w:rsidR="00530616">
        <w:rPr>
          <w:rFonts w:eastAsia="Times New Roman" w:cs="Times New Roman"/>
          <w:sz w:val="21"/>
          <w:szCs w:val="24"/>
          <w:lang w:val="en-AU"/>
        </w:rPr>
        <w:t>has been</w:t>
      </w:r>
      <w:r w:rsidRPr="001B5D46">
        <w:rPr>
          <w:rFonts w:eastAsia="Times New Roman" w:cs="Times New Roman"/>
          <w:sz w:val="21"/>
          <w:szCs w:val="24"/>
          <w:lang w:val="en-AU"/>
        </w:rPr>
        <w:t xml:space="preserve"> refine</w:t>
      </w:r>
      <w:r w:rsidR="00530616">
        <w:rPr>
          <w:rFonts w:eastAsia="Times New Roman" w:cs="Times New Roman"/>
          <w:sz w:val="21"/>
          <w:szCs w:val="24"/>
          <w:lang w:val="en-AU"/>
        </w:rPr>
        <w:t>d</w:t>
      </w:r>
      <w:r w:rsidRPr="001B5D46">
        <w:rPr>
          <w:rFonts w:eastAsia="Times New Roman" w:cs="Times New Roman"/>
          <w:sz w:val="21"/>
          <w:szCs w:val="24"/>
          <w:lang w:val="en-AU"/>
        </w:rPr>
        <w:t xml:space="preserve"> and strengthen</w:t>
      </w:r>
      <w:r w:rsidR="00530616">
        <w:rPr>
          <w:rFonts w:eastAsia="Times New Roman" w:cs="Times New Roman"/>
          <w:sz w:val="21"/>
          <w:szCs w:val="24"/>
          <w:lang w:val="en-AU"/>
        </w:rPr>
        <w:t>ed</w:t>
      </w:r>
      <w:r w:rsidRPr="001B5D46">
        <w:rPr>
          <w:rFonts w:eastAsia="Times New Roman" w:cs="Times New Roman"/>
          <w:sz w:val="21"/>
          <w:szCs w:val="24"/>
          <w:lang w:val="en-AU"/>
        </w:rPr>
        <w:t xml:space="preserve"> to:</w:t>
      </w:r>
    </w:p>
    <w:p w14:paraId="7C6FFC67" w14:textId="68CE6C4A" w:rsidR="00151856" w:rsidRDefault="00151856" w:rsidP="0011591E">
      <w:pPr>
        <w:pStyle w:val="ListParagraph"/>
        <w:numPr>
          <w:ilvl w:val="0"/>
          <w:numId w:val="23"/>
        </w:numPr>
        <w:tabs>
          <w:tab w:val="left" w:pos="284"/>
        </w:tabs>
        <w:suppressAutoHyphens w:val="0"/>
        <w:spacing w:before="60" w:line="280" w:lineRule="exact"/>
        <w:ind w:left="714" w:hanging="357"/>
        <w:contextualSpacing w:val="0"/>
        <w:rPr>
          <w:rFonts w:eastAsia="Times New Roman" w:cs="Times New Roman"/>
          <w:sz w:val="21"/>
          <w:szCs w:val="24"/>
          <w:lang w:val="en-AU"/>
        </w:rPr>
      </w:pPr>
      <w:r w:rsidRPr="003E2C60">
        <w:rPr>
          <w:rFonts w:eastAsia="Times New Roman" w:cs="Times New Roman"/>
          <w:sz w:val="21"/>
          <w:szCs w:val="24"/>
          <w:lang w:val="en-AU"/>
        </w:rPr>
        <w:t>adopt a stronger focus on whole-of-program outcomes</w:t>
      </w:r>
      <w:r w:rsidRPr="00415502">
        <w:rPr>
          <w:rFonts w:eastAsia="Times New Roman" w:cs="Times New Roman"/>
          <w:sz w:val="21"/>
          <w:szCs w:val="24"/>
          <w:lang w:val="en-AU"/>
        </w:rPr>
        <w:t xml:space="preserve"> at the partnership level (relating to the EOPOs and IOs </w:t>
      </w:r>
      <w:r w:rsidR="00BD6FDF">
        <w:rPr>
          <w:rFonts w:eastAsia="Times New Roman" w:cs="Times New Roman"/>
          <w:sz w:val="21"/>
          <w:szCs w:val="24"/>
          <w:lang w:val="en-AU"/>
        </w:rPr>
        <w:t>included in</w:t>
      </w:r>
      <w:r w:rsidR="00BD6FDF" w:rsidRPr="00415502">
        <w:rPr>
          <w:rFonts w:eastAsia="Times New Roman" w:cs="Times New Roman"/>
          <w:sz w:val="21"/>
          <w:szCs w:val="24"/>
          <w:lang w:val="en-AU"/>
        </w:rPr>
        <w:t xml:space="preserve"> </w:t>
      </w:r>
      <w:r w:rsidRPr="00415502">
        <w:rPr>
          <w:rFonts w:eastAsia="Times New Roman" w:cs="Times New Roman"/>
          <w:sz w:val="21"/>
          <w:szCs w:val="24"/>
          <w:lang w:val="en-AU"/>
        </w:rPr>
        <w:t>the program logic);</w:t>
      </w:r>
    </w:p>
    <w:p w14:paraId="521D3F9A" w14:textId="60D18D90" w:rsidR="00191BE5" w:rsidRPr="00415502" w:rsidRDefault="00191BE5" w:rsidP="0011591E">
      <w:pPr>
        <w:pStyle w:val="ListParagraph"/>
        <w:numPr>
          <w:ilvl w:val="0"/>
          <w:numId w:val="23"/>
        </w:numPr>
        <w:tabs>
          <w:tab w:val="left" w:pos="284"/>
        </w:tabs>
        <w:suppressAutoHyphens w:val="0"/>
        <w:spacing w:before="60" w:line="280" w:lineRule="exact"/>
        <w:ind w:left="714" w:hanging="357"/>
        <w:contextualSpacing w:val="0"/>
        <w:rPr>
          <w:rFonts w:eastAsia="Times New Roman" w:cs="Times New Roman"/>
          <w:sz w:val="21"/>
          <w:szCs w:val="24"/>
          <w:lang w:val="en-AU"/>
        </w:rPr>
      </w:pPr>
      <w:bookmarkStart w:id="8" w:name="_Hlk95835522"/>
      <w:r w:rsidRPr="00191BE5">
        <w:rPr>
          <w:rFonts w:eastAsia="Times New Roman" w:cs="Times New Roman"/>
          <w:sz w:val="21"/>
          <w:szCs w:val="24"/>
          <w:lang w:val="en-AU"/>
        </w:rPr>
        <w:t>promote adaption, program improvement and learning through MEL activities</w:t>
      </w:r>
      <w:r>
        <w:rPr>
          <w:rFonts w:eastAsia="Times New Roman" w:cs="Times New Roman"/>
          <w:sz w:val="21"/>
          <w:szCs w:val="24"/>
          <w:lang w:val="en-AU"/>
        </w:rPr>
        <w:t>;</w:t>
      </w:r>
      <w:r w:rsidRPr="00191BE5">
        <w:rPr>
          <w:rFonts w:eastAsia="Times New Roman" w:cs="Times New Roman"/>
          <w:sz w:val="21"/>
          <w:szCs w:val="24"/>
          <w:lang w:val="en-AU"/>
        </w:rPr>
        <w:t xml:space="preserve">  </w:t>
      </w:r>
    </w:p>
    <w:p w14:paraId="6F32F70C" w14:textId="3F383C37" w:rsidR="00151856" w:rsidRPr="00415502" w:rsidRDefault="00230092" w:rsidP="0011591E">
      <w:pPr>
        <w:pStyle w:val="ListParagraph"/>
        <w:numPr>
          <w:ilvl w:val="0"/>
          <w:numId w:val="23"/>
        </w:numPr>
        <w:tabs>
          <w:tab w:val="left" w:pos="284"/>
        </w:tabs>
        <w:suppressAutoHyphens w:val="0"/>
        <w:spacing w:before="60" w:line="280" w:lineRule="exact"/>
        <w:ind w:left="714" w:hanging="357"/>
        <w:contextualSpacing w:val="0"/>
        <w:rPr>
          <w:rFonts w:eastAsia="Times New Roman" w:cs="Times New Roman"/>
          <w:sz w:val="21"/>
          <w:szCs w:val="24"/>
          <w:lang w:val="en-AU"/>
        </w:rPr>
      </w:pPr>
      <w:r>
        <w:rPr>
          <w:rFonts w:eastAsia="Times New Roman" w:cs="Times New Roman"/>
          <w:sz w:val="21"/>
          <w:szCs w:val="24"/>
          <w:lang w:val="en-AU"/>
        </w:rPr>
        <w:t>support</w:t>
      </w:r>
      <w:r w:rsidR="00151856" w:rsidRPr="00415502">
        <w:rPr>
          <w:rFonts w:eastAsia="Times New Roman" w:cs="Times New Roman"/>
          <w:sz w:val="21"/>
          <w:szCs w:val="24"/>
          <w:lang w:val="en-AU"/>
        </w:rPr>
        <w:t xml:space="preserve"> </w:t>
      </w:r>
      <w:r>
        <w:rPr>
          <w:rFonts w:eastAsia="Times New Roman" w:cs="Times New Roman"/>
          <w:sz w:val="21"/>
          <w:szCs w:val="24"/>
          <w:lang w:val="en-AU"/>
        </w:rPr>
        <w:t xml:space="preserve">AHP ANGO </w:t>
      </w:r>
      <w:r w:rsidR="00151856" w:rsidRPr="00415502">
        <w:rPr>
          <w:rFonts w:eastAsia="Times New Roman" w:cs="Times New Roman"/>
          <w:sz w:val="21"/>
          <w:szCs w:val="24"/>
          <w:lang w:val="en-AU"/>
        </w:rPr>
        <w:t xml:space="preserve">Partners to </w:t>
      </w:r>
      <w:r w:rsidR="00C96903">
        <w:rPr>
          <w:rFonts w:eastAsia="Times New Roman" w:cs="Times New Roman"/>
          <w:sz w:val="21"/>
          <w:szCs w:val="24"/>
          <w:lang w:val="en-AU"/>
        </w:rPr>
        <w:t>enable</w:t>
      </w:r>
      <w:r w:rsidR="00151856" w:rsidRPr="003E2C60">
        <w:rPr>
          <w:rFonts w:eastAsia="Times New Roman" w:cs="Times New Roman"/>
          <w:sz w:val="21"/>
          <w:szCs w:val="24"/>
          <w:lang w:val="en-AU"/>
        </w:rPr>
        <w:t xml:space="preserve"> communities and affected populations to engage in and make decisions that improves implementation</w:t>
      </w:r>
      <w:r w:rsidR="00151856" w:rsidRPr="00415502">
        <w:rPr>
          <w:rFonts w:eastAsia="Times New Roman" w:cs="Times New Roman"/>
          <w:sz w:val="21"/>
          <w:szCs w:val="24"/>
          <w:lang w:val="en-AU"/>
        </w:rPr>
        <w:t>;</w:t>
      </w:r>
    </w:p>
    <w:p w14:paraId="113C7C7A" w14:textId="70196017" w:rsidR="00151856" w:rsidRPr="00415502" w:rsidRDefault="00151856" w:rsidP="0011591E">
      <w:pPr>
        <w:pStyle w:val="ListParagraph"/>
        <w:numPr>
          <w:ilvl w:val="0"/>
          <w:numId w:val="23"/>
        </w:numPr>
        <w:tabs>
          <w:tab w:val="left" w:pos="284"/>
        </w:tabs>
        <w:suppressAutoHyphens w:val="0"/>
        <w:spacing w:before="60" w:line="280" w:lineRule="exact"/>
        <w:ind w:left="714" w:hanging="357"/>
        <w:contextualSpacing w:val="0"/>
        <w:rPr>
          <w:rFonts w:eastAsia="Times New Roman" w:cs="Times New Roman"/>
          <w:sz w:val="21"/>
          <w:szCs w:val="24"/>
          <w:lang w:val="en-AU"/>
        </w:rPr>
      </w:pPr>
      <w:r w:rsidRPr="003E2C60">
        <w:rPr>
          <w:rFonts w:eastAsia="Times New Roman" w:cs="Times New Roman"/>
          <w:sz w:val="21"/>
          <w:szCs w:val="24"/>
          <w:lang w:val="en-AU"/>
        </w:rPr>
        <w:t xml:space="preserve">ensure that </w:t>
      </w:r>
      <w:r w:rsidR="000823FC">
        <w:rPr>
          <w:rFonts w:eastAsia="Times New Roman" w:cs="Times New Roman"/>
          <w:sz w:val="21"/>
          <w:szCs w:val="24"/>
          <w:lang w:val="en-AU"/>
        </w:rPr>
        <w:t>a core data set</w:t>
      </w:r>
      <w:r w:rsidRPr="003E2C60">
        <w:rPr>
          <w:rFonts w:eastAsia="Times New Roman" w:cs="Times New Roman"/>
          <w:sz w:val="21"/>
          <w:szCs w:val="24"/>
          <w:lang w:val="en-AU"/>
        </w:rPr>
        <w:t xml:space="preserve"> is available</w:t>
      </w:r>
      <w:r w:rsidRPr="00415502">
        <w:rPr>
          <w:rFonts w:eastAsia="Times New Roman" w:cs="Times New Roman"/>
          <w:sz w:val="21"/>
          <w:szCs w:val="24"/>
          <w:lang w:val="en-AU"/>
        </w:rPr>
        <w:t xml:space="preserve">, so that reporting and information can be made available to different stakeholders as required; </w:t>
      </w:r>
      <w:r w:rsidR="00C10B17">
        <w:rPr>
          <w:rFonts w:eastAsia="Times New Roman" w:cs="Times New Roman"/>
          <w:sz w:val="21"/>
          <w:szCs w:val="24"/>
          <w:lang w:val="en-AU"/>
        </w:rPr>
        <w:t>and</w:t>
      </w:r>
    </w:p>
    <w:p w14:paraId="58800433" w14:textId="23786517" w:rsidR="00151856" w:rsidRPr="00C10B17" w:rsidRDefault="00C10B17" w:rsidP="0011591E">
      <w:pPr>
        <w:pStyle w:val="ListParagraph"/>
        <w:numPr>
          <w:ilvl w:val="0"/>
          <w:numId w:val="23"/>
        </w:numPr>
        <w:tabs>
          <w:tab w:val="left" w:pos="284"/>
        </w:tabs>
        <w:suppressAutoHyphens w:val="0"/>
        <w:spacing w:before="60" w:line="280" w:lineRule="exact"/>
        <w:ind w:left="714" w:hanging="357"/>
        <w:contextualSpacing w:val="0"/>
        <w:rPr>
          <w:rFonts w:eastAsia="Times New Roman" w:cs="Times New Roman"/>
          <w:sz w:val="21"/>
          <w:szCs w:val="24"/>
          <w:lang w:val="en-AU"/>
        </w:rPr>
      </w:pPr>
      <w:r>
        <w:rPr>
          <w:rFonts w:eastAsia="Times New Roman" w:cs="Times New Roman"/>
          <w:sz w:val="21"/>
          <w:szCs w:val="24"/>
          <w:lang w:val="en-AU"/>
        </w:rPr>
        <w:t>r</w:t>
      </w:r>
      <w:r w:rsidRPr="00C10B17">
        <w:rPr>
          <w:rFonts w:eastAsia="Times New Roman" w:cs="Times New Roman"/>
          <w:sz w:val="21"/>
          <w:szCs w:val="24"/>
          <w:lang w:val="en-AU"/>
        </w:rPr>
        <w:t xml:space="preserve">einforce inherent incentives and accountability for strong performance of ANGOs to undertake good </w:t>
      </w:r>
      <w:r w:rsidR="00070348">
        <w:rPr>
          <w:rFonts w:eastAsia="Times New Roman" w:cs="Times New Roman"/>
          <w:sz w:val="21"/>
          <w:szCs w:val="24"/>
          <w:lang w:val="en-AU"/>
        </w:rPr>
        <w:t>MEL</w:t>
      </w:r>
      <w:r w:rsidRPr="00C10B17">
        <w:rPr>
          <w:rFonts w:eastAsia="Times New Roman" w:cs="Times New Roman"/>
          <w:sz w:val="21"/>
          <w:szCs w:val="24"/>
          <w:lang w:val="en-AU"/>
        </w:rPr>
        <w:t xml:space="preserve"> practice, and meet international humanitarian and DFAT standards</w:t>
      </w:r>
      <w:r w:rsidR="00AB086A" w:rsidRPr="00C10B17">
        <w:rPr>
          <w:rFonts w:eastAsia="Times New Roman" w:cs="Times New Roman"/>
          <w:sz w:val="21"/>
          <w:szCs w:val="24"/>
          <w:lang w:val="en-AU"/>
        </w:rPr>
        <w:t>.</w:t>
      </w:r>
      <w:bookmarkEnd w:id="8"/>
    </w:p>
    <w:p w14:paraId="422DF4FD" w14:textId="5DAE9056" w:rsidR="00151856" w:rsidRDefault="00151856" w:rsidP="00881340">
      <w:pPr>
        <w:pStyle w:val="ListParagraph"/>
        <w:tabs>
          <w:tab w:val="left" w:pos="284"/>
        </w:tabs>
        <w:suppressAutoHyphens w:val="0"/>
        <w:spacing w:before="200" w:after="0" w:line="280" w:lineRule="exact"/>
        <w:ind w:left="0"/>
        <w:contextualSpacing w:val="0"/>
        <w:rPr>
          <w:rFonts w:eastAsia="Times New Roman" w:cs="Times New Roman"/>
          <w:sz w:val="21"/>
          <w:szCs w:val="24"/>
          <w:lang w:val="en-AU"/>
        </w:rPr>
      </w:pPr>
      <w:r w:rsidRPr="00853365">
        <w:rPr>
          <w:rFonts w:eastAsia="Times New Roman" w:cs="Times New Roman"/>
          <w:b/>
          <w:bCs/>
          <w:sz w:val="21"/>
          <w:szCs w:val="24"/>
          <w:lang w:val="en-AU"/>
        </w:rPr>
        <w:t>A total of $50 million over 4.5 years is available</w:t>
      </w:r>
      <w:r w:rsidRPr="001B5D46">
        <w:rPr>
          <w:rFonts w:eastAsia="Times New Roman" w:cs="Times New Roman"/>
          <w:sz w:val="21"/>
          <w:szCs w:val="24"/>
          <w:lang w:val="en-AU"/>
        </w:rPr>
        <w:t xml:space="preserve"> for </w:t>
      </w:r>
      <w:r w:rsidR="00DE7799">
        <w:rPr>
          <w:rFonts w:eastAsia="Times New Roman" w:cs="Times New Roman"/>
          <w:sz w:val="21"/>
          <w:szCs w:val="24"/>
          <w:lang w:val="en-AU"/>
        </w:rPr>
        <w:t>Component 1 (</w:t>
      </w:r>
      <w:r w:rsidRPr="001B5D46">
        <w:rPr>
          <w:rFonts w:eastAsia="Times New Roman" w:cs="Times New Roman"/>
          <w:sz w:val="21"/>
          <w:szCs w:val="24"/>
          <w:lang w:val="en-AU"/>
        </w:rPr>
        <w:t>Disaster READY</w:t>
      </w:r>
      <w:r w:rsidR="00DE7799">
        <w:rPr>
          <w:rFonts w:eastAsia="Times New Roman" w:cs="Times New Roman"/>
          <w:sz w:val="21"/>
          <w:szCs w:val="24"/>
          <w:lang w:val="en-AU"/>
        </w:rPr>
        <w:t xml:space="preserve">), Component 3 (partnership learning and practice) and </w:t>
      </w:r>
      <w:r w:rsidRPr="001B5D46">
        <w:rPr>
          <w:rFonts w:eastAsia="Times New Roman" w:cs="Times New Roman"/>
          <w:sz w:val="21"/>
          <w:szCs w:val="24"/>
          <w:lang w:val="en-AU"/>
        </w:rPr>
        <w:t xml:space="preserve">the AHPSU, while funding for Component 2 (rapid onset and protracted crisis responses) will be allocated by DFAT </w:t>
      </w:r>
      <w:r w:rsidR="00530616">
        <w:rPr>
          <w:rFonts w:eastAsia="Times New Roman" w:cs="Times New Roman"/>
          <w:sz w:val="21"/>
          <w:szCs w:val="24"/>
          <w:lang w:val="en-AU"/>
        </w:rPr>
        <w:t xml:space="preserve">on an ad-hoc, as needed basis </w:t>
      </w:r>
      <w:r w:rsidRPr="001B5D46">
        <w:rPr>
          <w:rFonts w:eastAsia="Times New Roman" w:cs="Times New Roman"/>
          <w:sz w:val="21"/>
          <w:szCs w:val="24"/>
          <w:lang w:val="en-AU"/>
        </w:rPr>
        <w:t>through the life of the partnershi</w:t>
      </w:r>
      <w:r>
        <w:rPr>
          <w:rFonts w:eastAsia="Times New Roman" w:cs="Times New Roman"/>
          <w:sz w:val="21"/>
          <w:szCs w:val="24"/>
          <w:lang w:val="en-AU"/>
        </w:rPr>
        <w:t>p</w:t>
      </w:r>
      <w:r w:rsidRPr="001B5D46">
        <w:rPr>
          <w:rFonts w:eastAsia="Times New Roman" w:cs="Times New Roman"/>
          <w:sz w:val="21"/>
          <w:szCs w:val="24"/>
          <w:lang w:val="en-AU"/>
        </w:rPr>
        <w:t xml:space="preserve">. </w:t>
      </w:r>
      <w:r w:rsidR="00DE7799">
        <w:rPr>
          <w:rFonts w:eastAsia="Times New Roman" w:cs="Times New Roman"/>
          <w:sz w:val="21"/>
          <w:szCs w:val="24"/>
          <w:lang w:val="en-AU"/>
        </w:rPr>
        <w:t>Disaster READY</w:t>
      </w:r>
      <w:r w:rsidRPr="001B5D46">
        <w:rPr>
          <w:rFonts w:eastAsia="Times New Roman" w:cs="Times New Roman"/>
          <w:sz w:val="21"/>
          <w:szCs w:val="24"/>
          <w:lang w:val="en-AU"/>
        </w:rPr>
        <w:t xml:space="preserve"> </w:t>
      </w:r>
      <w:r w:rsidR="00530616">
        <w:rPr>
          <w:rFonts w:eastAsia="Times New Roman" w:cs="Times New Roman"/>
          <w:sz w:val="21"/>
          <w:szCs w:val="24"/>
          <w:lang w:val="en-AU"/>
        </w:rPr>
        <w:t xml:space="preserve">costs for </w:t>
      </w:r>
      <w:r w:rsidR="00406F84">
        <w:rPr>
          <w:rFonts w:eastAsia="Times New Roman" w:cs="Times New Roman"/>
          <w:sz w:val="21"/>
          <w:szCs w:val="24"/>
          <w:lang w:val="en-AU"/>
        </w:rPr>
        <w:t>Phase II</w:t>
      </w:r>
      <w:r w:rsidR="00530616">
        <w:rPr>
          <w:rFonts w:eastAsia="Times New Roman" w:cs="Times New Roman"/>
          <w:sz w:val="21"/>
          <w:szCs w:val="24"/>
          <w:lang w:val="en-AU"/>
        </w:rPr>
        <w:t xml:space="preserve"> will</w:t>
      </w:r>
      <w:r w:rsidRPr="001B5D46">
        <w:rPr>
          <w:rFonts w:eastAsia="Times New Roman" w:cs="Times New Roman"/>
          <w:sz w:val="21"/>
          <w:szCs w:val="24"/>
          <w:lang w:val="en-AU"/>
        </w:rPr>
        <w:t xml:space="preserve"> include:</w:t>
      </w:r>
      <w:r>
        <w:rPr>
          <w:rFonts w:eastAsia="Times New Roman" w:cs="Times New Roman"/>
          <w:sz w:val="21"/>
          <w:szCs w:val="24"/>
          <w:lang w:val="en-AU"/>
        </w:rPr>
        <w:t xml:space="preserve"> </w:t>
      </w:r>
      <w:r w:rsidRPr="001B5D46">
        <w:rPr>
          <w:rFonts w:eastAsia="Times New Roman" w:cs="Times New Roman"/>
          <w:sz w:val="21"/>
          <w:szCs w:val="24"/>
          <w:lang w:val="en-AU"/>
        </w:rPr>
        <w:t>ANGO core allocation</w:t>
      </w:r>
      <w:r w:rsidR="00530616">
        <w:rPr>
          <w:rFonts w:eastAsia="Times New Roman" w:cs="Times New Roman"/>
          <w:sz w:val="21"/>
          <w:szCs w:val="24"/>
          <w:lang w:val="en-AU"/>
        </w:rPr>
        <w:t>s</w:t>
      </w:r>
      <w:r w:rsidRPr="001B5D46">
        <w:rPr>
          <w:rFonts w:eastAsia="Times New Roman" w:cs="Times New Roman"/>
          <w:sz w:val="21"/>
          <w:szCs w:val="24"/>
          <w:lang w:val="en-AU"/>
        </w:rPr>
        <w:t xml:space="preserve"> for Disaster READY </w:t>
      </w:r>
      <w:r w:rsidR="00530616">
        <w:rPr>
          <w:rFonts w:eastAsia="Times New Roman" w:cs="Times New Roman"/>
          <w:sz w:val="21"/>
          <w:szCs w:val="24"/>
          <w:lang w:val="en-AU"/>
        </w:rPr>
        <w:t>(</w:t>
      </w:r>
      <w:r w:rsidRPr="001B5D46">
        <w:rPr>
          <w:rFonts w:eastAsia="Times New Roman" w:cs="Times New Roman"/>
          <w:sz w:val="21"/>
          <w:szCs w:val="24"/>
          <w:lang w:val="en-AU"/>
        </w:rPr>
        <w:t>$1</w:t>
      </w:r>
      <w:r w:rsidR="00DE7799">
        <w:rPr>
          <w:rFonts w:eastAsia="Times New Roman" w:cs="Times New Roman"/>
          <w:sz w:val="21"/>
          <w:szCs w:val="24"/>
          <w:lang w:val="en-AU"/>
        </w:rPr>
        <w:t xml:space="preserve">.25 million </w:t>
      </w:r>
      <w:r w:rsidRPr="001B5D46">
        <w:rPr>
          <w:rFonts w:eastAsia="Times New Roman" w:cs="Times New Roman"/>
          <w:sz w:val="21"/>
          <w:szCs w:val="24"/>
          <w:lang w:val="en-AU"/>
        </w:rPr>
        <w:t xml:space="preserve">per </w:t>
      </w:r>
      <w:r w:rsidR="00530616">
        <w:rPr>
          <w:rFonts w:eastAsia="Times New Roman" w:cs="Times New Roman"/>
          <w:sz w:val="21"/>
          <w:szCs w:val="24"/>
          <w:lang w:val="en-AU"/>
        </w:rPr>
        <w:t xml:space="preserve">ANGO per </w:t>
      </w:r>
      <w:r w:rsidRPr="001B5D46">
        <w:rPr>
          <w:rFonts w:eastAsia="Times New Roman" w:cs="Times New Roman"/>
          <w:sz w:val="21"/>
          <w:szCs w:val="24"/>
          <w:lang w:val="en-AU"/>
        </w:rPr>
        <w:t>year</w:t>
      </w:r>
      <w:r w:rsidR="00530616">
        <w:rPr>
          <w:rFonts w:eastAsia="Times New Roman" w:cs="Times New Roman"/>
          <w:sz w:val="21"/>
          <w:szCs w:val="24"/>
          <w:lang w:val="en-AU"/>
        </w:rPr>
        <w:t>)</w:t>
      </w:r>
      <w:r>
        <w:rPr>
          <w:rFonts w:eastAsia="Times New Roman" w:cs="Times New Roman"/>
          <w:sz w:val="21"/>
          <w:szCs w:val="24"/>
          <w:lang w:val="en-AU"/>
        </w:rPr>
        <w:t xml:space="preserve">, and </w:t>
      </w:r>
      <w:r w:rsidR="00D246A5">
        <w:rPr>
          <w:rFonts w:eastAsia="Times New Roman" w:cs="Times New Roman"/>
          <w:sz w:val="21"/>
          <w:szCs w:val="24"/>
          <w:lang w:val="en-AU"/>
        </w:rPr>
        <w:t xml:space="preserve">increased </w:t>
      </w:r>
      <w:r w:rsidR="00C073A3">
        <w:rPr>
          <w:rFonts w:eastAsia="Times New Roman" w:cs="Times New Roman"/>
          <w:sz w:val="21"/>
          <w:szCs w:val="24"/>
          <w:lang w:val="en-AU"/>
        </w:rPr>
        <w:t xml:space="preserve">funds for </w:t>
      </w:r>
      <w:r w:rsidR="00343653">
        <w:rPr>
          <w:rFonts w:eastAsia="Times New Roman" w:cs="Times New Roman"/>
          <w:sz w:val="21"/>
          <w:szCs w:val="24"/>
          <w:lang w:val="en-AU"/>
        </w:rPr>
        <w:t>DRCCs</w:t>
      </w:r>
      <w:r>
        <w:rPr>
          <w:rFonts w:eastAsia="Times New Roman" w:cs="Times New Roman"/>
          <w:sz w:val="21"/>
          <w:szCs w:val="24"/>
          <w:lang w:val="en-AU"/>
        </w:rPr>
        <w:t xml:space="preserve"> (</w:t>
      </w:r>
      <w:r w:rsidR="006748B5">
        <w:rPr>
          <w:rFonts w:eastAsia="Times New Roman" w:cs="Times New Roman"/>
          <w:sz w:val="21"/>
          <w:szCs w:val="24"/>
          <w:lang w:val="en-AU"/>
        </w:rPr>
        <w:t xml:space="preserve">up to </w:t>
      </w:r>
      <w:r>
        <w:rPr>
          <w:rFonts w:eastAsia="Times New Roman" w:cs="Times New Roman"/>
          <w:sz w:val="21"/>
          <w:szCs w:val="24"/>
          <w:lang w:val="en-AU"/>
        </w:rPr>
        <w:t>$</w:t>
      </w:r>
      <w:r w:rsidR="00C073A3">
        <w:rPr>
          <w:rFonts w:eastAsia="Times New Roman" w:cs="Times New Roman"/>
          <w:sz w:val="21"/>
          <w:szCs w:val="24"/>
          <w:lang w:val="en-AU"/>
        </w:rPr>
        <w:t>30</w:t>
      </w:r>
      <w:r>
        <w:rPr>
          <w:rFonts w:eastAsia="Times New Roman" w:cs="Times New Roman"/>
          <w:sz w:val="21"/>
          <w:szCs w:val="24"/>
          <w:lang w:val="en-AU"/>
        </w:rPr>
        <w:t>0,000 per year</w:t>
      </w:r>
      <w:r w:rsidR="00530616">
        <w:rPr>
          <w:rFonts w:eastAsia="Times New Roman" w:cs="Times New Roman"/>
          <w:sz w:val="21"/>
          <w:szCs w:val="24"/>
          <w:lang w:val="en-AU"/>
        </w:rPr>
        <w:t xml:space="preserve"> </w:t>
      </w:r>
      <w:r w:rsidR="00C073A3">
        <w:rPr>
          <w:rFonts w:eastAsia="Times New Roman" w:cs="Times New Roman"/>
          <w:sz w:val="21"/>
          <w:szCs w:val="24"/>
          <w:lang w:val="en-AU"/>
        </w:rPr>
        <w:t>per country</w:t>
      </w:r>
      <w:r>
        <w:rPr>
          <w:rFonts w:eastAsia="Times New Roman" w:cs="Times New Roman"/>
          <w:sz w:val="21"/>
          <w:szCs w:val="24"/>
          <w:lang w:val="en-AU"/>
        </w:rPr>
        <w:t>).</w:t>
      </w:r>
    </w:p>
    <w:p w14:paraId="7599B8D9" w14:textId="27D32264" w:rsidR="00151856" w:rsidRDefault="00151856" w:rsidP="00881340">
      <w:pPr>
        <w:pStyle w:val="ListParagraph"/>
        <w:tabs>
          <w:tab w:val="left" w:pos="284"/>
        </w:tabs>
        <w:suppressAutoHyphens w:val="0"/>
        <w:spacing w:before="200" w:after="0" w:line="280" w:lineRule="exact"/>
        <w:ind w:left="0"/>
        <w:contextualSpacing w:val="0"/>
        <w:rPr>
          <w:rFonts w:eastAsia="Times New Roman" w:cs="Times New Roman"/>
          <w:sz w:val="21"/>
          <w:szCs w:val="24"/>
          <w:lang w:val="en-AU"/>
        </w:rPr>
      </w:pPr>
      <w:r>
        <w:rPr>
          <w:rFonts w:eastAsia="Times New Roman" w:cs="Times New Roman"/>
          <w:b/>
          <w:bCs/>
          <w:sz w:val="21"/>
          <w:szCs w:val="24"/>
          <w:lang w:val="en-AU"/>
        </w:rPr>
        <w:t xml:space="preserve">Risk management </w:t>
      </w:r>
      <w:r w:rsidR="00530616">
        <w:rPr>
          <w:rFonts w:eastAsia="Times New Roman" w:cs="Times New Roman"/>
          <w:b/>
          <w:bCs/>
          <w:sz w:val="21"/>
          <w:szCs w:val="24"/>
          <w:lang w:val="en-AU"/>
        </w:rPr>
        <w:t xml:space="preserve">in </w:t>
      </w:r>
      <w:r w:rsidR="00406F84">
        <w:rPr>
          <w:rFonts w:eastAsia="Times New Roman" w:cs="Times New Roman"/>
          <w:b/>
          <w:bCs/>
          <w:sz w:val="21"/>
          <w:szCs w:val="24"/>
          <w:lang w:val="en-AU"/>
        </w:rPr>
        <w:t>Phase II</w:t>
      </w:r>
      <w:r w:rsidR="00530616">
        <w:rPr>
          <w:rFonts w:eastAsia="Times New Roman" w:cs="Times New Roman"/>
          <w:b/>
          <w:bCs/>
          <w:sz w:val="21"/>
          <w:szCs w:val="24"/>
          <w:lang w:val="en-AU"/>
        </w:rPr>
        <w:t xml:space="preserve"> will continue to be</w:t>
      </w:r>
      <w:r>
        <w:rPr>
          <w:rFonts w:eastAsia="Times New Roman" w:cs="Times New Roman"/>
          <w:b/>
          <w:bCs/>
          <w:sz w:val="21"/>
          <w:szCs w:val="24"/>
          <w:lang w:val="en-AU"/>
        </w:rPr>
        <w:t xml:space="preserve"> shared between partners according to their implementation responsibilities and accountability.  </w:t>
      </w:r>
      <w:r w:rsidRPr="00232353">
        <w:rPr>
          <w:rFonts w:eastAsia="Times New Roman" w:cs="Times New Roman"/>
          <w:sz w:val="21"/>
          <w:szCs w:val="24"/>
          <w:lang w:val="en-AU"/>
        </w:rPr>
        <w:t xml:space="preserve">ANGOs </w:t>
      </w:r>
      <w:r>
        <w:rPr>
          <w:rFonts w:eastAsia="Times New Roman" w:cs="Times New Roman"/>
          <w:sz w:val="21"/>
          <w:szCs w:val="24"/>
          <w:lang w:val="en-AU"/>
        </w:rPr>
        <w:t xml:space="preserve">are responsible for activity implementation and </w:t>
      </w:r>
      <w:r w:rsidR="00530616">
        <w:rPr>
          <w:rFonts w:eastAsia="Times New Roman" w:cs="Times New Roman"/>
          <w:sz w:val="21"/>
          <w:szCs w:val="24"/>
          <w:lang w:val="en-AU"/>
        </w:rPr>
        <w:t xml:space="preserve">downstream </w:t>
      </w:r>
      <w:r>
        <w:rPr>
          <w:rFonts w:eastAsia="Times New Roman" w:cs="Times New Roman"/>
          <w:sz w:val="21"/>
          <w:szCs w:val="24"/>
          <w:lang w:val="en-AU"/>
        </w:rPr>
        <w:t xml:space="preserve">partner compliance including safeguards. The AHPSU is responsible for program-wide risk monitoring, analysis and reporting at the Partnership level.  The Steering </w:t>
      </w:r>
      <w:r w:rsidR="007E33CF">
        <w:rPr>
          <w:rFonts w:eastAsia="Times New Roman" w:cs="Times New Roman"/>
          <w:sz w:val="21"/>
          <w:szCs w:val="24"/>
          <w:lang w:val="en-AU"/>
        </w:rPr>
        <w:t>Committee</w:t>
      </w:r>
      <w:r w:rsidR="00530616">
        <w:rPr>
          <w:rFonts w:eastAsia="Times New Roman" w:cs="Times New Roman"/>
          <w:sz w:val="21"/>
          <w:szCs w:val="24"/>
          <w:lang w:val="en-AU"/>
        </w:rPr>
        <w:t xml:space="preserve"> </w:t>
      </w:r>
      <w:r>
        <w:rPr>
          <w:rFonts w:eastAsia="Times New Roman" w:cs="Times New Roman"/>
          <w:sz w:val="21"/>
          <w:szCs w:val="24"/>
          <w:lang w:val="en-AU"/>
        </w:rPr>
        <w:t xml:space="preserve">and DFAT are responsible for </w:t>
      </w:r>
      <w:r w:rsidR="00530616">
        <w:rPr>
          <w:rFonts w:eastAsia="Times New Roman" w:cs="Times New Roman"/>
          <w:sz w:val="21"/>
          <w:szCs w:val="24"/>
          <w:lang w:val="en-AU"/>
        </w:rPr>
        <w:t xml:space="preserve">monitoring </w:t>
      </w:r>
      <w:r>
        <w:rPr>
          <w:rFonts w:eastAsia="Times New Roman" w:cs="Times New Roman"/>
          <w:sz w:val="21"/>
          <w:szCs w:val="24"/>
          <w:lang w:val="en-AU"/>
        </w:rPr>
        <w:t xml:space="preserve">strategic and policy risks emerging from </w:t>
      </w:r>
      <w:r w:rsidR="00530616">
        <w:rPr>
          <w:rFonts w:eastAsia="Times New Roman" w:cs="Times New Roman"/>
          <w:sz w:val="21"/>
          <w:szCs w:val="24"/>
          <w:lang w:val="en-AU"/>
        </w:rPr>
        <w:t xml:space="preserve">the </w:t>
      </w:r>
      <w:r>
        <w:rPr>
          <w:rFonts w:eastAsia="Times New Roman" w:cs="Times New Roman"/>
          <w:sz w:val="21"/>
          <w:szCs w:val="24"/>
          <w:lang w:val="en-AU"/>
        </w:rPr>
        <w:t>changing context or performance of partners under the program.</w:t>
      </w:r>
    </w:p>
    <w:p w14:paraId="4CC4EDE4" w14:textId="77777777" w:rsidR="0047031F" w:rsidRDefault="0047031F" w:rsidP="0047031F">
      <w:pPr>
        <w:pStyle w:val="ListParagraph"/>
        <w:tabs>
          <w:tab w:val="left" w:pos="284"/>
        </w:tabs>
        <w:suppressAutoHyphens w:val="0"/>
        <w:spacing w:before="0" w:line="280" w:lineRule="exact"/>
        <w:ind w:left="0"/>
        <w:contextualSpacing w:val="0"/>
        <w:rPr>
          <w:rFonts w:eastAsia="Times New Roman" w:cs="Times New Roman"/>
          <w:sz w:val="21"/>
          <w:szCs w:val="24"/>
          <w:lang w:val="en-AU"/>
        </w:rPr>
      </w:pPr>
    </w:p>
    <w:p w14:paraId="39E714E7" w14:textId="77777777" w:rsidR="0047031F" w:rsidRDefault="0047031F" w:rsidP="0047031F">
      <w:pPr>
        <w:suppressAutoHyphens w:val="0"/>
        <w:spacing w:before="0" w:after="120" w:line="440" w:lineRule="atLeast"/>
        <w:rPr>
          <w:rFonts w:eastAsia="Times New Roman" w:cs="Times New Roman"/>
          <w:sz w:val="21"/>
          <w:szCs w:val="24"/>
          <w:lang w:val="en-AU"/>
        </w:rPr>
      </w:pPr>
    </w:p>
    <w:p w14:paraId="7119A9EC" w14:textId="77777777" w:rsidR="0047031F" w:rsidRDefault="0047031F" w:rsidP="0047031F">
      <w:pPr>
        <w:suppressAutoHyphens w:val="0"/>
        <w:spacing w:before="0" w:after="120" w:line="440" w:lineRule="atLeast"/>
        <w:rPr>
          <w:rFonts w:eastAsia="Times New Roman" w:cs="Times New Roman"/>
          <w:sz w:val="21"/>
          <w:szCs w:val="24"/>
          <w:lang w:val="en-AU"/>
        </w:rPr>
      </w:pPr>
      <w:r>
        <w:rPr>
          <w:rFonts w:eastAsia="Times New Roman" w:cs="Times New Roman"/>
          <w:sz w:val="21"/>
          <w:szCs w:val="24"/>
          <w:lang w:val="en-AU"/>
        </w:rPr>
        <w:br w:type="page"/>
      </w:r>
    </w:p>
    <w:p w14:paraId="0098B1EF" w14:textId="77777777" w:rsidR="0047031F" w:rsidRPr="00F6083E" w:rsidRDefault="0047031F" w:rsidP="0047031F">
      <w:pPr>
        <w:suppressAutoHyphens w:val="0"/>
        <w:spacing w:before="0" w:after="120" w:line="440" w:lineRule="atLeast"/>
        <w:rPr>
          <w:rFonts w:eastAsia="Times New Roman" w:cs="Times New Roman"/>
          <w:b/>
          <w:bCs/>
          <w:sz w:val="21"/>
          <w:szCs w:val="24"/>
          <w:lang w:val="en-AU"/>
        </w:rPr>
      </w:pPr>
      <w:r w:rsidRPr="00F6083E">
        <w:rPr>
          <w:rFonts w:eastAsia="Times New Roman" w:cs="Times New Roman"/>
          <w:b/>
          <w:bCs/>
          <w:sz w:val="21"/>
          <w:szCs w:val="24"/>
          <w:lang w:val="en-AU"/>
        </w:rPr>
        <w:lastRenderedPageBreak/>
        <w:t>TABLE OF CONTENTS</w:t>
      </w:r>
    </w:p>
    <w:p w14:paraId="5E9721B9" w14:textId="7D1E7686" w:rsidR="00B33E61" w:rsidRDefault="0047031F">
      <w:pPr>
        <w:pStyle w:val="TOC1"/>
        <w:rPr>
          <w:rFonts w:eastAsiaTheme="minorEastAsia"/>
          <w:b w:val="0"/>
          <w:caps w:val="0"/>
          <w:noProof/>
          <w:sz w:val="22"/>
          <w:lang w:val="en-AU" w:eastAsia="en-AU"/>
        </w:rPr>
      </w:pPr>
      <w:r>
        <w:rPr>
          <w:rFonts w:eastAsia="Times New Roman" w:cs="Times New Roman"/>
          <w:sz w:val="21"/>
          <w:szCs w:val="24"/>
          <w:lang w:val="en-AU"/>
        </w:rPr>
        <w:fldChar w:fldCharType="begin"/>
      </w:r>
      <w:r>
        <w:rPr>
          <w:rFonts w:eastAsia="Times New Roman" w:cs="Times New Roman"/>
          <w:sz w:val="21"/>
          <w:szCs w:val="24"/>
          <w:lang w:val="en-AU"/>
        </w:rPr>
        <w:instrText xml:space="preserve"> TOC \o "1-3" \h \z \u </w:instrText>
      </w:r>
      <w:r>
        <w:rPr>
          <w:rFonts w:eastAsia="Times New Roman" w:cs="Times New Roman"/>
          <w:sz w:val="21"/>
          <w:szCs w:val="24"/>
          <w:lang w:val="en-AU"/>
        </w:rPr>
        <w:fldChar w:fldCharType="separate"/>
      </w:r>
      <w:hyperlink w:anchor="_Toc101521647" w:history="1">
        <w:r w:rsidR="00B33E61" w:rsidRPr="00B623B3">
          <w:rPr>
            <w:rStyle w:val="Hyperlink"/>
            <w:noProof/>
          </w:rPr>
          <w:t>Executive Summary</w:t>
        </w:r>
        <w:r w:rsidR="00B33E61">
          <w:rPr>
            <w:noProof/>
            <w:webHidden/>
          </w:rPr>
          <w:tab/>
        </w:r>
        <w:r w:rsidR="00B33E61">
          <w:rPr>
            <w:noProof/>
            <w:webHidden/>
          </w:rPr>
          <w:fldChar w:fldCharType="begin"/>
        </w:r>
        <w:r w:rsidR="00B33E61">
          <w:rPr>
            <w:noProof/>
            <w:webHidden/>
          </w:rPr>
          <w:instrText xml:space="preserve"> PAGEREF _Toc101521647 \h </w:instrText>
        </w:r>
        <w:r w:rsidR="00B33E61">
          <w:rPr>
            <w:noProof/>
            <w:webHidden/>
          </w:rPr>
        </w:r>
        <w:r w:rsidR="00B33E61">
          <w:rPr>
            <w:noProof/>
            <w:webHidden/>
          </w:rPr>
          <w:fldChar w:fldCharType="separate"/>
        </w:r>
        <w:r w:rsidR="000B1612">
          <w:rPr>
            <w:noProof/>
            <w:webHidden/>
          </w:rPr>
          <w:t>ii</w:t>
        </w:r>
        <w:r w:rsidR="00B33E61">
          <w:rPr>
            <w:noProof/>
            <w:webHidden/>
          </w:rPr>
          <w:fldChar w:fldCharType="end"/>
        </w:r>
      </w:hyperlink>
    </w:p>
    <w:p w14:paraId="66F59956" w14:textId="0B28A906" w:rsidR="00B33E61" w:rsidRDefault="009374DF">
      <w:pPr>
        <w:pStyle w:val="TOC1"/>
        <w:rPr>
          <w:rFonts w:eastAsiaTheme="minorEastAsia"/>
          <w:b w:val="0"/>
          <w:caps w:val="0"/>
          <w:noProof/>
          <w:sz w:val="22"/>
          <w:lang w:val="en-AU" w:eastAsia="en-AU"/>
        </w:rPr>
      </w:pPr>
      <w:hyperlink w:anchor="_Toc101521648" w:history="1">
        <w:r w:rsidR="00B33E61" w:rsidRPr="00B623B3">
          <w:rPr>
            <w:rStyle w:val="Hyperlink"/>
            <w:noProof/>
          </w:rPr>
          <w:t>A.</w:t>
        </w:r>
        <w:r w:rsidR="00B33E61">
          <w:rPr>
            <w:rFonts w:eastAsiaTheme="minorEastAsia"/>
            <w:b w:val="0"/>
            <w:caps w:val="0"/>
            <w:noProof/>
            <w:sz w:val="22"/>
            <w:lang w:val="en-AU" w:eastAsia="en-AU"/>
          </w:rPr>
          <w:tab/>
        </w:r>
        <w:r w:rsidR="00B33E61" w:rsidRPr="00B623B3">
          <w:rPr>
            <w:rStyle w:val="Hyperlink"/>
            <w:noProof/>
          </w:rPr>
          <w:t>Introduction</w:t>
        </w:r>
        <w:r w:rsidR="00B33E61">
          <w:rPr>
            <w:noProof/>
            <w:webHidden/>
          </w:rPr>
          <w:tab/>
        </w:r>
        <w:r w:rsidR="00B33E61">
          <w:rPr>
            <w:noProof/>
            <w:webHidden/>
          </w:rPr>
          <w:fldChar w:fldCharType="begin"/>
        </w:r>
        <w:r w:rsidR="00B33E61">
          <w:rPr>
            <w:noProof/>
            <w:webHidden/>
          </w:rPr>
          <w:instrText xml:space="preserve"> PAGEREF _Toc101521648 \h </w:instrText>
        </w:r>
        <w:r w:rsidR="00B33E61">
          <w:rPr>
            <w:noProof/>
            <w:webHidden/>
          </w:rPr>
        </w:r>
        <w:r w:rsidR="00B33E61">
          <w:rPr>
            <w:noProof/>
            <w:webHidden/>
          </w:rPr>
          <w:fldChar w:fldCharType="separate"/>
        </w:r>
        <w:r w:rsidR="000B1612">
          <w:rPr>
            <w:noProof/>
            <w:webHidden/>
          </w:rPr>
          <w:t>1</w:t>
        </w:r>
        <w:r w:rsidR="00B33E61">
          <w:rPr>
            <w:noProof/>
            <w:webHidden/>
          </w:rPr>
          <w:fldChar w:fldCharType="end"/>
        </w:r>
      </w:hyperlink>
    </w:p>
    <w:p w14:paraId="77085DFE" w14:textId="53363C6D" w:rsidR="00B33E61" w:rsidRDefault="009374DF">
      <w:pPr>
        <w:pStyle w:val="TOC1"/>
        <w:rPr>
          <w:rFonts w:eastAsiaTheme="minorEastAsia"/>
          <w:b w:val="0"/>
          <w:caps w:val="0"/>
          <w:noProof/>
          <w:sz w:val="22"/>
          <w:lang w:val="en-AU" w:eastAsia="en-AU"/>
        </w:rPr>
      </w:pPr>
      <w:hyperlink w:anchor="_Toc101521649" w:history="1">
        <w:r w:rsidR="00B33E61" w:rsidRPr="00B623B3">
          <w:rPr>
            <w:rStyle w:val="Hyperlink"/>
            <w:noProof/>
          </w:rPr>
          <w:t>B.</w:t>
        </w:r>
        <w:r w:rsidR="00B33E61">
          <w:rPr>
            <w:rFonts w:eastAsiaTheme="minorEastAsia"/>
            <w:b w:val="0"/>
            <w:caps w:val="0"/>
            <w:noProof/>
            <w:sz w:val="22"/>
            <w:lang w:val="en-AU" w:eastAsia="en-AU"/>
          </w:rPr>
          <w:tab/>
        </w:r>
        <w:r w:rsidR="00B33E61" w:rsidRPr="00B623B3">
          <w:rPr>
            <w:rStyle w:val="Hyperlink"/>
            <w:noProof/>
          </w:rPr>
          <w:t>Development Context and Situational Analysis (What problem are we addressing?)</w:t>
        </w:r>
        <w:r w:rsidR="00B33E61">
          <w:rPr>
            <w:noProof/>
            <w:webHidden/>
          </w:rPr>
          <w:tab/>
        </w:r>
        <w:r w:rsidR="00B33E61">
          <w:rPr>
            <w:noProof/>
            <w:webHidden/>
          </w:rPr>
          <w:fldChar w:fldCharType="begin"/>
        </w:r>
        <w:r w:rsidR="00B33E61">
          <w:rPr>
            <w:noProof/>
            <w:webHidden/>
          </w:rPr>
          <w:instrText xml:space="preserve"> PAGEREF _Toc101521649 \h </w:instrText>
        </w:r>
        <w:r w:rsidR="00B33E61">
          <w:rPr>
            <w:noProof/>
            <w:webHidden/>
          </w:rPr>
        </w:r>
        <w:r w:rsidR="00B33E61">
          <w:rPr>
            <w:noProof/>
            <w:webHidden/>
          </w:rPr>
          <w:fldChar w:fldCharType="separate"/>
        </w:r>
        <w:r w:rsidR="000B1612">
          <w:rPr>
            <w:noProof/>
            <w:webHidden/>
          </w:rPr>
          <w:t>2</w:t>
        </w:r>
        <w:r w:rsidR="00B33E61">
          <w:rPr>
            <w:noProof/>
            <w:webHidden/>
          </w:rPr>
          <w:fldChar w:fldCharType="end"/>
        </w:r>
      </w:hyperlink>
    </w:p>
    <w:p w14:paraId="170ACCBE" w14:textId="6E3981DB" w:rsidR="00B33E61" w:rsidRDefault="009374DF">
      <w:pPr>
        <w:pStyle w:val="TOC1"/>
        <w:rPr>
          <w:rFonts w:eastAsiaTheme="minorEastAsia"/>
          <w:b w:val="0"/>
          <w:caps w:val="0"/>
          <w:noProof/>
          <w:sz w:val="22"/>
          <w:lang w:val="en-AU" w:eastAsia="en-AU"/>
        </w:rPr>
      </w:pPr>
      <w:hyperlink w:anchor="_Toc101521650" w:history="1">
        <w:r w:rsidR="00B33E61" w:rsidRPr="00B623B3">
          <w:rPr>
            <w:rStyle w:val="Hyperlink"/>
            <w:noProof/>
          </w:rPr>
          <w:t>C.</w:t>
        </w:r>
        <w:r w:rsidR="00B33E61">
          <w:rPr>
            <w:rFonts w:eastAsiaTheme="minorEastAsia"/>
            <w:b w:val="0"/>
            <w:caps w:val="0"/>
            <w:noProof/>
            <w:sz w:val="22"/>
            <w:lang w:val="en-AU" w:eastAsia="en-AU"/>
          </w:rPr>
          <w:tab/>
        </w:r>
        <w:r w:rsidR="00B33E61" w:rsidRPr="00B623B3">
          <w:rPr>
            <w:rStyle w:val="Hyperlink"/>
            <w:noProof/>
          </w:rPr>
          <w:t>Strategic Intent and Rationale (Why?)</w:t>
        </w:r>
        <w:r w:rsidR="00B33E61">
          <w:rPr>
            <w:noProof/>
            <w:webHidden/>
          </w:rPr>
          <w:tab/>
        </w:r>
        <w:r w:rsidR="00B33E61">
          <w:rPr>
            <w:noProof/>
            <w:webHidden/>
          </w:rPr>
          <w:fldChar w:fldCharType="begin"/>
        </w:r>
        <w:r w:rsidR="00B33E61">
          <w:rPr>
            <w:noProof/>
            <w:webHidden/>
          </w:rPr>
          <w:instrText xml:space="preserve"> PAGEREF _Toc101521650 \h </w:instrText>
        </w:r>
        <w:r w:rsidR="00B33E61">
          <w:rPr>
            <w:noProof/>
            <w:webHidden/>
          </w:rPr>
        </w:r>
        <w:r w:rsidR="00B33E61">
          <w:rPr>
            <w:noProof/>
            <w:webHidden/>
          </w:rPr>
          <w:fldChar w:fldCharType="separate"/>
        </w:r>
        <w:r w:rsidR="000B1612">
          <w:rPr>
            <w:noProof/>
            <w:webHidden/>
          </w:rPr>
          <w:t>4</w:t>
        </w:r>
        <w:r w:rsidR="00B33E61">
          <w:rPr>
            <w:noProof/>
            <w:webHidden/>
          </w:rPr>
          <w:fldChar w:fldCharType="end"/>
        </w:r>
      </w:hyperlink>
    </w:p>
    <w:p w14:paraId="145D450E" w14:textId="04D3D0A1" w:rsidR="00B33E61" w:rsidRDefault="009374DF">
      <w:pPr>
        <w:pStyle w:val="TOC1"/>
        <w:rPr>
          <w:rFonts w:eastAsiaTheme="minorEastAsia"/>
          <w:b w:val="0"/>
          <w:caps w:val="0"/>
          <w:noProof/>
          <w:sz w:val="22"/>
          <w:lang w:val="en-AU" w:eastAsia="en-AU"/>
        </w:rPr>
      </w:pPr>
      <w:hyperlink w:anchor="_Toc101521651" w:history="1">
        <w:r w:rsidR="00B33E61" w:rsidRPr="00B623B3">
          <w:rPr>
            <w:rStyle w:val="Hyperlink"/>
            <w:noProof/>
          </w:rPr>
          <w:t>D.</w:t>
        </w:r>
        <w:r w:rsidR="00B33E61">
          <w:rPr>
            <w:rFonts w:eastAsiaTheme="minorEastAsia"/>
            <w:b w:val="0"/>
            <w:caps w:val="0"/>
            <w:noProof/>
            <w:sz w:val="22"/>
            <w:lang w:val="en-AU" w:eastAsia="en-AU"/>
          </w:rPr>
          <w:tab/>
        </w:r>
        <w:r w:rsidR="00B33E61" w:rsidRPr="00B623B3">
          <w:rPr>
            <w:rStyle w:val="Hyperlink"/>
            <w:noProof/>
          </w:rPr>
          <w:t>Proposed Outcomes and Investment Options (What?)</w:t>
        </w:r>
        <w:r w:rsidR="00B33E61">
          <w:rPr>
            <w:noProof/>
            <w:webHidden/>
          </w:rPr>
          <w:tab/>
        </w:r>
        <w:r w:rsidR="00B33E61">
          <w:rPr>
            <w:noProof/>
            <w:webHidden/>
          </w:rPr>
          <w:fldChar w:fldCharType="begin"/>
        </w:r>
        <w:r w:rsidR="00B33E61">
          <w:rPr>
            <w:noProof/>
            <w:webHidden/>
          </w:rPr>
          <w:instrText xml:space="preserve"> PAGEREF _Toc101521651 \h </w:instrText>
        </w:r>
        <w:r w:rsidR="00B33E61">
          <w:rPr>
            <w:noProof/>
            <w:webHidden/>
          </w:rPr>
        </w:r>
        <w:r w:rsidR="00B33E61">
          <w:rPr>
            <w:noProof/>
            <w:webHidden/>
          </w:rPr>
          <w:fldChar w:fldCharType="separate"/>
        </w:r>
        <w:r w:rsidR="000B1612">
          <w:rPr>
            <w:noProof/>
            <w:webHidden/>
          </w:rPr>
          <w:t>7</w:t>
        </w:r>
        <w:r w:rsidR="00B33E61">
          <w:rPr>
            <w:noProof/>
            <w:webHidden/>
          </w:rPr>
          <w:fldChar w:fldCharType="end"/>
        </w:r>
      </w:hyperlink>
    </w:p>
    <w:p w14:paraId="592EEE1F" w14:textId="46D48E28" w:rsidR="00B33E61" w:rsidRDefault="009374DF">
      <w:pPr>
        <w:pStyle w:val="TOC2"/>
        <w:rPr>
          <w:rFonts w:eastAsiaTheme="minorEastAsia"/>
          <w:noProof/>
          <w:color w:val="auto"/>
          <w:lang w:val="en-AU" w:eastAsia="en-AU"/>
        </w:rPr>
      </w:pPr>
      <w:hyperlink w:anchor="_Toc101521652" w:history="1">
        <w:r w:rsidR="00B33E61" w:rsidRPr="00B623B3">
          <w:rPr>
            <w:rStyle w:val="Hyperlink"/>
            <w:i/>
            <w:iCs/>
            <w:noProof/>
          </w:rPr>
          <w:t>Program Logic</w:t>
        </w:r>
        <w:r w:rsidR="00B33E61">
          <w:rPr>
            <w:noProof/>
            <w:webHidden/>
          </w:rPr>
          <w:tab/>
        </w:r>
        <w:r w:rsidR="00B33E61">
          <w:rPr>
            <w:noProof/>
            <w:webHidden/>
          </w:rPr>
          <w:fldChar w:fldCharType="begin"/>
        </w:r>
        <w:r w:rsidR="00B33E61">
          <w:rPr>
            <w:noProof/>
            <w:webHidden/>
          </w:rPr>
          <w:instrText xml:space="preserve"> PAGEREF _Toc101521652 \h </w:instrText>
        </w:r>
        <w:r w:rsidR="00B33E61">
          <w:rPr>
            <w:noProof/>
            <w:webHidden/>
          </w:rPr>
        </w:r>
        <w:r w:rsidR="00B33E61">
          <w:rPr>
            <w:noProof/>
            <w:webHidden/>
          </w:rPr>
          <w:fldChar w:fldCharType="separate"/>
        </w:r>
        <w:r w:rsidR="000B1612">
          <w:rPr>
            <w:noProof/>
            <w:webHidden/>
          </w:rPr>
          <w:t>7</w:t>
        </w:r>
        <w:r w:rsidR="00B33E61">
          <w:rPr>
            <w:noProof/>
            <w:webHidden/>
          </w:rPr>
          <w:fldChar w:fldCharType="end"/>
        </w:r>
      </w:hyperlink>
    </w:p>
    <w:p w14:paraId="7871F266" w14:textId="38E26281" w:rsidR="00B33E61" w:rsidRDefault="009374DF">
      <w:pPr>
        <w:pStyle w:val="TOC2"/>
        <w:rPr>
          <w:rFonts w:eastAsiaTheme="minorEastAsia"/>
          <w:noProof/>
          <w:color w:val="auto"/>
          <w:lang w:val="en-AU" w:eastAsia="en-AU"/>
        </w:rPr>
      </w:pPr>
      <w:hyperlink w:anchor="_Toc101521653" w:history="1">
        <w:r w:rsidR="00B33E61" w:rsidRPr="00B623B3">
          <w:rPr>
            <w:rStyle w:val="Hyperlink"/>
            <w:i/>
            <w:iCs/>
            <w:noProof/>
          </w:rPr>
          <w:t>Delivery Approach</w:t>
        </w:r>
        <w:r w:rsidR="00B33E61">
          <w:rPr>
            <w:noProof/>
            <w:webHidden/>
          </w:rPr>
          <w:tab/>
        </w:r>
        <w:r w:rsidR="00B33E61">
          <w:rPr>
            <w:noProof/>
            <w:webHidden/>
          </w:rPr>
          <w:fldChar w:fldCharType="begin"/>
        </w:r>
        <w:r w:rsidR="00B33E61">
          <w:rPr>
            <w:noProof/>
            <w:webHidden/>
          </w:rPr>
          <w:instrText xml:space="preserve"> PAGEREF _Toc101521653 \h </w:instrText>
        </w:r>
        <w:r w:rsidR="00B33E61">
          <w:rPr>
            <w:noProof/>
            <w:webHidden/>
          </w:rPr>
        </w:r>
        <w:r w:rsidR="00B33E61">
          <w:rPr>
            <w:noProof/>
            <w:webHidden/>
          </w:rPr>
          <w:fldChar w:fldCharType="separate"/>
        </w:r>
        <w:r w:rsidR="000B1612">
          <w:rPr>
            <w:noProof/>
            <w:webHidden/>
          </w:rPr>
          <w:t>9</w:t>
        </w:r>
        <w:r w:rsidR="00B33E61">
          <w:rPr>
            <w:noProof/>
            <w:webHidden/>
          </w:rPr>
          <w:fldChar w:fldCharType="end"/>
        </w:r>
      </w:hyperlink>
    </w:p>
    <w:p w14:paraId="466D3CC6" w14:textId="246CAE18" w:rsidR="00B33E61" w:rsidRDefault="009374DF">
      <w:pPr>
        <w:pStyle w:val="TOC2"/>
        <w:rPr>
          <w:rFonts w:eastAsiaTheme="minorEastAsia"/>
          <w:noProof/>
          <w:color w:val="auto"/>
          <w:lang w:val="en-AU" w:eastAsia="en-AU"/>
        </w:rPr>
      </w:pPr>
      <w:hyperlink w:anchor="_Toc101521654" w:history="1">
        <w:r w:rsidR="00B33E61" w:rsidRPr="00B623B3">
          <w:rPr>
            <w:rStyle w:val="Hyperlink"/>
            <w:i/>
            <w:iCs/>
            <w:noProof/>
          </w:rPr>
          <w:t>Program Principles</w:t>
        </w:r>
        <w:r w:rsidR="00B33E61">
          <w:rPr>
            <w:noProof/>
            <w:webHidden/>
          </w:rPr>
          <w:tab/>
        </w:r>
        <w:r w:rsidR="00B33E61">
          <w:rPr>
            <w:noProof/>
            <w:webHidden/>
          </w:rPr>
          <w:fldChar w:fldCharType="begin"/>
        </w:r>
        <w:r w:rsidR="00B33E61">
          <w:rPr>
            <w:noProof/>
            <w:webHidden/>
          </w:rPr>
          <w:instrText xml:space="preserve"> PAGEREF _Toc101521654 \h </w:instrText>
        </w:r>
        <w:r w:rsidR="00B33E61">
          <w:rPr>
            <w:noProof/>
            <w:webHidden/>
          </w:rPr>
        </w:r>
        <w:r w:rsidR="00B33E61">
          <w:rPr>
            <w:noProof/>
            <w:webHidden/>
          </w:rPr>
          <w:fldChar w:fldCharType="separate"/>
        </w:r>
        <w:r w:rsidR="000B1612">
          <w:rPr>
            <w:noProof/>
            <w:webHidden/>
          </w:rPr>
          <w:t>10</w:t>
        </w:r>
        <w:r w:rsidR="00B33E61">
          <w:rPr>
            <w:noProof/>
            <w:webHidden/>
          </w:rPr>
          <w:fldChar w:fldCharType="end"/>
        </w:r>
      </w:hyperlink>
    </w:p>
    <w:p w14:paraId="67C14C5F" w14:textId="05994CBE" w:rsidR="00B33E61" w:rsidRDefault="009374DF">
      <w:pPr>
        <w:pStyle w:val="TOC1"/>
        <w:rPr>
          <w:rFonts w:eastAsiaTheme="minorEastAsia"/>
          <w:b w:val="0"/>
          <w:caps w:val="0"/>
          <w:noProof/>
          <w:sz w:val="22"/>
          <w:lang w:val="en-AU" w:eastAsia="en-AU"/>
        </w:rPr>
      </w:pPr>
      <w:hyperlink w:anchor="_Toc101521655" w:history="1">
        <w:r w:rsidR="00B33E61" w:rsidRPr="00B623B3">
          <w:rPr>
            <w:rStyle w:val="Hyperlink"/>
            <w:noProof/>
          </w:rPr>
          <w:t>E.</w:t>
        </w:r>
        <w:r w:rsidR="00B33E61">
          <w:rPr>
            <w:rFonts w:eastAsiaTheme="minorEastAsia"/>
            <w:b w:val="0"/>
            <w:caps w:val="0"/>
            <w:noProof/>
            <w:sz w:val="22"/>
            <w:lang w:val="en-AU" w:eastAsia="en-AU"/>
          </w:rPr>
          <w:tab/>
        </w:r>
        <w:r w:rsidR="00B33E61" w:rsidRPr="00B623B3">
          <w:rPr>
            <w:rStyle w:val="Hyperlink"/>
            <w:noProof/>
          </w:rPr>
          <w:t>GoVERNANCE AND MANAGEMENT Arrangements</w:t>
        </w:r>
        <w:r w:rsidR="00B33E61">
          <w:rPr>
            <w:noProof/>
            <w:webHidden/>
          </w:rPr>
          <w:tab/>
        </w:r>
        <w:r w:rsidR="00B33E61">
          <w:rPr>
            <w:noProof/>
            <w:webHidden/>
          </w:rPr>
          <w:fldChar w:fldCharType="begin"/>
        </w:r>
        <w:r w:rsidR="00B33E61">
          <w:rPr>
            <w:noProof/>
            <w:webHidden/>
          </w:rPr>
          <w:instrText xml:space="preserve"> PAGEREF _Toc101521655 \h </w:instrText>
        </w:r>
        <w:r w:rsidR="00B33E61">
          <w:rPr>
            <w:noProof/>
            <w:webHidden/>
          </w:rPr>
        </w:r>
        <w:r w:rsidR="00B33E61">
          <w:rPr>
            <w:noProof/>
            <w:webHidden/>
          </w:rPr>
          <w:fldChar w:fldCharType="separate"/>
        </w:r>
        <w:r w:rsidR="000B1612">
          <w:rPr>
            <w:noProof/>
            <w:webHidden/>
          </w:rPr>
          <w:t>11</w:t>
        </w:r>
        <w:r w:rsidR="00B33E61">
          <w:rPr>
            <w:noProof/>
            <w:webHidden/>
          </w:rPr>
          <w:fldChar w:fldCharType="end"/>
        </w:r>
      </w:hyperlink>
    </w:p>
    <w:p w14:paraId="7D9BCD8C" w14:textId="5B0D3412" w:rsidR="00B33E61" w:rsidRDefault="009374DF">
      <w:pPr>
        <w:pStyle w:val="TOC2"/>
        <w:rPr>
          <w:rFonts w:eastAsiaTheme="minorEastAsia"/>
          <w:noProof/>
          <w:color w:val="auto"/>
          <w:lang w:val="en-AU" w:eastAsia="en-AU"/>
        </w:rPr>
      </w:pPr>
      <w:hyperlink w:anchor="_Toc101521656" w:history="1">
        <w:r w:rsidR="00B33E61" w:rsidRPr="00B623B3">
          <w:rPr>
            <w:rStyle w:val="Hyperlink"/>
            <w:i/>
            <w:iCs/>
            <w:noProof/>
          </w:rPr>
          <w:t>Governance Arrangements</w:t>
        </w:r>
        <w:r w:rsidR="00B33E61">
          <w:rPr>
            <w:noProof/>
            <w:webHidden/>
          </w:rPr>
          <w:tab/>
        </w:r>
        <w:r w:rsidR="00B33E61">
          <w:rPr>
            <w:noProof/>
            <w:webHidden/>
          </w:rPr>
          <w:fldChar w:fldCharType="begin"/>
        </w:r>
        <w:r w:rsidR="00B33E61">
          <w:rPr>
            <w:noProof/>
            <w:webHidden/>
          </w:rPr>
          <w:instrText xml:space="preserve"> PAGEREF _Toc101521656 \h </w:instrText>
        </w:r>
        <w:r w:rsidR="00B33E61">
          <w:rPr>
            <w:noProof/>
            <w:webHidden/>
          </w:rPr>
        </w:r>
        <w:r w:rsidR="00B33E61">
          <w:rPr>
            <w:noProof/>
            <w:webHidden/>
          </w:rPr>
          <w:fldChar w:fldCharType="separate"/>
        </w:r>
        <w:r w:rsidR="000B1612">
          <w:rPr>
            <w:noProof/>
            <w:webHidden/>
          </w:rPr>
          <w:t>11</w:t>
        </w:r>
        <w:r w:rsidR="00B33E61">
          <w:rPr>
            <w:noProof/>
            <w:webHidden/>
          </w:rPr>
          <w:fldChar w:fldCharType="end"/>
        </w:r>
      </w:hyperlink>
    </w:p>
    <w:p w14:paraId="5D29696C" w14:textId="468D5372" w:rsidR="00B33E61" w:rsidRDefault="009374DF">
      <w:pPr>
        <w:pStyle w:val="TOC2"/>
        <w:rPr>
          <w:rFonts w:eastAsiaTheme="minorEastAsia"/>
          <w:noProof/>
          <w:color w:val="auto"/>
          <w:lang w:val="en-AU" w:eastAsia="en-AU"/>
        </w:rPr>
      </w:pPr>
      <w:hyperlink w:anchor="_Toc101521657" w:history="1">
        <w:r w:rsidR="00B33E61" w:rsidRPr="00B623B3">
          <w:rPr>
            <w:rStyle w:val="Hyperlink"/>
            <w:i/>
            <w:iCs/>
            <w:noProof/>
          </w:rPr>
          <w:t>Roles and Responsibilities</w:t>
        </w:r>
        <w:r w:rsidR="00B33E61">
          <w:rPr>
            <w:noProof/>
            <w:webHidden/>
          </w:rPr>
          <w:tab/>
        </w:r>
        <w:r w:rsidR="00B33E61">
          <w:rPr>
            <w:noProof/>
            <w:webHidden/>
          </w:rPr>
          <w:fldChar w:fldCharType="begin"/>
        </w:r>
        <w:r w:rsidR="00B33E61">
          <w:rPr>
            <w:noProof/>
            <w:webHidden/>
          </w:rPr>
          <w:instrText xml:space="preserve"> PAGEREF _Toc101521657 \h </w:instrText>
        </w:r>
        <w:r w:rsidR="00B33E61">
          <w:rPr>
            <w:noProof/>
            <w:webHidden/>
          </w:rPr>
        </w:r>
        <w:r w:rsidR="00B33E61">
          <w:rPr>
            <w:noProof/>
            <w:webHidden/>
          </w:rPr>
          <w:fldChar w:fldCharType="separate"/>
        </w:r>
        <w:r w:rsidR="000B1612">
          <w:rPr>
            <w:noProof/>
            <w:webHidden/>
          </w:rPr>
          <w:t>12</w:t>
        </w:r>
        <w:r w:rsidR="00B33E61">
          <w:rPr>
            <w:noProof/>
            <w:webHidden/>
          </w:rPr>
          <w:fldChar w:fldCharType="end"/>
        </w:r>
      </w:hyperlink>
    </w:p>
    <w:p w14:paraId="18BE2DED" w14:textId="0F20881E" w:rsidR="00B33E61" w:rsidRDefault="009374DF">
      <w:pPr>
        <w:pStyle w:val="TOC1"/>
        <w:rPr>
          <w:rFonts w:eastAsiaTheme="minorEastAsia"/>
          <w:b w:val="0"/>
          <w:caps w:val="0"/>
          <w:noProof/>
          <w:sz w:val="22"/>
          <w:lang w:val="en-AU" w:eastAsia="en-AU"/>
        </w:rPr>
      </w:pPr>
      <w:hyperlink w:anchor="_Toc101521658" w:history="1">
        <w:r w:rsidR="00B33E61" w:rsidRPr="00B623B3">
          <w:rPr>
            <w:rStyle w:val="Hyperlink"/>
            <w:noProof/>
          </w:rPr>
          <w:t>F.</w:t>
        </w:r>
        <w:r w:rsidR="00B33E61">
          <w:rPr>
            <w:rFonts w:eastAsiaTheme="minorEastAsia"/>
            <w:b w:val="0"/>
            <w:caps w:val="0"/>
            <w:noProof/>
            <w:sz w:val="22"/>
            <w:lang w:val="en-AU" w:eastAsia="en-AU"/>
          </w:rPr>
          <w:tab/>
        </w:r>
        <w:r w:rsidR="00B33E61" w:rsidRPr="00B623B3">
          <w:rPr>
            <w:rStyle w:val="Hyperlink"/>
            <w:noProof/>
          </w:rPr>
          <w:t>IMPLEMENTATION ARRANGEMENTS</w:t>
        </w:r>
        <w:r w:rsidR="00B33E61">
          <w:rPr>
            <w:noProof/>
            <w:webHidden/>
          </w:rPr>
          <w:tab/>
        </w:r>
        <w:r w:rsidR="00B33E61">
          <w:rPr>
            <w:noProof/>
            <w:webHidden/>
          </w:rPr>
          <w:fldChar w:fldCharType="begin"/>
        </w:r>
        <w:r w:rsidR="00B33E61">
          <w:rPr>
            <w:noProof/>
            <w:webHidden/>
          </w:rPr>
          <w:instrText xml:space="preserve"> PAGEREF _Toc101521658 \h </w:instrText>
        </w:r>
        <w:r w:rsidR="00B33E61">
          <w:rPr>
            <w:noProof/>
            <w:webHidden/>
          </w:rPr>
        </w:r>
        <w:r w:rsidR="00B33E61">
          <w:rPr>
            <w:noProof/>
            <w:webHidden/>
          </w:rPr>
          <w:fldChar w:fldCharType="separate"/>
        </w:r>
        <w:r w:rsidR="000B1612">
          <w:rPr>
            <w:noProof/>
            <w:webHidden/>
          </w:rPr>
          <w:t>16</w:t>
        </w:r>
        <w:r w:rsidR="00B33E61">
          <w:rPr>
            <w:noProof/>
            <w:webHidden/>
          </w:rPr>
          <w:fldChar w:fldCharType="end"/>
        </w:r>
      </w:hyperlink>
    </w:p>
    <w:p w14:paraId="52F4A0D5" w14:textId="58F2FAFB" w:rsidR="00B33E61" w:rsidRDefault="009374DF">
      <w:pPr>
        <w:pStyle w:val="TOC1"/>
        <w:rPr>
          <w:rFonts w:eastAsiaTheme="minorEastAsia"/>
          <w:b w:val="0"/>
          <w:caps w:val="0"/>
          <w:noProof/>
          <w:sz w:val="22"/>
          <w:lang w:val="en-AU" w:eastAsia="en-AU"/>
        </w:rPr>
      </w:pPr>
      <w:hyperlink w:anchor="_Toc101521659" w:history="1">
        <w:r w:rsidR="00B33E61" w:rsidRPr="00B623B3">
          <w:rPr>
            <w:rStyle w:val="Hyperlink"/>
            <w:bCs/>
            <w:noProof/>
          </w:rPr>
          <w:t>EOPO 1: Disaster READY</w:t>
        </w:r>
        <w:r w:rsidR="00B33E61">
          <w:rPr>
            <w:noProof/>
            <w:webHidden/>
          </w:rPr>
          <w:tab/>
        </w:r>
        <w:r w:rsidR="00B33E61">
          <w:rPr>
            <w:noProof/>
            <w:webHidden/>
          </w:rPr>
          <w:fldChar w:fldCharType="begin"/>
        </w:r>
        <w:r w:rsidR="00B33E61">
          <w:rPr>
            <w:noProof/>
            <w:webHidden/>
          </w:rPr>
          <w:instrText xml:space="preserve"> PAGEREF _Toc101521659 \h </w:instrText>
        </w:r>
        <w:r w:rsidR="00B33E61">
          <w:rPr>
            <w:noProof/>
            <w:webHidden/>
          </w:rPr>
        </w:r>
        <w:r w:rsidR="00B33E61">
          <w:rPr>
            <w:noProof/>
            <w:webHidden/>
          </w:rPr>
          <w:fldChar w:fldCharType="separate"/>
        </w:r>
        <w:r w:rsidR="000B1612">
          <w:rPr>
            <w:noProof/>
            <w:webHidden/>
          </w:rPr>
          <w:t>16</w:t>
        </w:r>
        <w:r w:rsidR="00B33E61">
          <w:rPr>
            <w:noProof/>
            <w:webHidden/>
          </w:rPr>
          <w:fldChar w:fldCharType="end"/>
        </w:r>
      </w:hyperlink>
    </w:p>
    <w:p w14:paraId="0DCAED04" w14:textId="392BBF70" w:rsidR="00B33E61" w:rsidRDefault="009374DF">
      <w:pPr>
        <w:pStyle w:val="TOC1"/>
        <w:rPr>
          <w:rFonts w:eastAsiaTheme="minorEastAsia"/>
          <w:b w:val="0"/>
          <w:caps w:val="0"/>
          <w:noProof/>
          <w:sz w:val="22"/>
          <w:lang w:val="en-AU" w:eastAsia="en-AU"/>
        </w:rPr>
      </w:pPr>
      <w:hyperlink w:anchor="_Toc101521660" w:history="1">
        <w:r w:rsidR="00B33E61" w:rsidRPr="00B623B3">
          <w:rPr>
            <w:rStyle w:val="Hyperlink"/>
            <w:bCs/>
            <w:noProof/>
          </w:rPr>
          <w:t>EOPO 2: Rapid Onset and Protracted Crisis Response</w:t>
        </w:r>
        <w:r w:rsidR="00B33E61">
          <w:rPr>
            <w:noProof/>
            <w:webHidden/>
          </w:rPr>
          <w:tab/>
        </w:r>
        <w:r w:rsidR="00B33E61">
          <w:rPr>
            <w:noProof/>
            <w:webHidden/>
          </w:rPr>
          <w:fldChar w:fldCharType="begin"/>
        </w:r>
        <w:r w:rsidR="00B33E61">
          <w:rPr>
            <w:noProof/>
            <w:webHidden/>
          </w:rPr>
          <w:instrText xml:space="preserve"> PAGEREF _Toc101521660 \h </w:instrText>
        </w:r>
        <w:r w:rsidR="00B33E61">
          <w:rPr>
            <w:noProof/>
            <w:webHidden/>
          </w:rPr>
        </w:r>
        <w:r w:rsidR="00B33E61">
          <w:rPr>
            <w:noProof/>
            <w:webHidden/>
          </w:rPr>
          <w:fldChar w:fldCharType="separate"/>
        </w:r>
        <w:r w:rsidR="000B1612">
          <w:rPr>
            <w:noProof/>
            <w:webHidden/>
          </w:rPr>
          <w:t>25</w:t>
        </w:r>
        <w:r w:rsidR="00B33E61">
          <w:rPr>
            <w:noProof/>
            <w:webHidden/>
          </w:rPr>
          <w:fldChar w:fldCharType="end"/>
        </w:r>
      </w:hyperlink>
    </w:p>
    <w:p w14:paraId="3CF35991" w14:textId="0C1BD468" w:rsidR="00B33E61" w:rsidRDefault="009374DF">
      <w:pPr>
        <w:pStyle w:val="TOC1"/>
        <w:rPr>
          <w:rFonts w:eastAsiaTheme="minorEastAsia"/>
          <w:b w:val="0"/>
          <w:caps w:val="0"/>
          <w:noProof/>
          <w:sz w:val="22"/>
          <w:lang w:val="en-AU" w:eastAsia="en-AU"/>
        </w:rPr>
      </w:pPr>
      <w:hyperlink w:anchor="_Toc101521661" w:history="1">
        <w:r w:rsidR="00B33E61" w:rsidRPr="00B623B3">
          <w:rPr>
            <w:rStyle w:val="Hyperlink"/>
            <w:bCs/>
            <w:noProof/>
          </w:rPr>
          <w:t>EOPO 3: Partnership Learning and Practice</w:t>
        </w:r>
        <w:r w:rsidR="00B33E61">
          <w:rPr>
            <w:noProof/>
            <w:webHidden/>
          </w:rPr>
          <w:tab/>
        </w:r>
        <w:r w:rsidR="00B33E61">
          <w:rPr>
            <w:noProof/>
            <w:webHidden/>
          </w:rPr>
          <w:fldChar w:fldCharType="begin"/>
        </w:r>
        <w:r w:rsidR="00B33E61">
          <w:rPr>
            <w:noProof/>
            <w:webHidden/>
          </w:rPr>
          <w:instrText xml:space="preserve"> PAGEREF _Toc101521661 \h </w:instrText>
        </w:r>
        <w:r w:rsidR="00B33E61">
          <w:rPr>
            <w:noProof/>
            <w:webHidden/>
          </w:rPr>
        </w:r>
        <w:r w:rsidR="00B33E61">
          <w:rPr>
            <w:noProof/>
            <w:webHidden/>
          </w:rPr>
          <w:fldChar w:fldCharType="separate"/>
        </w:r>
        <w:r w:rsidR="000B1612">
          <w:rPr>
            <w:noProof/>
            <w:webHidden/>
          </w:rPr>
          <w:t>28</w:t>
        </w:r>
        <w:r w:rsidR="00B33E61">
          <w:rPr>
            <w:noProof/>
            <w:webHidden/>
          </w:rPr>
          <w:fldChar w:fldCharType="end"/>
        </w:r>
      </w:hyperlink>
    </w:p>
    <w:p w14:paraId="5EBFE278" w14:textId="62065DD6" w:rsidR="00B33E61" w:rsidRDefault="009374DF">
      <w:pPr>
        <w:pStyle w:val="TOC1"/>
        <w:rPr>
          <w:rFonts w:eastAsiaTheme="minorEastAsia"/>
          <w:b w:val="0"/>
          <w:caps w:val="0"/>
          <w:noProof/>
          <w:sz w:val="22"/>
          <w:lang w:val="en-AU" w:eastAsia="en-AU"/>
        </w:rPr>
      </w:pPr>
      <w:hyperlink w:anchor="_Toc101521662" w:history="1">
        <w:r w:rsidR="00B33E61" w:rsidRPr="00B623B3">
          <w:rPr>
            <w:rStyle w:val="Hyperlink"/>
            <w:noProof/>
          </w:rPr>
          <w:t>G.</w:t>
        </w:r>
        <w:r w:rsidR="00B33E61">
          <w:rPr>
            <w:rFonts w:eastAsiaTheme="minorEastAsia"/>
            <w:b w:val="0"/>
            <w:caps w:val="0"/>
            <w:noProof/>
            <w:sz w:val="22"/>
            <w:lang w:val="en-AU" w:eastAsia="en-AU"/>
          </w:rPr>
          <w:tab/>
        </w:r>
        <w:r w:rsidR="00B33E61" w:rsidRPr="00B623B3">
          <w:rPr>
            <w:rStyle w:val="Hyperlink"/>
            <w:noProof/>
          </w:rPr>
          <w:t>Monitoring and Evaluation (How will DFAT measure performance?)</w:t>
        </w:r>
        <w:r w:rsidR="00B33E61">
          <w:rPr>
            <w:noProof/>
            <w:webHidden/>
          </w:rPr>
          <w:tab/>
        </w:r>
        <w:r w:rsidR="00B33E61">
          <w:rPr>
            <w:noProof/>
            <w:webHidden/>
          </w:rPr>
          <w:fldChar w:fldCharType="begin"/>
        </w:r>
        <w:r w:rsidR="00B33E61">
          <w:rPr>
            <w:noProof/>
            <w:webHidden/>
          </w:rPr>
          <w:instrText xml:space="preserve"> PAGEREF _Toc101521662 \h </w:instrText>
        </w:r>
        <w:r w:rsidR="00B33E61">
          <w:rPr>
            <w:noProof/>
            <w:webHidden/>
          </w:rPr>
        </w:r>
        <w:r w:rsidR="00B33E61">
          <w:rPr>
            <w:noProof/>
            <w:webHidden/>
          </w:rPr>
          <w:fldChar w:fldCharType="separate"/>
        </w:r>
        <w:r w:rsidR="000B1612">
          <w:rPr>
            <w:noProof/>
            <w:webHidden/>
          </w:rPr>
          <w:t>31</w:t>
        </w:r>
        <w:r w:rsidR="00B33E61">
          <w:rPr>
            <w:noProof/>
            <w:webHidden/>
          </w:rPr>
          <w:fldChar w:fldCharType="end"/>
        </w:r>
      </w:hyperlink>
    </w:p>
    <w:p w14:paraId="02600AC9" w14:textId="32210840" w:rsidR="00B33E61" w:rsidRDefault="009374DF">
      <w:pPr>
        <w:pStyle w:val="TOC1"/>
        <w:rPr>
          <w:rFonts w:eastAsiaTheme="minorEastAsia"/>
          <w:b w:val="0"/>
          <w:caps w:val="0"/>
          <w:noProof/>
          <w:sz w:val="22"/>
          <w:lang w:val="en-AU" w:eastAsia="en-AU"/>
        </w:rPr>
      </w:pPr>
      <w:hyperlink w:anchor="_Toc101521663" w:history="1">
        <w:r w:rsidR="00B33E61" w:rsidRPr="00B623B3">
          <w:rPr>
            <w:rStyle w:val="Hyperlink"/>
            <w:noProof/>
          </w:rPr>
          <w:t>H.</w:t>
        </w:r>
        <w:r w:rsidR="00B33E61">
          <w:rPr>
            <w:rFonts w:eastAsiaTheme="minorEastAsia"/>
            <w:b w:val="0"/>
            <w:caps w:val="0"/>
            <w:noProof/>
            <w:sz w:val="22"/>
            <w:lang w:val="en-AU" w:eastAsia="en-AU"/>
          </w:rPr>
          <w:tab/>
        </w:r>
        <w:r w:rsidR="00B33E61" w:rsidRPr="00B623B3">
          <w:rPr>
            <w:rStyle w:val="Hyperlink"/>
            <w:noProof/>
          </w:rPr>
          <w:t>Gender, Disability and Other Cross Cutting Issues</w:t>
        </w:r>
        <w:r w:rsidR="00B33E61">
          <w:rPr>
            <w:noProof/>
            <w:webHidden/>
          </w:rPr>
          <w:tab/>
        </w:r>
        <w:r w:rsidR="00B33E61">
          <w:rPr>
            <w:noProof/>
            <w:webHidden/>
          </w:rPr>
          <w:fldChar w:fldCharType="begin"/>
        </w:r>
        <w:r w:rsidR="00B33E61">
          <w:rPr>
            <w:noProof/>
            <w:webHidden/>
          </w:rPr>
          <w:instrText xml:space="preserve"> PAGEREF _Toc101521663 \h </w:instrText>
        </w:r>
        <w:r w:rsidR="00B33E61">
          <w:rPr>
            <w:noProof/>
            <w:webHidden/>
          </w:rPr>
        </w:r>
        <w:r w:rsidR="00B33E61">
          <w:rPr>
            <w:noProof/>
            <w:webHidden/>
          </w:rPr>
          <w:fldChar w:fldCharType="separate"/>
        </w:r>
        <w:r w:rsidR="000B1612">
          <w:rPr>
            <w:noProof/>
            <w:webHidden/>
          </w:rPr>
          <w:t>35</w:t>
        </w:r>
        <w:r w:rsidR="00B33E61">
          <w:rPr>
            <w:noProof/>
            <w:webHidden/>
          </w:rPr>
          <w:fldChar w:fldCharType="end"/>
        </w:r>
      </w:hyperlink>
    </w:p>
    <w:p w14:paraId="398A77CB" w14:textId="7C19ECF1" w:rsidR="00B33E61" w:rsidRDefault="009374DF">
      <w:pPr>
        <w:pStyle w:val="TOC1"/>
        <w:rPr>
          <w:rFonts w:eastAsiaTheme="minorEastAsia"/>
          <w:b w:val="0"/>
          <w:caps w:val="0"/>
          <w:noProof/>
          <w:sz w:val="22"/>
          <w:lang w:val="en-AU" w:eastAsia="en-AU"/>
        </w:rPr>
      </w:pPr>
      <w:hyperlink w:anchor="_Toc101521664" w:history="1">
        <w:r w:rsidR="00B33E61" w:rsidRPr="00B623B3">
          <w:rPr>
            <w:rStyle w:val="Hyperlink"/>
            <w:noProof/>
          </w:rPr>
          <w:t>I.</w:t>
        </w:r>
        <w:r w:rsidR="00B33E61">
          <w:rPr>
            <w:rFonts w:eastAsiaTheme="minorEastAsia"/>
            <w:b w:val="0"/>
            <w:caps w:val="0"/>
            <w:noProof/>
            <w:sz w:val="22"/>
            <w:lang w:val="en-AU" w:eastAsia="en-AU"/>
          </w:rPr>
          <w:tab/>
        </w:r>
        <w:r w:rsidR="00B33E61" w:rsidRPr="00B623B3">
          <w:rPr>
            <w:rStyle w:val="Hyperlink"/>
            <w:noProof/>
          </w:rPr>
          <w:t>Budget and Resources (What will it cost?)</w:t>
        </w:r>
        <w:r w:rsidR="00B33E61">
          <w:rPr>
            <w:noProof/>
            <w:webHidden/>
          </w:rPr>
          <w:tab/>
        </w:r>
        <w:r w:rsidR="00B33E61">
          <w:rPr>
            <w:noProof/>
            <w:webHidden/>
          </w:rPr>
          <w:fldChar w:fldCharType="begin"/>
        </w:r>
        <w:r w:rsidR="00B33E61">
          <w:rPr>
            <w:noProof/>
            <w:webHidden/>
          </w:rPr>
          <w:instrText xml:space="preserve"> PAGEREF _Toc101521664 \h </w:instrText>
        </w:r>
        <w:r w:rsidR="00B33E61">
          <w:rPr>
            <w:noProof/>
            <w:webHidden/>
          </w:rPr>
        </w:r>
        <w:r w:rsidR="00B33E61">
          <w:rPr>
            <w:noProof/>
            <w:webHidden/>
          </w:rPr>
          <w:fldChar w:fldCharType="separate"/>
        </w:r>
        <w:r w:rsidR="000B1612">
          <w:rPr>
            <w:noProof/>
            <w:webHidden/>
          </w:rPr>
          <w:t>40</w:t>
        </w:r>
        <w:r w:rsidR="00B33E61">
          <w:rPr>
            <w:noProof/>
            <w:webHidden/>
          </w:rPr>
          <w:fldChar w:fldCharType="end"/>
        </w:r>
      </w:hyperlink>
    </w:p>
    <w:p w14:paraId="10227820" w14:textId="6B33B1E5" w:rsidR="00B33E61" w:rsidRDefault="009374DF">
      <w:pPr>
        <w:pStyle w:val="TOC2"/>
        <w:rPr>
          <w:rFonts w:eastAsiaTheme="minorEastAsia"/>
          <w:noProof/>
          <w:color w:val="auto"/>
          <w:lang w:val="en-AU" w:eastAsia="en-AU"/>
        </w:rPr>
      </w:pPr>
      <w:hyperlink w:anchor="_Toc101521665" w:history="1">
        <w:r w:rsidR="00B33E61" w:rsidRPr="00B623B3">
          <w:rPr>
            <w:rStyle w:val="Hyperlink"/>
            <w:b/>
            <w:bCs/>
            <w:i/>
            <w:iCs/>
            <w:noProof/>
          </w:rPr>
          <w:t>Budget</w:t>
        </w:r>
        <w:r w:rsidR="00B33E61">
          <w:rPr>
            <w:noProof/>
            <w:webHidden/>
          </w:rPr>
          <w:tab/>
        </w:r>
        <w:r w:rsidR="00B33E61">
          <w:rPr>
            <w:noProof/>
            <w:webHidden/>
          </w:rPr>
          <w:fldChar w:fldCharType="begin"/>
        </w:r>
        <w:r w:rsidR="00B33E61">
          <w:rPr>
            <w:noProof/>
            <w:webHidden/>
          </w:rPr>
          <w:instrText xml:space="preserve"> PAGEREF _Toc101521665 \h </w:instrText>
        </w:r>
        <w:r w:rsidR="00B33E61">
          <w:rPr>
            <w:noProof/>
            <w:webHidden/>
          </w:rPr>
        </w:r>
        <w:r w:rsidR="00B33E61">
          <w:rPr>
            <w:noProof/>
            <w:webHidden/>
          </w:rPr>
          <w:fldChar w:fldCharType="separate"/>
        </w:r>
        <w:r w:rsidR="000B1612">
          <w:rPr>
            <w:noProof/>
            <w:webHidden/>
          </w:rPr>
          <w:t>40</w:t>
        </w:r>
        <w:r w:rsidR="00B33E61">
          <w:rPr>
            <w:noProof/>
            <w:webHidden/>
          </w:rPr>
          <w:fldChar w:fldCharType="end"/>
        </w:r>
      </w:hyperlink>
    </w:p>
    <w:p w14:paraId="156711C9" w14:textId="654D7DBF" w:rsidR="00B33E61" w:rsidRDefault="009374DF">
      <w:pPr>
        <w:pStyle w:val="TOC2"/>
        <w:rPr>
          <w:rFonts w:eastAsiaTheme="minorEastAsia"/>
          <w:noProof/>
          <w:color w:val="auto"/>
          <w:lang w:val="en-AU" w:eastAsia="en-AU"/>
        </w:rPr>
      </w:pPr>
      <w:hyperlink w:anchor="_Toc101521666" w:history="1">
        <w:r w:rsidR="00B33E61" w:rsidRPr="00B623B3">
          <w:rPr>
            <w:rStyle w:val="Hyperlink"/>
            <w:b/>
            <w:bCs/>
            <w:i/>
            <w:iCs/>
            <w:noProof/>
          </w:rPr>
          <w:t>DFAT Resources</w:t>
        </w:r>
        <w:r w:rsidR="00B33E61">
          <w:rPr>
            <w:noProof/>
            <w:webHidden/>
          </w:rPr>
          <w:tab/>
        </w:r>
        <w:r w:rsidR="00B33E61">
          <w:rPr>
            <w:noProof/>
            <w:webHidden/>
          </w:rPr>
          <w:fldChar w:fldCharType="begin"/>
        </w:r>
        <w:r w:rsidR="00B33E61">
          <w:rPr>
            <w:noProof/>
            <w:webHidden/>
          </w:rPr>
          <w:instrText xml:space="preserve"> PAGEREF _Toc101521666 \h </w:instrText>
        </w:r>
        <w:r w:rsidR="00B33E61">
          <w:rPr>
            <w:noProof/>
            <w:webHidden/>
          </w:rPr>
        </w:r>
        <w:r w:rsidR="00B33E61">
          <w:rPr>
            <w:noProof/>
            <w:webHidden/>
          </w:rPr>
          <w:fldChar w:fldCharType="separate"/>
        </w:r>
        <w:r w:rsidR="000B1612">
          <w:rPr>
            <w:noProof/>
            <w:webHidden/>
          </w:rPr>
          <w:t>41</w:t>
        </w:r>
        <w:r w:rsidR="00B33E61">
          <w:rPr>
            <w:noProof/>
            <w:webHidden/>
          </w:rPr>
          <w:fldChar w:fldCharType="end"/>
        </w:r>
      </w:hyperlink>
    </w:p>
    <w:p w14:paraId="2E21FB4D" w14:textId="23733A49" w:rsidR="00B33E61" w:rsidRDefault="009374DF">
      <w:pPr>
        <w:pStyle w:val="TOC1"/>
        <w:rPr>
          <w:rFonts w:eastAsiaTheme="minorEastAsia"/>
          <w:b w:val="0"/>
          <w:caps w:val="0"/>
          <w:noProof/>
          <w:sz w:val="22"/>
          <w:lang w:val="en-AU" w:eastAsia="en-AU"/>
        </w:rPr>
      </w:pPr>
      <w:hyperlink w:anchor="_Toc101521667" w:history="1">
        <w:r w:rsidR="00B33E61" w:rsidRPr="00B623B3">
          <w:rPr>
            <w:rStyle w:val="Hyperlink"/>
            <w:noProof/>
          </w:rPr>
          <w:t>J.</w:t>
        </w:r>
        <w:r w:rsidR="00B33E61">
          <w:rPr>
            <w:rFonts w:eastAsiaTheme="minorEastAsia"/>
            <w:b w:val="0"/>
            <w:caps w:val="0"/>
            <w:noProof/>
            <w:sz w:val="22"/>
            <w:lang w:val="en-AU" w:eastAsia="en-AU"/>
          </w:rPr>
          <w:tab/>
        </w:r>
        <w:r w:rsidR="00B33E61" w:rsidRPr="00B623B3">
          <w:rPr>
            <w:rStyle w:val="Hyperlink"/>
            <w:noProof/>
          </w:rPr>
          <w:t>RISK MANAGEMENT</w:t>
        </w:r>
        <w:r w:rsidR="00B33E61">
          <w:rPr>
            <w:noProof/>
            <w:webHidden/>
          </w:rPr>
          <w:tab/>
        </w:r>
        <w:r w:rsidR="00B33E61">
          <w:rPr>
            <w:noProof/>
            <w:webHidden/>
          </w:rPr>
          <w:fldChar w:fldCharType="begin"/>
        </w:r>
        <w:r w:rsidR="00B33E61">
          <w:rPr>
            <w:noProof/>
            <w:webHidden/>
          </w:rPr>
          <w:instrText xml:space="preserve"> PAGEREF _Toc101521667 \h </w:instrText>
        </w:r>
        <w:r w:rsidR="00B33E61">
          <w:rPr>
            <w:noProof/>
            <w:webHidden/>
          </w:rPr>
        </w:r>
        <w:r w:rsidR="00B33E61">
          <w:rPr>
            <w:noProof/>
            <w:webHidden/>
          </w:rPr>
          <w:fldChar w:fldCharType="separate"/>
        </w:r>
        <w:r w:rsidR="000B1612">
          <w:rPr>
            <w:noProof/>
            <w:webHidden/>
          </w:rPr>
          <w:t>41</w:t>
        </w:r>
        <w:r w:rsidR="00B33E61">
          <w:rPr>
            <w:noProof/>
            <w:webHidden/>
          </w:rPr>
          <w:fldChar w:fldCharType="end"/>
        </w:r>
      </w:hyperlink>
    </w:p>
    <w:p w14:paraId="68B2840C" w14:textId="27B7EA96" w:rsidR="00B33E61" w:rsidRDefault="009374DF">
      <w:pPr>
        <w:pStyle w:val="TOC1"/>
        <w:rPr>
          <w:rFonts w:eastAsiaTheme="minorEastAsia"/>
          <w:b w:val="0"/>
          <w:caps w:val="0"/>
          <w:noProof/>
          <w:sz w:val="22"/>
          <w:lang w:val="en-AU" w:eastAsia="en-AU"/>
        </w:rPr>
      </w:pPr>
      <w:hyperlink w:anchor="_Toc101521668" w:history="1">
        <w:r w:rsidR="00B33E61" w:rsidRPr="00B623B3">
          <w:rPr>
            <w:rStyle w:val="Hyperlink"/>
            <w:noProof/>
          </w:rPr>
          <w:t>Annex 1: Australian humanitarian partnership phase II Program Logic</w:t>
        </w:r>
        <w:r w:rsidR="00B33E61">
          <w:rPr>
            <w:noProof/>
            <w:webHidden/>
          </w:rPr>
          <w:tab/>
        </w:r>
        <w:r w:rsidR="00B33E61">
          <w:rPr>
            <w:noProof/>
            <w:webHidden/>
          </w:rPr>
          <w:fldChar w:fldCharType="begin"/>
        </w:r>
        <w:r w:rsidR="00B33E61">
          <w:rPr>
            <w:noProof/>
            <w:webHidden/>
          </w:rPr>
          <w:instrText xml:space="preserve"> PAGEREF _Toc101521668 \h </w:instrText>
        </w:r>
        <w:r w:rsidR="00B33E61">
          <w:rPr>
            <w:noProof/>
            <w:webHidden/>
          </w:rPr>
        </w:r>
        <w:r w:rsidR="00B33E61">
          <w:rPr>
            <w:noProof/>
            <w:webHidden/>
          </w:rPr>
          <w:fldChar w:fldCharType="separate"/>
        </w:r>
        <w:r w:rsidR="000B1612">
          <w:rPr>
            <w:noProof/>
            <w:webHidden/>
          </w:rPr>
          <w:t>44</w:t>
        </w:r>
        <w:r w:rsidR="00B33E61">
          <w:rPr>
            <w:noProof/>
            <w:webHidden/>
          </w:rPr>
          <w:fldChar w:fldCharType="end"/>
        </w:r>
      </w:hyperlink>
    </w:p>
    <w:p w14:paraId="2380C0B7" w14:textId="41EBF3EC" w:rsidR="00B33E61" w:rsidRDefault="009374DF">
      <w:pPr>
        <w:pStyle w:val="TOC1"/>
        <w:rPr>
          <w:rFonts w:eastAsiaTheme="minorEastAsia"/>
          <w:b w:val="0"/>
          <w:caps w:val="0"/>
          <w:noProof/>
          <w:sz w:val="22"/>
          <w:lang w:val="en-AU" w:eastAsia="en-AU"/>
        </w:rPr>
      </w:pPr>
      <w:hyperlink w:anchor="_Toc101521669" w:history="1">
        <w:r w:rsidR="00B33E61" w:rsidRPr="00B623B3">
          <w:rPr>
            <w:rStyle w:val="Hyperlink"/>
            <w:noProof/>
          </w:rPr>
          <w:t>Annex 2: ACTIVATION DECISION PATHWAY AND PROCESS</w:t>
        </w:r>
        <w:r w:rsidR="00B33E61">
          <w:rPr>
            <w:noProof/>
            <w:webHidden/>
          </w:rPr>
          <w:tab/>
        </w:r>
        <w:r w:rsidR="00B33E61">
          <w:rPr>
            <w:noProof/>
            <w:webHidden/>
          </w:rPr>
          <w:fldChar w:fldCharType="begin"/>
        </w:r>
        <w:r w:rsidR="00B33E61">
          <w:rPr>
            <w:noProof/>
            <w:webHidden/>
          </w:rPr>
          <w:instrText xml:space="preserve"> PAGEREF _Toc101521669 \h </w:instrText>
        </w:r>
        <w:r w:rsidR="00B33E61">
          <w:rPr>
            <w:noProof/>
            <w:webHidden/>
          </w:rPr>
        </w:r>
        <w:r w:rsidR="00B33E61">
          <w:rPr>
            <w:noProof/>
            <w:webHidden/>
          </w:rPr>
          <w:fldChar w:fldCharType="separate"/>
        </w:r>
        <w:r w:rsidR="000B1612">
          <w:rPr>
            <w:noProof/>
            <w:webHidden/>
          </w:rPr>
          <w:t>45</w:t>
        </w:r>
        <w:r w:rsidR="00B33E61">
          <w:rPr>
            <w:noProof/>
            <w:webHidden/>
          </w:rPr>
          <w:fldChar w:fldCharType="end"/>
        </w:r>
      </w:hyperlink>
    </w:p>
    <w:p w14:paraId="1D6DE5BA" w14:textId="661D77B3" w:rsidR="00B33E61" w:rsidRDefault="009374DF">
      <w:pPr>
        <w:pStyle w:val="TOC1"/>
        <w:rPr>
          <w:rFonts w:eastAsiaTheme="minorEastAsia"/>
          <w:b w:val="0"/>
          <w:caps w:val="0"/>
          <w:noProof/>
          <w:sz w:val="22"/>
          <w:lang w:val="en-AU" w:eastAsia="en-AU"/>
        </w:rPr>
      </w:pPr>
      <w:hyperlink w:anchor="_Toc101521670" w:history="1">
        <w:r w:rsidR="00B33E61" w:rsidRPr="00B623B3">
          <w:rPr>
            <w:rStyle w:val="Hyperlink"/>
            <w:noProof/>
          </w:rPr>
          <w:t>Annex 3: DRAFT Localisation Framework</w:t>
        </w:r>
        <w:r w:rsidR="00B33E61">
          <w:rPr>
            <w:noProof/>
            <w:webHidden/>
          </w:rPr>
          <w:tab/>
        </w:r>
        <w:r w:rsidR="00B33E61">
          <w:rPr>
            <w:noProof/>
            <w:webHidden/>
          </w:rPr>
          <w:fldChar w:fldCharType="begin"/>
        </w:r>
        <w:r w:rsidR="00B33E61">
          <w:rPr>
            <w:noProof/>
            <w:webHidden/>
          </w:rPr>
          <w:instrText xml:space="preserve"> PAGEREF _Toc101521670 \h </w:instrText>
        </w:r>
        <w:r w:rsidR="00B33E61">
          <w:rPr>
            <w:noProof/>
            <w:webHidden/>
          </w:rPr>
        </w:r>
        <w:r w:rsidR="00B33E61">
          <w:rPr>
            <w:noProof/>
            <w:webHidden/>
          </w:rPr>
          <w:fldChar w:fldCharType="separate"/>
        </w:r>
        <w:r w:rsidR="000B1612">
          <w:rPr>
            <w:noProof/>
            <w:webHidden/>
          </w:rPr>
          <w:t>46</w:t>
        </w:r>
        <w:r w:rsidR="00B33E61">
          <w:rPr>
            <w:noProof/>
            <w:webHidden/>
          </w:rPr>
          <w:fldChar w:fldCharType="end"/>
        </w:r>
      </w:hyperlink>
    </w:p>
    <w:p w14:paraId="1C12E1B8" w14:textId="18166808" w:rsidR="00B33E61" w:rsidRDefault="009374DF">
      <w:pPr>
        <w:pStyle w:val="TOC1"/>
        <w:rPr>
          <w:rFonts w:eastAsiaTheme="minorEastAsia"/>
          <w:b w:val="0"/>
          <w:caps w:val="0"/>
          <w:noProof/>
          <w:sz w:val="22"/>
          <w:lang w:val="en-AU" w:eastAsia="en-AU"/>
        </w:rPr>
      </w:pPr>
      <w:hyperlink w:anchor="_Toc101521671" w:history="1">
        <w:r w:rsidR="00B33E61" w:rsidRPr="00B623B3">
          <w:rPr>
            <w:rStyle w:val="Hyperlink"/>
            <w:noProof/>
          </w:rPr>
          <w:t>Annex 4: DRAFT StrategIC LEVEL Monitoring, Evaluation and Learning Framework</w:t>
        </w:r>
        <w:r w:rsidR="00B33E61">
          <w:rPr>
            <w:noProof/>
            <w:webHidden/>
          </w:rPr>
          <w:tab/>
        </w:r>
        <w:r w:rsidR="00B33E61">
          <w:rPr>
            <w:noProof/>
            <w:webHidden/>
          </w:rPr>
          <w:fldChar w:fldCharType="begin"/>
        </w:r>
        <w:r w:rsidR="00B33E61">
          <w:rPr>
            <w:noProof/>
            <w:webHidden/>
          </w:rPr>
          <w:instrText xml:space="preserve"> PAGEREF _Toc101521671 \h </w:instrText>
        </w:r>
        <w:r w:rsidR="00B33E61">
          <w:rPr>
            <w:noProof/>
            <w:webHidden/>
          </w:rPr>
        </w:r>
        <w:r w:rsidR="00B33E61">
          <w:rPr>
            <w:noProof/>
            <w:webHidden/>
          </w:rPr>
          <w:fldChar w:fldCharType="separate"/>
        </w:r>
        <w:r w:rsidR="000B1612">
          <w:rPr>
            <w:noProof/>
            <w:webHidden/>
          </w:rPr>
          <w:t>50</w:t>
        </w:r>
        <w:r w:rsidR="00B33E61">
          <w:rPr>
            <w:noProof/>
            <w:webHidden/>
          </w:rPr>
          <w:fldChar w:fldCharType="end"/>
        </w:r>
      </w:hyperlink>
    </w:p>
    <w:p w14:paraId="1B6A1ED2" w14:textId="0DF8FCC4" w:rsidR="00B33E61" w:rsidRDefault="009374DF">
      <w:pPr>
        <w:pStyle w:val="TOC1"/>
        <w:rPr>
          <w:rFonts w:eastAsiaTheme="minorEastAsia"/>
          <w:b w:val="0"/>
          <w:caps w:val="0"/>
          <w:noProof/>
          <w:sz w:val="22"/>
          <w:lang w:val="en-AU" w:eastAsia="en-AU"/>
        </w:rPr>
      </w:pPr>
      <w:hyperlink w:anchor="_Toc101521672" w:history="1">
        <w:r w:rsidR="00B33E61" w:rsidRPr="00B623B3">
          <w:rPr>
            <w:rStyle w:val="Hyperlink"/>
            <w:noProof/>
          </w:rPr>
          <w:t>ANNEX 5: AHP PHASE I PROGRAM LOGIC</w:t>
        </w:r>
        <w:r w:rsidR="00B33E61">
          <w:rPr>
            <w:noProof/>
            <w:webHidden/>
          </w:rPr>
          <w:tab/>
        </w:r>
        <w:r w:rsidR="00B33E61">
          <w:rPr>
            <w:noProof/>
            <w:webHidden/>
          </w:rPr>
          <w:fldChar w:fldCharType="begin"/>
        </w:r>
        <w:r w:rsidR="00B33E61">
          <w:rPr>
            <w:noProof/>
            <w:webHidden/>
          </w:rPr>
          <w:instrText xml:space="preserve"> PAGEREF _Toc101521672 \h </w:instrText>
        </w:r>
        <w:r w:rsidR="00B33E61">
          <w:rPr>
            <w:noProof/>
            <w:webHidden/>
          </w:rPr>
        </w:r>
        <w:r w:rsidR="00B33E61">
          <w:rPr>
            <w:noProof/>
            <w:webHidden/>
          </w:rPr>
          <w:fldChar w:fldCharType="separate"/>
        </w:r>
        <w:r w:rsidR="000B1612">
          <w:rPr>
            <w:noProof/>
            <w:webHidden/>
          </w:rPr>
          <w:t>56</w:t>
        </w:r>
        <w:r w:rsidR="00B33E61">
          <w:rPr>
            <w:noProof/>
            <w:webHidden/>
          </w:rPr>
          <w:fldChar w:fldCharType="end"/>
        </w:r>
      </w:hyperlink>
    </w:p>
    <w:p w14:paraId="512D22FF" w14:textId="06746D16" w:rsidR="00B33E61" w:rsidRDefault="009374DF">
      <w:pPr>
        <w:pStyle w:val="TOC1"/>
        <w:rPr>
          <w:rFonts w:eastAsiaTheme="minorEastAsia"/>
          <w:b w:val="0"/>
          <w:caps w:val="0"/>
          <w:noProof/>
          <w:sz w:val="22"/>
          <w:lang w:val="en-AU" w:eastAsia="en-AU"/>
        </w:rPr>
      </w:pPr>
      <w:hyperlink w:anchor="_Toc101521673" w:history="1">
        <w:r w:rsidR="00B33E61" w:rsidRPr="00B623B3">
          <w:rPr>
            <w:rStyle w:val="Hyperlink"/>
            <w:noProof/>
          </w:rPr>
          <w:t>Annex 6: AUSTRALIAN HUMANITARIAN PARTNERHSIP MID-TERM EVALUATION MANAGEMENT RESPONSE</w:t>
        </w:r>
        <w:r w:rsidR="00B33E61">
          <w:rPr>
            <w:noProof/>
            <w:webHidden/>
          </w:rPr>
          <w:tab/>
        </w:r>
        <w:r w:rsidR="00B33E61">
          <w:rPr>
            <w:noProof/>
            <w:webHidden/>
          </w:rPr>
          <w:fldChar w:fldCharType="begin"/>
        </w:r>
        <w:r w:rsidR="00B33E61">
          <w:rPr>
            <w:noProof/>
            <w:webHidden/>
          </w:rPr>
          <w:instrText xml:space="preserve"> PAGEREF _Toc101521673 \h </w:instrText>
        </w:r>
        <w:r w:rsidR="00B33E61">
          <w:rPr>
            <w:noProof/>
            <w:webHidden/>
          </w:rPr>
        </w:r>
        <w:r w:rsidR="00B33E61">
          <w:rPr>
            <w:noProof/>
            <w:webHidden/>
          </w:rPr>
          <w:fldChar w:fldCharType="separate"/>
        </w:r>
        <w:r w:rsidR="000B1612">
          <w:rPr>
            <w:noProof/>
            <w:webHidden/>
          </w:rPr>
          <w:t>57</w:t>
        </w:r>
        <w:r w:rsidR="00B33E61">
          <w:rPr>
            <w:noProof/>
            <w:webHidden/>
          </w:rPr>
          <w:fldChar w:fldCharType="end"/>
        </w:r>
      </w:hyperlink>
    </w:p>
    <w:p w14:paraId="4BA48021" w14:textId="2799F18E" w:rsidR="00B33E61" w:rsidRDefault="009374DF">
      <w:pPr>
        <w:pStyle w:val="TOC1"/>
        <w:rPr>
          <w:rFonts w:eastAsiaTheme="minorEastAsia"/>
          <w:b w:val="0"/>
          <w:caps w:val="0"/>
          <w:noProof/>
          <w:sz w:val="22"/>
          <w:lang w:val="en-AU" w:eastAsia="en-AU"/>
        </w:rPr>
      </w:pPr>
      <w:hyperlink w:anchor="_Toc101521674" w:history="1">
        <w:r w:rsidR="00B33E61" w:rsidRPr="00B623B3">
          <w:rPr>
            <w:rStyle w:val="Hyperlink"/>
            <w:noProof/>
          </w:rPr>
          <w:t>ANNEX 7: AHPSU dRAFT TORS</w:t>
        </w:r>
        <w:r w:rsidR="00B33E61">
          <w:rPr>
            <w:noProof/>
            <w:webHidden/>
          </w:rPr>
          <w:tab/>
        </w:r>
        <w:r w:rsidR="00B33E61">
          <w:rPr>
            <w:noProof/>
            <w:webHidden/>
          </w:rPr>
          <w:fldChar w:fldCharType="begin"/>
        </w:r>
        <w:r w:rsidR="00B33E61">
          <w:rPr>
            <w:noProof/>
            <w:webHidden/>
          </w:rPr>
          <w:instrText xml:space="preserve"> PAGEREF _Toc101521674 \h </w:instrText>
        </w:r>
        <w:r w:rsidR="00B33E61">
          <w:rPr>
            <w:noProof/>
            <w:webHidden/>
          </w:rPr>
        </w:r>
        <w:r w:rsidR="00B33E61">
          <w:rPr>
            <w:noProof/>
            <w:webHidden/>
          </w:rPr>
          <w:fldChar w:fldCharType="separate"/>
        </w:r>
        <w:r w:rsidR="000B1612">
          <w:rPr>
            <w:noProof/>
            <w:webHidden/>
          </w:rPr>
          <w:t>63</w:t>
        </w:r>
        <w:r w:rsidR="00B33E61">
          <w:rPr>
            <w:noProof/>
            <w:webHidden/>
          </w:rPr>
          <w:fldChar w:fldCharType="end"/>
        </w:r>
      </w:hyperlink>
    </w:p>
    <w:p w14:paraId="0B53BEEB" w14:textId="00D4569F" w:rsidR="0047031F" w:rsidRPr="005B092D" w:rsidRDefault="0047031F" w:rsidP="005B092D">
      <w:pPr>
        <w:suppressAutoHyphens w:val="0"/>
        <w:spacing w:before="0" w:after="120" w:line="440" w:lineRule="atLeast"/>
        <w:ind w:left="720"/>
        <w:rPr>
          <w:b/>
          <w:bCs/>
          <w:szCs w:val="21"/>
        </w:rPr>
      </w:pPr>
      <w:r>
        <w:rPr>
          <w:rFonts w:eastAsia="Times New Roman" w:cs="Times New Roman"/>
          <w:sz w:val="21"/>
          <w:szCs w:val="24"/>
          <w:lang w:val="en-AU"/>
        </w:rPr>
        <w:fldChar w:fldCharType="end"/>
      </w:r>
      <w:r>
        <w:rPr>
          <w:rFonts w:eastAsia="Times New Roman" w:cs="Times New Roman"/>
          <w:sz w:val="21"/>
          <w:szCs w:val="24"/>
          <w:lang w:val="en-AU"/>
        </w:rPr>
        <w:br w:type="page"/>
      </w:r>
      <w:r w:rsidRPr="005B092D">
        <w:rPr>
          <w:b/>
          <w:bCs/>
          <w:szCs w:val="21"/>
        </w:rPr>
        <w:lastRenderedPageBreak/>
        <w:t>Acronyms</w:t>
      </w:r>
    </w:p>
    <w:tbl>
      <w:tblPr>
        <w:tblStyle w:val="TableGrid"/>
        <w:tblW w:w="0" w:type="auto"/>
        <w:tblInd w:w="988" w:type="dxa"/>
        <w:tblLook w:val="04A0" w:firstRow="1" w:lastRow="0" w:firstColumn="1" w:lastColumn="0" w:noHBand="0" w:noVBand="1"/>
      </w:tblPr>
      <w:tblGrid>
        <w:gridCol w:w="1842"/>
        <w:gridCol w:w="5529"/>
      </w:tblGrid>
      <w:tr w:rsidR="0047031F" w14:paraId="66ECFB0B" w14:textId="77777777" w:rsidTr="00E47DC3">
        <w:tc>
          <w:tcPr>
            <w:tcW w:w="1842" w:type="dxa"/>
          </w:tcPr>
          <w:p w14:paraId="10BF58DF"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ACFID</w:t>
            </w:r>
          </w:p>
        </w:tc>
        <w:tc>
          <w:tcPr>
            <w:tcW w:w="5529" w:type="dxa"/>
          </w:tcPr>
          <w:p w14:paraId="17C11FC8"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Australian Council for International Development</w:t>
            </w:r>
          </w:p>
        </w:tc>
      </w:tr>
      <w:tr w:rsidR="0047031F" w14:paraId="01CF5B21" w14:textId="77777777" w:rsidTr="00E47DC3">
        <w:tc>
          <w:tcPr>
            <w:tcW w:w="1842" w:type="dxa"/>
          </w:tcPr>
          <w:p w14:paraId="3F1FFB20"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AHP</w:t>
            </w:r>
          </w:p>
        </w:tc>
        <w:tc>
          <w:tcPr>
            <w:tcW w:w="5529" w:type="dxa"/>
          </w:tcPr>
          <w:p w14:paraId="48F1DD9B"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Australian Humanitarian Partnership</w:t>
            </w:r>
          </w:p>
        </w:tc>
      </w:tr>
      <w:tr w:rsidR="0047031F" w14:paraId="15455EDD" w14:textId="77777777" w:rsidTr="00E47DC3">
        <w:tc>
          <w:tcPr>
            <w:tcW w:w="1842" w:type="dxa"/>
          </w:tcPr>
          <w:p w14:paraId="0AE7AFF9"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 xml:space="preserve">AHPSU </w:t>
            </w:r>
          </w:p>
        </w:tc>
        <w:tc>
          <w:tcPr>
            <w:tcW w:w="5529" w:type="dxa"/>
          </w:tcPr>
          <w:p w14:paraId="755692A9"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AHP Support Unit</w:t>
            </w:r>
          </w:p>
        </w:tc>
      </w:tr>
      <w:tr w:rsidR="00190DAF" w14:paraId="2424BF22" w14:textId="77777777" w:rsidTr="00E47DC3">
        <w:tc>
          <w:tcPr>
            <w:tcW w:w="1842" w:type="dxa"/>
          </w:tcPr>
          <w:p w14:paraId="79B798BE" w14:textId="4C12B7F5" w:rsidR="00190DAF" w:rsidRPr="003E2C60" w:rsidRDefault="00190DAF"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AHP Partners</w:t>
            </w:r>
          </w:p>
        </w:tc>
        <w:tc>
          <w:tcPr>
            <w:tcW w:w="5529" w:type="dxa"/>
          </w:tcPr>
          <w:p w14:paraId="136BA850" w14:textId="721B9A5F" w:rsidR="00190DAF" w:rsidRPr="003E2C60" w:rsidRDefault="00793A02"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 xml:space="preserve">DFAT, the AHPSU and </w:t>
            </w:r>
            <w:r w:rsidR="00190DAF">
              <w:rPr>
                <w:rFonts w:eastAsia="Times New Roman" w:cs="Times New Roman"/>
                <w:sz w:val="18"/>
                <w:szCs w:val="18"/>
                <w:lang w:val="en-AU"/>
              </w:rPr>
              <w:t>ANGOs, their consortia members and local partners</w:t>
            </w:r>
          </w:p>
        </w:tc>
      </w:tr>
      <w:tr w:rsidR="00793A02" w14:paraId="0F6857E8" w14:textId="77777777" w:rsidTr="00E47DC3">
        <w:tc>
          <w:tcPr>
            <w:tcW w:w="1842" w:type="dxa"/>
          </w:tcPr>
          <w:p w14:paraId="3CE5F752" w14:textId="1BA3B3F3" w:rsidR="00793A02" w:rsidRPr="003E2C60" w:rsidRDefault="00793A02"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AHP NGO Partners</w:t>
            </w:r>
          </w:p>
        </w:tc>
        <w:tc>
          <w:tcPr>
            <w:tcW w:w="5529" w:type="dxa"/>
          </w:tcPr>
          <w:p w14:paraId="5D4DDEC7" w14:textId="3ED01477" w:rsidR="00793A02" w:rsidRPr="003E2C60" w:rsidRDefault="00793A02"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ANGOs, their consortia members</w:t>
            </w:r>
            <w:r w:rsidR="00740B9D">
              <w:rPr>
                <w:rFonts w:eastAsia="Times New Roman" w:cs="Times New Roman"/>
                <w:sz w:val="18"/>
                <w:szCs w:val="18"/>
                <w:lang w:val="en-AU"/>
              </w:rPr>
              <w:t>, country offices</w:t>
            </w:r>
            <w:r>
              <w:rPr>
                <w:rFonts w:eastAsia="Times New Roman" w:cs="Times New Roman"/>
                <w:sz w:val="18"/>
                <w:szCs w:val="18"/>
                <w:lang w:val="en-AU"/>
              </w:rPr>
              <w:t xml:space="preserve"> and local partners</w:t>
            </w:r>
          </w:p>
        </w:tc>
      </w:tr>
      <w:tr w:rsidR="006571F1" w14:paraId="3D4E12AB" w14:textId="77777777" w:rsidTr="00E47DC3">
        <w:tc>
          <w:tcPr>
            <w:tcW w:w="1842" w:type="dxa"/>
          </w:tcPr>
          <w:p w14:paraId="428F8078" w14:textId="0D5104D4" w:rsidR="006571F1" w:rsidRDefault="006571F1"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ANCP</w:t>
            </w:r>
          </w:p>
        </w:tc>
        <w:tc>
          <w:tcPr>
            <w:tcW w:w="5529" w:type="dxa"/>
          </w:tcPr>
          <w:p w14:paraId="164056C9" w14:textId="7F3AF70C" w:rsidR="006571F1" w:rsidRDefault="006571F1"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Australian NGO Cooperation Program</w:t>
            </w:r>
          </w:p>
        </w:tc>
      </w:tr>
      <w:tr w:rsidR="0047031F" w14:paraId="5D9CCD15" w14:textId="77777777" w:rsidTr="00E47DC3">
        <w:tc>
          <w:tcPr>
            <w:tcW w:w="1842" w:type="dxa"/>
          </w:tcPr>
          <w:p w14:paraId="21550A32"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ANGOs</w:t>
            </w:r>
          </w:p>
        </w:tc>
        <w:tc>
          <w:tcPr>
            <w:tcW w:w="5529" w:type="dxa"/>
          </w:tcPr>
          <w:p w14:paraId="5674E5B2" w14:textId="61A6263C" w:rsidR="0047031F" w:rsidRPr="003E2C60" w:rsidRDefault="002F2928"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 xml:space="preserve">The </w:t>
            </w:r>
            <w:r w:rsidR="00125757" w:rsidRPr="003E2C60">
              <w:rPr>
                <w:rFonts w:eastAsia="Times New Roman" w:cs="Times New Roman"/>
                <w:sz w:val="18"/>
                <w:szCs w:val="18"/>
                <w:lang w:val="en-AU"/>
              </w:rPr>
              <w:t xml:space="preserve">six lead </w:t>
            </w:r>
            <w:r w:rsidR="0047031F" w:rsidRPr="003E2C60">
              <w:rPr>
                <w:rFonts w:eastAsia="Times New Roman" w:cs="Times New Roman"/>
                <w:sz w:val="18"/>
                <w:szCs w:val="18"/>
                <w:lang w:val="en-AU"/>
              </w:rPr>
              <w:t>Australian Non</w:t>
            </w:r>
            <w:r w:rsidRPr="003E2C60">
              <w:rPr>
                <w:rFonts w:eastAsia="Times New Roman" w:cs="Times New Roman"/>
                <w:sz w:val="18"/>
                <w:szCs w:val="18"/>
                <w:lang w:val="en-AU"/>
              </w:rPr>
              <w:t>-</w:t>
            </w:r>
            <w:r w:rsidR="0047031F" w:rsidRPr="003E2C60">
              <w:rPr>
                <w:rFonts w:eastAsia="Times New Roman" w:cs="Times New Roman"/>
                <w:sz w:val="18"/>
                <w:szCs w:val="18"/>
                <w:lang w:val="en-AU"/>
              </w:rPr>
              <w:t>Government Organisations</w:t>
            </w:r>
            <w:r w:rsidR="00125757" w:rsidRPr="003E2C60">
              <w:rPr>
                <w:rFonts w:eastAsia="Times New Roman" w:cs="Times New Roman"/>
                <w:sz w:val="18"/>
                <w:szCs w:val="18"/>
                <w:lang w:val="en-AU"/>
              </w:rPr>
              <w:t xml:space="preserve"> of the AHP</w:t>
            </w:r>
            <w:r w:rsidR="00CC63DC" w:rsidRPr="003E2C60">
              <w:rPr>
                <w:rFonts w:eastAsia="Times New Roman" w:cs="Times New Roman"/>
                <w:sz w:val="18"/>
                <w:szCs w:val="18"/>
                <w:lang w:val="en-AU"/>
              </w:rPr>
              <w:t xml:space="preserve"> as per Figure 1, heading various cons</w:t>
            </w:r>
            <w:r w:rsidR="007E33CF" w:rsidRPr="003E2C60">
              <w:rPr>
                <w:rFonts w:eastAsia="Times New Roman" w:cs="Times New Roman"/>
                <w:sz w:val="18"/>
                <w:szCs w:val="18"/>
                <w:lang w:val="en-AU"/>
              </w:rPr>
              <w:t>ortia</w:t>
            </w:r>
            <w:r w:rsidR="00D10910">
              <w:rPr>
                <w:rFonts w:eastAsia="Times New Roman" w:cs="Times New Roman"/>
                <w:sz w:val="18"/>
                <w:szCs w:val="18"/>
                <w:lang w:val="en-AU"/>
              </w:rPr>
              <w:t>, including their country offices/national branches</w:t>
            </w:r>
          </w:p>
        </w:tc>
      </w:tr>
      <w:tr w:rsidR="0047031F" w14:paraId="1AC6D385" w14:textId="77777777" w:rsidTr="00E47DC3">
        <w:tc>
          <w:tcPr>
            <w:tcW w:w="1842" w:type="dxa"/>
          </w:tcPr>
          <w:p w14:paraId="63747C4A"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APCP</w:t>
            </w:r>
          </w:p>
        </w:tc>
        <w:tc>
          <w:tcPr>
            <w:tcW w:w="5529" w:type="dxa"/>
          </w:tcPr>
          <w:p w14:paraId="06D0FEAC"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Australia Pacific Climate Partnership</w:t>
            </w:r>
          </w:p>
        </w:tc>
      </w:tr>
      <w:tr w:rsidR="005A73B5" w14:paraId="6E93D089" w14:textId="77777777" w:rsidTr="00E47DC3">
        <w:tc>
          <w:tcPr>
            <w:tcW w:w="1842" w:type="dxa"/>
          </w:tcPr>
          <w:p w14:paraId="79E17DFB" w14:textId="47DA113A" w:rsidR="005A73B5" w:rsidRPr="003E2C60" w:rsidRDefault="005A73B5"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ARC</w:t>
            </w:r>
          </w:p>
        </w:tc>
        <w:tc>
          <w:tcPr>
            <w:tcW w:w="5529" w:type="dxa"/>
          </w:tcPr>
          <w:p w14:paraId="5AAB0962" w14:textId="7DE10EA1" w:rsidR="005A73B5" w:rsidRPr="003E2C60" w:rsidRDefault="005A73B5"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Australian Red Cross</w:t>
            </w:r>
          </w:p>
        </w:tc>
      </w:tr>
      <w:tr w:rsidR="0047031F" w14:paraId="3E96F054" w14:textId="77777777" w:rsidTr="00E47DC3">
        <w:tc>
          <w:tcPr>
            <w:tcW w:w="1842" w:type="dxa"/>
          </w:tcPr>
          <w:p w14:paraId="58AD5049" w14:textId="1F863E1F"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CAN</w:t>
            </w:r>
            <w:r w:rsidR="008A61F4" w:rsidRPr="003E2C60">
              <w:rPr>
                <w:rFonts w:eastAsia="Times New Roman" w:cs="Times New Roman"/>
                <w:sz w:val="18"/>
                <w:szCs w:val="18"/>
                <w:lang w:val="en-AU"/>
              </w:rPr>
              <w:t xml:space="preserve"> </w:t>
            </w:r>
            <w:r w:rsidRPr="003E2C60">
              <w:rPr>
                <w:rFonts w:eastAsia="Times New Roman" w:cs="Times New Roman"/>
                <w:sz w:val="18"/>
                <w:szCs w:val="18"/>
                <w:lang w:val="en-AU"/>
              </w:rPr>
              <w:t>DO</w:t>
            </w:r>
          </w:p>
        </w:tc>
        <w:tc>
          <w:tcPr>
            <w:tcW w:w="5529" w:type="dxa"/>
          </w:tcPr>
          <w:p w14:paraId="0BEDD87D" w14:textId="22EEFC1C" w:rsidR="0047031F" w:rsidRPr="003E2C60" w:rsidRDefault="008A61F4"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Church Agency Network – Disaster Operations (c</w:t>
            </w:r>
            <w:r w:rsidR="0047031F" w:rsidRPr="003E2C60">
              <w:rPr>
                <w:rFonts w:eastAsia="Times New Roman" w:cs="Times New Roman"/>
                <w:sz w:val="18"/>
                <w:szCs w:val="18"/>
                <w:lang w:val="en-AU"/>
              </w:rPr>
              <w:t>onsorti</w:t>
            </w:r>
            <w:r w:rsidRPr="003E2C60">
              <w:rPr>
                <w:rFonts w:eastAsia="Times New Roman" w:cs="Times New Roman"/>
                <w:sz w:val="18"/>
                <w:szCs w:val="18"/>
                <w:lang w:val="en-AU"/>
              </w:rPr>
              <w:t>um</w:t>
            </w:r>
            <w:r w:rsidR="0047031F" w:rsidRPr="003E2C60">
              <w:rPr>
                <w:rFonts w:eastAsia="Times New Roman" w:cs="Times New Roman"/>
                <w:sz w:val="18"/>
                <w:szCs w:val="18"/>
                <w:lang w:val="en-AU"/>
              </w:rPr>
              <w:t xml:space="preserve"> of faith-based Australian NGOs</w:t>
            </w:r>
            <w:r w:rsidRPr="003E2C60">
              <w:rPr>
                <w:rFonts w:eastAsia="Times New Roman" w:cs="Times New Roman"/>
                <w:sz w:val="18"/>
                <w:szCs w:val="18"/>
                <w:lang w:val="en-AU"/>
              </w:rPr>
              <w:t>)</w:t>
            </w:r>
          </w:p>
        </w:tc>
      </w:tr>
      <w:tr w:rsidR="00D64D59" w14:paraId="293BDFD1" w14:textId="77777777" w:rsidTr="00E47DC3">
        <w:tc>
          <w:tcPr>
            <w:tcW w:w="1842" w:type="dxa"/>
          </w:tcPr>
          <w:p w14:paraId="23B43162" w14:textId="70967E80" w:rsidR="00D64D59" w:rsidRPr="003E2C60" w:rsidRDefault="00D64D59"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CBO</w:t>
            </w:r>
          </w:p>
        </w:tc>
        <w:tc>
          <w:tcPr>
            <w:tcW w:w="5529" w:type="dxa"/>
          </w:tcPr>
          <w:p w14:paraId="52D75099" w14:textId="5FC72C36" w:rsidR="00D64D59" w:rsidRPr="003E2C60" w:rsidRDefault="00D64D59"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Community Based Organisation</w:t>
            </w:r>
          </w:p>
        </w:tc>
      </w:tr>
      <w:tr w:rsidR="006571F1" w14:paraId="04BA4F8D" w14:textId="77777777" w:rsidTr="00E47DC3">
        <w:tc>
          <w:tcPr>
            <w:tcW w:w="1842" w:type="dxa"/>
          </w:tcPr>
          <w:p w14:paraId="7BEB8616" w14:textId="0A817632" w:rsidR="006571F1" w:rsidRPr="003E2C60" w:rsidRDefault="006571F1"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CCA</w:t>
            </w:r>
          </w:p>
        </w:tc>
        <w:tc>
          <w:tcPr>
            <w:tcW w:w="5529" w:type="dxa"/>
          </w:tcPr>
          <w:p w14:paraId="158404D6" w14:textId="7E3DA304" w:rsidR="006571F1" w:rsidRPr="003E2C60" w:rsidRDefault="006571F1"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Climate Change Adaptation</w:t>
            </w:r>
          </w:p>
        </w:tc>
      </w:tr>
      <w:tr w:rsidR="00287FF5" w14:paraId="1524221D" w14:textId="77777777" w:rsidTr="00E47DC3">
        <w:tc>
          <w:tcPr>
            <w:tcW w:w="1842" w:type="dxa"/>
          </w:tcPr>
          <w:p w14:paraId="67D63438" w14:textId="4C988EFF" w:rsidR="00287FF5" w:rsidRPr="003E2C60" w:rsidRDefault="00287FF5"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CHS</w:t>
            </w:r>
          </w:p>
        </w:tc>
        <w:tc>
          <w:tcPr>
            <w:tcW w:w="5529" w:type="dxa"/>
          </w:tcPr>
          <w:p w14:paraId="1F9E40AE" w14:textId="15B6E9B5" w:rsidR="00287FF5" w:rsidRPr="003E2C60" w:rsidRDefault="00287FF5"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Core Humanitarian Standard</w:t>
            </w:r>
          </w:p>
        </w:tc>
      </w:tr>
      <w:tr w:rsidR="0047031F" w14:paraId="504D97E0" w14:textId="77777777" w:rsidTr="00E47DC3">
        <w:tc>
          <w:tcPr>
            <w:tcW w:w="1842" w:type="dxa"/>
          </w:tcPr>
          <w:p w14:paraId="49762384"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CSO</w:t>
            </w:r>
          </w:p>
        </w:tc>
        <w:tc>
          <w:tcPr>
            <w:tcW w:w="5529" w:type="dxa"/>
          </w:tcPr>
          <w:p w14:paraId="543D575E"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Civil Society Organisation</w:t>
            </w:r>
          </w:p>
        </w:tc>
      </w:tr>
      <w:tr w:rsidR="0047031F" w14:paraId="1E137D6B" w14:textId="77777777" w:rsidTr="00E47DC3">
        <w:tc>
          <w:tcPr>
            <w:tcW w:w="1842" w:type="dxa"/>
          </w:tcPr>
          <w:p w14:paraId="4BC84756"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DFAT</w:t>
            </w:r>
          </w:p>
        </w:tc>
        <w:tc>
          <w:tcPr>
            <w:tcW w:w="5529" w:type="dxa"/>
          </w:tcPr>
          <w:p w14:paraId="5D659BB6"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Department of Foreign Affairs (Australia)</w:t>
            </w:r>
          </w:p>
        </w:tc>
      </w:tr>
      <w:tr w:rsidR="0047031F" w14:paraId="1A1FA893" w14:textId="77777777" w:rsidTr="00E47DC3">
        <w:tc>
          <w:tcPr>
            <w:tcW w:w="1842" w:type="dxa"/>
          </w:tcPr>
          <w:p w14:paraId="503E95AD"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DRCC</w:t>
            </w:r>
          </w:p>
        </w:tc>
        <w:tc>
          <w:tcPr>
            <w:tcW w:w="5529" w:type="dxa"/>
          </w:tcPr>
          <w:p w14:paraId="0C00EA0D" w14:textId="54F3B398"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 xml:space="preserve">Disaster READY </w:t>
            </w:r>
            <w:r w:rsidR="00FF6086" w:rsidRPr="003E2C60">
              <w:rPr>
                <w:rFonts w:eastAsia="Times New Roman" w:cs="Times New Roman"/>
                <w:sz w:val="18"/>
                <w:szCs w:val="18"/>
                <w:lang w:val="en-AU"/>
              </w:rPr>
              <w:t xml:space="preserve">Country </w:t>
            </w:r>
            <w:r w:rsidRPr="003E2C60">
              <w:rPr>
                <w:rFonts w:eastAsia="Times New Roman" w:cs="Times New Roman"/>
                <w:sz w:val="18"/>
                <w:szCs w:val="18"/>
                <w:lang w:val="en-AU"/>
              </w:rPr>
              <w:t>Committee</w:t>
            </w:r>
          </w:p>
        </w:tc>
      </w:tr>
      <w:tr w:rsidR="006571F1" w14:paraId="21126C52" w14:textId="77777777" w:rsidTr="00E47DC3">
        <w:tc>
          <w:tcPr>
            <w:tcW w:w="1842" w:type="dxa"/>
          </w:tcPr>
          <w:p w14:paraId="69A51A2E" w14:textId="51B18BEC" w:rsidR="006571F1" w:rsidRPr="003E2C60" w:rsidRDefault="006571F1"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DR</w:t>
            </w:r>
          </w:p>
        </w:tc>
        <w:tc>
          <w:tcPr>
            <w:tcW w:w="5529" w:type="dxa"/>
          </w:tcPr>
          <w:p w14:paraId="7DEA502B" w14:textId="12BAC04E" w:rsidR="006571F1" w:rsidRPr="003E2C60" w:rsidRDefault="006571F1"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Disaster READY</w:t>
            </w:r>
          </w:p>
        </w:tc>
      </w:tr>
      <w:tr w:rsidR="0047031F" w14:paraId="5F7AA5FF" w14:textId="77777777" w:rsidTr="00E47DC3">
        <w:tc>
          <w:tcPr>
            <w:tcW w:w="1842" w:type="dxa"/>
          </w:tcPr>
          <w:p w14:paraId="39DD5A2E"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DRR</w:t>
            </w:r>
          </w:p>
        </w:tc>
        <w:tc>
          <w:tcPr>
            <w:tcW w:w="5529" w:type="dxa"/>
          </w:tcPr>
          <w:p w14:paraId="7BD96EC0"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Disaster Risk Reduction</w:t>
            </w:r>
          </w:p>
        </w:tc>
      </w:tr>
      <w:tr w:rsidR="0047031F" w14:paraId="06BA8FE4" w14:textId="77777777" w:rsidTr="00E47DC3">
        <w:tc>
          <w:tcPr>
            <w:tcW w:w="1842" w:type="dxa"/>
          </w:tcPr>
          <w:p w14:paraId="7F3F175A"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EOPO</w:t>
            </w:r>
          </w:p>
        </w:tc>
        <w:tc>
          <w:tcPr>
            <w:tcW w:w="5529" w:type="dxa"/>
          </w:tcPr>
          <w:p w14:paraId="326FD13B"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End of Program Outcome</w:t>
            </w:r>
          </w:p>
        </w:tc>
      </w:tr>
      <w:tr w:rsidR="00F63CA7" w14:paraId="1EC584D7" w14:textId="77777777" w:rsidTr="00E47DC3">
        <w:tc>
          <w:tcPr>
            <w:tcW w:w="1842" w:type="dxa"/>
          </w:tcPr>
          <w:p w14:paraId="215AF907" w14:textId="405F6DBD" w:rsidR="00F63CA7" w:rsidRPr="003E2C60" w:rsidRDefault="00F63CA7"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FRDP</w:t>
            </w:r>
          </w:p>
        </w:tc>
        <w:tc>
          <w:tcPr>
            <w:tcW w:w="5529" w:type="dxa"/>
          </w:tcPr>
          <w:p w14:paraId="3A104F78" w14:textId="52C84D41" w:rsidR="00F63CA7" w:rsidRPr="003E2C60" w:rsidRDefault="00F63CA7"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Framework for Resilient Development in the Pacific</w:t>
            </w:r>
          </w:p>
        </w:tc>
      </w:tr>
      <w:tr w:rsidR="00962AD7" w14:paraId="5A5165FE" w14:textId="77777777" w:rsidTr="00E47DC3">
        <w:tc>
          <w:tcPr>
            <w:tcW w:w="1842" w:type="dxa"/>
          </w:tcPr>
          <w:p w14:paraId="117CE015" w14:textId="3B48059B" w:rsidR="00962AD7" w:rsidRPr="003E2C60" w:rsidRDefault="00962AD7"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FTE</w:t>
            </w:r>
          </w:p>
        </w:tc>
        <w:tc>
          <w:tcPr>
            <w:tcW w:w="5529" w:type="dxa"/>
          </w:tcPr>
          <w:p w14:paraId="7EAD52E0" w14:textId="7C9D7A65" w:rsidR="00962AD7" w:rsidRPr="003E2C60" w:rsidRDefault="00962AD7"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Full-time equivalent</w:t>
            </w:r>
          </w:p>
        </w:tc>
      </w:tr>
      <w:tr w:rsidR="00645D45" w14:paraId="47B3A130" w14:textId="77777777" w:rsidTr="00E47DC3">
        <w:tc>
          <w:tcPr>
            <w:tcW w:w="1842" w:type="dxa"/>
          </w:tcPr>
          <w:p w14:paraId="4003014D" w14:textId="644087ED" w:rsidR="00645D45" w:rsidRPr="003E2C60" w:rsidRDefault="00645D45"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GBV</w:t>
            </w:r>
          </w:p>
        </w:tc>
        <w:tc>
          <w:tcPr>
            <w:tcW w:w="5529" w:type="dxa"/>
          </w:tcPr>
          <w:p w14:paraId="4E55ABFB" w14:textId="12214A9C" w:rsidR="00645D45" w:rsidRPr="003E2C60" w:rsidRDefault="00645D45"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Gender-based violence</w:t>
            </w:r>
          </w:p>
        </w:tc>
      </w:tr>
      <w:tr w:rsidR="00B17863" w14:paraId="4FFA9822" w14:textId="77777777" w:rsidTr="00E47DC3">
        <w:tc>
          <w:tcPr>
            <w:tcW w:w="1842" w:type="dxa"/>
          </w:tcPr>
          <w:p w14:paraId="001D9997" w14:textId="4B58D024" w:rsidR="00B17863" w:rsidRPr="003E2C60" w:rsidRDefault="00B17863"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GEDSI</w:t>
            </w:r>
          </w:p>
        </w:tc>
        <w:tc>
          <w:tcPr>
            <w:tcW w:w="5529" w:type="dxa"/>
          </w:tcPr>
          <w:p w14:paraId="0A99F938" w14:textId="6850EB5C" w:rsidR="00B17863" w:rsidRPr="003E2C60" w:rsidRDefault="00B17863"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G</w:t>
            </w:r>
            <w:r w:rsidRPr="00B17863">
              <w:rPr>
                <w:rFonts w:eastAsia="Times New Roman" w:cs="Times New Roman"/>
                <w:sz w:val="18"/>
                <w:szCs w:val="18"/>
                <w:lang w:val="en-AU"/>
              </w:rPr>
              <w:t>ender, disability inclusion and social inclusion</w:t>
            </w:r>
          </w:p>
        </w:tc>
      </w:tr>
      <w:tr w:rsidR="00DA370E" w14:paraId="624ABA37" w14:textId="77777777" w:rsidTr="00E47DC3">
        <w:tc>
          <w:tcPr>
            <w:tcW w:w="1842" w:type="dxa"/>
          </w:tcPr>
          <w:p w14:paraId="1BB4FA4A" w14:textId="4B19B8D5" w:rsidR="00DA370E" w:rsidRDefault="00DA370E" w:rsidP="00E47DC3">
            <w:pPr>
              <w:tabs>
                <w:tab w:val="left" w:pos="284"/>
              </w:tabs>
              <w:suppressAutoHyphens w:val="0"/>
              <w:spacing w:before="0" w:line="280" w:lineRule="exact"/>
              <w:rPr>
                <w:rFonts w:eastAsia="Times New Roman" w:cs="Times New Roman"/>
                <w:sz w:val="18"/>
                <w:szCs w:val="18"/>
                <w:lang w:val="en-AU"/>
              </w:rPr>
            </w:pPr>
            <w:r w:rsidRPr="00DA370E">
              <w:rPr>
                <w:rFonts w:eastAsia="Times New Roman" w:cs="Times New Roman"/>
                <w:sz w:val="18"/>
                <w:szCs w:val="18"/>
                <w:lang w:val="en-AU"/>
              </w:rPr>
              <w:t>Gov4Res</w:t>
            </w:r>
          </w:p>
        </w:tc>
        <w:tc>
          <w:tcPr>
            <w:tcW w:w="5529" w:type="dxa"/>
          </w:tcPr>
          <w:p w14:paraId="08F2B65D" w14:textId="7675A6E8" w:rsidR="00DA370E" w:rsidRDefault="00DA370E" w:rsidP="00E47DC3">
            <w:pPr>
              <w:tabs>
                <w:tab w:val="left" w:pos="284"/>
              </w:tabs>
              <w:suppressAutoHyphens w:val="0"/>
              <w:spacing w:before="0" w:line="280" w:lineRule="exact"/>
              <w:rPr>
                <w:rFonts w:eastAsia="Times New Roman" w:cs="Times New Roman"/>
                <w:sz w:val="18"/>
                <w:szCs w:val="18"/>
                <w:lang w:val="en-AU"/>
              </w:rPr>
            </w:pPr>
            <w:r w:rsidRPr="00DA370E">
              <w:rPr>
                <w:rFonts w:eastAsia="Times New Roman" w:cs="Times New Roman"/>
                <w:sz w:val="18"/>
                <w:szCs w:val="18"/>
                <w:lang w:val="en-AU"/>
              </w:rPr>
              <w:t>Governance for Resilience</w:t>
            </w:r>
            <w:r>
              <w:rPr>
                <w:rFonts w:eastAsia="Times New Roman" w:cs="Times New Roman"/>
                <w:sz w:val="18"/>
                <w:szCs w:val="18"/>
                <w:lang w:val="en-AU"/>
              </w:rPr>
              <w:t xml:space="preserve"> Program</w:t>
            </w:r>
          </w:p>
        </w:tc>
      </w:tr>
      <w:tr w:rsidR="0047031F" w14:paraId="05EEDC0A" w14:textId="77777777" w:rsidTr="00E47DC3">
        <w:tc>
          <w:tcPr>
            <w:tcW w:w="1842" w:type="dxa"/>
          </w:tcPr>
          <w:p w14:paraId="3E2ECDEF"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HAG</w:t>
            </w:r>
          </w:p>
        </w:tc>
        <w:tc>
          <w:tcPr>
            <w:tcW w:w="5529" w:type="dxa"/>
          </w:tcPr>
          <w:p w14:paraId="249F14D4" w14:textId="243DBC9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 xml:space="preserve">Humanitarian </w:t>
            </w:r>
            <w:r w:rsidR="008A61F4" w:rsidRPr="003E2C60">
              <w:rPr>
                <w:rFonts w:eastAsia="Times New Roman" w:cs="Times New Roman"/>
                <w:sz w:val="18"/>
                <w:szCs w:val="18"/>
                <w:lang w:val="en-AU"/>
              </w:rPr>
              <w:t xml:space="preserve">Advisory </w:t>
            </w:r>
            <w:r w:rsidRPr="003E2C60">
              <w:rPr>
                <w:rFonts w:eastAsia="Times New Roman" w:cs="Times New Roman"/>
                <w:sz w:val="18"/>
                <w:szCs w:val="18"/>
                <w:lang w:val="en-AU"/>
              </w:rPr>
              <w:t>Group</w:t>
            </w:r>
          </w:p>
        </w:tc>
      </w:tr>
      <w:tr w:rsidR="00DB712B" w14:paraId="10AA8680" w14:textId="77777777" w:rsidTr="00E47DC3">
        <w:tc>
          <w:tcPr>
            <w:tcW w:w="1842" w:type="dxa"/>
          </w:tcPr>
          <w:p w14:paraId="5091191F" w14:textId="7F66A573" w:rsidR="00DB712B" w:rsidRPr="003E2C60" w:rsidRDefault="00DB712B"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HDS</w:t>
            </w:r>
          </w:p>
        </w:tc>
        <w:tc>
          <w:tcPr>
            <w:tcW w:w="5529" w:type="dxa"/>
          </w:tcPr>
          <w:p w14:paraId="697D8D81" w14:textId="07007B84" w:rsidR="00DB712B" w:rsidRPr="003E2C60" w:rsidRDefault="00DB712B"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 xml:space="preserve">Humanitarian and Development Deployments Section, </w:t>
            </w:r>
            <w:r w:rsidRPr="003E2C60">
              <w:rPr>
                <w:rFonts w:eastAsia="Times New Roman" w:cs="Times New Roman"/>
                <w:sz w:val="18"/>
                <w:szCs w:val="18"/>
                <w:lang w:val="en-AU"/>
              </w:rPr>
              <w:t>Humanitarian Partnership Division</w:t>
            </w:r>
          </w:p>
        </w:tc>
      </w:tr>
      <w:tr w:rsidR="0047031F" w14:paraId="27733F6D" w14:textId="77777777" w:rsidTr="00E47DC3">
        <w:tc>
          <w:tcPr>
            <w:tcW w:w="1842" w:type="dxa"/>
          </w:tcPr>
          <w:p w14:paraId="377C2900"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HPD</w:t>
            </w:r>
          </w:p>
        </w:tc>
        <w:tc>
          <w:tcPr>
            <w:tcW w:w="5529" w:type="dxa"/>
          </w:tcPr>
          <w:p w14:paraId="313DB5C6" w14:textId="450FD8BA"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Humanitarian Partnership</w:t>
            </w:r>
            <w:r w:rsidR="00DB712B">
              <w:rPr>
                <w:rFonts w:eastAsia="Times New Roman" w:cs="Times New Roman"/>
                <w:sz w:val="18"/>
                <w:szCs w:val="18"/>
                <w:lang w:val="en-AU"/>
              </w:rPr>
              <w:t>s</w:t>
            </w:r>
            <w:r w:rsidRPr="003E2C60">
              <w:rPr>
                <w:rFonts w:eastAsia="Times New Roman" w:cs="Times New Roman"/>
                <w:sz w:val="18"/>
                <w:szCs w:val="18"/>
                <w:lang w:val="en-AU"/>
              </w:rPr>
              <w:t xml:space="preserve"> Division (of DFAT)</w:t>
            </w:r>
          </w:p>
        </w:tc>
      </w:tr>
      <w:tr w:rsidR="0047031F" w14:paraId="77DFD193" w14:textId="77777777" w:rsidTr="00E47DC3">
        <w:tc>
          <w:tcPr>
            <w:tcW w:w="1842" w:type="dxa"/>
          </w:tcPr>
          <w:p w14:paraId="0B5511EA"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HRG</w:t>
            </w:r>
          </w:p>
        </w:tc>
        <w:tc>
          <w:tcPr>
            <w:tcW w:w="5529" w:type="dxa"/>
          </w:tcPr>
          <w:p w14:paraId="599D0543"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Humanitarian Reference Group (of ACFID)</w:t>
            </w:r>
          </w:p>
        </w:tc>
      </w:tr>
      <w:tr w:rsidR="00773D1C" w14:paraId="3D9FBA19" w14:textId="77777777" w:rsidTr="00E47DC3">
        <w:tc>
          <w:tcPr>
            <w:tcW w:w="1842" w:type="dxa"/>
          </w:tcPr>
          <w:p w14:paraId="572D124E" w14:textId="73C5C1FB" w:rsidR="00773D1C" w:rsidRPr="003E2C60" w:rsidRDefault="00773D1C"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IDD</w:t>
            </w:r>
          </w:p>
        </w:tc>
        <w:tc>
          <w:tcPr>
            <w:tcW w:w="5529" w:type="dxa"/>
          </w:tcPr>
          <w:p w14:paraId="772410A6" w14:textId="17FC1CFF" w:rsidR="00773D1C" w:rsidRPr="003E2C60" w:rsidRDefault="00773D1C"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 xml:space="preserve">The Australian Humanitarian Partnership </w:t>
            </w:r>
            <w:r w:rsidR="00406F84">
              <w:rPr>
                <w:rFonts w:eastAsia="Times New Roman" w:cs="Times New Roman"/>
                <w:sz w:val="18"/>
                <w:szCs w:val="18"/>
                <w:lang w:val="en-AU"/>
              </w:rPr>
              <w:t>Phase II</w:t>
            </w:r>
            <w:r w:rsidRPr="003E2C60">
              <w:rPr>
                <w:rFonts w:eastAsia="Times New Roman" w:cs="Times New Roman"/>
                <w:sz w:val="18"/>
                <w:szCs w:val="18"/>
                <w:lang w:val="en-AU"/>
              </w:rPr>
              <w:t xml:space="preserve"> Investment Design Document</w:t>
            </w:r>
          </w:p>
        </w:tc>
      </w:tr>
      <w:tr w:rsidR="006571F1" w14:paraId="4B446FDD" w14:textId="77777777" w:rsidTr="00E47DC3">
        <w:tc>
          <w:tcPr>
            <w:tcW w:w="1842" w:type="dxa"/>
          </w:tcPr>
          <w:p w14:paraId="0A392E6B" w14:textId="33302CB3" w:rsidR="006571F1" w:rsidRPr="003E2C60" w:rsidRDefault="006571F1"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IDPs</w:t>
            </w:r>
          </w:p>
        </w:tc>
        <w:tc>
          <w:tcPr>
            <w:tcW w:w="5529" w:type="dxa"/>
          </w:tcPr>
          <w:p w14:paraId="4EB68621" w14:textId="7F19B0A3" w:rsidR="006571F1" w:rsidRPr="003E2C60" w:rsidRDefault="006571F1"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Internally Displaced Persons</w:t>
            </w:r>
          </w:p>
        </w:tc>
      </w:tr>
      <w:tr w:rsidR="0047031F" w14:paraId="51FF5238" w14:textId="77777777" w:rsidTr="00E47DC3">
        <w:tc>
          <w:tcPr>
            <w:tcW w:w="1842" w:type="dxa"/>
          </w:tcPr>
          <w:p w14:paraId="6077E65E"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IO</w:t>
            </w:r>
          </w:p>
        </w:tc>
        <w:tc>
          <w:tcPr>
            <w:tcW w:w="5529" w:type="dxa"/>
          </w:tcPr>
          <w:p w14:paraId="72CD88A0"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Intermediate Outcome</w:t>
            </w:r>
          </w:p>
        </w:tc>
      </w:tr>
      <w:tr w:rsidR="0047031F" w14:paraId="2B206BA6" w14:textId="77777777" w:rsidTr="00E47DC3">
        <w:tc>
          <w:tcPr>
            <w:tcW w:w="1842" w:type="dxa"/>
          </w:tcPr>
          <w:p w14:paraId="4B01FDFE"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ISR</w:t>
            </w:r>
          </w:p>
        </w:tc>
        <w:tc>
          <w:tcPr>
            <w:tcW w:w="5529" w:type="dxa"/>
          </w:tcPr>
          <w:p w14:paraId="2679D656"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Independent Strategic Review</w:t>
            </w:r>
          </w:p>
        </w:tc>
      </w:tr>
      <w:tr w:rsidR="00962AD7" w14:paraId="118E28B5" w14:textId="77777777" w:rsidTr="00E47DC3">
        <w:tc>
          <w:tcPr>
            <w:tcW w:w="1842" w:type="dxa"/>
          </w:tcPr>
          <w:p w14:paraId="3C2FFE2E" w14:textId="3B67F9A5" w:rsidR="00962AD7" w:rsidRPr="003E2C60" w:rsidRDefault="00962AD7"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lastRenderedPageBreak/>
              <w:t>LES</w:t>
            </w:r>
          </w:p>
        </w:tc>
        <w:tc>
          <w:tcPr>
            <w:tcW w:w="5529" w:type="dxa"/>
          </w:tcPr>
          <w:p w14:paraId="18370381" w14:textId="773AA214" w:rsidR="00962AD7" w:rsidRPr="003E2C60" w:rsidRDefault="00962AD7"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Locally engaged staff</w:t>
            </w:r>
          </w:p>
        </w:tc>
      </w:tr>
      <w:tr w:rsidR="00190DAF" w14:paraId="2A0D4CAD" w14:textId="77777777" w:rsidTr="00E47DC3">
        <w:tc>
          <w:tcPr>
            <w:tcW w:w="1842" w:type="dxa"/>
          </w:tcPr>
          <w:p w14:paraId="194B3FF1" w14:textId="42B0C712" w:rsidR="00190DAF" w:rsidRPr="003E2C60" w:rsidRDefault="00190DAF"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Local partners</w:t>
            </w:r>
          </w:p>
        </w:tc>
        <w:tc>
          <w:tcPr>
            <w:tcW w:w="5529" w:type="dxa"/>
          </w:tcPr>
          <w:p w14:paraId="76E0D30B" w14:textId="55A29268" w:rsidR="00190DAF" w:rsidRPr="003E2C60" w:rsidRDefault="00F43000" w:rsidP="00E47DC3">
            <w:pPr>
              <w:tabs>
                <w:tab w:val="left" w:pos="284"/>
              </w:tabs>
              <w:suppressAutoHyphens w:val="0"/>
              <w:spacing w:before="0" w:line="280" w:lineRule="exact"/>
              <w:rPr>
                <w:rFonts w:eastAsia="Times New Roman" w:cs="Times New Roman"/>
                <w:sz w:val="18"/>
                <w:szCs w:val="18"/>
                <w:lang w:val="en-AU"/>
              </w:rPr>
            </w:pPr>
            <w:bookmarkStart w:id="9" w:name="_Hlk95488132"/>
            <w:r>
              <w:rPr>
                <w:rFonts w:eastAsia="Times New Roman" w:cs="Times New Roman"/>
                <w:sz w:val="18"/>
                <w:szCs w:val="18"/>
                <w:lang w:val="en-AU"/>
              </w:rPr>
              <w:t>National NGOs</w:t>
            </w:r>
            <w:r w:rsidR="008F5DB8">
              <w:rPr>
                <w:rFonts w:eastAsia="Times New Roman" w:cs="Times New Roman"/>
                <w:sz w:val="18"/>
                <w:szCs w:val="18"/>
                <w:lang w:val="en-AU"/>
              </w:rPr>
              <w:t xml:space="preserve"> or CBOs</w:t>
            </w:r>
            <w:r w:rsidR="00A90239">
              <w:rPr>
                <w:rFonts w:eastAsia="Times New Roman" w:cs="Times New Roman"/>
                <w:sz w:val="18"/>
                <w:szCs w:val="18"/>
                <w:lang w:val="en-AU"/>
              </w:rPr>
              <w:t>, universities</w:t>
            </w:r>
            <w:r w:rsidR="00D20E1A">
              <w:rPr>
                <w:rFonts w:eastAsia="Times New Roman" w:cs="Times New Roman"/>
                <w:sz w:val="18"/>
                <w:szCs w:val="18"/>
                <w:lang w:val="en-AU"/>
              </w:rPr>
              <w:t xml:space="preserve"> and other AHP NGO implementing partners</w:t>
            </w:r>
            <w:r>
              <w:rPr>
                <w:rFonts w:eastAsia="Times New Roman" w:cs="Times New Roman"/>
                <w:sz w:val="18"/>
                <w:szCs w:val="18"/>
                <w:lang w:val="en-AU"/>
              </w:rPr>
              <w:t xml:space="preserve"> </w:t>
            </w:r>
            <w:bookmarkEnd w:id="9"/>
          </w:p>
        </w:tc>
      </w:tr>
      <w:tr w:rsidR="0047031F" w14:paraId="69367D7A" w14:textId="77777777" w:rsidTr="00E47DC3">
        <w:tc>
          <w:tcPr>
            <w:tcW w:w="1842" w:type="dxa"/>
          </w:tcPr>
          <w:p w14:paraId="7710EFD4"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MEL</w:t>
            </w:r>
          </w:p>
        </w:tc>
        <w:tc>
          <w:tcPr>
            <w:tcW w:w="5529" w:type="dxa"/>
          </w:tcPr>
          <w:p w14:paraId="5FCD7CB8"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Monitoring, Evaluation and Learning</w:t>
            </w:r>
          </w:p>
        </w:tc>
      </w:tr>
      <w:tr w:rsidR="00EB3557" w14:paraId="266F09AE" w14:textId="77777777" w:rsidTr="00E47DC3">
        <w:tc>
          <w:tcPr>
            <w:tcW w:w="1842" w:type="dxa"/>
          </w:tcPr>
          <w:p w14:paraId="28460723" w14:textId="5BD39D01" w:rsidR="00EB3557" w:rsidRPr="003E2C60" w:rsidRDefault="00EB3557"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MELF</w:t>
            </w:r>
          </w:p>
        </w:tc>
        <w:tc>
          <w:tcPr>
            <w:tcW w:w="5529" w:type="dxa"/>
          </w:tcPr>
          <w:p w14:paraId="218C824A" w14:textId="5DB68BD1" w:rsidR="00EB3557" w:rsidRPr="003E2C60" w:rsidRDefault="00EB3557"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Monitoring, Evaluation and Learning</w:t>
            </w:r>
            <w:r>
              <w:rPr>
                <w:rFonts w:eastAsia="Times New Roman" w:cs="Times New Roman"/>
                <w:sz w:val="18"/>
                <w:szCs w:val="18"/>
                <w:lang w:val="en-AU"/>
              </w:rPr>
              <w:t xml:space="preserve"> Framework</w:t>
            </w:r>
          </w:p>
        </w:tc>
      </w:tr>
      <w:tr w:rsidR="0047031F" w14:paraId="71D75BFE" w14:textId="77777777" w:rsidTr="00E47DC3">
        <w:tc>
          <w:tcPr>
            <w:tcW w:w="1842" w:type="dxa"/>
          </w:tcPr>
          <w:p w14:paraId="6A789AF8" w14:textId="6F78B5AF"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MT</w:t>
            </w:r>
            <w:r w:rsidR="00D64D59" w:rsidRPr="003E2C60">
              <w:rPr>
                <w:rFonts w:eastAsia="Times New Roman" w:cs="Times New Roman"/>
                <w:sz w:val="18"/>
                <w:szCs w:val="18"/>
                <w:lang w:val="en-AU"/>
              </w:rPr>
              <w:t>E</w:t>
            </w:r>
          </w:p>
        </w:tc>
        <w:tc>
          <w:tcPr>
            <w:tcW w:w="5529" w:type="dxa"/>
          </w:tcPr>
          <w:p w14:paraId="2FDDFA48" w14:textId="04DEE9B2"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 xml:space="preserve">Mid Term </w:t>
            </w:r>
            <w:r w:rsidR="00D64D59" w:rsidRPr="003E2C60">
              <w:rPr>
                <w:rFonts w:eastAsia="Times New Roman" w:cs="Times New Roman"/>
                <w:sz w:val="18"/>
                <w:szCs w:val="18"/>
                <w:lang w:val="en-AU"/>
              </w:rPr>
              <w:t>Evaluation</w:t>
            </w:r>
          </w:p>
        </w:tc>
      </w:tr>
      <w:tr w:rsidR="00A57118" w14:paraId="404976C3" w14:textId="77777777" w:rsidTr="00E47DC3">
        <w:tc>
          <w:tcPr>
            <w:tcW w:w="1842" w:type="dxa"/>
          </w:tcPr>
          <w:p w14:paraId="4934C900" w14:textId="7DEA8042" w:rsidR="00A57118" w:rsidRPr="003E2C60" w:rsidRDefault="00A57118"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NGO</w:t>
            </w:r>
          </w:p>
        </w:tc>
        <w:tc>
          <w:tcPr>
            <w:tcW w:w="5529" w:type="dxa"/>
          </w:tcPr>
          <w:p w14:paraId="090FDACC" w14:textId="75E2BA5F" w:rsidR="00A57118" w:rsidRPr="003E2C60" w:rsidRDefault="00A57118"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Non-government organisation</w:t>
            </w:r>
          </w:p>
        </w:tc>
      </w:tr>
      <w:tr w:rsidR="003E229B" w14:paraId="452A8049" w14:textId="77777777" w:rsidTr="009601D2">
        <w:tc>
          <w:tcPr>
            <w:tcW w:w="1842" w:type="dxa"/>
          </w:tcPr>
          <w:p w14:paraId="61669771" w14:textId="4E6DC61C" w:rsidR="003E229B" w:rsidRPr="003E2C60" w:rsidRDefault="003E229B" w:rsidP="009601D2">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OPD</w:t>
            </w:r>
          </w:p>
        </w:tc>
        <w:tc>
          <w:tcPr>
            <w:tcW w:w="5529" w:type="dxa"/>
          </w:tcPr>
          <w:p w14:paraId="37CCC190" w14:textId="64560147" w:rsidR="003E229B" w:rsidRPr="003E2C60" w:rsidRDefault="003E229B" w:rsidP="009601D2">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Organisations of Persons with Disabilities</w:t>
            </w:r>
          </w:p>
        </w:tc>
      </w:tr>
      <w:tr w:rsidR="00214C50" w14:paraId="45DA94C3" w14:textId="77777777" w:rsidTr="009601D2">
        <w:tc>
          <w:tcPr>
            <w:tcW w:w="1842" w:type="dxa"/>
          </w:tcPr>
          <w:p w14:paraId="34ABF368" w14:textId="4973847B" w:rsidR="00214C50" w:rsidRDefault="00214C50" w:rsidP="009601D2">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P4SP</w:t>
            </w:r>
          </w:p>
        </w:tc>
        <w:tc>
          <w:tcPr>
            <w:tcW w:w="5529" w:type="dxa"/>
          </w:tcPr>
          <w:p w14:paraId="43A5AC94" w14:textId="6FAE4CDB" w:rsidR="00214C50" w:rsidRDefault="00214C50" w:rsidP="009601D2">
            <w:pPr>
              <w:tabs>
                <w:tab w:val="left" w:pos="284"/>
              </w:tabs>
              <w:suppressAutoHyphens w:val="0"/>
              <w:spacing w:before="0" w:line="280" w:lineRule="exact"/>
              <w:rPr>
                <w:rFonts w:eastAsia="Times New Roman" w:cs="Times New Roman"/>
                <w:sz w:val="18"/>
                <w:szCs w:val="18"/>
                <w:lang w:val="en-AU"/>
              </w:rPr>
            </w:pPr>
            <w:r w:rsidRPr="00214C50">
              <w:rPr>
                <w:rFonts w:eastAsia="Times New Roman" w:cs="Times New Roman"/>
                <w:sz w:val="18"/>
                <w:szCs w:val="18"/>
                <w:lang w:val="en-AU"/>
              </w:rPr>
              <w:t>Partnerships for Social Protection</w:t>
            </w:r>
          </w:p>
        </w:tc>
      </w:tr>
      <w:tr w:rsidR="00287FF5" w14:paraId="23AE2BB7" w14:textId="77777777" w:rsidTr="00E47DC3">
        <w:tc>
          <w:tcPr>
            <w:tcW w:w="1842" w:type="dxa"/>
          </w:tcPr>
          <w:p w14:paraId="527553F5" w14:textId="701A98F8" w:rsidR="00287FF5" w:rsidRPr="003E2C60" w:rsidRDefault="00287FF5"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PACMAS</w:t>
            </w:r>
          </w:p>
        </w:tc>
        <w:tc>
          <w:tcPr>
            <w:tcW w:w="5529" w:type="dxa"/>
          </w:tcPr>
          <w:p w14:paraId="7A22CA0C" w14:textId="3762C90E" w:rsidR="00287FF5" w:rsidRPr="003E2C60" w:rsidRDefault="00287FF5"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Pacific Media Assistance Scheme</w:t>
            </w:r>
          </w:p>
        </w:tc>
      </w:tr>
      <w:tr w:rsidR="0047031F" w14:paraId="2050EB2B" w14:textId="77777777" w:rsidTr="00E47DC3">
        <w:tc>
          <w:tcPr>
            <w:tcW w:w="1842" w:type="dxa"/>
          </w:tcPr>
          <w:p w14:paraId="6DF1162F"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PG</w:t>
            </w:r>
          </w:p>
        </w:tc>
        <w:tc>
          <w:tcPr>
            <w:tcW w:w="5529" w:type="dxa"/>
          </w:tcPr>
          <w:p w14:paraId="54ECED1A"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Partner Government</w:t>
            </w:r>
          </w:p>
        </w:tc>
      </w:tr>
      <w:tr w:rsidR="00A57118" w14:paraId="0287F456" w14:textId="77777777" w:rsidTr="00E47DC3">
        <w:tc>
          <w:tcPr>
            <w:tcW w:w="1842" w:type="dxa"/>
          </w:tcPr>
          <w:p w14:paraId="7D0EC3B5" w14:textId="446184E4" w:rsidR="00A57118" w:rsidRPr="003E2C60" w:rsidRDefault="00A57118"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PPA</w:t>
            </w:r>
          </w:p>
        </w:tc>
        <w:tc>
          <w:tcPr>
            <w:tcW w:w="5529" w:type="dxa"/>
          </w:tcPr>
          <w:p w14:paraId="3A7701AC" w14:textId="184B0D84" w:rsidR="00A57118" w:rsidRPr="003E2C60" w:rsidRDefault="00A57118"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Partner Performance Assessment</w:t>
            </w:r>
          </w:p>
        </w:tc>
      </w:tr>
      <w:tr w:rsidR="00DB712B" w14:paraId="332B6C94" w14:textId="77777777" w:rsidTr="00E47DC3">
        <w:tc>
          <w:tcPr>
            <w:tcW w:w="1842" w:type="dxa"/>
          </w:tcPr>
          <w:p w14:paraId="782EF170" w14:textId="3AD4E33D" w:rsidR="00DB712B" w:rsidRPr="003E2C60" w:rsidRDefault="00DB712B"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PRS</w:t>
            </w:r>
          </w:p>
        </w:tc>
        <w:tc>
          <w:tcPr>
            <w:tcW w:w="5529" w:type="dxa"/>
          </w:tcPr>
          <w:p w14:paraId="3BF14D33" w14:textId="4CF0984E" w:rsidR="00DB712B" w:rsidRPr="003E2C60" w:rsidRDefault="00DB712B"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 xml:space="preserve">Protracted Crisis Section, </w:t>
            </w:r>
            <w:r w:rsidRPr="003E2C60">
              <w:rPr>
                <w:rFonts w:eastAsia="Times New Roman" w:cs="Times New Roman"/>
                <w:sz w:val="18"/>
                <w:szCs w:val="18"/>
                <w:lang w:val="en-AU"/>
              </w:rPr>
              <w:t>Humanitarian Partnership Division</w:t>
            </w:r>
          </w:p>
        </w:tc>
      </w:tr>
      <w:tr w:rsidR="0047031F" w14:paraId="10047020" w14:textId="77777777" w:rsidTr="00E47DC3">
        <w:tc>
          <w:tcPr>
            <w:tcW w:w="1842" w:type="dxa"/>
          </w:tcPr>
          <w:p w14:paraId="5B5A999A"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SC</w:t>
            </w:r>
          </w:p>
        </w:tc>
        <w:tc>
          <w:tcPr>
            <w:tcW w:w="5529" w:type="dxa"/>
          </w:tcPr>
          <w:p w14:paraId="3DC37FA3"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Steering Committee</w:t>
            </w:r>
          </w:p>
        </w:tc>
      </w:tr>
      <w:tr w:rsidR="0047031F" w14:paraId="35CD9E4C" w14:textId="77777777" w:rsidTr="00E47DC3">
        <w:tc>
          <w:tcPr>
            <w:tcW w:w="1842" w:type="dxa"/>
          </w:tcPr>
          <w:p w14:paraId="154E4249"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SOGIESC</w:t>
            </w:r>
          </w:p>
        </w:tc>
        <w:tc>
          <w:tcPr>
            <w:tcW w:w="5529" w:type="dxa"/>
          </w:tcPr>
          <w:p w14:paraId="7651A902"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Sexual Orientation Gender Identity &amp; Expression &amp; Sex Characteristics</w:t>
            </w:r>
          </w:p>
        </w:tc>
      </w:tr>
      <w:tr w:rsidR="0047031F" w14:paraId="7389FA03" w14:textId="77777777" w:rsidTr="00E47DC3">
        <w:tc>
          <w:tcPr>
            <w:tcW w:w="1842" w:type="dxa"/>
          </w:tcPr>
          <w:p w14:paraId="2C3EAB18"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SPC</w:t>
            </w:r>
          </w:p>
        </w:tc>
        <w:tc>
          <w:tcPr>
            <w:tcW w:w="5529" w:type="dxa"/>
          </w:tcPr>
          <w:p w14:paraId="7B367741"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Secretariat of the Pacific Community</w:t>
            </w:r>
          </w:p>
        </w:tc>
      </w:tr>
      <w:tr w:rsidR="0047031F" w14:paraId="6593ACB0" w14:textId="77777777" w:rsidTr="00E47DC3">
        <w:tc>
          <w:tcPr>
            <w:tcW w:w="1842" w:type="dxa"/>
          </w:tcPr>
          <w:p w14:paraId="0F49399B"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TOR</w:t>
            </w:r>
          </w:p>
        </w:tc>
        <w:tc>
          <w:tcPr>
            <w:tcW w:w="5529" w:type="dxa"/>
          </w:tcPr>
          <w:p w14:paraId="0733B42C"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Terms of Reference</w:t>
            </w:r>
          </w:p>
        </w:tc>
      </w:tr>
      <w:tr w:rsidR="00115882" w14:paraId="6DE08B41" w14:textId="77777777" w:rsidTr="00E47DC3">
        <w:tc>
          <w:tcPr>
            <w:tcW w:w="1842" w:type="dxa"/>
          </w:tcPr>
          <w:p w14:paraId="75DBDBED" w14:textId="67BA338D" w:rsidR="00115882" w:rsidRPr="003E2C60" w:rsidRDefault="00115882"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VAHSI</w:t>
            </w:r>
          </w:p>
        </w:tc>
        <w:tc>
          <w:tcPr>
            <w:tcW w:w="5529" w:type="dxa"/>
          </w:tcPr>
          <w:p w14:paraId="0E910E5C" w14:textId="4DE34BE2" w:rsidR="00115882" w:rsidRPr="003E2C60" w:rsidRDefault="00115882"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 xml:space="preserve">DFAT’s </w:t>
            </w:r>
            <w:r w:rsidRPr="00115882">
              <w:rPr>
                <w:rFonts w:eastAsia="Times New Roman" w:cs="Times New Roman"/>
                <w:sz w:val="18"/>
                <w:szCs w:val="18"/>
                <w:lang w:val="en-AU"/>
              </w:rPr>
              <w:t>Vaccine Access and Health Security Initiative</w:t>
            </w:r>
          </w:p>
        </w:tc>
      </w:tr>
      <w:tr w:rsidR="0047031F" w14:paraId="5F5E4167" w14:textId="77777777" w:rsidTr="00E47DC3">
        <w:tc>
          <w:tcPr>
            <w:tcW w:w="1842" w:type="dxa"/>
          </w:tcPr>
          <w:p w14:paraId="6D54B852"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UN</w:t>
            </w:r>
          </w:p>
        </w:tc>
        <w:tc>
          <w:tcPr>
            <w:tcW w:w="5529" w:type="dxa"/>
          </w:tcPr>
          <w:p w14:paraId="66302091"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United Nations</w:t>
            </w:r>
          </w:p>
        </w:tc>
      </w:tr>
      <w:tr w:rsidR="00480C01" w14:paraId="7EF42FE8" w14:textId="77777777" w:rsidTr="00E47DC3">
        <w:tc>
          <w:tcPr>
            <w:tcW w:w="1842" w:type="dxa"/>
          </w:tcPr>
          <w:p w14:paraId="7D9C17B7" w14:textId="419BD816" w:rsidR="00480C01" w:rsidRPr="003E2C60" w:rsidRDefault="00480C01"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WASH</w:t>
            </w:r>
          </w:p>
        </w:tc>
        <w:tc>
          <w:tcPr>
            <w:tcW w:w="5529" w:type="dxa"/>
          </w:tcPr>
          <w:p w14:paraId="6846CB5A" w14:textId="108619AD" w:rsidR="00480C01" w:rsidRPr="003E2C60" w:rsidRDefault="00480C01" w:rsidP="00E47DC3">
            <w:pPr>
              <w:tabs>
                <w:tab w:val="left" w:pos="284"/>
              </w:tabs>
              <w:suppressAutoHyphens w:val="0"/>
              <w:spacing w:before="0" w:line="280" w:lineRule="exact"/>
              <w:rPr>
                <w:rFonts w:eastAsia="Times New Roman" w:cs="Times New Roman"/>
                <w:sz w:val="18"/>
                <w:szCs w:val="18"/>
                <w:lang w:val="en-AU"/>
              </w:rPr>
            </w:pPr>
            <w:r>
              <w:rPr>
                <w:rFonts w:eastAsia="Times New Roman" w:cs="Times New Roman"/>
                <w:sz w:val="18"/>
                <w:szCs w:val="18"/>
                <w:lang w:val="en-AU"/>
              </w:rPr>
              <w:t xml:space="preserve">Water, </w:t>
            </w:r>
            <w:r w:rsidR="002E75DE">
              <w:rPr>
                <w:rFonts w:eastAsia="Times New Roman" w:cs="Times New Roman"/>
                <w:sz w:val="18"/>
                <w:szCs w:val="18"/>
                <w:lang w:val="en-AU"/>
              </w:rPr>
              <w:t>sanitation,</w:t>
            </w:r>
            <w:r>
              <w:rPr>
                <w:rFonts w:eastAsia="Times New Roman" w:cs="Times New Roman"/>
                <w:sz w:val="18"/>
                <w:szCs w:val="18"/>
                <w:lang w:val="en-AU"/>
              </w:rPr>
              <w:t xml:space="preserve"> and hygiene</w:t>
            </w:r>
          </w:p>
        </w:tc>
      </w:tr>
      <w:tr w:rsidR="0047031F" w14:paraId="7C1D450D" w14:textId="77777777" w:rsidTr="00E47DC3">
        <w:tc>
          <w:tcPr>
            <w:tcW w:w="1842" w:type="dxa"/>
          </w:tcPr>
          <w:p w14:paraId="3DFFE762" w14:textId="77777777"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WRO</w:t>
            </w:r>
          </w:p>
        </w:tc>
        <w:tc>
          <w:tcPr>
            <w:tcW w:w="5529" w:type="dxa"/>
          </w:tcPr>
          <w:p w14:paraId="1D5C61B6" w14:textId="6EA6B57A" w:rsidR="0047031F" w:rsidRPr="003E2C60" w:rsidRDefault="0047031F" w:rsidP="00E47DC3">
            <w:pPr>
              <w:tabs>
                <w:tab w:val="left" w:pos="284"/>
              </w:tabs>
              <w:suppressAutoHyphens w:val="0"/>
              <w:spacing w:before="0" w:line="280" w:lineRule="exact"/>
              <w:rPr>
                <w:rFonts w:eastAsia="Times New Roman" w:cs="Times New Roman"/>
                <w:sz w:val="18"/>
                <w:szCs w:val="18"/>
                <w:lang w:val="en-AU"/>
              </w:rPr>
            </w:pPr>
            <w:r w:rsidRPr="003E2C60">
              <w:rPr>
                <w:rFonts w:eastAsia="Times New Roman" w:cs="Times New Roman"/>
                <w:sz w:val="18"/>
                <w:szCs w:val="18"/>
                <w:lang w:val="en-AU"/>
              </w:rPr>
              <w:t>Women</w:t>
            </w:r>
            <w:r w:rsidR="00D64D59" w:rsidRPr="003E2C60">
              <w:rPr>
                <w:rFonts w:eastAsia="Times New Roman" w:cs="Times New Roman"/>
                <w:sz w:val="18"/>
                <w:szCs w:val="18"/>
                <w:lang w:val="en-AU"/>
              </w:rPr>
              <w:t>’</w:t>
            </w:r>
            <w:r w:rsidRPr="003E2C60">
              <w:rPr>
                <w:rFonts w:eastAsia="Times New Roman" w:cs="Times New Roman"/>
                <w:sz w:val="18"/>
                <w:szCs w:val="18"/>
                <w:lang w:val="en-AU"/>
              </w:rPr>
              <w:t>s Rights Organisation</w:t>
            </w:r>
          </w:p>
        </w:tc>
      </w:tr>
    </w:tbl>
    <w:p w14:paraId="09EEFDEF" w14:textId="77777777" w:rsidR="0047031F" w:rsidRDefault="0047031F" w:rsidP="0047031F">
      <w:pPr>
        <w:tabs>
          <w:tab w:val="left" w:pos="284"/>
        </w:tabs>
        <w:suppressAutoHyphens w:val="0"/>
        <w:spacing w:before="0" w:line="280" w:lineRule="exact"/>
        <w:rPr>
          <w:rFonts w:eastAsia="Times New Roman" w:cs="Times New Roman"/>
          <w:sz w:val="21"/>
          <w:szCs w:val="24"/>
          <w:lang w:val="en-AU"/>
        </w:rPr>
        <w:sectPr w:rsidR="0047031F" w:rsidSect="006B75EF">
          <w:headerReference w:type="default" r:id="rId8"/>
          <w:footerReference w:type="default" r:id="rId9"/>
          <w:headerReference w:type="first" r:id="rId10"/>
          <w:footerReference w:type="first" r:id="rId11"/>
          <w:pgSz w:w="11906" w:h="16838" w:code="9"/>
          <w:pgMar w:top="1701" w:right="1134" w:bottom="1418" w:left="1134" w:header="425" w:footer="493" w:gutter="0"/>
          <w:pgNumType w:fmt="lowerRoman" w:start="1"/>
          <w:cols w:space="397"/>
          <w:titlePg/>
          <w:docGrid w:linePitch="360"/>
        </w:sectPr>
      </w:pPr>
    </w:p>
    <w:p w14:paraId="30907731" w14:textId="77777777" w:rsidR="0047031F" w:rsidRPr="00851A62" w:rsidRDefault="0047031F" w:rsidP="0011591E">
      <w:pPr>
        <w:pStyle w:val="Heading1"/>
        <w:numPr>
          <w:ilvl w:val="0"/>
          <w:numId w:val="22"/>
        </w:numPr>
        <w:pBdr>
          <w:top w:val="single" w:sz="4" w:space="1" w:color="auto"/>
          <w:left w:val="single" w:sz="4" w:space="4" w:color="auto"/>
          <w:bottom w:val="single" w:sz="4" w:space="1" w:color="auto"/>
          <w:right w:val="single" w:sz="4" w:space="4" w:color="auto"/>
        </w:pBdr>
        <w:shd w:val="clear" w:color="auto" w:fill="E0F3EF" w:themeFill="accent1" w:themeFillTint="33"/>
        <w:rPr>
          <w:rFonts w:eastAsiaTheme="minorHAnsi" w:cstheme="minorBidi"/>
          <w:bCs w:val="0"/>
          <w:sz w:val="22"/>
          <w:szCs w:val="21"/>
        </w:rPr>
      </w:pPr>
      <w:bookmarkStart w:id="10" w:name="_Toc101521648"/>
      <w:r w:rsidRPr="00851A62">
        <w:rPr>
          <w:rFonts w:eastAsiaTheme="minorHAnsi" w:cstheme="minorBidi"/>
          <w:bCs w:val="0"/>
          <w:sz w:val="22"/>
          <w:szCs w:val="21"/>
        </w:rPr>
        <w:lastRenderedPageBreak/>
        <w:t>Introduction</w:t>
      </w:r>
      <w:bookmarkEnd w:id="10"/>
    </w:p>
    <w:p w14:paraId="6509DC56" w14:textId="099C434A" w:rsidR="00E93683" w:rsidRPr="00B45F7B" w:rsidRDefault="00E93683" w:rsidP="00E93683">
      <w:pPr>
        <w:pStyle w:val="ListParagraph"/>
        <w:numPr>
          <w:ilvl w:val="0"/>
          <w:numId w:val="12"/>
        </w:numPr>
        <w:tabs>
          <w:tab w:val="left" w:pos="284"/>
        </w:tabs>
        <w:suppressAutoHyphens w:val="0"/>
        <w:spacing w:before="200" w:after="0" w:line="280" w:lineRule="exact"/>
        <w:ind w:left="0" w:firstLine="0"/>
        <w:contextualSpacing w:val="0"/>
        <w:rPr>
          <w:rFonts w:eastAsia="Times New Roman" w:cs="Times New Roman"/>
          <w:sz w:val="21"/>
          <w:szCs w:val="24"/>
          <w:lang w:val="en-AU"/>
        </w:rPr>
      </w:pPr>
      <w:r w:rsidRPr="00B45F7B">
        <w:rPr>
          <w:rFonts w:eastAsia="Times New Roman" w:cs="Times New Roman"/>
          <w:sz w:val="21"/>
          <w:szCs w:val="24"/>
          <w:lang w:val="en-AU"/>
        </w:rPr>
        <w:t xml:space="preserve">The Australian Humanitarian Partnership (AHP) </w:t>
      </w:r>
      <w:r w:rsidR="00E1421A">
        <w:rPr>
          <w:rFonts w:eastAsia="Times New Roman" w:cs="Times New Roman"/>
          <w:sz w:val="21"/>
          <w:szCs w:val="24"/>
          <w:lang w:val="en-AU"/>
        </w:rPr>
        <w:t>was established in 2016 as a</w:t>
      </w:r>
      <w:r w:rsidR="00530616">
        <w:rPr>
          <w:rFonts w:eastAsia="Times New Roman" w:cs="Times New Roman"/>
          <w:sz w:val="21"/>
          <w:szCs w:val="24"/>
          <w:lang w:val="en-AU"/>
        </w:rPr>
        <w:t xml:space="preserve"> </w:t>
      </w:r>
      <w:r w:rsidRPr="00B45F7B">
        <w:rPr>
          <w:rFonts w:eastAsia="Times New Roman" w:cs="Times New Roman"/>
          <w:sz w:val="21"/>
          <w:szCs w:val="24"/>
          <w:lang w:val="en-AU"/>
        </w:rPr>
        <w:t>partnership</w:t>
      </w:r>
      <w:r w:rsidR="00530616">
        <w:rPr>
          <w:rFonts w:eastAsia="Times New Roman" w:cs="Times New Roman"/>
          <w:sz w:val="21"/>
          <w:szCs w:val="24"/>
          <w:lang w:val="en-AU"/>
        </w:rPr>
        <w:t xml:space="preserve"> </w:t>
      </w:r>
      <w:r w:rsidRPr="00B45F7B">
        <w:rPr>
          <w:rFonts w:eastAsia="Times New Roman" w:cs="Times New Roman"/>
          <w:sz w:val="21"/>
          <w:szCs w:val="24"/>
          <w:lang w:val="en-AU"/>
        </w:rPr>
        <w:t>between the Australian Government (Department of Foreign Affairs and Trade, DFAT) and Australian NGOs</w:t>
      </w:r>
      <w:r w:rsidR="00530616">
        <w:rPr>
          <w:rFonts w:eastAsia="Times New Roman" w:cs="Times New Roman"/>
          <w:sz w:val="21"/>
          <w:szCs w:val="24"/>
          <w:lang w:val="en-AU"/>
        </w:rPr>
        <w:t xml:space="preserve"> (ANGOs)</w:t>
      </w:r>
      <w:r w:rsidR="005F524C">
        <w:rPr>
          <w:rFonts w:eastAsia="Times New Roman" w:cs="Times New Roman"/>
          <w:sz w:val="21"/>
          <w:szCs w:val="24"/>
          <w:lang w:val="en-AU"/>
        </w:rPr>
        <w:t>.</w:t>
      </w:r>
      <w:r w:rsidR="005F524C" w:rsidRPr="005F524C">
        <w:rPr>
          <w:rFonts w:eastAsia="Times New Roman" w:cs="Times New Roman"/>
          <w:sz w:val="21"/>
          <w:szCs w:val="24"/>
          <w:vertAlign w:val="superscript"/>
          <w:lang w:val="en-AU"/>
        </w:rPr>
        <w:t xml:space="preserve"> </w:t>
      </w:r>
      <w:r w:rsidR="005F524C" w:rsidRPr="004B53D8">
        <w:rPr>
          <w:rFonts w:eastAsia="Times New Roman" w:cs="Times New Roman"/>
          <w:sz w:val="21"/>
          <w:szCs w:val="24"/>
          <w:vertAlign w:val="superscript"/>
          <w:lang w:val="en-AU"/>
        </w:rPr>
        <w:footnoteReference w:id="1"/>
      </w:r>
      <w:r w:rsidRPr="00B45F7B">
        <w:rPr>
          <w:rFonts w:eastAsia="Times New Roman" w:cs="Times New Roman"/>
          <w:sz w:val="21"/>
          <w:szCs w:val="24"/>
          <w:lang w:val="en-AU"/>
        </w:rPr>
        <w:t xml:space="preserve"> </w:t>
      </w:r>
      <w:r w:rsidR="005F524C">
        <w:rPr>
          <w:rFonts w:eastAsia="Times New Roman" w:cs="Times New Roman"/>
          <w:sz w:val="21"/>
          <w:szCs w:val="24"/>
          <w:lang w:val="en-AU"/>
        </w:rPr>
        <w:t xml:space="preserve">The </w:t>
      </w:r>
      <w:r w:rsidRPr="00B45F7B">
        <w:rPr>
          <w:rFonts w:eastAsia="Times New Roman" w:cs="Times New Roman"/>
          <w:sz w:val="21"/>
          <w:szCs w:val="24"/>
          <w:lang w:val="en-AU"/>
        </w:rPr>
        <w:t xml:space="preserve">AHP </w:t>
      </w:r>
      <w:r w:rsidR="00E1421A">
        <w:rPr>
          <w:rFonts w:eastAsia="Times New Roman" w:cs="Times New Roman"/>
          <w:sz w:val="21"/>
          <w:szCs w:val="24"/>
          <w:lang w:val="en-AU"/>
        </w:rPr>
        <w:t>enables</w:t>
      </w:r>
      <w:r w:rsidRPr="00B45F7B">
        <w:rPr>
          <w:rFonts w:eastAsia="Times New Roman" w:cs="Times New Roman"/>
          <w:sz w:val="21"/>
          <w:szCs w:val="24"/>
          <w:lang w:val="en-AU"/>
        </w:rPr>
        <w:t xml:space="preserve"> DFAT to</w:t>
      </w:r>
      <w:r w:rsidR="00E1421A">
        <w:rPr>
          <w:rFonts w:eastAsia="Times New Roman" w:cs="Times New Roman"/>
          <w:sz w:val="21"/>
          <w:szCs w:val="24"/>
          <w:lang w:val="en-AU"/>
        </w:rPr>
        <w:t xml:space="preserve"> work with</w:t>
      </w:r>
      <w:r w:rsidRPr="00B45F7B">
        <w:rPr>
          <w:rFonts w:eastAsia="Times New Roman" w:cs="Times New Roman"/>
          <w:sz w:val="21"/>
          <w:szCs w:val="24"/>
          <w:lang w:val="en-AU"/>
        </w:rPr>
        <w:t xml:space="preserve"> ANGOs</w:t>
      </w:r>
      <w:r w:rsidR="005F524C">
        <w:rPr>
          <w:rFonts w:eastAsia="Times New Roman" w:cs="Times New Roman"/>
          <w:sz w:val="21"/>
          <w:szCs w:val="24"/>
          <w:lang w:val="en-AU"/>
        </w:rPr>
        <w:t xml:space="preserve"> </w:t>
      </w:r>
      <w:r w:rsidRPr="00B45F7B">
        <w:rPr>
          <w:rFonts w:eastAsia="Times New Roman" w:cs="Times New Roman"/>
          <w:sz w:val="21"/>
          <w:szCs w:val="24"/>
          <w:lang w:val="en-AU"/>
        </w:rPr>
        <w:t xml:space="preserve">to deliver effective humanitarian assistance and support </w:t>
      </w:r>
      <w:r w:rsidR="00B17863">
        <w:rPr>
          <w:rFonts w:eastAsia="Times New Roman" w:cs="Times New Roman"/>
          <w:sz w:val="21"/>
          <w:szCs w:val="24"/>
          <w:lang w:val="en-AU"/>
        </w:rPr>
        <w:t xml:space="preserve">local actors and </w:t>
      </w:r>
      <w:r w:rsidRPr="00B45F7B">
        <w:rPr>
          <w:rFonts w:eastAsia="Times New Roman" w:cs="Times New Roman"/>
          <w:sz w:val="21"/>
          <w:szCs w:val="24"/>
          <w:lang w:val="en-AU"/>
        </w:rPr>
        <w:t>communities to take a leadership role in preparedness, response, early recovery, risk reduction and resilience efforts. Through</w:t>
      </w:r>
      <w:r w:rsidR="005F524C">
        <w:rPr>
          <w:rFonts w:eastAsia="Times New Roman" w:cs="Times New Roman"/>
          <w:sz w:val="21"/>
          <w:szCs w:val="24"/>
          <w:lang w:val="en-AU"/>
        </w:rPr>
        <w:t xml:space="preserve"> the</w:t>
      </w:r>
      <w:r w:rsidRPr="00B45F7B">
        <w:rPr>
          <w:rFonts w:eastAsia="Times New Roman" w:cs="Times New Roman"/>
          <w:sz w:val="21"/>
          <w:szCs w:val="24"/>
          <w:lang w:val="en-AU"/>
        </w:rPr>
        <w:t xml:space="preserve"> AHP, DFAT and </w:t>
      </w:r>
      <w:r w:rsidR="005F524C">
        <w:rPr>
          <w:rFonts w:eastAsia="Times New Roman" w:cs="Times New Roman"/>
          <w:sz w:val="21"/>
          <w:szCs w:val="24"/>
          <w:lang w:val="en-AU"/>
        </w:rPr>
        <w:t>A</w:t>
      </w:r>
      <w:r w:rsidRPr="00B45F7B">
        <w:rPr>
          <w:rFonts w:eastAsia="Times New Roman" w:cs="Times New Roman"/>
          <w:sz w:val="21"/>
          <w:szCs w:val="24"/>
          <w:lang w:val="en-AU"/>
        </w:rPr>
        <w:t xml:space="preserve">NGOs coordinate and collaborate to </w:t>
      </w:r>
      <w:r w:rsidR="00B17863">
        <w:rPr>
          <w:rFonts w:eastAsia="Times New Roman" w:cs="Times New Roman"/>
          <w:sz w:val="21"/>
          <w:szCs w:val="24"/>
          <w:lang w:val="en-AU"/>
        </w:rPr>
        <w:t>respond to</w:t>
      </w:r>
      <w:r w:rsidRPr="00B45F7B">
        <w:rPr>
          <w:rFonts w:eastAsia="Times New Roman" w:cs="Times New Roman"/>
          <w:sz w:val="21"/>
          <w:szCs w:val="24"/>
          <w:lang w:val="en-AU"/>
        </w:rPr>
        <w:t xml:space="preserve"> protracted and rapid onset disasters.</w:t>
      </w:r>
      <w:r w:rsidR="00B17863">
        <w:rPr>
          <w:rFonts w:eastAsia="Times New Roman" w:cs="Times New Roman"/>
          <w:sz w:val="21"/>
          <w:szCs w:val="24"/>
          <w:lang w:val="en-AU"/>
        </w:rPr>
        <w:t xml:space="preserve"> The</w:t>
      </w:r>
      <w:r w:rsidRPr="00B45F7B">
        <w:rPr>
          <w:rFonts w:eastAsia="Times New Roman" w:cs="Times New Roman"/>
          <w:sz w:val="21"/>
          <w:szCs w:val="24"/>
          <w:lang w:val="en-AU"/>
        </w:rPr>
        <w:t xml:space="preserve"> AHP also implements Disaster READY - an initiative in Timor-Leste and four Pacific countries</w:t>
      </w:r>
      <w:r w:rsidR="005F524C">
        <w:rPr>
          <w:rFonts w:eastAsia="Times New Roman" w:cs="Times New Roman"/>
          <w:sz w:val="21"/>
          <w:szCs w:val="24"/>
          <w:lang w:val="en-AU"/>
        </w:rPr>
        <w:t xml:space="preserve"> (</w:t>
      </w:r>
      <w:r w:rsidR="005F524C" w:rsidRPr="00751EBA">
        <w:rPr>
          <w:rFonts w:eastAsia="Times New Roman" w:cs="Times New Roman"/>
          <w:sz w:val="21"/>
          <w:szCs w:val="24"/>
          <w:lang w:val="en-AU"/>
        </w:rPr>
        <w:t>PNG, Vanuatu, Solomon Islands</w:t>
      </w:r>
      <w:r w:rsidR="005F524C">
        <w:rPr>
          <w:rFonts w:eastAsia="Times New Roman" w:cs="Times New Roman"/>
          <w:sz w:val="21"/>
          <w:szCs w:val="24"/>
          <w:lang w:val="en-AU"/>
        </w:rPr>
        <w:t xml:space="preserve"> and</w:t>
      </w:r>
      <w:r w:rsidR="005F524C" w:rsidRPr="00751EBA">
        <w:rPr>
          <w:rFonts w:eastAsia="Times New Roman" w:cs="Times New Roman"/>
          <w:sz w:val="21"/>
          <w:szCs w:val="24"/>
          <w:lang w:val="en-AU"/>
        </w:rPr>
        <w:t xml:space="preserve"> Fiji</w:t>
      </w:r>
      <w:r w:rsidR="005F524C">
        <w:rPr>
          <w:rFonts w:eastAsia="Times New Roman" w:cs="Times New Roman"/>
          <w:sz w:val="21"/>
          <w:szCs w:val="24"/>
          <w:lang w:val="en-AU"/>
        </w:rPr>
        <w:t>)</w:t>
      </w:r>
      <w:r w:rsidRPr="00B45F7B">
        <w:rPr>
          <w:rFonts w:eastAsia="Times New Roman" w:cs="Times New Roman"/>
          <w:sz w:val="21"/>
          <w:szCs w:val="24"/>
          <w:lang w:val="en-AU"/>
        </w:rPr>
        <w:t xml:space="preserve"> that aims to strengthen disaster preparedness in cooperation with communities and local organisations. </w:t>
      </w:r>
      <w:r w:rsidR="005F524C">
        <w:rPr>
          <w:rFonts w:eastAsia="Times New Roman" w:cs="Times New Roman"/>
          <w:sz w:val="21"/>
          <w:szCs w:val="24"/>
          <w:lang w:val="en-AU"/>
        </w:rPr>
        <w:t xml:space="preserve">The </w:t>
      </w:r>
      <w:r w:rsidRPr="00B45F7B">
        <w:rPr>
          <w:rFonts w:eastAsia="Times New Roman" w:cs="Times New Roman"/>
          <w:sz w:val="21"/>
          <w:szCs w:val="24"/>
          <w:lang w:val="en-AU"/>
        </w:rPr>
        <w:t xml:space="preserve">AHP is supported by a standalone </w:t>
      </w:r>
      <w:r w:rsidR="005F524C">
        <w:rPr>
          <w:rFonts w:eastAsia="Times New Roman" w:cs="Times New Roman"/>
          <w:sz w:val="21"/>
          <w:szCs w:val="24"/>
          <w:lang w:val="en-AU"/>
        </w:rPr>
        <w:t xml:space="preserve">AHP </w:t>
      </w:r>
      <w:r w:rsidRPr="00B45F7B">
        <w:rPr>
          <w:rFonts w:eastAsia="Times New Roman" w:cs="Times New Roman"/>
          <w:sz w:val="21"/>
          <w:szCs w:val="24"/>
          <w:lang w:val="en-AU"/>
        </w:rPr>
        <w:t>Support Unit</w:t>
      </w:r>
      <w:r w:rsidR="005F524C">
        <w:rPr>
          <w:rFonts w:eastAsia="Times New Roman" w:cs="Times New Roman"/>
          <w:sz w:val="21"/>
          <w:szCs w:val="24"/>
          <w:lang w:val="en-AU"/>
        </w:rPr>
        <w:t xml:space="preserve"> (AHPSU)</w:t>
      </w:r>
      <w:r w:rsidR="00FB7AC8">
        <w:rPr>
          <w:rFonts w:eastAsia="Times New Roman" w:cs="Times New Roman"/>
          <w:sz w:val="21"/>
          <w:szCs w:val="24"/>
          <w:lang w:val="en-AU"/>
        </w:rPr>
        <w:t xml:space="preserve"> contractor</w:t>
      </w:r>
      <w:r w:rsidRPr="00B45F7B">
        <w:rPr>
          <w:rFonts w:eastAsia="Times New Roman" w:cs="Times New Roman"/>
          <w:sz w:val="21"/>
          <w:szCs w:val="24"/>
          <w:lang w:val="en-AU"/>
        </w:rPr>
        <w:t>.</w:t>
      </w:r>
    </w:p>
    <w:p w14:paraId="4D343DA7" w14:textId="0AB682B3" w:rsidR="00E93683" w:rsidRPr="00E93683" w:rsidRDefault="005F524C" w:rsidP="00E93683">
      <w:pPr>
        <w:pStyle w:val="ListParagraph"/>
        <w:numPr>
          <w:ilvl w:val="0"/>
          <w:numId w:val="12"/>
        </w:numPr>
        <w:tabs>
          <w:tab w:val="left" w:pos="284"/>
        </w:tabs>
        <w:suppressAutoHyphens w:val="0"/>
        <w:spacing w:before="200" w:after="0" w:line="280" w:lineRule="exact"/>
        <w:ind w:left="0" w:firstLine="0"/>
        <w:contextualSpacing w:val="0"/>
        <w:rPr>
          <w:rFonts w:eastAsia="Times New Roman" w:cs="Times New Roman"/>
          <w:sz w:val="21"/>
          <w:szCs w:val="24"/>
          <w:lang w:val="en-AU"/>
        </w:rPr>
      </w:pPr>
      <w:r w:rsidRPr="00E47DC3">
        <w:rPr>
          <w:rFonts w:eastAsia="Times New Roman" w:cs="Times New Roman"/>
          <w:sz w:val="21"/>
          <w:szCs w:val="24"/>
          <w:lang w:val="en-AU"/>
        </w:rPr>
        <w:t xml:space="preserve">The AHP was designed as a 10-year </w:t>
      </w:r>
      <w:r>
        <w:rPr>
          <w:rFonts w:eastAsia="Times New Roman" w:cs="Times New Roman"/>
          <w:sz w:val="21"/>
          <w:szCs w:val="24"/>
          <w:lang w:val="en-AU"/>
        </w:rPr>
        <w:t>partnership (20</w:t>
      </w:r>
      <w:r w:rsidR="000B2729">
        <w:rPr>
          <w:rFonts w:eastAsia="Times New Roman" w:cs="Times New Roman"/>
          <w:sz w:val="21"/>
          <w:szCs w:val="24"/>
          <w:lang w:val="en-AU"/>
        </w:rPr>
        <w:t>17</w:t>
      </w:r>
      <w:r w:rsidR="00FB7AC8">
        <w:rPr>
          <w:rFonts w:eastAsia="Times New Roman" w:cs="Times New Roman"/>
          <w:sz w:val="21"/>
          <w:szCs w:val="24"/>
          <w:lang w:val="en-AU"/>
        </w:rPr>
        <w:t>-</w:t>
      </w:r>
      <w:r>
        <w:rPr>
          <w:rFonts w:eastAsia="Times New Roman" w:cs="Times New Roman"/>
          <w:sz w:val="21"/>
          <w:szCs w:val="24"/>
          <w:lang w:val="en-AU"/>
        </w:rPr>
        <w:t>27)</w:t>
      </w:r>
      <w:r w:rsidRPr="00E47DC3">
        <w:rPr>
          <w:rFonts w:eastAsia="Times New Roman" w:cs="Times New Roman"/>
          <w:sz w:val="21"/>
          <w:szCs w:val="24"/>
          <w:lang w:val="en-AU"/>
        </w:rPr>
        <w:t xml:space="preserve"> with two five-year phases. </w:t>
      </w:r>
      <w:r w:rsidR="00E93683" w:rsidRPr="00B45F7B">
        <w:rPr>
          <w:rFonts w:eastAsia="Times New Roman" w:cs="Times New Roman"/>
          <w:sz w:val="21"/>
          <w:szCs w:val="24"/>
          <w:lang w:val="en-AU"/>
        </w:rPr>
        <w:t>In 2016</w:t>
      </w:r>
      <w:r>
        <w:rPr>
          <w:rFonts w:eastAsia="Times New Roman" w:cs="Times New Roman"/>
          <w:sz w:val="21"/>
          <w:szCs w:val="24"/>
          <w:lang w:val="en-AU"/>
        </w:rPr>
        <w:t>,</w:t>
      </w:r>
      <w:r w:rsidR="00E93683" w:rsidRPr="00B45F7B">
        <w:rPr>
          <w:rFonts w:eastAsia="Times New Roman" w:cs="Times New Roman"/>
          <w:sz w:val="21"/>
          <w:szCs w:val="24"/>
          <w:lang w:val="en-AU"/>
        </w:rPr>
        <w:t xml:space="preserve"> six ANGOs</w:t>
      </w:r>
      <w:r>
        <w:rPr>
          <w:rFonts w:eastAsia="Times New Roman" w:cs="Times New Roman"/>
          <w:sz w:val="21"/>
          <w:szCs w:val="24"/>
          <w:lang w:val="en-AU"/>
        </w:rPr>
        <w:t xml:space="preserve"> -</w:t>
      </w:r>
      <w:r w:rsidR="00E93683" w:rsidRPr="00B45F7B">
        <w:rPr>
          <w:rFonts w:eastAsia="Times New Roman" w:cs="Times New Roman"/>
          <w:sz w:val="21"/>
          <w:szCs w:val="24"/>
          <w:lang w:val="en-AU"/>
        </w:rPr>
        <w:t xml:space="preserve"> CARE Australia, Caritas Australia, Oxfam Australia, Plan International Australia, Save the Children </w:t>
      </w:r>
      <w:r w:rsidR="002E75DE" w:rsidRPr="00B45F7B">
        <w:rPr>
          <w:rFonts w:eastAsia="Times New Roman" w:cs="Times New Roman"/>
          <w:sz w:val="21"/>
          <w:szCs w:val="24"/>
          <w:lang w:val="en-AU"/>
        </w:rPr>
        <w:t>Australia,</w:t>
      </w:r>
      <w:r w:rsidR="00E93683" w:rsidRPr="00B45F7B">
        <w:rPr>
          <w:rFonts w:eastAsia="Times New Roman" w:cs="Times New Roman"/>
          <w:sz w:val="21"/>
          <w:szCs w:val="24"/>
          <w:lang w:val="en-AU"/>
        </w:rPr>
        <w:t xml:space="preserve"> and World Vision Australia (leading various consortia partners as per Fig 1) </w:t>
      </w:r>
      <w:r>
        <w:rPr>
          <w:rFonts w:eastAsia="Times New Roman" w:cs="Times New Roman"/>
          <w:sz w:val="21"/>
          <w:szCs w:val="24"/>
          <w:lang w:val="en-AU"/>
        </w:rPr>
        <w:t xml:space="preserve">- </w:t>
      </w:r>
      <w:r w:rsidR="00E93683" w:rsidRPr="00B45F7B">
        <w:rPr>
          <w:rFonts w:eastAsia="Times New Roman" w:cs="Times New Roman"/>
          <w:sz w:val="21"/>
          <w:szCs w:val="24"/>
          <w:lang w:val="en-AU"/>
        </w:rPr>
        <w:t xml:space="preserve">were selected to form the AHP </w:t>
      </w:r>
      <w:r>
        <w:rPr>
          <w:rFonts w:eastAsia="Times New Roman" w:cs="Times New Roman"/>
          <w:sz w:val="21"/>
          <w:szCs w:val="24"/>
          <w:lang w:val="en-AU"/>
        </w:rPr>
        <w:t>and Alinea International was selected to provide the AHPSU Services</w:t>
      </w:r>
      <w:r w:rsidRPr="00B45F7B">
        <w:rPr>
          <w:rFonts w:eastAsia="Times New Roman" w:cs="Times New Roman"/>
          <w:sz w:val="21"/>
          <w:szCs w:val="24"/>
          <w:lang w:val="en-AU"/>
        </w:rPr>
        <w:t xml:space="preserve"> </w:t>
      </w:r>
      <w:r w:rsidR="00E93683" w:rsidRPr="00B45F7B">
        <w:rPr>
          <w:rFonts w:eastAsia="Times New Roman" w:cs="Times New Roman"/>
          <w:sz w:val="21"/>
          <w:szCs w:val="24"/>
          <w:lang w:val="en-AU"/>
        </w:rPr>
        <w:t>through competitive selection process</w:t>
      </w:r>
      <w:r>
        <w:rPr>
          <w:rFonts w:eastAsia="Times New Roman" w:cs="Times New Roman"/>
          <w:sz w:val="21"/>
          <w:szCs w:val="24"/>
          <w:lang w:val="en-AU"/>
        </w:rPr>
        <w:t>es</w:t>
      </w:r>
      <w:r w:rsidR="00E93683" w:rsidRPr="00B45F7B">
        <w:rPr>
          <w:rFonts w:eastAsia="Times New Roman" w:cs="Times New Roman"/>
          <w:sz w:val="21"/>
          <w:szCs w:val="24"/>
          <w:lang w:val="en-AU"/>
        </w:rPr>
        <w:t xml:space="preserve">. The </w:t>
      </w:r>
      <w:r>
        <w:rPr>
          <w:rFonts w:eastAsia="Times New Roman" w:cs="Times New Roman"/>
          <w:sz w:val="21"/>
          <w:szCs w:val="24"/>
          <w:lang w:val="en-AU"/>
        </w:rPr>
        <w:t>first</w:t>
      </w:r>
      <w:r w:rsidR="00E93683" w:rsidRPr="00B45F7B">
        <w:rPr>
          <w:rFonts w:eastAsia="Times New Roman" w:cs="Times New Roman"/>
          <w:sz w:val="21"/>
          <w:szCs w:val="24"/>
          <w:lang w:val="en-AU"/>
        </w:rPr>
        <w:t xml:space="preserve"> five-year phase (2017-22)</w:t>
      </w:r>
      <w:r>
        <w:rPr>
          <w:rFonts w:eastAsia="Times New Roman" w:cs="Times New Roman"/>
          <w:sz w:val="21"/>
          <w:szCs w:val="24"/>
          <w:lang w:val="en-AU"/>
        </w:rPr>
        <w:t xml:space="preserve"> had </w:t>
      </w:r>
      <w:r w:rsidR="00E93683" w:rsidRPr="00B45F7B">
        <w:rPr>
          <w:rFonts w:eastAsia="Times New Roman" w:cs="Times New Roman"/>
          <w:sz w:val="21"/>
          <w:szCs w:val="24"/>
          <w:lang w:val="en-AU"/>
        </w:rPr>
        <w:t xml:space="preserve">a budget of </w:t>
      </w:r>
      <w:r w:rsidR="00ED425E">
        <w:rPr>
          <w:rFonts w:eastAsia="Times New Roman" w:cs="Times New Roman"/>
          <w:sz w:val="21"/>
          <w:szCs w:val="24"/>
          <w:lang w:val="en-AU"/>
        </w:rPr>
        <w:t>$</w:t>
      </w:r>
      <w:r w:rsidR="00E93683" w:rsidRPr="00B45F7B">
        <w:rPr>
          <w:rFonts w:eastAsia="Times New Roman" w:cs="Times New Roman"/>
          <w:sz w:val="21"/>
          <w:szCs w:val="24"/>
          <w:lang w:val="en-AU"/>
        </w:rPr>
        <w:t>50 million for Disaster READY and the AHPSU</w:t>
      </w:r>
      <w:r>
        <w:rPr>
          <w:rFonts w:eastAsia="Times New Roman" w:cs="Times New Roman"/>
          <w:sz w:val="21"/>
          <w:szCs w:val="24"/>
          <w:lang w:val="en-AU"/>
        </w:rPr>
        <w:t>, with r</w:t>
      </w:r>
      <w:r w:rsidR="00E93683" w:rsidRPr="00B45F7B">
        <w:rPr>
          <w:rFonts w:eastAsia="Times New Roman" w:cs="Times New Roman"/>
          <w:sz w:val="21"/>
          <w:szCs w:val="24"/>
          <w:lang w:val="en-AU"/>
        </w:rPr>
        <w:t>apid and protracted response funding provided ad hoc subject to government approval</w:t>
      </w:r>
      <w:r w:rsidR="006B45FF">
        <w:rPr>
          <w:rFonts w:eastAsia="Times New Roman" w:cs="Times New Roman"/>
          <w:sz w:val="21"/>
          <w:szCs w:val="24"/>
          <w:lang w:val="en-AU"/>
        </w:rPr>
        <w:t xml:space="preserve"> (</w:t>
      </w:r>
      <w:r w:rsidR="006B45FF" w:rsidRPr="006B45FF">
        <w:rPr>
          <w:rFonts w:eastAsia="Times New Roman" w:cs="Times New Roman"/>
          <w:sz w:val="21"/>
          <w:szCs w:val="24"/>
          <w:lang w:val="en-AU"/>
        </w:rPr>
        <w:t xml:space="preserve">over </w:t>
      </w:r>
      <w:r w:rsidR="00ED425E">
        <w:rPr>
          <w:rFonts w:eastAsia="Times New Roman" w:cs="Times New Roman"/>
          <w:sz w:val="21"/>
          <w:szCs w:val="24"/>
          <w:lang w:val="en-AU"/>
        </w:rPr>
        <w:t>$</w:t>
      </w:r>
      <w:r w:rsidR="006B45FF" w:rsidRPr="006B45FF">
        <w:rPr>
          <w:rFonts w:eastAsia="Times New Roman" w:cs="Times New Roman"/>
          <w:sz w:val="21"/>
          <w:szCs w:val="24"/>
          <w:lang w:val="en-AU"/>
        </w:rPr>
        <w:t>190 million</w:t>
      </w:r>
      <w:r w:rsidR="006B45FF">
        <w:rPr>
          <w:rFonts w:eastAsia="Times New Roman" w:cs="Times New Roman"/>
          <w:sz w:val="21"/>
          <w:szCs w:val="24"/>
          <w:lang w:val="en-AU"/>
        </w:rPr>
        <w:t xml:space="preserve"> has been contracted to date across </w:t>
      </w:r>
      <w:r w:rsidR="007E157A">
        <w:rPr>
          <w:rFonts w:eastAsia="Times New Roman" w:cs="Times New Roman"/>
          <w:sz w:val="21"/>
          <w:szCs w:val="24"/>
          <w:lang w:val="en-AU"/>
        </w:rPr>
        <w:t xml:space="preserve">more than </w:t>
      </w:r>
      <w:r w:rsidR="006B45FF">
        <w:rPr>
          <w:rFonts w:eastAsia="Times New Roman" w:cs="Times New Roman"/>
          <w:sz w:val="21"/>
          <w:szCs w:val="24"/>
          <w:lang w:val="en-AU"/>
        </w:rPr>
        <w:t>44 responses)</w:t>
      </w:r>
      <w:r w:rsidR="006B45FF" w:rsidRPr="006B45FF">
        <w:rPr>
          <w:rFonts w:eastAsia="Times New Roman" w:cs="Times New Roman"/>
          <w:sz w:val="21"/>
          <w:szCs w:val="24"/>
          <w:lang w:val="en-AU"/>
        </w:rPr>
        <w:t xml:space="preserve">. </w:t>
      </w:r>
      <w:r w:rsidR="00E93683" w:rsidRPr="00B45F7B">
        <w:rPr>
          <w:rFonts w:eastAsia="Times New Roman" w:cs="Times New Roman"/>
          <w:sz w:val="21"/>
          <w:szCs w:val="24"/>
          <w:lang w:val="en-AU"/>
        </w:rPr>
        <w:t xml:space="preserve">The AHP contract arrangements included an option to extend the </w:t>
      </w:r>
      <w:r w:rsidR="006B45FF">
        <w:rPr>
          <w:rFonts w:eastAsia="Times New Roman" w:cs="Times New Roman"/>
          <w:sz w:val="21"/>
          <w:szCs w:val="24"/>
          <w:lang w:val="en-AU"/>
        </w:rPr>
        <w:t>Partnership</w:t>
      </w:r>
      <w:r w:rsidR="006B45FF" w:rsidRPr="00B45F7B">
        <w:rPr>
          <w:rFonts w:eastAsia="Times New Roman" w:cs="Times New Roman"/>
          <w:sz w:val="21"/>
          <w:szCs w:val="24"/>
          <w:lang w:val="en-AU"/>
        </w:rPr>
        <w:t xml:space="preserve"> </w:t>
      </w:r>
      <w:r w:rsidR="00E93683" w:rsidRPr="00B45F7B">
        <w:rPr>
          <w:rFonts w:eastAsia="Times New Roman" w:cs="Times New Roman"/>
          <w:sz w:val="21"/>
          <w:szCs w:val="24"/>
          <w:lang w:val="en-AU"/>
        </w:rPr>
        <w:t xml:space="preserve">for </w:t>
      </w:r>
      <w:r>
        <w:rPr>
          <w:rFonts w:eastAsia="Times New Roman" w:cs="Times New Roman"/>
          <w:sz w:val="21"/>
          <w:szCs w:val="24"/>
          <w:lang w:val="en-AU"/>
        </w:rPr>
        <w:t>the second</w:t>
      </w:r>
      <w:r w:rsidR="00E93683" w:rsidRPr="00B45F7B">
        <w:rPr>
          <w:rFonts w:eastAsia="Times New Roman" w:cs="Times New Roman"/>
          <w:sz w:val="21"/>
          <w:szCs w:val="24"/>
          <w:lang w:val="en-AU"/>
        </w:rPr>
        <w:t xml:space="preserve"> </w:t>
      </w:r>
      <w:r w:rsidR="007E157A" w:rsidRPr="00B45F7B">
        <w:rPr>
          <w:rFonts w:eastAsia="Times New Roman" w:cs="Times New Roman"/>
          <w:sz w:val="21"/>
          <w:szCs w:val="24"/>
          <w:lang w:val="en-AU"/>
        </w:rPr>
        <w:t>five-year</w:t>
      </w:r>
      <w:r>
        <w:rPr>
          <w:rFonts w:eastAsia="Times New Roman" w:cs="Times New Roman"/>
          <w:sz w:val="21"/>
          <w:szCs w:val="24"/>
          <w:lang w:val="en-AU"/>
        </w:rPr>
        <w:t xml:space="preserve"> phase</w:t>
      </w:r>
      <w:r w:rsidR="00E93683" w:rsidRPr="00B45F7B">
        <w:rPr>
          <w:rFonts w:eastAsia="Times New Roman" w:cs="Times New Roman"/>
          <w:sz w:val="21"/>
          <w:szCs w:val="24"/>
          <w:lang w:val="en-AU"/>
        </w:rPr>
        <w:t xml:space="preserve"> (2022-27). </w:t>
      </w:r>
    </w:p>
    <w:tbl>
      <w:tblPr>
        <w:tblStyle w:val="TableGrid"/>
        <w:tblpPr w:leftFromText="180" w:rightFromText="180" w:vertAnchor="text" w:horzAnchor="margin" w:tblpY="582"/>
        <w:tblW w:w="0" w:type="auto"/>
        <w:shd w:val="clear" w:color="auto" w:fill="EEF5E7" w:themeFill="accent2" w:themeFillTint="33"/>
        <w:tblLook w:val="04A0" w:firstRow="1" w:lastRow="0" w:firstColumn="1" w:lastColumn="0" w:noHBand="0" w:noVBand="1"/>
      </w:tblPr>
      <w:tblGrid>
        <w:gridCol w:w="3152"/>
        <w:gridCol w:w="2982"/>
        <w:gridCol w:w="2446"/>
      </w:tblGrid>
      <w:tr w:rsidR="009A0105" w14:paraId="6ED023C3" w14:textId="77777777" w:rsidTr="009A0105">
        <w:trPr>
          <w:trHeight w:val="150"/>
        </w:trPr>
        <w:tc>
          <w:tcPr>
            <w:tcW w:w="3152" w:type="dxa"/>
            <w:tcBorders>
              <w:top w:val="single" w:sz="4" w:space="0" w:color="auto"/>
              <w:left w:val="single" w:sz="4" w:space="0" w:color="auto"/>
              <w:bottom w:val="single" w:sz="4" w:space="0" w:color="auto"/>
              <w:right w:val="single" w:sz="4" w:space="0" w:color="auto"/>
            </w:tcBorders>
            <w:shd w:val="clear" w:color="auto" w:fill="E0F3EF" w:themeFill="accent1" w:themeFillTint="33"/>
            <w:hideMark/>
          </w:tcPr>
          <w:p w14:paraId="499C0B38" w14:textId="77777777" w:rsidR="009A0105" w:rsidRPr="004D3E40" w:rsidRDefault="009A0105" w:rsidP="009A0105">
            <w:pPr>
              <w:contextualSpacing/>
              <w:rPr>
                <w:b/>
                <w:bCs/>
                <w:sz w:val="18"/>
                <w:szCs w:val="18"/>
              </w:rPr>
            </w:pPr>
            <w:r w:rsidRPr="00E93683">
              <w:rPr>
                <w:b/>
                <w:bCs/>
                <w:sz w:val="18"/>
                <w:szCs w:val="18"/>
              </w:rPr>
              <w:t>Caritas Australia</w:t>
            </w:r>
          </w:p>
          <w:p w14:paraId="02674521" w14:textId="77777777" w:rsidR="009A0105" w:rsidRPr="004D3E40" w:rsidRDefault="009A0105" w:rsidP="009A0105">
            <w:pPr>
              <w:contextualSpacing/>
              <w:rPr>
                <w:sz w:val="18"/>
                <w:szCs w:val="18"/>
              </w:rPr>
            </w:pPr>
            <w:r w:rsidRPr="00E93683">
              <w:rPr>
                <w:i/>
                <w:iCs/>
                <w:sz w:val="18"/>
                <w:szCs w:val="18"/>
              </w:rPr>
              <w:t xml:space="preserve">   CANDO network:</w:t>
            </w:r>
          </w:p>
          <w:p w14:paraId="4ED3B809" w14:textId="77777777" w:rsidR="009A0105" w:rsidRPr="004D3E40" w:rsidRDefault="009A0105" w:rsidP="009A0105">
            <w:pPr>
              <w:pStyle w:val="ListParagraph"/>
              <w:numPr>
                <w:ilvl w:val="0"/>
                <w:numId w:val="13"/>
              </w:numPr>
              <w:spacing w:before="0" w:after="0" w:line="240" w:lineRule="auto"/>
              <w:rPr>
                <w:sz w:val="18"/>
                <w:szCs w:val="18"/>
              </w:rPr>
            </w:pPr>
            <w:r w:rsidRPr="00393664">
              <w:rPr>
                <w:sz w:val="18"/>
                <w:szCs w:val="18"/>
              </w:rPr>
              <w:t>Act for Peace</w:t>
            </w:r>
          </w:p>
          <w:p w14:paraId="2B482231" w14:textId="77777777" w:rsidR="009A0105" w:rsidRPr="004D3E40" w:rsidRDefault="009A0105" w:rsidP="009A0105">
            <w:pPr>
              <w:pStyle w:val="ListParagraph"/>
              <w:numPr>
                <w:ilvl w:val="0"/>
                <w:numId w:val="13"/>
              </w:numPr>
              <w:spacing w:before="0" w:after="0" w:line="240" w:lineRule="auto"/>
              <w:rPr>
                <w:sz w:val="18"/>
                <w:szCs w:val="18"/>
              </w:rPr>
            </w:pPr>
            <w:r w:rsidRPr="00393664">
              <w:rPr>
                <w:sz w:val="18"/>
                <w:szCs w:val="18"/>
              </w:rPr>
              <w:t>Adventist Development &amp; Relief Agency</w:t>
            </w:r>
          </w:p>
          <w:p w14:paraId="09547205" w14:textId="77777777" w:rsidR="009A0105" w:rsidRPr="004D3E40" w:rsidRDefault="009A0105" w:rsidP="009A0105">
            <w:pPr>
              <w:pStyle w:val="ListParagraph"/>
              <w:numPr>
                <w:ilvl w:val="0"/>
                <w:numId w:val="13"/>
              </w:numPr>
              <w:spacing w:before="0" w:after="0" w:line="240" w:lineRule="auto"/>
              <w:rPr>
                <w:sz w:val="18"/>
                <w:szCs w:val="18"/>
              </w:rPr>
            </w:pPr>
            <w:r w:rsidRPr="00393664">
              <w:rPr>
                <w:sz w:val="18"/>
                <w:szCs w:val="18"/>
              </w:rPr>
              <w:t>Anglican Board of Mission</w:t>
            </w:r>
          </w:p>
          <w:p w14:paraId="07A6D07C" w14:textId="77777777" w:rsidR="009A0105" w:rsidRPr="004D3E40" w:rsidRDefault="009A0105" w:rsidP="009A0105">
            <w:pPr>
              <w:pStyle w:val="ListParagraph"/>
              <w:numPr>
                <w:ilvl w:val="0"/>
                <w:numId w:val="13"/>
              </w:numPr>
              <w:spacing w:before="0" w:after="0" w:line="240" w:lineRule="auto"/>
              <w:rPr>
                <w:sz w:val="18"/>
                <w:szCs w:val="18"/>
              </w:rPr>
            </w:pPr>
            <w:r w:rsidRPr="00393664">
              <w:rPr>
                <w:sz w:val="18"/>
                <w:szCs w:val="18"/>
              </w:rPr>
              <w:t>Anglican Overseas Aid</w:t>
            </w:r>
          </w:p>
          <w:p w14:paraId="2598CE09" w14:textId="77777777" w:rsidR="009A0105" w:rsidRPr="004D3E40" w:rsidRDefault="009A0105" w:rsidP="009A0105">
            <w:pPr>
              <w:pStyle w:val="ListParagraph"/>
              <w:numPr>
                <w:ilvl w:val="0"/>
                <w:numId w:val="13"/>
              </w:numPr>
              <w:spacing w:before="0" w:after="0" w:line="240" w:lineRule="auto"/>
              <w:rPr>
                <w:sz w:val="18"/>
                <w:szCs w:val="18"/>
              </w:rPr>
            </w:pPr>
            <w:r w:rsidRPr="00393664">
              <w:rPr>
                <w:sz w:val="18"/>
                <w:szCs w:val="18"/>
              </w:rPr>
              <w:t>Australian Lutheran World Service</w:t>
            </w:r>
          </w:p>
          <w:p w14:paraId="7224F074" w14:textId="77777777" w:rsidR="009A0105" w:rsidRPr="004D3E40" w:rsidRDefault="009A0105" w:rsidP="009A0105">
            <w:pPr>
              <w:pStyle w:val="ListParagraph"/>
              <w:numPr>
                <w:ilvl w:val="0"/>
                <w:numId w:val="13"/>
              </w:numPr>
              <w:spacing w:before="0" w:after="0" w:line="240" w:lineRule="auto"/>
              <w:rPr>
                <w:sz w:val="18"/>
                <w:szCs w:val="18"/>
              </w:rPr>
            </w:pPr>
            <w:r w:rsidRPr="00393664">
              <w:rPr>
                <w:sz w:val="18"/>
                <w:szCs w:val="18"/>
              </w:rPr>
              <w:t>Transform Aid International</w:t>
            </w:r>
          </w:p>
          <w:p w14:paraId="0E299365" w14:textId="77777777" w:rsidR="009A0105" w:rsidRPr="004C12C5" w:rsidRDefault="009A0105" w:rsidP="009A0105">
            <w:pPr>
              <w:pStyle w:val="ListParagraph"/>
              <w:numPr>
                <w:ilvl w:val="0"/>
                <w:numId w:val="13"/>
              </w:numPr>
              <w:spacing w:before="0" w:after="0" w:line="240" w:lineRule="auto"/>
              <w:rPr>
                <w:sz w:val="18"/>
                <w:szCs w:val="18"/>
              </w:rPr>
            </w:pPr>
            <w:r w:rsidRPr="00393664">
              <w:rPr>
                <w:sz w:val="18"/>
                <w:szCs w:val="18"/>
              </w:rPr>
              <w:t>Uniting World</w:t>
            </w:r>
          </w:p>
        </w:tc>
        <w:tc>
          <w:tcPr>
            <w:tcW w:w="2982" w:type="dxa"/>
            <w:tcBorders>
              <w:top w:val="single" w:sz="4" w:space="0" w:color="auto"/>
              <w:left w:val="single" w:sz="4" w:space="0" w:color="auto"/>
              <w:bottom w:val="single" w:sz="4" w:space="0" w:color="auto"/>
              <w:right w:val="single" w:sz="4" w:space="0" w:color="auto"/>
            </w:tcBorders>
            <w:shd w:val="clear" w:color="auto" w:fill="E0F3EF" w:themeFill="accent1" w:themeFillTint="33"/>
            <w:hideMark/>
          </w:tcPr>
          <w:p w14:paraId="6C0849E7" w14:textId="77777777" w:rsidR="009A0105" w:rsidRPr="004D3E40" w:rsidRDefault="009A0105" w:rsidP="009A0105">
            <w:pPr>
              <w:contextualSpacing/>
              <w:rPr>
                <w:b/>
                <w:bCs/>
                <w:sz w:val="18"/>
                <w:szCs w:val="18"/>
              </w:rPr>
            </w:pPr>
            <w:r w:rsidRPr="00E93683">
              <w:rPr>
                <w:b/>
                <w:bCs/>
                <w:sz w:val="18"/>
                <w:szCs w:val="18"/>
              </w:rPr>
              <w:t>Plan International Australia</w:t>
            </w:r>
          </w:p>
          <w:p w14:paraId="1508164F" w14:textId="77777777" w:rsidR="009A0105" w:rsidRPr="004D3E40" w:rsidRDefault="009A0105" w:rsidP="009A0105">
            <w:pPr>
              <w:pStyle w:val="ListParagraph"/>
              <w:numPr>
                <w:ilvl w:val="0"/>
                <w:numId w:val="14"/>
              </w:numPr>
              <w:spacing w:before="0" w:after="0" w:line="240" w:lineRule="auto"/>
              <w:rPr>
                <w:sz w:val="18"/>
                <w:szCs w:val="18"/>
              </w:rPr>
            </w:pPr>
            <w:r w:rsidRPr="00393664">
              <w:rPr>
                <w:sz w:val="18"/>
                <w:szCs w:val="18"/>
              </w:rPr>
              <w:t>ChildFund Australia</w:t>
            </w:r>
          </w:p>
          <w:p w14:paraId="724CA40C" w14:textId="77777777" w:rsidR="009A0105" w:rsidRPr="004D3E40" w:rsidRDefault="009A0105" w:rsidP="009A0105">
            <w:pPr>
              <w:pStyle w:val="ListParagraph"/>
              <w:numPr>
                <w:ilvl w:val="0"/>
                <w:numId w:val="14"/>
              </w:numPr>
              <w:spacing w:before="0" w:after="0" w:line="240" w:lineRule="auto"/>
              <w:rPr>
                <w:sz w:val="18"/>
                <w:szCs w:val="18"/>
              </w:rPr>
            </w:pPr>
            <w:r w:rsidRPr="00393664">
              <w:rPr>
                <w:sz w:val="18"/>
                <w:szCs w:val="18"/>
              </w:rPr>
              <w:t>Action Aid</w:t>
            </w:r>
          </w:p>
          <w:p w14:paraId="013E47EA" w14:textId="77777777" w:rsidR="009A0105" w:rsidRPr="004D3E40" w:rsidRDefault="009A0105" w:rsidP="009A0105">
            <w:pPr>
              <w:pStyle w:val="ListParagraph"/>
              <w:numPr>
                <w:ilvl w:val="0"/>
                <w:numId w:val="14"/>
              </w:numPr>
              <w:spacing w:before="0" w:after="0" w:line="240" w:lineRule="auto"/>
              <w:rPr>
                <w:sz w:val="18"/>
                <w:szCs w:val="18"/>
              </w:rPr>
            </w:pPr>
            <w:r w:rsidRPr="00393664">
              <w:rPr>
                <w:sz w:val="18"/>
                <w:szCs w:val="18"/>
              </w:rPr>
              <w:t>International Medical Corps UK</w:t>
            </w:r>
          </w:p>
          <w:p w14:paraId="4D5990AF" w14:textId="77777777" w:rsidR="009A0105" w:rsidRPr="004D3E40" w:rsidRDefault="009A0105" w:rsidP="009A0105">
            <w:pPr>
              <w:pStyle w:val="ListParagraph"/>
              <w:numPr>
                <w:ilvl w:val="0"/>
                <w:numId w:val="14"/>
              </w:numPr>
              <w:spacing w:before="0" w:after="0" w:line="240" w:lineRule="auto"/>
              <w:rPr>
                <w:sz w:val="18"/>
                <w:szCs w:val="18"/>
              </w:rPr>
            </w:pPr>
            <w:r w:rsidRPr="00393664">
              <w:rPr>
                <w:sz w:val="18"/>
                <w:szCs w:val="18"/>
              </w:rPr>
              <w:t>CBM Australia</w:t>
            </w:r>
          </w:p>
          <w:p w14:paraId="001057A8" w14:textId="77777777" w:rsidR="009A0105" w:rsidRPr="004D3E40" w:rsidRDefault="009A0105" w:rsidP="009A0105">
            <w:pPr>
              <w:pStyle w:val="ListParagraph"/>
              <w:numPr>
                <w:ilvl w:val="0"/>
                <w:numId w:val="14"/>
              </w:numPr>
              <w:spacing w:before="0" w:after="0" w:line="240" w:lineRule="auto"/>
              <w:rPr>
                <w:sz w:val="18"/>
                <w:szCs w:val="18"/>
              </w:rPr>
            </w:pPr>
            <w:r w:rsidRPr="00393664">
              <w:rPr>
                <w:sz w:val="18"/>
                <w:szCs w:val="18"/>
              </w:rPr>
              <w:t>Australian Volunteers International</w:t>
            </w:r>
          </w:p>
        </w:tc>
        <w:tc>
          <w:tcPr>
            <w:tcW w:w="2446" w:type="dxa"/>
            <w:tcBorders>
              <w:top w:val="single" w:sz="4" w:space="0" w:color="auto"/>
              <w:left w:val="single" w:sz="4" w:space="0" w:color="auto"/>
              <w:bottom w:val="single" w:sz="4" w:space="0" w:color="auto"/>
              <w:right w:val="single" w:sz="4" w:space="0" w:color="auto"/>
            </w:tcBorders>
            <w:shd w:val="clear" w:color="auto" w:fill="E0F3EF" w:themeFill="accent1" w:themeFillTint="33"/>
          </w:tcPr>
          <w:p w14:paraId="0DFF6AF4" w14:textId="77777777" w:rsidR="009A0105" w:rsidRPr="004D3E40" w:rsidRDefault="009A0105" w:rsidP="009A0105">
            <w:pPr>
              <w:contextualSpacing/>
              <w:rPr>
                <w:b/>
                <w:bCs/>
                <w:sz w:val="18"/>
                <w:szCs w:val="18"/>
              </w:rPr>
            </w:pPr>
            <w:r w:rsidRPr="00E93683">
              <w:rPr>
                <w:b/>
                <w:bCs/>
                <w:sz w:val="18"/>
                <w:szCs w:val="18"/>
              </w:rPr>
              <w:t>CARE Australia</w:t>
            </w:r>
          </w:p>
          <w:p w14:paraId="1AB6B87C" w14:textId="77777777" w:rsidR="009A0105" w:rsidRPr="004D3E40" w:rsidRDefault="009A0105" w:rsidP="009A0105">
            <w:pPr>
              <w:pStyle w:val="ListParagraph"/>
              <w:numPr>
                <w:ilvl w:val="0"/>
                <w:numId w:val="14"/>
              </w:numPr>
              <w:spacing w:before="0" w:after="0" w:line="240" w:lineRule="auto"/>
              <w:rPr>
                <w:b/>
                <w:bCs/>
                <w:sz w:val="18"/>
                <w:szCs w:val="18"/>
              </w:rPr>
            </w:pPr>
            <w:r w:rsidRPr="00E93683">
              <w:rPr>
                <w:sz w:val="18"/>
                <w:szCs w:val="18"/>
              </w:rPr>
              <w:t>Live &amp; Learn</w:t>
            </w:r>
          </w:p>
        </w:tc>
      </w:tr>
      <w:tr w:rsidR="009A0105" w14:paraId="6AA13BD1" w14:textId="77777777" w:rsidTr="009A0105">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E0F3EF" w:themeFill="accent1" w:themeFillTint="33"/>
            <w:hideMark/>
          </w:tcPr>
          <w:p w14:paraId="41F8D8BD" w14:textId="77777777" w:rsidR="009A0105" w:rsidRPr="004D3E40" w:rsidRDefault="009A0105" w:rsidP="009A0105">
            <w:pPr>
              <w:contextualSpacing/>
              <w:rPr>
                <w:b/>
                <w:bCs/>
                <w:sz w:val="18"/>
                <w:szCs w:val="18"/>
              </w:rPr>
            </w:pPr>
            <w:r w:rsidRPr="00E93683">
              <w:rPr>
                <w:b/>
                <w:bCs/>
                <w:sz w:val="18"/>
                <w:szCs w:val="18"/>
              </w:rPr>
              <w:t>Oxfam Australia</w:t>
            </w:r>
          </w:p>
          <w:p w14:paraId="029FAFE4" w14:textId="77777777" w:rsidR="009A0105" w:rsidRPr="004D3E40" w:rsidRDefault="009A0105" w:rsidP="009A0105">
            <w:pPr>
              <w:pStyle w:val="ListParagraph"/>
              <w:numPr>
                <w:ilvl w:val="0"/>
                <w:numId w:val="14"/>
              </w:numPr>
              <w:spacing w:before="0" w:after="0" w:line="240" w:lineRule="auto"/>
              <w:rPr>
                <w:sz w:val="18"/>
                <w:szCs w:val="18"/>
              </w:rPr>
            </w:pPr>
            <w:r w:rsidRPr="00393664">
              <w:rPr>
                <w:sz w:val="18"/>
                <w:szCs w:val="18"/>
              </w:rPr>
              <w:t>ABC International Development</w:t>
            </w:r>
          </w:p>
          <w:p w14:paraId="432B8084" w14:textId="77777777" w:rsidR="009A0105" w:rsidRPr="004D3E40" w:rsidRDefault="009A0105" w:rsidP="009A0105">
            <w:pPr>
              <w:pStyle w:val="ListParagraph"/>
              <w:numPr>
                <w:ilvl w:val="0"/>
                <w:numId w:val="14"/>
              </w:numPr>
              <w:spacing w:before="0" w:after="0" w:line="240" w:lineRule="auto"/>
              <w:rPr>
                <w:sz w:val="18"/>
                <w:szCs w:val="18"/>
              </w:rPr>
            </w:pPr>
            <w:r w:rsidRPr="00393664">
              <w:rPr>
                <w:sz w:val="18"/>
                <w:szCs w:val="18"/>
              </w:rPr>
              <w:t>CBM Australia</w:t>
            </w:r>
          </w:p>
          <w:p w14:paraId="76EE14C1" w14:textId="77777777" w:rsidR="009A0105" w:rsidRPr="004D3E40" w:rsidRDefault="009A0105" w:rsidP="009A0105">
            <w:pPr>
              <w:pStyle w:val="ListParagraph"/>
              <w:numPr>
                <w:ilvl w:val="0"/>
                <w:numId w:val="14"/>
              </w:numPr>
              <w:spacing w:before="0" w:after="0" w:line="240" w:lineRule="auto"/>
              <w:rPr>
                <w:sz w:val="18"/>
                <w:szCs w:val="18"/>
              </w:rPr>
            </w:pPr>
            <w:r>
              <w:rPr>
                <w:sz w:val="18"/>
                <w:szCs w:val="18"/>
              </w:rPr>
              <w:t>Habitat</w:t>
            </w:r>
            <w:r w:rsidRPr="00393664">
              <w:rPr>
                <w:sz w:val="18"/>
                <w:szCs w:val="18"/>
              </w:rPr>
              <w:t xml:space="preserve"> for Humanity Australia</w:t>
            </w:r>
          </w:p>
        </w:tc>
        <w:tc>
          <w:tcPr>
            <w:tcW w:w="2982" w:type="dxa"/>
            <w:tcBorders>
              <w:top w:val="single" w:sz="4" w:space="0" w:color="auto"/>
              <w:left w:val="single" w:sz="4" w:space="0" w:color="auto"/>
              <w:bottom w:val="single" w:sz="4" w:space="0" w:color="auto"/>
              <w:right w:val="single" w:sz="4" w:space="0" w:color="auto"/>
            </w:tcBorders>
            <w:shd w:val="clear" w:color="auto" w:fill="E0F3EF" w:themeFill="accent1" w:themeFillTint="33"/>
          </w:tcPr>
          <w:p w14:paraId="269F27ED" w14:textId="77777777" w:rsidR="009A0105" w:rsidRPr="004D3E40" w:rsidRDefault="009A0105" w:rsidP="009A0105">
            <w:pPr>
              <w:contextualSpacing/>
              <w:rPr>
                <w:b/>
                <w:bCs/>
                <w:sz w:val="18"/>
                <w:szCs w:val="18"/>
              </w:rPr>
            </w:pPr>
            <w:r w:rsidRPr="00E93683">
              <w:rPr>
                <w:b/>
                <w:bCs/>
                <w:sz w:val="18"/>
                <w:szCs w:val="18"/>
              </w:rPr>
              <w:t>World Vision Australia</w:t>
            </w:r>
          </w:p>
          <w:p w14:paraId="42CB73A8" w14:textId="77777777" w:rsidR="009A0105" w:rsidRPr="004D3E40" w:rsidRDefault="009A0105" w:rsidP="009A0105">
            <w:pPr>
              <w:pStyle w:val="ListParagraph"/>
              <w:numPr>
                <w:ilvl w:val="0"/>
                <w:numId w:val="14"/>
              </w:numPr>
              <w:spacing w:before="0" w:after="0" w:line="240" w:lineRule="auto"/>
              <w:rPr>
                <w:sz w:val="18"/>
                <w:szCs w:val="18"/>
              </w:rPr>
            </w:pPr>
            <w:r w:rsidRPr="00393664">
              <w:rPr>
                <w:sz w:val="18"/>
                <w:szCs w:val="18"/>
              </w:rPr>
              <w:t>Bureau of Meteorology (BoM)</w:t>
            </w:r>
          </w:p>
          <w:p w14:paraId="1220D597" w14:textId="77777777" w:rsidR="009A0105" w:rsidRPr="004D3E40" w:rsidRDefault="009A0105" w:rsidP="009A0105">
            <w:pPr>
              <w:pStyle w:val="ListParagraph"/>
              <w:numPr>
                <w:ilvl w:val="0"/>
                <w:numId w:val="14"/>
              </w:numPr>
              <w:spacing w:before="0" w:after="0" w:line="240" w:lineRule="auto"/>
              <w:rPr>
                <w:sz w:val="18"/>
                <w:szCs w:val="18"/>
              </w:rPr>
            </w:pPr>
            <w:r w:rsidRPr="00393664">
              <w:rPr>
                <w:sz w:val="18"/>
                <w:szCs w:val="18"/>
              </w:rPr>
              <w:t>CBM Australia</w:t>
            </w:r>
          </w:p>
          <w:p w14:paraId="10AEC85E" w14:textId="77777777" w:rsidR="009A0105" w:rsidRPr="004D3E40" w:rsidRDefault="009A0105" w:rsidP="009A0105">
            <w:pPr>
              <w:pStyle w:val="ListParagraph"/>
              <w:numPr>
                <w:ilvl w:val="0"/>
                <w:numId w:val="14"/>
              </w:numPr>
              <w:spacing w:before="0" w:after="0" w:line="240" w:lineRule="auto"/>
              <w:rPr>
                <w:sz w:val="18"/>
                <w:szCs w:val="18"/>
              </w:rPr>
            </w:pPr>
            <w:r w:rsidRPr="00393664">
              <w:rPr>
                <w:sz w:val="18"/>
                <w:szCs w:val="18"/>
              </w:rPr>
              <w:t>Field Ready</w:t>
            </w:r>
          </w:p>
          <w:p w14:paraId="1C496EB4" w14:textId="77777777" w:rsidR="009A0105" w:rsidRPr="004D3E40" w:rsidRDefault="009A0105" w:rsidP="009A0105">
            <w:pPr>
              <w:pStyle w:val="ListParagraph"/>
              <w:numPr>
                <w:ilvl w:val="0"/>
                <w:numId w:val="14"/>
              </w:numPr>
              <w:spacing w:before="0" w:after="0" w:line="240" w:lineRule="auto"/>
              <w:rPr>
                <w:b/>
                <w:bCs/>
                <w:sz w:val="18"/>
                <w:szCs w:val="18"/>
              </w:rPr>
            </w:pPr>
            <w:r w:rsidRPr="00393664">
              <w:rPr>
                <w:sz w:val="18"/>
                <w:szCs w:val="18"/>
              </w:rPr>
              <w:t>Habitat for Humanity Australia</w:t>
            </w:r>
          </w:p>
        </w:tc>
        <w:tc>
          <w:tcPr>
            <w:tcW w:w="2446" w:type="dxa"/>
            <w:tcBorders>
              <w:top w:val="single" w:sz="4" w:space="0" w:color="auto"/>
              <w:left w:val="single" w:sz="4" w:space="0" w:color="auto"/>
              <w:bottom w:val="single" w:sz="4" w:space="0" w:color="auto"/>
              <w:right w:val="single" w:sz="4" w:space="0" w:color="auto"/>
            </w:tcBorders>
            <w:shd w:val="clear" w:color="auto" w:fill="E0F3EF" w:themeFill="accent1" w:themeFillTint="33"/>
          </w:tcPr>
          <w:p w14:paraId="4828BDD7" w14:textId="77777777" w:rsidR="009A0105" w:rsidRDefault="009A0105" w:rsidP="009A0105">
            <w:pPr>
              <w:contextualSpacing/>
              <w:rPr>
                <w:b/>
                <w:bCs/>
                <w:sz w:val="18"/>
                <w:szCs w:val="18"/>
              </w:rPr>
            </w:pPr>
            <w:r w:rsidRPr="00E93683">
              <w:rPr>
                <w:b/>
                <w:bCs/>
                <w:sz w:val="18"/>
                <w:szCs w:val="18"/>
              </w:rPr>
              <w:t>Save the Children Australia</w:t>
            </w:r>
            <w:r w:rsidRPr="004D3E40">
              <w:rPr>
                <w:b/>
                <w:bCs/>
                <w:sz w:val="18"/>
                <w:szCs w:val="18"/>
              </w:rPr>
              <w:t xml:space="preserve"> </w:t>
            </w:r>
          </w:p>
          <w:p w14:paraId="5E07C1C3" w14:textId="77777777" w:rsidR="009A0105" w:rsidRPr="004D3E40" w:rsidRDefault="009A0105" w:rsidP="009A0105">
            <w:pPr>
              <w:contextualSpacing/>
              <w:rPr>
                <w:b/>
                <w:bCs/>
                <w:sz w:val="18"/>
                <w:szCs w:val="18"/>
              </w:rPr>
            </w:pPr>
          </w:p>
        </w:tc>
      </w:tr>
    </w:tbl>
    <w:p w14:paraId="237000BA" w14:textId="35F4AFB6" w:rsidR="005C46D4" w:rsidRPr="005C46D4" w:rsidRDefault="004B53D8" w:rsidP="005C46D4">
      <w:pPr>
        <w:pStyle w:val="Caption"/>
        <w:spacing w:after="0"/>
        <w:contextualSpacing w:val="0"/>
      </w:pPr>
      <w:r>
        <w:t xml:space="preserve">Fig 1: </w:t>
      </w:r>
      <w:r w:rsidR="00887A82">
        <w:t>Lead A</w:t>
      </w:r>
      <w:r w:rsidR="0012283A">
        <w:t>NGO</w:t>
      </w:r>
      <w:r w:rsidR="00887A82">
        <w:t>s and their consortia</w:t>
      </w:r>
      <w:r w:rsidR="0012283A">
        <w:t xml:space="preserve"> </w:t>
      </w:r>
      <w:r w:rsidR="00887A82">
        <w:t>p</w:t>
      </w:r>
      <w:r w:rsidR="0012283A">
        <w:t>artners</w:t>
      </w:r>
      <w:r w:rsidR="0012283A">
        <w:rPr>
          <w:rStyle w:val="FootnoteReference"/>
        </w:rPr>
        <w:footnoteReference w:id="2"/>
      </w:r>
    </w:p>
    <w:p w14:paraId="7DFD040D" w14:textId="1CC940A1" w:rsidR="0076790D" w:rsidRDefault="005F524C" w:rsidP="0076790D">
      <w:pPr>
        <w:pStyle w:val="ListParagraph"/>
        <w:numPr>
          <w:ilvl w:val="0"/>
          <w:numId w:val="12"/>
        </w:numPr>
        <w:tabs>
          <w:tab w:val="left" w:pos="284"/>
        </w:tabs>
        <w:suppressAutoHyphens w:val="0"/>
        <w:spacing w:before="200" w:after="0" w:line="280" w:lineRule="exact"/>
        <w:ind w:left="0" w:firstLine="0"/>
        <w:contextualSpacing w:val="0"/>
        <w:rPr>
          <w:rFonts w:eastAsia="Times New Roman" w:cs="Times New Roman"/>
          <w:sz w:val="21"/>
          <w:szCs w:val="24"/>
          <w:lang w:val="en-AU"/>
        </w:rPr>
      </w:pPr>
      <w:r>
        <w:rPr>
          <w:rFonts w:eastAsia="Times New Roman" w:cs="Times New Roman"/>
          <w:sz w:val="21"/>
          <w:szCs w:val="24"/>
          <w:lang w:val="en-AU"/>
        </w:rPr>
        <w:t>A</w:t>
      </w:r>
      <w:r w:rsidRPr="005F524C">
        <w:rPr>
          <w:rFonts w:eastAsia="Times New Roman" w:cs="Times New Roman"/>
          <w:sz w:val="21"/>
          <w:szCs w:val="24"/>
          <w:lang w:val="en-AU"/>
        </w:rPr>
        <w:t xml:space="preserve"> 2020 Mid Term Evaluation (MTE</w:t>
      </w:r>
      <w:r w:rsidR="009750B8">
        <w:rPr>
          <w:rFonts w:eastAsia="Times New Roman" w:cs="Times New Roman"/>
          <w:sz w:val="21"/>
          <w:szCs w:val="24"/>
          <w:lang w:val="en-AU"/>
        </w:rPr>
        <w:t xml:space="preserve">; summarised in Annex </w:t>
      </w:r>
      <w:r w:rsidR="00A92894">
        <w:rPr>
          <w:rFonts w:eastAsia="Times New Roman" w:cs="Times New Roman"/>
          <w:sz w:val="21"/>
          <w:szCs w:val="24"/>
          <w:lang w:val="en-AU"/>
        </w:rPr>
        <w:t>6</w:t>
      </w:r>
      <w:r w:rsidRPr="005F524C">
        <w:rPr>
          <w:rFonts w:eastAsia="Times New Roman" w:cs="Times New Roman"/>
          <w:sz w:val="21"/>
          <w:szCs w:val="24"/>
          <w:lang w:val="en-AU"/>
        </w:rPr>
        <w:t>) found the AHP is an effective and high performing program that is largely fit for purpose</w:t>
      </w:r>
      <w:r w:rsidR="00B04249">
        <w:rPr>
          <w:rFonts w:eastAsia="Times New Roman" w:cs="Times New Roman"/>
          <w:sz w:val="21"/>
          <w:szCs w:val="24"/>
          <w:lang w:val="en-AU"/>
        </w:rPr>
        <w:t xml:space="preserve"> and delivering on Australia’s </w:t>
      </w:r>
      <w:r w:rsidR="00520E5B">
        <w:rPr>
          <w:rFonts w:eastAsia="Times New Roman" w:cs="Times New Roman"/>
          <w:sz w:val="21"/>
          <w:szCs w:val="24"/>
          <w:lang w:val="en-AU"/>
        </w:rPr>
        <w:t>strategic objectives</w:t>
      </w:r>
      <w:r>
        <w:rPr>
          <w:rFonts w:eastAsia="Times New Roman" w:cs="Times New Roman"/>
          <w:sz w:val="21"/>
          <w:szCs w:val="24"/>
          <w:lang w:val="en-AU"/>
        </w:rPr>
        <w:t>.</w:t>
      </w:r>
      <w:r w:rsidR="004452CB">
        <w:rPr>
          <w:rStyle w:val="FootnoteReference"/>
          <w:rFonts w:eastAsia="Times New Roman" w:cs="Times New Roman"/>
          <w:sz w:val="21"/>
          <w:szCs w:val="24"/>
          <w:lang w:val="en-AU"/>
        </w:rPr>
        <w:footnoteReference w:id="3"/>
      </w:r>
      <w:r>
        <w:rPr>
          <w:rFonts w:eastAsia="Times New Roman" w:cs="Times New Roman"/>
          <w:sz w:val="21"/>
          <w:szCs w:val="24"/>
          <w:lang w:val="en-AU"/>
        </w:rPr>
        <w:t xml:space="preserve"> </w:t>
      </w:r>
      <w:r w:rsidR="0076790D" w:rsidRPr="00E1421A">
        <w:rPr>
          <w:rFonts w:eastAsia="Times New Roman" w:cs="Times New Roman"/>
          <w:sz w:val="21"/>
          <w:szCs w:val="24"/>
          <w:lang w:val="en-AU"/>
        </w:rPr>
        <w:t xml:space="preserve">The delivery approach has leveraged existing Australian </w:t>
      </w:r>
      <w:r w:rsidR="00520E5B">
        <w:rPr>
          <w:rFonts w:eastAsia="Times New Roman" w:cs="Times New Roman"/>
          <w:sz w:val="21"/>
          <w:szCs w:val="24"/>
          <w:lang w:val="en-AU"/>
        </w:rPr>
        <w:t xml:space="preserve">NGO </w:t>
      </w:r>
      <w:r w:rsidR="0076790D" w:rsidRPr="00E1421A">
        <w:rPr>
          <w:rFonts w:eastAsia="Times New Roman" w:cs="Times New Roman"/>
          <w:sz w:val="21"/>
          <w:szCs w:val="24"/>
          <w:lang w:val="en-AU"/>
        </w:rPr>
        <w:t>expertise</w:t>
      </w:r>
      <w:r w:rsidR="00520E5B">
        <w:rPr>
          <w:rFonts w:eastAsia="Times New Roman" w:cs="Times New Roman"/>
          <w:sz w:val="21"/>
          <w:szCs w:val="24"/>
          <w:lang w:val="en-AU"/>
        </w:rPr>
        <w:t xml:space="preserve"> and</w:t>
      </w:r>
      <w:r w:rsidR="0076790D" w:rsidRPr="00E1421A">
        <w:rPr>
          <w:rFonts w:eastAsia="Times New Roman" w:cs="Times New Roman"/>
          <w:sz w:val="21"/>
          <w:szCs w:val="24"/>
          <w:lang w:val="en-AU"/>
        </w:rPr>
        <w:t xml:space="preserve"> global reach and DFAT </w:t>
      </w:r>
      <w:r w:rsidR="006B45FF">
        <w:rPr>
          <w:rFonts w:eastAsia="Times New Roman" w:cs="Times New Roman"/>
          <w:sz w:val="21"/>
          <w:szCs w:val="24"/>
          <w:lang w:val="en-AU"/>
        </w:rPr>
        <w:t xml:space="preserve">NGO </w:t>
      </w:r>
      <w:r w:rsidR="0076790D" w:rsidRPr="00E1421A">
        <w:rPr>
          <w:rFonts w:eastAsia="Times New Roman" w:cs="Times New Roman"/>
          <w:sz w:val="21"/>
          <w:szCs w:val="24"/>
          <w:lang w:val="en-AU"/>
        </w:rPr>
        <w:t xml:space="preserve">accreditation, due </w:t>
      </w:r>
      <w:r w:rsidR="002E75DE" w:rsidRPr="00E1421A">
        <w:rPr>
          <w:rFonts w:eastAsia="Times New Roman" w:cs="Times New Roman"/>
          <w:sz w:val="21"/>
          <w:szCs w:val="24"/>
          <w:lang w:val="en-AU"/>
        </w:rPr>
        <w:t>diligence,</w:t>
      </w:r>
      <w:r w:rsidR="0076790D" w:rsidRPr="00E1421A">
        <w:rPr>
          <w:rFonts w:eastAsia="Times New Roman" w:cs="Times New Roman"/>
          <w:sz w:val="21"/>
          <w:szCs w:val="24"/>
          <w:lang w:val="en-AU"/>
        </w:rPr>
        <w:t xml:space="preserve"> and quality systems to enable an efficient </w:t>
      </w:r>
      <w:r w:rsidR="00F1393D">
        <w:rPr>
          <w:rFonts w:eastAsia="Times New Roman" w:cs="Times New Roman"/>
          <w:sz w:val="21"/>
          <w:szCs w:val="24"/>
          <w:lang w:val="en-AU"/>
        </w:rPr>
        <w:t xml:space="preserve">humanitarian </w:t>
      </w:r>
      <w:r w:rsidR="0076790D" w:rsidRPr="00E1421A">
        <w:rPr>
          <w:rFonts w:eastAsia="Times New Roman" w:cs="Times New Roman"/>
          <w:sz w:val="21"/>
          <w:szCs w:val="24"/>
          <w:lang w:val="en-AU"/>
        </w:rPr>
        <w:t xml:space="preserve">response </w:t>
      </w:r>
      <w:r w:rsidR="00F1393D">
        <w:rPr>
          <w:rFonts w:eastAsia="Times New Roman" w:cs="Times New Roman"/>
          <w:sz w:val="21"/>
          <w:szCs w:val="24"/>
          <w:lang w:val="en-AU"/>
        </w:rPr>
        <w:t>mechanism</w:t>
      </w:r>
      <w:r w:rsidR="0076790D" w:rsidRPr="00E1421A">
        <w:rPr>
          <w:rFonts w:eastAsia="Times New Roman" w:cs="Times New Roman"/>
          <w:sz w:val="21"/>
          <w:szCs w:val="24"/>
          <w:lang w:val="en-AU"/>
        </w:rPr>
        <w:t xml:space="preserve">. </w:t>
      </w:r>
      <w:r w:rsidR="00C33C9D">
        <w:rPr>
          <w:rFonts w:eastAsia="Times New Roman" w:cs="Times New Roman"/>
          <w:sz w:val="21"/>
          <w:szCs w:val="24"/>
          <w:lang w:val="en-AU"/>
        </w:rPr>
        <w:t>T</w:t>
      </w:r>
      <w:r w:rsidR="00C33C9D" w:rsidRPr="00E1421A">
        <w:rPr>
          <w:rFonts w:eastAsia="Times New Roman" w:cs="Times New Roman"/>
          <w:sz w:val="21"/>
          <w:szCs w:val="24"/>
          <w:lang w:val="en-AU"/>
        </w:rPr>
        <w:t xml:space="preserve">hrough Disaster READY, </w:t>
      </w:r>
      <w:r w:rsidR="00C33C9D">
        <w:rPr>
          <w:rFonts w:eastAsia="Times New Roman" w:cs="Times New Roman"/>
          <w:sz w:val="21"/>
          <w:szCs w:val="24"/>
          <w:lang w:val="en-AU"/>
        </w:rPr>
        <w:t xml:space="preserve">the </w:t>
      </w:r>
      <w:r w:rsidR="00C33C9D" w:rsidRPr="00E1421A">
        <w:rPr>
          <w:rFonts w:eastAsia="Times New Roman" w:cs="Times New Roman"/>
          <w:sz w:val="21"/>
          <w:szCs w:val="24"/>
          <w:lang w:val="en-AU"/>
        </w:rPr>
        <w:t>AHP has contributed to improved disaster preparedness in Timor</w:t>
      </w:r>
      <w:r w:rsidR="00C33C9D">
        <w:rPr>
          <w:rFonts w:eastAsia="Times New Roman" w:cs="Times New Roman"/>
          <w:sz w:val="21"/>
          <w:szCs w:val="24"/>
          <w:lang w:val="en-AU"/>
        </w:rPr>
        <w:t>-</w:t>
      </w:r>
      <w:r w:rsidR="00C33C9D" w:rsidRPr="00E1421A">
        <w:rPr>
          <w:rFonts w:eastAsia="Times New Roman" w:cs="Times New Roman"/>
          <w:sz w:val="21"/>
          <w:szCs w:val="24"/>
          <w:lang w:val="en-AU"/>
        </w:rPr>
        <w:t xml:space="preserve">Leste and four Pacific countries. </w:t>
      </w:r>
      <w:r w:rsidR="00D3533B" w:rsidRPr="00D14B30">
        <w:rPr>
          <w:lang w:val="en-AU"/>
        </w:rPr>
        <w:t>The AHP</w:t>
      </w:r>
      <w:r w:rsidR="00EA3B4D">
        <w:rPr>
          <w:lang w:val="en-AU"/>
        </w:rPr>
        <w:t xml:space="preserve"> </w:t>
      </w:r>
      <w:r w:rsidR="007D18B9">
        <w:rPr>
          <w:lang w:val="en-AU"/>
        </w:rPr>
        <w:t xml:space="preserve">has </w:t>
      </w:r>
      <w:r w:rsidR="00C33C9D">
        <w:rPr>
          <w:lang w:val="en-AU"/>
        </w:rPr>
        <w:t xml:space="preserve">also </w:t>
      </w:r>
      <w:r w:rsidR="00EA3B4D">
        <w:rPr>
          <w:lang w:val="en-AU"/>
        </w:rPr>
        <w:t xml:space="preserve">delivered </w:t>
      </w:r>
      <w:r w:rsidR="00D73298">
        <w:rPr>
          <w:lang w:val="en-AU"/>
        </w:rPr>
        <w:t xml:space="preserve">high quality support to populations affected by crisis, including </w:t>
      </w:r>
      <w:r w:rsidR="00EA3B4D">
        <w:rPr>
          <w:lang w:val="en-AU"/>
        </w:rPr>
        <w:t xml:space="preserve">critical </w:t>
      </w:r>
      <w:r w:rsidR="00D3533B" w:rsidRPr="00D14B30">
        <w:rPr>
          <w:lang w:val="en-AU"/>
        </w:rPr>
        <w:t xml:space="preserve">support </w:t>
      </w:r>
      <w:r w:rsidR="007D18B9">
        <w:rPr>
          <w:lang w:val="en-AU"/>
        </w:rPr>
        <w:t xml:space="preserve">to </w:t>
      </w:r>
      <w:r w:rsidR="00FC20EF">
        <w:rPr>
          <w:lang w:val="en-AU"/>
        </w:rPr>
        <w:t>communities and partner countries</w:t>
      </w:r>
      <w:r w:rsidR="00D3533B" w:rsidRPr="00D14B30">
        <w:rPr>
          <w:lang w:val="en-AU"/>
        </w:rPr>
        <w:t xml:space="preserve"> </w:t>
      </w:r>
      <w:r w:rsidR="007D18B9">
        <w:rPr>
          <w:lang w:val="en-AU"/>
        </w:rPr>
        <w:t xml:space="preserve">in the Indo-Pacific </w:t>
      </w:r>
      <w:r w:rsidR="00D3533B" w:rsidRPr="00D14B30">
        <w:rPr>
          <w:lang w:val="en-AU"/>
        </w:rPr>
        <w:t>to respond to COVID-19</w:t>
      </w:r>
      <w:r w:rsidR="006B45FF">
        <w:rPr>
          <w:lang w:val="en-AU"/>
        </w:rPr>
        <w:t xml:space="preserve"> and other disaster events</w:t>
      </w:r>
      <w:r w:rsidR="00D3533B" w:rsidRPr="00D14B30">
        <w:rPr>
          <w:lang w:val="en-AU"/>
        </w:rPr>
        <w:t>.</w:t>
      </w:r>
      <w:r w:rsidR="007D18B9">
        <w:rPr>
          <w:lang w:val="en-AU"/>
        </w:rPr>
        <w:t xml:space="preserve"> </w:t>
      </w:r>
    </w:p>
    <w:p w14:paraId="06BC5FE8" w14:textId="5E5E2E6F" w:rsidR="00E93683" w:rsidRDefault="00A12522" w:rsidP="003E2C60">
      <w:pPr>
        <w:pStyle w:val="ListParagraph"/>
        <w:numPr>
          <w:ilvl w:val="0"/>
          <w:numId w:val="12"/>
        </w:numPr>
        <w:tabs>
          <w:tab w:val="left" w:pos="284"/>
        </w:tabs>
        <w:suppressAutoHyphens w:val="0"/>
        <w:spacing w:before="200" w:after="240" w:line="280" w:lineRule="exact"/>
        <w:ind w:left="0" w:firstLine="0"/>
        <w:contextualSpacing w:val="0"/>
        <w:rPr>
          <w:rFonts w:eastAsia="Times New Roman" w:cs="Times New Roman"/>
          <w:sz w:val="21"/>
          <w:szCs w:val="24"/>
          <w:lang w:val="en-AU"/>
        </w:rPr>
      </w:pPr>
      <w:r>
        <w:rPr>
          <w:rFonts w:eastAsia="Times New Roman" w:cs="Times New Roman"/>
          <w:sz w:val="21"/>
          <w:szCs w:val="24"/>
          <w:lang w:val="en-AU"/>
        </w:rPr>
        <w:lastRenderedPageBreak/>
        <w:t>Th</w:t>
      </w:r>
      <w:r w:rsidR="00F1393D">
        <w:rPr>
          <w:rFonts w:eastAsia="Times New Roman" w:cs="Times New Roman"/>
          <w:sz w:val="21"/>
          <w:szCs w:val="24"/>
          <w:lang w:val="en-AU"/>
        </w:rPr>
        <w:t xml:space="preserve">ese findings </w:t>
      </w:r>
      <w:r>
        <w:rPr>
          <w:rFonts w:eastAsia="Times New Roman" w:cs="Times New Roman"/>
          <w:sz w:val="21"/>
          <w:szCs w:val="24"/>
          <w:lang w:val="en-AU"/>
        </w:rPr>
        <w:t>supported DFAT’s decision</w:t>
      </w:r>
      <w:r w:rsidR="005F524C" w:rsidRPr="005F524C">
        <w:rPr>
          <w:rFonts w:eastAsia="Times New Roman" w:cs="Times New Roman"/>
          <w:sz w:val="21"/>
          <w:szCs w:val="24"/>
          <w:lang w:val="en-AU"/>
        </w:rPr>
        <w:t xml:space="preserve"> to extend the AHP into its second phase and undertake an update of the existing design </w:t>
      </w:r>
      <w:r w:rsidR="00F950E0">
        <w:rPr>
          <w:rFonts w:eastAsia="Times New Roman" w:cs="Times New Roman"/>
          <w:sz w:val="21"/>
          <w:szCs w:val="24"/>
          <w:lang w:val="en-AU"/>
        </w:rPr>
        <w:t xml:space="preserve">(one of </w:t>
      </w:r>
      <w:r w:rsidR="005F524C" w:rsidRPr="005F524C">
        <w:rPr>
          <w:rFonts w:eastAsia="Times New Roman" w:cs="Times New Roman"/>
          <w:sz w:val="21"/>
          <w:szCs w:val="24"/>
          <w:lang w:val="en-AU"/>
        </w:rPr>
        <w:t xml:space="preserve">DFAT’s </w:t>
      </w:r>
      <w:r w:rsidR="00F950E0">
        <w:rPr>
          <w:rFonts w:eastAsia="Times New Roman" w:cs="Times New Roman"/>
          <w:sz w:val="21"/>
          <w:szCs w:val="24"/>
          <w:lang w:val="en-AU"/>
        </w:rPr>
        <w:t>ADAPT</w:t>
      </w:r>
      <w:r w:rsidR="005F524C" w:rsidRPr="005F524C">
        <w:rPr>
          <w:rFonts w:eastAsia="Times New Roman" w:cs="Times New Roman"/>
          <w:sz w:val="21"/>
          <w:szCs w:val="24"/>
          <w:lang w:val="en-AU"/>
        </w:rPr>
        <w:t xml:space="preserve"> design pathway</w:t>
      </w:r>
      <w:r w:rsidR="00F950E0">
        <w:rPr>
          <w:rFonts w:eastAsia="Times New Roman" w:cs="Times New Roman"/>
          <w:sz w:val="21"/>
          <w:szCs w:val="24"/>
          <w:lang w:val="en-AU"/>
        </w:rPr>
        <w:t>s)</w:t>
      </w:r>
      <w:r w:rsidR="009E5364">
        <w:rPr>
          <w:rFonts w:eastAsia="Times New Roman" w:cs="Times New Roman"/>
          <w:sz w:val="21"/>
          <w:szCs w:val="24"/>
          <w:lang w:val="en-AU"/>
        </w:rPr>
        <w:t xml:space="preserve"> to reflect lessons learned and changes in context</w:t>
      </w:r>
      <w:r w:rsidR="005F524C" w:rsidRPr="005F524C">
        <w:rPr>
          <w:rFonts w:eastAsia="Times New Roman" w:cs="Times New Roman"/>
          <w:sz w:val="21"/>
          <w:szCs w:val="24"/>
          <w:lang w:val="en-AU"/>
        </w:rPr>
        <w:t xml:space="preserve">. This Design Update Investment Design Document (IDD) will guide the implementation of </w:t>
      </w:r>
      <w:r w:rsidR="00406F84">
        <w:rPr>
          <w:rFonts w:eastAsia="Times New Roman" w:cs="Times New Roman"/>
          <w:sz w:val="21"/>
          <w:szCs w:val="24"/>
          <w:lang w:val="en-AU"/>
        </w:rPr>
        <w:t>Phase II</w:t>
      </w:r>
      <w:r w:rsidR="005F524C" w:rsidRPr="005F524C">
        <w:rPr>
          <w:rFonts w:eastAsia="Times New Roman" w:cs="Times New Roman"/>
          <w:sz w:val="21"/>
          <w:szCs w:val="24"/>
          <w:lang w:val="en-AU"/>
        </w:rPr>
        <w:t xml:space="preserve"> (2022-27</w:t>
      </w:r>
      <w:r w:rsidR="002E75DE" w:rsidRPr="005F524C">
        <w:rPr>
          <w:rFonts w:eastAsia="Times New Roman" w:cs="Times New Roman"/>
          <w:sz w:val="21"/>
          <w:szCs w:val="24"/>
          <w:lang w:val="en-AU"/>
        </w:rPr>
        <w:t>) and</w:t>
      </w:r>
      <w:r w:rsidR="005F524C" w:rsidRPr="005F524C">
        <w:rPr>
          <w:rFonts w:eastAsia="Times New Roman" w:cs="Times New Roman"/>
          <w:sz w:val="21"/>
          <w:szCs w:val="24"/>
          <w:lang w:val="en-AU"/>
        </w:rPr>
        <w:t xml:space="preserve"> has been informed by extensive consultation with internal and external stakeholders</w:t>
      </w:r>
      <w:r w:rsidR="001E01DA">
        <w:rPr>
          <w:rFonts w:eastAsia="Times New Roman" w:cs="Times New Roman"/>
          <w:sz w:val="21"/>
          <w:szCs w:val="24"/>
          <w:lang w:val="en-AU"/>
        </w:rPr>
        <w:t xml:space="preserve"> </w:t>
      </w:r>
      <w:r w:rsidR="005F524C" w:rsidRPr="005F524C">
        <w:rPr>
          <w:rFonts w:eastAsia="Times New Roman" w:cs="Times New Roman"/>
          <w:sz w:val="21"/>
          <w:szCs w:val="24"/>
          <w:lang w:val="en-AU"/>
        </w:rPr>
        <w:t xml:space="preserve">from May to November 2021, together with analysis of the changing operating context, the impact of COVID-19, and </w:t>
      </w:r>
      <w:r w:rsidR="006B45FF" w:rsidRPr="006B45FF">
        <w:rPr>
          <w:rFonts w:eastAsia="Times New Roman" w:cs="Times New Roman"/>
          <w:sz w:val="21"/>
          <w:szCs w:val="24"/>
          <w:lang w:val="en-AU"/>
        </w:rPr>
        <w:t xml:space="preserve">DFATs management response to the MTE </w:t>
      </w:r>
      <w:r w:rsidR="006B45FF">
        <w:rPr>
          <w:rFonts w:eastAsia="Times New Roman" w:cs="Times New Roman"/>
          <w:sz w:val="21"/>
          <w:szCs w:val="24"/>
          <w:lang w:val="en-AU"/>
        </w:rPr>
        <w:t>(</w:t>
      </w:r>
      <w:r w:rsidR="006B45FF" w:rsidRPr="006B45FF">
        <w:rPr>
          <w:rFonts w:eastAsia="Times New Roman" w:cs="Times New Roman"/>
          <w:sz w:val="21"/>
          <w:szCs w:val="24"/>
          <w:lang w:val="en-AU"/>
        </w:rPr>
        <w:t xml:space="preserve">Annex </w:t>
      </w:r>
      <w:r w:rsidR="00A92894">
        <w:rPr>
          <w:rFonts w:eastAsia="Times New Roman" w:cs="Times New Roman"/>
          <w:sz w:val="21"/>
          <w:szCs w:val="24"/>
          <w:lang w:val="en-AU"/>
        </w:rPr>
        <w:t>6</w:t>
      </w:r>
      <w:r w:rsidR="006B45FF">
        <w:rPr>
          <w:rFonts w:eastAsia="Times New Roman" w:cs="Times New Roman"/>
          <w:sz w:val="21"/>
          <w:szCs w:val="24"/>
          <w:lang w:val="en-AU"/>
        </w:rPr>
        <w:t>)</w:t>
      </w:r>
      <w:r w:rsidR="006B45FF" w:rsidRPr="006B45FF">
        <w:rPr>
          <w:rFonts w:eastAsia="Times New Roman" w:cs="Times New Roman"/>
          <w:sz w:val="21"/>
          <w:szCs w:val="24"/>
          <w:lang w:val="en-AU"/>
        </w:rPr>
        <w:t>.</w:t>
      </w:r>
    </w:p>
    <w:p w14:paraId="659BB398" w14:textId="1155F46A" w:rsidR="005D0C63" w:rsidRPr="005D0C63" w:rsidRDefault="005D0C63" w:rsidP="005D0C63">
      <w:pPr>
        <w:pStyle w:val="ListParagraph"/>
        <w:numPr>
          <w:ilvl w:val="0"/>
          <w:numId w:val="12"/>
        </w:numPr>
        <w:tabs>
          <w:tab w:val="left" w:pos="284"/>
        </w:tabs>
        <w:suppressAutoHyphens w:val="0"/>
        <w:spacing w:before="200" w:after="240" w:line="280" w:lineRule="exact"/>
        <w:ind w:left="0" w:firstLine="0"/>
        <w:contextualSpacing w:val="0"/>
        <w:rPr>
          <w:rFonts w:eastAsia="Times New Roman" w:cs="Times New Roman"/>
          <w:sz w:val="21"/>
          <w:szCs w:val="24"/>
          <w:lang w:val="en-AU"/>
        </w:rPr>
      </w:pPr>
      <w:r w:rsidRPr="005D0C63">
        <w:rPr>
          <w:rFonts w:eastAsia="Times New Roman" w:cs="Times New Roman"/>
          <w:sz w:val="21"/>
          <w:szCs w:val="24"/>
          <w:lang w:val="en-AU"/>
        </w:rPr>
        <w:t xml:space="preserve">The process of developing </w:t>
      </w:r>
      <w:r>
        <w:rPr>
          <w:rFonts w:eastAsia="Times New Roman" w:cs="Times New Roman"/>
          <w:sz w:val="21"/>
          <w:szCs w:val="24"/>
          <w:lang w:val="en-AU"/>
        </w:rPr>
        <w:t>the IDD</w:t>
      </w:r>
      <w:r w:rsidRPr="005D0C63">
        <w:rPr>
          <w:rFonts w:eastAsia="Times New Roman" w:cs="Times New Roman"/>
          <w:sz w:val="21"/>
          <w:szCs w:val="24"/>
          <w:lang w:val="en-AU"/>
        </w:rPr>
        <w:t>, while highly</w:t>
      </w:r>
      <w:r>
        <w:rPr>
          <w:rFonts w:eastAsia="Times New Roman" w:cs="Times New Roman"/>
          <w:sz w:val="21"/>
          <w:szCs w:val="24"/>
          <w:lang w:val="en-AU"/>
        </w:rPr>
        <w:t xml:space="preserve"> </w:t>
      </w:r>
      <w:r w:rsidRPr="005D0C63">
        <w:rPr>
          <w:rFonts w:eastAsia="Times New Roman" w:cs="Times New Roman"/>
          <w:sz w:val="21"/>
          <w:szCs w:val="24"/>
          <w:lang w:val="en-AU"/>
        </w:rPr>
        <w:t>consultative, required decisions to be made that could not satisfy all interested stakeholders. Th</w:t>
      </w:r>
      <w:r w:rsidR="002E1CC9">
        <w:rPr>
          <w:rFonts w:eastAsia="Times New Roman" w:cs="Times New Roman"/>
          <w:sz w:val="21"/>
          <w:szCs w:val="24"/>
          <w:lang w:val="en-AU"/>
        </w:rPr>
        <w:t>is</w:t>
      </w:r>
      <w:r>
        <w:rPr>
          <w:rFonts w:eastAsia="Times New Roman" w:cs="Times New Roman"/>
          <w:sz w:val="21"/>
          <w:szCs w:val="24"/>
          <w:lang w:val="en-AU"/>
        </w:rPr>
        <w:t xml:space="preserve"> final version</w:t>
      </w:r>
      <w:r w:rsidR="002E1CC9">
        <w:rPr>
          <w:rFonts w:eastAsia="Times New Roman" w:cs="Times New Roman"/>
          <w:sz w:val="21"/>
          <w:szCs w:val="24"/>
          <w:lang w:val="en-AU"/>
        </w:rPr>
        <w:t xml:space="preserve"> seeks</w:t>
      </w:r>
      <w:r>
        <w:rPr>
          <w:rFonts w:eastAsia="Times New Roman" w:cs="Times New Roman"/>
          <w:sz w:val="21"/>
          <w:szCs w:val="24"/>
          <w:lang w:val="en-AU"/>
        </w:rPr>
        <w:t xml:space="preserve"> </w:t>
      </w:r>
      <w:r w:rsidRPr="005D0C63">
        <w:rPr>
          <w:rFonts w:eastAsia="Times New Roman" w:cs="Times New Roman"/>
          <w:sz w:val="21"/>
          <w:szCs w:val="24"/>
          <w:lang w:val="en-AU"/>
        </w:rPr>
        <w:t xml:space="preserve">to find an appropriate balance between </w:t>
      </w:r>
      <w:r>
        <w:rPr>
          <w:rFonts w:eastAsia="Times New Roman" w:cs="Times New Roman"/>
          <w:sz w:val="21"/>
          <w:szCs w:val="24"/>
          <w:lang w:val="en-AU"/>
        </w:rPr>
        <w:t xml:space="preserve">retaining the </w:t>
      </w:r>
      <w:r w:rsidR="002E1CC9">
        <w:rPr>
          <w:rFonts w:eastAsia="Times New Roman" w:cs="Times New Roman"/>
          <w:sz w:val="21"/>
          <w:szCs w:val="24"/>
          <w:lang w:val="en-AU"/>
        </w:rPr>
        <w:t>successful elements</w:t>
      </w:r>
      <w:r>
        <w:rPr>
          <w:rFonts w:eastAsia="Times New Roman" w:cs="Times New Roman"/>
          <w:sz w:val="21"/>
          <w:szCs w:val="24"/>
          <w:lang w:val="en-AU"/>
        </w:rPr>
        <w:t xml:space="preserve"> of Phase I, </w:t>
      </w:r>
      <w:r w:rsidRPr="005D0C63">
        <w:rPr>
          <w:rFonts w:eastAsia="Times New Roman" w:cs="Times New Roman"/>
          <w:sz w:val="21"/>
          <w:szCs w:val="24"/>
          <w:lang w:val="en-AU"/>
        </w:rPr>
        <w:t>incorporating new ideas and approaches</w:t>
      </w:r>
      <w:r w:rsidR="002E1CC9">
        <w:rPr>
          <w:rFonts w:eastAsia="Times New Roman" w:cs="Times New Roman"/>
          <w:sz w:val="21"/>
          <w:szCs w:val="24"/>
          <w:lang w:val="en-AU"/>
        </w:rPr>
        <w:t>,</w:t>
      </w:r>
      <w:r w:rsidRPr="005D0C63">
        <w:rPr>
          <w:rFonts w:eastAsia="Times New Roman" w:cs="Times New Roman"/>
          <w:sz w:val="21"/>
          <w:szCs w:val="24"/>
          <w:lang w:val="en-AU"/>
        </w:rPr>
        <w:t xml:space="preserve"> and changing some emphases</w:t>
      </w:r>
      <w:r>
        <w:rPr>
          <w:rFonts w:eastAsia="Times New Roman" w:cs="Times New Roman"/>
          <w:sz w:val="21"/>
          <w:szCs w:val="24"/>
          <w:lang w:val="en-AU"/>
        </w:rPr>
        <w:t xml:space="preserve"> </w:t>
      </w:r>
      <w:r w:rsidRPr="005D0C63">
        <w:rPr>
          <w:rFonts w:eastAsia="Times New Roman" w:cs="Times New Roman"/>
          <w:sz w:val="21"/>
          <w:szCs w:val="24"/>
          <w:lang w:val="en-AU"/>
        </w:rPr>
        <w:t xml:space="preserve">to reflect contemporary </w:t>
      </w:r>
      <w:r>
        <w:rPr>
          <w:rFonts w:eastAsia="Times New Roman" w:cs="Times New Roman"/>
          <w:sz w:val="21"/>
          <w:szCs w:val="24"/>
          <w:lang w:val="en-AU"/>
        </w:rPr>
        <w:t>priorities</w:t>
      </w:r>
      <w:r w:rsidRPr="005D0C63">
        <w:rPr>
          <w:rFonts w:eastAsia="Times New Roman" w:cs="Times New Roman"/>
          <w:sz w:val="21"/>
          <w:szCs w:val="24"/>
          <w:lang w:val="en-AU"/>
        </w:rPr>
        <w:t>.</w:t>
      </w:r>
    </w:p>
    <w:p w14:paraId="2C91091A" w14:textId="77777777" w:rsidR="0047031F" w:rsidRPr="00851A62" w:rsidRDefault="0047031F" w:rsidP="0011591E">
      <w:pPr>
        <w:pStyle w:val="Heading1"/>
        <w:numPr>
          <w:ilvl w:val="0"/>
          <w:numId w:val="22"/>
        </w:numPr>
        <w:pBdr>
          <w:top w:val="single" w:sz="4" w:space="1" w:color="auto"/>
          <w:left w:val="single" w:sz="4" w:space="4" w:color="auto"/>
          <w:bottom w:val="single" w:sz="4" w:space="1" w:color="auto"/>
          <w:right w:val="single" w:sz="4" w:space="4" w:color="auto"/>
        </w:pBdr>
        <w:shd w:val="clear" w:color="auto" w:fill="E0F3EF" w:themeFill="accent1" w:themeFillTint="33"/>
        <w:rPr>
          <w:rFonts w:eastAsiaTheme="minorHAnsi" w:cstheme="minorBidi"/>
          <w:bCs w:val="0"/>
          <w:sz w:val="22"/>
          <w:szCs w:val="21"/>
        </w:rPr>
      </w:pPr>
      <w:bookmarkStart w:id="11" w:name="_Toc90551060"/>
      <w:bookmarkStart w:id="12" w:name="_Toc90551061"/>
      <w:bookmarkStart w:id="13" w:name="_Toc101521649"/>
      <w:bookmarkEnd w:id="11"/>
      <w:bookmarkEnd w:id="12"/>
      <w:r w:rsidRPr="00851A62">
        <w:rPr>
          <w:rFonts w:eastAsiaTheme="minorHAnsi" w:cstheme="minorBidi"/>
          <w:bCs w:val="0"/>
          <w:sz w:val="22"/>
          <w:szCs w:val="21"/>
        </w:rPr>
        <w:t>Development Context and Situational Analysis (What problem are we addressing?)</w:t>
      </w:r>
      <w:bookmarkEnd w:id="13"/>
    </w:p>
    <w:p w14:paraId="31CD238C" w14:textId="2D295DCF" w:rsidR="00430EC0" w:rsidRPr="0026576A" w:rsidRDefault="00382D97" w:rsidP="005B092D">
      <w:pPr>
        <w:pStyle w:val="ListParagraph"/>
        <w:numPr>
          <w:ilvl w:val="0"/>
          <w:numId w:val="12"/>
        </w:numPr>
        <w:tabs>
          <w:tab w:val="left" w:pos="284"/>
        </w:tabs>
        <w:spacing w:before="200" w:line="280" w:lineRule="exact"/>
        <w:ind w:left="0" w:firstLine="0"/>
        <w:rPr>
          <w:rFonts w:eastAsia="Times New Roman" w:cs="Times New Roman"/>
          <w:sz w:val="21"/>
          <w:szCs w:val="24"/>
          <w:lang w:val="en-AU"/>
        </w:rPr>
      </w:pPr>
      <w:r w:rsidRPr="003E2C60">
        <w:rPr>
          <w:rFonts w:eastAsia="Times New Roman" w:cs="Times New Roman"/>
          <w:b/>
          <w:bCs/>
          <w:sz w:val="21"/>
          <w:szCs w:val="24"/>
          <w:lang w:val="en-AU"/>
        </w:rPr>
        <w:t>The 2022 Global Humanitarian Overview</w:t>
      </w:r>
      <w:r w:rsidR="002110D0" w:rsidRPr="003E2C60">
        <w:rPr>
          <w:rFonts w:eastAsia="Times New Roman" w:cs="Times New Roman"/>
          <w:b/>
          <w:bCs/>
          <w:sz w:val="21"/>
          <w:szCs w:val="24"/>
          <w:lang w:val="en-AU"/>
        </w:rPr>
        <w:t xml:space="preserve"> </w:t>
      </w:r>
      <w:r w:rsidR="000407D1" w:rsidRPr="003E2C60">
        <w:rPr>
          <w:rFonts w:eastAsia="Times New Roman" w:cs="Times New Roman"/>
          <w:b/>
          <w:bCs/>
          <w:sz w:val="21"/>
          <w:szCs w:val="24"/>
          <w:lang w:val="en-AU"/>
        </w:rPr>
        <w:t>tells us</w:t>
      </w:r>
      <w:r w:rsidR="00096F6B" w:rsidRPr="003E2C60">
        <w:rPr>
          <w:rFonts w:eastAsia="Times New Roman" w:cs="Times New Roman"/>
          <w:b/>
          <w:bCs/>
          <w:sz w:val="21"/>
          <w:szCs w:val="24"/>
          <w:lang w:val="en-AU"/>
        </w:rPr>
        <w:t xml:space="preserve"> that humanitarian need </w:t>
      </w:r>
      <w:r w:rsidR="00430EC0" w:rsidRPr="003E2C60">
        <w:rPr>
          <w:rFonts w:eastAsia="Times New Roman" w:cs="Times New Roman"/>
          <w:b/>
          <w:bCs/>
          <w:sz w:val="21"/>
          <w:szCs w:val="24"/>
          <w:lang w:val="en-AU"/>
        </w:rPr>
        <w:t>has</w:t>
      </w:r>
      <w:r w:rsidR="000407D1" w:rsidRPr="003E2C60">
        <w:rPr>
          <w:rFonts w:eastAsia="Times New Roman" w:cs="Times New Roman"/>
          <w:b/>
          <w:bCs/>
          <w:sz w:val="21"/>
          <w:szCs w:val="24"/>
          <w:lang w:val="en-AU"/>
        </w:rPr>
        <w:t xml:space="preserve"> increas</w:t>
      </w:r>
      <w:r w:rsidR="00430EC0" w:rsidRPr="003E2C60">
        <w:rPr>
          <w:rFonts w:eastAsia="Times New Roman" w:cs="Times New Roman"/>
          <w:b/>
          <w:bCs/>
          <w:sz w:val="21"/>
          <w:szCs w:val="24"/>
          <w:lang w:val="en-AU"/>
        </w:rPr>
        <w:t>ed</w:t>
      </w:r>
      <w:r w:rsidR="00096F6B" w:rsidRPr="003E2C60">
        <w:rPr>
          <w:rFonts w:eastAsia="Times New Roman" w:cs="Times New Roman"/>
          <w:b/>
          <w:bCs/>
          <w:sz w:val="21"/>
          <w:szCs w:val="24"/>
          <w:lang w:val="en-AU"/>
        </w:rPr>
        <w:t xml:space="preserve"> to the </w:t>
      </w:r>
      <w:r w:rsidR="00536896" w:rsidRPr="003E2C60">
        <w:rPr>
          <w:rFonts w:eastAsia="Times New Roman" w:cs="Times New Roman"/>
          <w:b/>
          <w:bCs/>
          <w:sz w:val="21"/>
          <w:szCs w:val="24"/>
          <w:lang w:val="en-AU"/>
        </w:rPr>
        <w:t>highest figure in decades</w:t>
      </w:r>
      <w:r w:rsidRPr="003E2C60">
        <w:rPr>
          <w:b/>
          <w:bCs/>
          <w:lang w:val="en-AU"/>
        </w:rPr>
        <w:t>.</w:t>
      </w:r>
      <w:r w:rsidR="002A25A7">
        <w:rPr>
          <w:rStyle w:val="FootnoteReference"/>
          <w:b/>
          <w:bCs/>
          <w:lang w:val="en-AU"/>
        </w:rPr>
        <w:footnoteReference w:id="4"/>
      </w:r>
      <w:r w:rsidRPr="003E2C60">
        <w:rPr>
          <w:lang w:val="en-AU"/>
        </w:rPr>
        <w:t xml:space="preserve"> </w:t>
      </w:r>
      <w:r w:rsidR="00430EC0" w:rsidRPr="003E2C60">
        <w:rPr>
          <w:rFonts w:eastAsia="Times New Roman" w:cs="Times New Roman"/>
          <w:sz w:val="21"/>
          <w:szCs w:val="24"/>
          <w:lang w:val="en-AU"/>
        </w:rPr>
        <w:t xml:space="preserve">In 2022, 274 million people will need humanitarian assistance and protection - a significant increase from 235 million people a year ago. </w:t>
      </w:r>
      <w:r w:rsidR="002E5EC3" w:rsidRPr="003E2C60">
        <w:rPr>
          <w:rFonts w:eastAsia="Times New Roman" w:cs="Times New Roman"/>
          <w:sz w:val="21"/>
          <w:szCs w:val="24"/>
          <w:lang w:val="en-AU"/>
        </w:rPr>
        <w:t xml:space="preserve">Conflicts continue to be the leading driver of humanitarian crises, </w:t>
      </w:r>
      <w:r w:rsidR="002E75DE" w:rsidRPr="003E2C60">
        <w:rPr>
          <w:rFonts w:eastAsia="Times New Roman" w:cs="Times New Roman"/>
          <w:sz w:val="21"/>
          <w:szCs w:val="24"/>
          <w:lang w:val="en-AU"/>
        </w:rPr>
        <w:t>hunger,</w:t>
      </w:r>
      <w:r w:rsidR="002E5EC3" w:rsidRPr="003E2C60">
        <w:rPr>
          <w:rFonts w:eastAsia="Times New Roman" w:cs="Times New Roman"/>
          <w:sz w:val="21"/>
          <w:szCs w:val="24"/>
          <w:lang w:val="en-AU"/>
        </w:rPr>
        <w:t xml:space="preserve"> and malnutrition, with the most severe impacts falling on the vulnerable including children and persons </w:t>
      </w:r>
      <w:r w:rsidR="00EC6E33">
        <w:rPr>
          <w:rFonts w:eastAsia="Times New Roman" w:cs="Times New Roman"/>
          <w:sz w:val="21"/>
          <w:szCs w:val="24"/>
          <w:lang w:val="en-AU"/>
        </w:rPr>
        <w:t xml:space="preserve">living </w:t>
      </w:r>
      <w:r w:rsidR="002E5EC3" w:rsidRPr="003E2C60">
        <w:rPr>
          <w:rFonts w:eastAsia="Times New Roman" w:cs="Times New Roman"/>
          <w:sz w:val="21"/>
          <w:szCs w:val="24"/>
          <w:lang w:val="en-AU"/>
        </w:rPr>
        <w:t xml:space="preserve">with disabilities. </w:t>
      </w:r>
      <w:r w:rsidR="00FF034C" w:rsidRPr="003E2C60">
        <w:rPr>
          <w:rFonts w:eastAsia="Times New Roman" w:cs="Times New Roman"/>
          <w:sz w:val="21"/>
          <w:szCs w:val="24"/>
          <w:lang w:val="en-AU"/>
        </w:rPr>
        <w:t xml:space="preserve">More than 1 per cent of the world’s population is now displaced, about 42 per cent of whom are children. Millions of </w:t>
      </w:r>
      <w:r w:rsidR="009750B8">
        <w:rPr>
          <w:rFonts w:eastAsia="Times New Roman" w:cs="Times New Roman"/>
          <w:sz w:val="21"/>
          <w:szCs w:val="24"/>
          <w:lang w:val="en-AU"/>
        </w:rPr>
        <w:t xml:space="preserve">internally displaced </w:t>
      </w:r>
      <w:r w:rsidR="00CA5E68">
        <w:rPr>
          <w:rFonts w:eastAsia="Times New Roman" w:cs="Times New Roman"/>
          <w:sz w:val="21"/>
          <w:szCs w:val="24"/>
          <w:lang w:val="en-AU"/>
        </w:rPr>
        <w:t>people (IDPs)</w:t>
      </w:r>
      <w:r w:rsidR="00FF034C" w:rsidRPr="003E2C60">
        <w:rPr>
          <w:rFonts w:eastAsia="Times New Roman" w:cs="Times New Roman"/>
          <w:sz w:val="21"/>
          <w:szCs w:val="24"/>
          <w:lang w:val="en-AU"/>
        </w:rPr>
        <w:t xml:space="preserve"> are living in protracted situations, </w:t>
      </w:r>
      <w:r w:rsidR="002E5EC3" w:rsidRPr="003E2C60">
        <w:rPr>
          <w:rFonts w:eastAsia="Times New Roman" w:cs="Times New Roman"/>
          <w:sz w:val="21"/>
          <w:szCs w:val="24"/>
          <w:lang w:val="en-AU"/>
        </w:rPr>
        <w:t xml:space="preserve">and </w:t>
      </w:r>
      <w:r w:rsidR="00FF034C" w:rsidRPr="003E2C60">
        <w:rPr>
          <w:rFonts w:eastAsia="Times New Roman" w:cs="Times New Roman"/>
          <w:sz w:val="21"/>
          <w:szCs w:val="24"/>
          <w:lang w:val="en-AU"/>
        </w:rPr>
        <w:t xml:space="preserve">40 per cent fewer </w:t>
      </w:r>
      <w:r w:rsidR="00E9440A">
        <w:rPr>
          <w:rFonts w:eastAsia="Times New Roman" w:cs="Times New Roman"/>
          <w:sz w:val="21"/>
          <w:szCs w:val="24"/>
          <w:lang w:val="en-AU"/>
        </w:rPr>
        <w:t>were</w:t>
      </w:r>
      <w:r w:rsidR="00E9440A" w:rsidRPr="003E2C60">
        <w:rPr>
          <w:rFonts w:eastAsia="Times New Roman" w:cs="Times New Roman"/>
          <w:sz w:val="21"/>
          <w:szCs w:val="24"/>
          <w:lang w:val="en-AU"/>
        </w:rPr>
        <w:t xml:space="preserve"> </w:t>
      </w:r>
      <w:r w:rsidR="00FF034C" w:rsidRPr="003E2C60">
        <w:rPr>
          <w:rFonts w:eastAsia="Times New Roman" w:cs="Times New Roman"/>
          <w:sz w:val="21"/>
          <w:szCs w:val="24"/>
          <w:lang w:val="en-AU"/>
        </w:rPr>
        <w:t>able to return home</w:t>
      </w:r>
      <w:r w:rsidR="00E9440A">
        <w:rPr>
          <w:rFonts w:eastAsia="Times New Roman" w:cs="Times New Roman"/>
          <w:sz w:val="21"/>
          <w:szCs w:val="24"/>
          <w:lang w:val="en-AU"/>
        </w:rPr>
        <w:t xml:space="preserve"> in 2020 compared to 2019</w:t>
      </w:r>
      <w:r w:rsidR="00FF034C" w:rsidRPr="003E2C60">
        <w:rPr>
          <w:rFonts w:eastAsia="Times New Roman" w:cs="Times New Roman"/>
          <w:sz w:val="21"/>
          <w:szCs w:val="24"/>
          <w:lang w:val="en-AU"/>
        </w:rPr>
        <w:t>.</w:t>
      </w:r>
      <w:r w:rsidR="00FC2088" w:rsidRPr="003E2C60">
        <w:rPr>
          <w:rFonts w:eastAsia="Times New Roman" w:cs="Times New Roman"/>
          <w:sz w:val="21"/>
          <w:szCs w:val="24"/>
          <w:lang w:val="en-AU"/>
        </w:rPr>
        <w:t xml:space="preserve"> </w:t>
      </w:r>
      <w:r w:rsidR="00E9440A" w:rsidRPr="00E9440A">
        <w:rPr>
          <w:rFonts w:eastAsia="Times New Roman" w:cs="Times New Roman"/>
          <w:sz w:val="21"/>
          <w:szCs w:val="24"/>
          <w:lang w:val="en-AU"/>
        </w:rPr>
        <w:t>Women and girls remain at increased risk of conflict</w:t>
      </w:r>
      <w:r w:rsidR="00E9440A">
        <w:rPr>
          <w:rFonts w:eastAsia="Times New Roman" w:cs="Times New Roman"/>
          <w:sz w:val="21"/>
          <w:szCs w:val="24"/>
          <w:lang w:val="en-AU"/>
        </w:rPr>
        <w:t xml:space="preserve"> </w:t>
      </w:r>
      <w:r w:rsidR="00E9440A" w:rsidRPr="00E9440A">
        <w:rPr>
          <w:rFonts w:eastAsia="Times New Roman" w:cs="Times New Roman"/>
          <w:sz w:val="21"/>
          <w:szCs w:val="24"/>
          <w:lang w:val="en-AU"/>
        </w:rPr>
        <w:t>relate</w:t>
      </w:r>
      <w:r w:rsidR="00E9440A">
        <w:rPr>
          <w:rFonts w:eastAsia="Times New Roman" w:cs="Times New Roman"/>
          <w:sz w:val="21"/>
          <w:szCs w:val="24"/>
          <w:lang w:val="en-AU"/>
        </w:rPr>
        <w:t xml:space="preserve">d </w:t>
      </w:r>
      <w:r w:rsidR="00E9440A" w:rsidRPr="00952518">
        <w:rPr>
          <w:rFonts w:eastAsia="Times New Roman" w:cs="Times New Roman"/>
          <w:sz w:val="21"/>
          <w:szCs w:val="24"/>
          <w:lang w:val="en-AU"/>
        </w:rPr>
        <w:t>sexual violence</w:t>
      </w:r>
      <w:r w:rsidR="00ED1F68">
        <w:rPr>
          <w:rFonts w:eastAsia="Times New Roman" w:cs="Times New Roman"/>
          <w:sz w:val="21"/>
          <w:szCs w:val="24"/>
          <w:lang w:val="en-AU"/>
        </w:rPr>
        <w:t>, and o</w:t>
      </w:r>
      <w:r w:rsidR="00ED1F68" w:rsidRPr="00B8017C">
        <w:rPr>
          <w:rFonts w:eastAsia="Times New Roman" w:cs="Times New Roman"/>
          <w:sz w:val="21"/>
          <w:szCs w:val="24"/>
          <w:lang w:val="en-AU"/>
        </w:rPr>
        <w:t>ver 70 per cent of</w:t>
      </w:r>
      <w:r w:rsidR="00ED1F68">
        <w:rPr>
          <w:rFonts w:eastAsia="Times New Roman" w:cs="Times New Roman"/>
          <w:sz w:val="21"/>
          <w:szCs w:val="24"/>
          <w:lang w:val="en-AU"/>
        </w:rPr>
        <w:t xml:space="preserve"> </w:t>
      </w:r>
      <w:r w:rsidR="00ED1F68" w:rsidRPr="00B8017C">
        <w:rPr>
          <w:rFonts w:eastAsia="Times New Roman" w:cs="Times New Roman"/>
          <w:sz w:val="21"/>
          <w:szCs w:val="24"/>
          <w:lang w:val="en-AU"/>
        </w:rPr>
        <w:t xml:space="preserve">women and girls in humanitarian settings have experienced </w:t>
      </w:r>
      <w:r w:rsidR="00645D45">
        <w:rPr>
          <w:rFonts w:eastAsia="Times New Roman" w:cs="Times New Roman"/>
          <w:sz w:val="21"/>
          <w:szCs w:val="24"/>
          <w:lang w:val="en-AU"/>
        </w:rPr>
        <w:t>gender-based violence (GBV)</w:t>
      </w:r>
      <w:r w:rsidR="00ED1F68" w:rsidRPr="00B8017C">
        <w:rPr>
          <w:rFonts w:eastAsia="Times New Roman" w:cs="Times New Roman"/>
          <w:sz w:val="21"/>
          <w:szCs w:val="24"/>
          <w:lang w:val="en-AU"/>
        </w:rPr>
        <w:t>.</w:t>
      </w:r>
      <w:r w:rsidR="00E34F0F" w:rsidRPr="00E34F0F">
        <w:rPr>
          <w:rFonts w:ascii="Roboto-Regular" w:hAnsi="Roboto-Regular" w:cs="Roboto-Regular"/>
          <w:color w:val="292929"/>
          <w:sz w:val="20"/>
          <w:szCs w:val="20"/>
          <w:lang w:val="en-AU"/>
        </w:rPr>
        <w:t xml:space="preserve"> </w:t>
      </w:r>
      <w:r w:rsidR="00E34F0F">
        <w:rPr>
          <w:rFonts w:eastAsia="Times New Roman" w:cs="Times New Roman"/>
          <w:sz w:val="21"/>
          <w:szCs w:val="24"/>
          <w:lang w:val="en-AU"/>
        </w:rPr>
        <w:t xml:space="preserve">People </w:t>
      </w:r>
      <w:r w:rsidR="00EC6E33">
        <w:rPr>
          <w:rFonts w:eastAsia="Times New Roman" w:cs="Times New Roman"/>
          <w:sz w:val="21"/>
          <w:szCs w:val="24"/>
          <w:lang w:val="en-AU"/>
        </w:rPr>
        <w:t xml:space="preserve">living </w:t>
      </w:r>
      <w:r w:rsidR="00E34F0F">
        <w:rPr>
          <w:rFonts w:eastAsia="Times New Roman" w:cs="Times New Roman"/>
          <w:sz w:val="21"/>
          <w:szCs w:val="24"/>
          <w:lang w:val="en-AU"/>
        </w:rPr>
        <w:t xml:space="preserve">with disabilities continue to </w:t>
      </w:r>
      <w:r w:rsidR="00E34F0F" w:rsidRPr="00E34F0F">
        <w:rPr>
          <w:rFonts w:eastAsia="Times New Roman" w:cs="Times New Roman"/>
          <w:sz w:val="21"/>
          <w:szCs w:val="24"/>
          <w:lang w:val="en-AU"/>
        </w:rPr>
        <w:t>face</w:t>
      </w:r>
      <w:r w:rsidR="00E34F0F">
        <w:rPr>
          <w:rFonts w:eastAsia="Times New Roman" w:cs="Times New Roman"/>
          <w:sz w:val="21"/>
          <w:szCs w:val="24"/>
          <w:lang w:val="en-AU"/>
        </w:rPr>
        <w:t xml:space="preserve"> </w:t>
      </w:r>
      <w:r w:rsidR="00E34F0F" w:rsidRPr="00952518">
        <w:rPr>
          <w:rFonts w:eastAsia="Times New Roman" w:cs="Times New Roman"/>
          <w:sz w:val="21"/>
          <w:szCs w:val="24"/>
          <w:lang w:val="en-AU"/>
        </w:rPr>
        <w:t xml:space="preserve">heightened risks, such as exclusion, </w:t>
      </w:r>
      <w:r w:rsidR="002E75DE" w:rsidRPr="00952518">
        <w:rPr>
          <w:rFonts w:eastAsia="Times New Roman" w:cs="Times New Roman"/>
          <w:sz w:val="21"/>
          <w:szCs w:val="24"/>
          <w:lang w:val="en-AU"/>
        </w:rPr>
        <w:t>discrimination,</w:t>
      </w:r>
      <w:r w:rsidR="00E34F0F" w:rsidRPr="00952518">
        <w:rPr>
          <w:rFonts w:eastAsia="Times New Roman" w:cs="Times New Roman"/>
          <w:sz w:val="21"/>
          <w:szCs w:val="24"/>
          <w:lang w:val="en-AU"/>
        </w:rPr>
        <w:t xml:space="preserve"> and violence, as well as a lack of representation</w:t>
      </w:r>
      <w:r w:rsidR="00E34F0F">
        <w:rPr>
          <w:rFonts w:eastAsia="Times New Roman" w:cs="Times New Roman"/>
          <w:sz w:val="21"/>
          <w:szCs w:val="24"/>
          <w:lang w:val="en-AU"/>
        </w:rPr>
        <w:t xml:space="preserve"> </w:t>
      </w:r>
      <w:r w:rsidR="00E34F0F" w:rsidRPr="00952518">
        <w:rPr>
          <w:rFonts w:eastAsia="Times New Roman" w:cs="Times New Roman"/>
          <w:sz w:val="21"/>
          <w:szCs w:val="24"/>
          <w:lang w:val="en-AU"/>
        </w:rPr>
        <w:t>and access to services.</w:t>
      </w:r>
    </w:p>
    <w:p w14:paraId="608E07C1" w14:textId="5D3063B4" w:rsidR="00E93683" w:rsidRPr="00ED1F68" w:rsidRDefault="00E93683" w:rsidP="00952518">
      <w:pPr>
        <w:pStyle w:val="ListParagraph"/>
        <w:numPr>
          <w:ilvl w:val="0"/>
          <w:numId w:val="12"/>
        </w:numPr>
        <w:tabs>
          <w:tab w:val="left" w:pos="284"/>
        </w:tabs>
        <w:suppressAutoHyphens w:val="0"/>
        <w:spacing w:before="200" w:after="0" w:line="280" w:lineRule="exact"/>
        <w:ind w:left="0" w:firstLine="0"/>
        <w:contextualSpacing w:val="0"/>
        <w:rPr>
          <w:rFonts w:eastAsia="Times New Roman" w:cs="Times New Roman"/>
          <w:sz w:val="21"/>
          <w:szCs w:val="24"/>
          <w:lang w:val="en-AU"/>
        </w:rPr>
      </w:pPr>
      <w:r w:rsidRPr="003E2C60">
        <w:rPr>
          <w:rFonts w:eastAsia="Times New Roman" w:cs="Times New Roman"/>
          <w:b/>
          <w:bCs/>
          <w:sz w:val="21"/>
          <w:szCs w:val="24"/>
          <w:lang w:val="en-AU"/>
        </w:rPr>
        <w:t xml:space="preserve">COVID-19 </w:t>
      </w:r>
      <w:r w:rsidR="002E671E" w:rsidRPr="003E2C60">
        <w:rPr>
          <w:rFonts w:eastAsia="Times New Roman" w:cs="Times New Roman"/>
          <w:b/>
          <w:bCs/>
          <w:sz w:val="21"/>
          <w:szCs w:val="24"/>
          <w:lang w:val="en-AU"/>
        </w:rPr>
        <w:t>is playing a major role</w:t>
      </w:r>
      <w:r w:rsidR="005F524C" w:rsidRPr="003E2C60">
        <w:rPr>
          <w:rFonts w:eastAsia="Times New Roman" w:cs="Times New Roman"/>
          <w:b/>
          <w:bCs/>
          <w:sz w:val="21"/>
          <w:szCs w:val="24"/>
          <w:lang w:val="en-AU"/>
        </w:rPr>
        <w:t xml:space="preserve">, </w:t>
      </w:r>
      <w:r w:rsidR="00721592" w:rsidRPr="003E2C60">
        <w:rPr>
          <w:rFonts w:eastAsia="Times New Roman" w:cs="Times New Roman"/>
          <w:b/>
          <w:bCs/>
          <w:sz w:val="21"/>
          <w:szCs w:val="24"/>
          <w:lang w:val="en-AU"/>
        </w:rPr>
        <w:t>increasing vulnerability and need</w:t>
      </w:r>
      <w:r w:rsidR="00721592">
        <w:rPr>
          <w:rFonts w:eastAsia="Times New Roman" w:cs="Times New Roman"/>
          <w:b/>
          <w:bCs/>
          <w:sz w:val="21"/>
          <w:szCs w:val="24"/>
          <w:lang w:val="en-AU"/>
        </w:rPr>
        <w:t xml:space="preserve"> while </w:t>
      </w:r>
      <w:r w:rsidR="000B2729">
        <w:rPr>
          <w:rFonts w:eastAsia="Times New Roman" w:cs="Times New Roman"/>
          <w:b/>
          <w:bCs/>
          <w:sz w:val="21"/>
          <w:szCs w:val="24"/>
          <w:lang w:val="en-AU"/>
        </w:rPr>
        <w:t>changing</w:t>
      </w:r>
      <w:r w:rsidR="000B2729" w:rsidRPr="003E2C60">
        <w:rPr>
          <w:rFonts w:eastAsia="Times New Roman" w:cs="Times New Roman"/>
          <w:b/>
          <w:bCs/>
          <w:sz w:val="21"/>
          <w:szCs w:val="24"/>
          <w:lang w:val="en-AU"/>
        </w:rPr>
        <w:t xml:space="preserve"> </w:t>
      </w:r>
      <w:r w:rsidR="005F524C" w:rsidRPr="003E2C60">
        <w:rPr>
          <w:rFonts w:eastAsia="Times New Roman" w:cs="Times New Roman"/>
          <w:b/>
          <w:bCs/>
          <w:sz w:val="21"/>
          <w:szCs w:val="24"/>
          <w:lang w:val="en-AU"/>
        </w:rPr>
        <w:t>the way we work</w:t>
      </w:r>
      <w:r w:rsidRPr="003E2C60">
        <w:rPr>
          <w:rFonts w:eastAsia="Times New Roman" w:cs="Times New Roman"/>
          <w:b/>
          <w:bCs/>
          <w:sz w:val="21"/>
          <w:szCs w:val="24"/>
          <w:lang w:val="en-AU"/>
        </w:rPr>
        <w:t>.</w:t>
      </w:r>
      <w:r w:rsidR="00FE0ECA">
        <w:rPr>
          <w:rStyle w:val="FootnoteReference"/>
          <w:rFonts w:eastAsia="Times New Roman" w:cs="Times New Roman"/>
          <w:b/>
          <w:bCs/>
          <w:sz w:val="21"/>
          <w:szCs w:val="24"/>
          <w:lang w:val="en-AU"/>
        </w:rPr>
        <w:footnoteReference w:id="5"/>
      </w:r>
      <w:r w:rsidRPr="003E2C60">
        <w:rPr>
          <w:rFonts w:eastAsia="Times New Roman" w:cs="Times New Roman"/>
          <w:sz w:val="21"/>
          <w:szCs w:val="24"/>
          <w:lang w:val="en-AU"/>
        </w:rPr>
        <w:t xml:space="preserve"> </w:t>
      </w:r>
      <w:r w:rsidR="00DD7E0C" w:rsidRPr="003E2C60">
        <w:rPr>
          <w:rFonts w:eastAsia="Times New Roman" w:cs="Times New Roman"/>
          <w:sz w:val="21"/>
          <w:szCs w:val="24"/>
          <w:lang w:val="en-AU"/>
        </w:rPr>
        <w:t>Hard-won development gains in employment, food security, education</w:t>
      </w:r>
      <w:r w:rsidR="00DD7E0C">
        <w:rPr>
          <w:rFonts w:eastAsia="Times New Roman" w:cs="Times New Roman"/>
          <w:sz w:val="21"/>
          <w:szCs w:val="24"/>
          <w:lang w:val="en-AU"/>
        </w:rPr>
        <w:t xml:space="preserve"> </w:t>
      </w:r>
      <w:r w:rsidR="00DD7E0C" w:rsidRPr="003E2C60">
        <w:rPr>
          <w:rFonts w:eastAsia="Times New Roman" w:cs="Times New Roman"/>
          <w:sz w:val="21"/>
          <w:szCs w:val="24"/>
          <w:lang w:val="en-AU"/>
        </w:rPr>
        <w:t>and health care have been reversed</w:t>
      </w:r>
      <w:r w:rsidR="00B822EC">
        <w:rPr>
          <w:rFonts w:eastAsia="Times New Roman" w:cs="Times New Roman"/>
          <w:sz w:val="21"/>
          <w:szCs w:val="24"/>
          <w:lang w:val="en-AU"/>
        </w:rPr>
        <w:t xml:space="preserve"> by the disruption of the pandemic. </w:t>
      </w:r>
      <w:r w:rsidR="006D2E8E">
        <w:rPr>
          <w:rFonts w:eastAsia="Times New Roman" w:cs="Times New Roman"/>
          <w:sz w:val="21"/>
          <w:szCs w:val="24"/>
          <w:lang w:val="en-AU"/>
        </w:rPr>
        <w:t>In two thirds of countries</w:t>
      </w:r>
      <w:r w:rsidR="00B33BBB">
        <w:rPr>
          <w:rFonts w:eastAsia="Times New Roman" w:cs="Times New Roman"/>
          <w:sz w:val="21"/>
          <w:szCs w:val="24"/>
          <w:lang w:val="en-AU"/>
        </w:rPr>
        <w:t xml:space="preserve"> </w:t>
      </w:r>
      <w:r w:rsidR="00B33BBB" w:rsidRPr="00B92DD4">
        <w:rPr>
          <w:rFonts w:eastAsia="Times New Roman" w:cs="Times New Roman"/>
          <w:sz w:val="21"/>
          <w:szCs w:val="24"/>
          <w:lang w:val="en-AU"/>
        </w:rPr>
        <w:t>with a Humanitarian Response Plan</w:t>
      </w:r>
      <w:r w:rsidR="00B33BBB">
        <w:rPr>
          <w:rFonts w:eastAsia="Times New Roman" w:cs="Times New Roman"/>
          <w:sz w:val="21"/>
          <w:szCs w:val="24"/>
          <w:lang w:val="en-AU"/>
        </w:rPr>
        <w:t xml:space="preserve">, </w:t>
      </w:r>
      <w:r w:rsidR="006D2E8E">
        <w:rPr>
          <w:rFonts w:eastAsia="Times New Roman" w:cs="Times New Roman"/>
          <w:sz w:val="21"/>
          <w:szCs w:val="24"/>
          <w:lang w:val="en-AU"/>
        </w:rPr>
        <w:t xml:space="preserve">an additional </w:t>
      </w:r>
      <w:r w:rsidR="00B822EC" w:rsidRPr="00B6149A">
        <w:rPr>
          <w:rFonts w:eastAsia="Times New Roman" w:cs="Times New Roman"/>
          <w:sz w:val="21"/>
          <w:szCs w:val="24"/>
          <w:lang w:val="en-AU"/>
        </w:rPr>
        <w:t>20 million people have been pushed into</w:t>
      </w:r>
      <w:r w:rsidR="00B822EC">
        <w:rPr>
          <w:rFonts w:eastAsia="Times New Roman" w:cs="Times New Roman"/>
          <w:sz w:val="21"/>
          <w:szCs w:val="24"/>
          <w:lang w:val="en-AU"/>
        </w:rPr>
        <w:t xml:space="preserve"> extreme</w:t>
      </w:r>
      <w:r w:rsidR="006D2E8E">
        <w:rPr>
          <w:rFonts w:eastAsia="Times New Roman" w:cs="Times New Roman"/>
          <w:sz w:val="21"/>
          <w:szCs w:val="24"/>
          <w:lang w:val="en-AU"/>
        </w:rPr>
        <w:t xml:space="preserve"> poverty,</w:t>
      </w:r>
      <w:r w:rsidR="00B822EC">
        <w:rPr>
          <w:rFonts w:eastAsia="Times New Roman" w:cs="Times New Roman"/>
          <w:sz w:val="21"/>
          <w:szCs w:val="24"/>
          <w:lang w:val="en-AU"/>
        </w:rPr>
        <w:t xml:space="preserve"> </w:t>
      </w:r>
      <w:r w:rsidR="006433C9" w:rsidRPr="003E2C60">
        <w:rPr>
          <w:rFonts w:eastAsia="Times New Roman" w:cs="Times New Roman"/>
          <w:sz w:val="21"/>
          <w:szCs w:val="24"/>
          <w:lang w:val="en-AU"/>
        </w:rPr>
        <w:t xml:space="preserve">increasing humanitarian need and fuelling conflict. </w:t>
      </w:r>
      <w:r w:rsidR="00E9440A" w:rsidRPr="00E9440A">
        <w:rPr>
          <w:rFonts w:eastAsia="Times New Roman" w:cs="Times New Roman"/>
          <w:sz w:val="21"/>
          <w:szCs w:val="24"/>
          <w:lang w:val="en-AU"/>
        </w:rPr>
        <w:t>Women an</w:t>
      </w:r>
      <w:r w:rsidR="00E9440A">
        <w:rPr>
          <w:rFonts w:eastAsia="Times New Roman" w:cs="Times New Roman"/>
          <w:sz w:val="21"/>
          <w:szCs w:val="24"/>
          <w:lang w:val="en-AU"/>
        </w:rPr>
        <w:t xml:space="preserve">d </w:t>
      </w:r>
      <w:r w:rsidR="00E9440A" w:rsidRPr="00952518">
        <w:rPr>
          <w:rFonts w:eastAsia="Times New Roman" w:cs="Times New Roman"/>
          <w:sz w:val="21"/>
          <w:szCs w:val="24"/>
          <w:lang w:val="en-AU"/>
        </w:rPr>
        <w:t xml:space="preserve">younger workers </w:t>
      </w:r>
      <w:r w:rsidR="00ED1F68">
        <w:rPr>
          <w:rFonts w:eastAsia="Times New Roman" w:cs="Times New Roman"/>
          <w:sz w:val="21"/>
          <w:szCs w:val="24"/>
          <w:lang w:val="en-AU"/>
        </w:rPr>
        <w:t>have been</w:t>
      </w:r>
      <w:r w:rsidR="00E9440A" w:rsidRPr="00952518">
        <w:rPr>
          <w:rFonts w:eastAsia="Times New Roman" w:cs="Times New Roman"/>
          <w:sz w:val="21"/>
          <w:szCs w:val="24"/>
          <w:lang w:val="en-AU"/>
        </w:rPr>
        <w:t xml:space="preserve"> disproportionately impacted by job losses</w:t>
      </w:r>
      <w:r w:rsidR="00ED1F68">
        <w:rPr>
          <w:rFonts w:eastAsia="Times New Roman" w:cs="Times New Roman"/>
          <w:sz w:val="21"/>
          <w:szCs w:val="24"/>
          <w:lang w:val="en-AU"/>
        </w:rPr>
        <w:t>, and f</w:t>
      </w:r>
      <w:r w:rsidR="00ED1F68" w:rsidRPr="00ED1F68">
        <w:rPr>
          <w:rFonts w:eastAsia="Times New Roman" w:cs="Times New Roman"/>
          <w:sz w:val="21"/>
          <w:szCs w:val="24"/>
          <w:lang w:val="en-AU"/>
        </w:rPr>
        <w:t>or every</w:t>
      </w:r>
      <w:r w:rsidR="00ED1F68">
        <w:rPr>
          <w:rFonts w:eastAsia="Times New Roman" w:cs="Times New Roman"/>
          <w:sz w:val="21"/>
          <w:szCs w:val="24"/>
          <w:lang w:val="en-AU"/>
        </w:rPr>
        <w:t xml:space="preserve"> </w:t>
      </w:r>
      <w:r w:rsidR="00ED1F68" w:rsidRPr="00952518">
        <w:rPr>
          <w:rFonts w:eastAsia="Times New Roman" w:cs="Times New Roman"/>
          <w:sz w:val="21"/>
          <w:szCs w:val="24"/>
          <w:lang w:val="en-AU"/>
        </w:rPr>
        <w:t>three months that COVID-19 lockdowns continue, an additional</w:t>
      </w:r>
      <w:r w:rsidR="00ED1F68">
        <w:rPr>
          <w:rFonts w:eastAsia="Times New Roman" w:cs="Times New Roman"/>
          <w:sz w:val="21"/>
          <w:szCs w:val="24"/>
          <w:lang w:val="en-AU"/>
        </w:rPr>
        <w:t xml:space="preserve"> </w:t>
      </w:r>
      <w:r w:rsidR="00ED1F68" w:rsidRPr="00952518">
        <w:rPr>
          <w:rFonts w:eastAsia="Times New Roman" w:cs="Times New Roman"/>
          <w:sz w:val="21"/>
          <w:szCs w:val="24"/>
          <w:lang w:val="en-AU"/>
        </w:rPr>
        <w:t xml:space="preserve">15 million GBV cases are expected to occur. </w:t>
      </w:r>
      <w:r w:rsidR="00FE0ECA" w:rsidRPr="0026576A">
        <w:rPr>
          <w:rFonts w:eastAsia="Times New Roman" w:cs="Times New Roman"/>
          <w:sz w:val="21"/>
          <w:szCs w:val="24"/>
          <w:lang w:val="en-AU"/>
        </w:rPr>
        <w:t xml:space="preserve">Compounding these effects </w:t>
      </w:r>
      <w:r w:rsidR="006F79E2" w:rsidRPr="00343653">
        <w:rPr>
          <w:rFonts w:eastAsia="Times New Roman" w:cs="Times New Roman"/>
          <w:sz w:val="21"/>
          <w:szCs w:val="24"/>
          <w:lang w:val="en-AU"/>
        </w:rPr>
        <w:t>have been t</w:t>
      </w:r>
      <w:r w:rsidR="002E671E" w:rsidRPr="00343653">
        <w:rPr>
          <w:rFonts w:eastAsia="Times New Roman" w:cs="Times New Roman"/>
          <w:sz w:val="21"/>
          <w:szCs w:val="24"/>
          <w:lang w:val="en-AU"/>
        </w:rPr>
        <w:t>he operational and travel constraints of the pandemic</w:t>
      </w:r>
      <w:r w:rsidR="006F79E2" w:rsidRPr="007E795B">
        <w:rPr>
          <w:rFonts w:eastAsia="Times New Roman" w:cs="Times New Roman"/>
          <w:sz w:val="21"/>
          <w:szCs w:val="24"/>
          <w:lang w:val="en-AU"/>
        </w:rPr>
        <w:t xml:space="preserve">, which have </w:t>
      </w:r>
      <w:r w:rsidR="00F8404C">
        <w:rPr>
          <w:rFonts w:eastAsia="Times New Roman" w:cs="Times New Roman"/>
          <w:sz w:val="21"/>
          <w:szCs w:val="24"/>
          <w:lang w:val="en-AU"/>
        </w:rPr>
        <w:t>changed approaches to</w:t>
      </w:r>
      <w:r w:rsidR="002E671E" w:rsidRPr="006F5355">
        <w:rPr>
          <w:rFonts w:eastAsia="Times New Roman" w:cs="Times New Roman"/>
          <w:sz w:val="21"/>
          <w:szCs w:val="24"/>
          <w:lang w:val="en-AU"/>
        </w:rPr>
        <w:t xml:space="preserve"> international humanitarian </w:t>
      </w:r>
      <w:r w:rsidR="00127EEC">
        <w:rPr>
          <w:rFonts w:eastAsia="Times New Roman" w:cs="Times New Roman"/>
          <w:sz w:val="21"/>
          <w:szCs w:val="24"/>
          <w:lang w:val="en-AU"/>
        </w:rPr>
        <w:t>action</w:t>
      </w:r>
      <w:r w:rsidR="002E671E" w:rsidRPr="006F5355">
        <w:rPr>
          <w:rFonts w:eastAsia="Times New Roman" w:cs="Times New Roman"/>
          <w:sz w:val="21"/>
          <w:szCs w:val="24"/>
          <w:lang w:val="en-AU"/>
        </w:rPr>
        <w:t xml:space="preserve">. </w:t>
      </w:r>
      <w:r w:rsidR="00FC20EF" w:rsidRPr="0074279B">
        <w:rPr>
          <w:rFonts w:eastAsia="Times New Roman" w:cs="Times New Roman"/>
          <w:sz w:val="21"/>
          <w:szCs w:val="24"/>
          <w:lang w:val="en-AU"/>
        </w:rPr>
        <w:t>T</w:t>
      </w:r>
      <w:r w:rsidRPr="005D17B9">
        <w:rPr>
          <w:rFonts w:eastAsia="Times New Roman" w:cs="Times New Roman"/>
          <w:sz w:val="21"/>
          <w:szCs w:val="24"/>
          <w:lang w:val="en-AU"/>
        </w:rPr>
        <w:t xml:space="preserve">he MTE found </w:t>
      </w:r>
      <w:r w:rsidR="0050501C">
        <w:rPr>
          <w:rFonts w:eastAsia="Times New Roman" w:cs="Times New Roman"/>
          <w:sz w:val="21"/>
          <w:szCs w:val="24"/>
          <w:lang w:val="en-AU"/>
        </w:rPr>
        <w:t>that AHP</w:t>
      </w:r>
      <w:r w:rsidR="00604DA3">
        <w:rPr>
          <w:rFonts w:eastAsia="Times New Roman" w:cs="Times New Roman"/>
          <w:sz w:val="21"/>
          <w:szCs w:val="24"/>
          <w:lang w:val="en-AU"/>
        </w:rPr>
        <w:t xml:space="preserve"> responses during the pandemic </w:t>
      </w:r>
      <w:r w:rsidR="00E14E64">
        <w:rPr>
          <w:rFonts w:eastAsia="Times New Roman" w:cs="Times New Roman"/>
          <w:sz w:val="21"/>
          <w:szCs w:val="24"/>
          <w:lang w:val="en-AU"/>
        </w:rPr>
        <w:t>led to</w:t>
      </w:r>
      <w:r w:rsidR="006F3AF5" w:rsidRPr="00ED1F68">
        <w:rPr>
          <w:rFonts w:eastAsia="Times New Roman" w:cs="Times New Roman"/>
          <w:sz w:val="21"/>
          <w:szCs w:val="24"/>
          <w:lang w:val="en-AU"/>
        </w:rPr>
        <w:t xml:space="preserve"> </w:t>
      </w:r>
      <w:r w:rsidR="000B2729" w:rsidRPr="00ED1F68">
        <w:rPr>
          <w:rFonts w:eastAsia="Times New Roman" w:cs="Times New Roman"/>
          <w:sz w:val="21"/>
          <w:szCs w:val="24"/>
          <w:lang w:val="en-AU"/>
        </w:rPr>
        <w:t>a greater reliance on</w:t>
      </w:r>
      <w:r w:rsidR="00F5767D">
        <w:rPr>
          <w:rFonts w:eastAsia="Times New Roman" w:cs="Times New Roman"/>
          <w:sz w:val="21"/>
          <w:szCs w:val="24"/>
          <w:lang w:val="en-AU"/>
        </w:rPr>
        <w:t xml:space="preserve"> the leadership of</w:t>
      </w:r>
      <w:r w:rsidR="000B2729" w:rsidRPr="00ED1F68">
        <w:rPr>
          <w:rFonts w:eastAsia="Times New Roman" w:cs="Times New Roman"/>
          <w:sz w:val="21"/>
          <w:szCs w:val="24"/>
          <w:lang w:val="en-AU"/>
        </w:rPr>
        <w:t xml:space="preserve"> </w:t>
      </w:r>
      <w:r w:rsidR="00F5767D">
        <w:rPr>
          <w:rFonts w:eastAsia="Times New Roman" w:cs="Times New Roman"/>
          <w:sz w:val="21"/>
          <w:szCs w:val="24"/>
          <w:lang w:val="en-AU"/>
        </w:rPr>
        <w:t xml:space="preserve">ANGO in-country offices and </w:t>
      </w:r>
      <w:r w:rsidR="000B2729" w:rsidRPr="00ED1F68">
        <w:rPr>
          <w:rFonts w:eastAsia="Times New Roman" w:cs="Times New Roman"/>
          <w:sz w:val="21"/>
          <w:szCs w:val="24"/>
          <w:lang w:val="en-AU"/>
        </w:rPr>
        <w:t>local organisations</w:t>
      </w:r>
      <w:r w:rsidR="00127EEC">
        <w:rPr>
          <w:rFonts w:eastAsia="Times New Roman" w:cs="Times New Roman"/>
          <w:sz w:val="21"/>
          <w:szCs w:val="24"/>
          <w:lang w:val="en-AU"/>
        </w:rPr>
        <w:t>. While they</w:t>
      </w:r>
      <w:r w:rsidR="000B2729" w:rsidRPr="00ED1F68">
        <w:rPr>
          <w:rFonts w:eastAsia="Times New Roman" w:cs="Times New Roman"/>
          <w:sz w:val="21"/>
          <w:szCs w:val="24"/>
          <w:lang w:val="en-AU"/>
        </w:rPr>
        <w:t xml:space="preserve"> demonstrat</w:t>
      </w:r>
      <w:r w:rsidR="00127EEC">
        <w:rPr>
          <w:rFonts w:eastAsia="Times New Roman" w:cs="Times New Roman"/>
          <w:sz w:val="21"/>
          <w:szCs w:val="24"/>
          <w:lang w:val="en-AU"/>
        </w:rPr>
        <w:t>ed</w:t>
      </w:r>
      <w:r w:rsidR="000B2729" w:rsidRPr="00ED1F68">
        <w:rPr>
          <w:rFonts w:eastAsia="Times New Roman" w:cs="Times New Roman"/>
          <w:sz w:val="21"/>
          <w:szCs w:val="24"/>
          <w:lang w:val="en-AU"/>
        </w:rPr>
        <w:t xml:space="preserve"> strong capability and performance</w:t>
      </w:r>
      <w:r w:rsidR="00127EEC">
        <w:rPr>
          <w:rFonts w:eastAsia="Times New Roman" w:cs="Times New Roman"/>
          <w:sz w:val="21"/>
          <w:szCs w:val="24"/>
          <w:lang w:val="en-AU"/>
        </w:rPr>
        <w:t xml:space="preserve">, </w:t>
      </w:r>
      <w:r w:rsidR="00127EEC" w:rsidRPr="005D17B9">
        <w:rPr>
          <w:rFonts w:eastAsia="Times New Roman" w:cs="Times New Roman"/>
          <w:sz w:val="21"/>
          <w:szCs w:val="24"/>
          <w:lang w:val="en-AU"/>
        </w:rPr>
        <w:t>the additional workl</w:t>
      </w:r>
      <w:r w:rsidR="00127EEC" w:rsidRPr="00ED1F68">
        <w:rPr>
          <w:rFonts w:eastAsia="Times New Roman" w:cs="Times New Roman"/>
          <w:sz w:val="21"/>
          <w:szCs w:val="24"/>
          <w:lang w:val="en-AU"/>
        </w:rPr>
        <w:t xml:space="preserve">oad and responsibilities stretched </w:t>
      </w:r>
      <w:r w:rsidR="00F5767D">
        <w:rPr>
          <w:rFonts w:eastAsia="Times New Roman" w:cs="Times New Roman"/>
          <w:sz w:val="21"/>
          <w:szCs w:val="24"/>
          <w:lang w:val="en-AU"/>
        </w:rPr>
        <w:t>local</w:t>
      </w:r>
      <w:r w:rsidR="00127EEC" w:rsidRPr="00ED1F68">
        <w:rPr>
          <w:rFonts w:eastAsia="Times New Roman" w:cs="Times New Roman"/>
          <w:sz w:val="21"/>
          <w:szCs w:val="24"/>
          <w:lang w:val="en-AU"/>
        </w:rPr>
        <w:t xml:space="preserve"> resourcing</w:t>
      </w:r>
      <w:r w:rsidR="00451B0E">
        <w:rPr>
          <w:rFonts w:eastAsia="Times New Roman" w:cs="Times New Roman"/>
          <w:sz w:val="21"/>
          <w:szCs w:val="24"/>
          <w:lang w:val="en-AU"/>
        </w:rPr>
        <w:t xml:space="preserve"> and the MTE </w:t>
      </w:r>
      <w:r w:rsidRPr="00ED1F68">
        <w:rPr>
          <w:rFonts w:eastAsia="Times New Roman" w:cs="Times New Roman"/>
          <w:sz w:val="21"/>
          <w:szCs w:val="24"/>
          <w:lang w:val="en-AU"/>
        </w:rPr>
        <w:t>recommended strengthen</w:t>
      </w:r>
      <w:r w:rsidR="00451B0E">
        <w:rPr>
          <w:rFonts w:eastAsia="Times New Roman" w:cs="Times New Roman"/>
          <w:sz w:val="21"/>
          <w:szCs w:val="24"/>
          <w:lang w:val="en-AU"/>
        </w:rPr>
        <w:t>ing</w:t>
      </w:r>
      <w:r w:rsidRPr="00ED1F68">
        <w:rPr>
          <w:rFonts w:eastAsia="Times New Roman" w:cs="Times New Roman"/>
          <w:sz w:val="21"/>
          <w:szCs w:val="24"/>
          <w:lang w:val="en-AU"/>
        </w:rPr>
        <w:t xml:space="preserve"> in-country planning and local capacity </w:t>
      </w:r>
      <w:r w:rsidR="00451B0E">
        <w:rPr>
          <w:rFonts w:eastAsia="Times New Roman" w:cs="Times New Roman"/>
          <w:sz w:val="21"/>
          <w:szCs w:val="24"/>
          <w:lang w:val="en-AU"/>
        </w:rPr>
        <w:t>for leading</w:t>
      </w:r>
      <w:r w:rsidRPr="00ED1F68">
        <w:rPr>
          <w:rFonts w:eastAsia="Times New Roman" w:cs="Times New Roman"/>
          <w:sz w:val="21"/>
          <w:szCs w:val="24"/>
          <w:lang w:val="en-AU"/>
        </w:rPr>
        <w:t xml:space="preserve"> disaster responses. Lessons from COVID-19 and other disaster responses in the Pacific also </w:t>
      </w:r>
      <w:r w:rsidR="00FB739E">
        <w:rPr>
          <w:rFonts w:eastAsia="Times New Roman" w:cs="Times New Roman"/>
          <w:sz w:val="21"/>
          <w:szCs w:val="24"/>
          <w:lang w:val="en-AU"/>
        </w:rPr>
        <w:t>indicated</w:t>
      </w:r>
      <w:r w:rsidRPr="00ED1F68">
        <w:rPr>
          <w:rFonts w:eastAsia="Times New Roman" w:cs="Times New Roman"/>
          <w:sz w:val="21"/>
          <w:szCs w:val="24"/>
          <w:lang w:val="en-AU"/>
        </w:rPr>
        <w:t xml:space="preserve"> th</w:t>
      </w:r>
      <w:r w:rsidR="007A633A" w:rsidRPr="00ED1F68">
        <w:rPr>
          <w:rFonts w:eastAsia="Times New Roman" w:cs="Times New Roman"/>
          <w:sz w:val="21"/>
          <w:szCs w:val="24"/>
          <w:lang w:val="en-AU"/>
        </w:rPr>
        <w:t xml:space="preserve">e </w:t>
      </w:r>
      <w:r w:rsidR="00E9440A" w:rsidRPr="00ED1F68">
        <w:rPr>
          <w:rFonts w:eastAsia="Times New Roman" w:cs="Times New Roman"/>
          <w:sz w:val="21"/>
          <w:szCs w:val="24"/>
          <w:lang w:val="en-AU"/>
        </w:rPr>
        <w:t xml:space="preserve">Partnership </w:t>
      </w:r>
      <w:r w:rsidR="00FB739E">
        <w:rPr>
          <w:rFonts w:eastAsia="Times New Roman" w:cs="Times New Roman"/>
          <w:sz w:val="21"/>
          <w:szCs w:val="24"/>
          <w:lang w:val="en-AU"/>
        </w:rPr>
        <w:t xml:space="preserve">needs </w:t>
      </w:r>
      <w:r w:rsidRPr="00ED1F68">
        <w:rPr>
          <w:rFonts w:eastAsia="Times New Roman" w:cs="Times New Roman"/>
          <w:sz w:val="21"/>
          <w:szCs w:val="24"/>
          <w:lang w:val="en-AU"/>
        </w:rPr>
        <w:t>to work</w:t>
      </w:r>
      <w:r w:rsidR="00526264" w:rsidRPr="00ED1F68">
        <w:rPr>
          <w:rFonts w:eastAsia="Times New Roman" w:cs="Times New Roman"/>
          <w:sz w:val="21"/>
          <w:szCs w:val="24"/>
          <w:lang w:val="en-AU"/>
        </w:rPr>
        <w:t xml:space="preserve"> more </w:t>
      </w:r>
      <w:r w:rsidRPr="00ED1F68">
        <w:rPr>
          <w:rFonts w:eastAsia="Times New Roman" w:cs="Times New Roman"/>
          <w:sz w:val="21"/>
          <w:szCs w:val="24"/>
          <w:lang w:val="en-AU"/>
        </w:rPr>
        <w:t xml:space="preserve">adaptively </w:t>
      </w:r>
      <w:r w:rsidR="00F63CA7" w:rsidRPr="00ED1F68">
        <w:rPr>
          <w:rFonts w:eastAsia="Times New Roman" w:cs="Times New Roman"/>
          <w:sz w:val="21"/>
          <w:szCs w:val="24"/>
          <w:lang w:val="en-AU"/>
        </w:rPr>
        <w:t xml:space="preserve">to </w:t>
      </w:r>
      <w:r w:rsidRPr="00ED1F68">
        <w:rPr>
          <w:rFonts w:eastAsia="Times New Roman" w:cs="Times New Roman"/>
          <w:sz w:val="21"/>
          <w:szCs w:val="24"/>
          <w:lang w:val="en-AU"/>
        </w:rPr>
        <w:t xml:space="preserve">respond directly to local conditions and changes in </w:t>
      </w:r>
      <w:r w:rsidR="007A633A" w:rsidRPr="00ED1F68">
        <w:rPr>
          <w:rFonts w:eastAsia="Times New Roman" w:cs="Times New Roman"/>
          <w:sz w:val="21"/>
          <w:szCs w:val="24"/>
          <w:lang w:val="en-AU"/>
        </w:rPr>
        <w:t>context</w:t>
      </w:r>
      <w:r w:rsidRPr="00ED1F68">
        <w:rPr>
          <w:rFonts w:eastAsia="Times New Roman" w:cs="Times New Roman"/>
          <w:sz w:val="21"/>
          <w:szCs w:val="24"/>
          <w:lang w:val="en-AU"/>
        </w:rPr>
        <w:t>.</w:t>
      </w:r>
    </w:p>
    <w:p w14:paraId="43CC707F" w14:textId="5681DE89" w:rsidR="00E93683" w:rsidRPr="00B45F7B" w:rsidRDefault="00E93683" w:rsidP="00E93683">
      <w:pPr>
        <w:pStyle w:val="ListParagraph"/>
        <w:numPr>
          <w:ilvl w:val="0"/>
          <w:numId w:val="12"/>
        </w:numPr>
        <w:tabs>
          <w:tab w:val="left" w:pos="284"/>
        </w:tabs>
        <w:suppressAutoHyphens w:val="0"/>
        <w:spacing w:before="200" w:after="0" w:line="280" w:lineRule="exact"/>
        <w:ind w:left="0" w:firstLine="0"/>
        <w:contextualSpacing w:val="0"/>
        <w:rPr>
          <w:rFonts w:eastAsia="Times New Roman" w:cs="Times New Roman"/>
          <w:sz w:val="21"/>
          <w:szCs w:val="24"/>
          <w:lang w:val="en-AU"/>
        </w:rPr>
      </w:pPr>
      <w:r w:rsidRPr="00E93683">
        <w:rPr>
          <w:rFonts w:eastAsia="Times New Roman" w:cs="Times New Roman"/>
          <w:b/>
          <w:bCs/>
          <w:sz w:val="21"/>
          <w:szCs w:val="24"/>
          <w:lang w:val="en-AU"/>
        </w:rPr>
        <w:t>Climate change continues to both drive and exacerbate humanitarian need and the associated instability and inequality</w:t>
      </w:r>
      <w:r w:rsidR="006F3AF5">
        <w:rPr>
          <w:rFonts w:eastAsia="Times New Roman" w:cs="Times New Roman"/>
          <w:b/>
          <w:bCs/>
          <w:sz w:val="21"/>
          <w:szCs w:val="24"/>
          <w:lang w:val="en-AU"/>
        </w:rPr>
        <w:t>, particularly for the Pacific</w:t>
      </w:r>
      <w:r w:rsidRPr="00E93683">
        <w:rPr>
          <w:rFonts w:eastAsia="Times New Roman" w:cs="Times New Roman"/>
          <w:b/>
          <w:bCs/>
          <w:sz w:val="21"/>
          <w:szCs w:val="24"/>
          <w:lang w:val="en-AU"/>
        </w:rPr>
        <w:t>.</w:t>
      </w:r>
      <w:r w:rsidRPr="00B45F7B">
        <w:rPr>
          <w:rFonts w:eastAsia="Times New Roman" w:cs="Times New Roman"/>
          <w:sz w:val="21"/>
          <w:szCs w:val="24"/>
          <w:lang w:val="en-AU"/>
        </w:rPr>
        <w:t xml:space="preserve"> </w:t>
      </w:r>
      <w:r w:rsidR="006F3AF5">
        <w:rPr>
          <w:rFonts w:eastAsia="Times New Roman" w:cs="Times New Roman"/>
          <w:sz w:val="21"/>
          <w:szCs w:val="24"/>
          <w:lang w:val="en-AU"/>
        </w:rPr>
        <w:t>Our</w:t>
      </w:r>
      <w:r w:rsidR="006F3AF5" w:rsidRPr="00B45F7B">
        <w:rPr>
          <w:rFonts w:eastAsia="Times New Roman" w:cs="Times New Roman"/>
          <w:sz w:val="21"/>
          <w:szCs w:val="24"/>
          <w:lang w:val="en-AU"/>
        </w:rPr>
        <w:t xml:space="preserve"> region is already </w:t>
      </w:r>
      <w:r w:rsidR="006F3AF5">
        <w:rPr>
          <w:rFonts w:eastAsia="Times New Roman" w:cs="Times New Roman"/>
          <w:sz w:val="21"/>
          <w:szCs w:val="24"/>
          <w:lang w:val="en-AU"/>
        </w:rPr>
        <w:t xml:space="preserve">prone </w:t>
      </w:r>
      <w:r w:rsidR="006F3AF5" w:rsidRPr="00B45F7B">
        <w:rPr>
          <w:rFonts w:eastAsia="Times New Roman" w:cs="Times New Roman"/>
          <w:sz w:val="21"/>
          <w:szCs w:val="24"/>
          <w:lang w:val="en-AU"/>
        </w:rPr>
        <w:t xml:space="preserve">to </w:t>
      </w:r>
      <w:r w:rsidR="006F3AF5">
        <w:rPr>
          <w:rFonts w:eastAsia="Times New Roman" w:cs="Times New Roman"/>
          <w:sz w:val="21"/>
          <w:szCs w:val="24"/>
          <w:lang w:val="en-AU"/>
        </w:rPr>
        <w:t>natural</w:t>
      </w:r>
      <w:r w:rsidR="006F3AF5" w:rsidRPr="00B45F7B">
        <w:rPr>
          <w:rFonts w:eastAsia="Times New Roman" w:cs="Times New Roman"/>
          <w:sz w:val="21"/>
          <w:szCs w:val="24"/>
          <w:lang w:val="en-AU"/>
        </w:rPr>
        <w:t xml:space="preserve"> hazards and </w:t>
      </w:r>
      <w:r w:rsidR="006F3AF5">
        <w:rPr>
          <w:rFonts w:eastAsia="Times New Roman" w:cs="Times New Roman"/>
          <w:sz w:val="21"/>
          <w:szCs w:val="24"/>
          <w:lang w:val="en-AU"/>
        </w:rPr>
        <w:t>climate change</w:t>
      </w:r>
      <w:r w:rsidR="006F3AF5" w:rsidRPr="00B45F7B">
        <w:rPr>
          <w:rFonts w:eastAsia="Times New Roman" w:cs="Times New Roman"/>
          <w:sz w:val="21"/>
          <w:szCs w:val="24"/>
          <w:lang w:val="en-AU"/>
        </w:rPr>
        <w:t xml:space="preserve"> is increasing the</w:t>
      </w:r>
      <w:r w:rsidR="006F3AF5">
        <w:rPr>
          <w:rFonts w:eastAsia="Times New Roman" w:cs="Times New Roman"/>
          <w:sz w:val="21"/>
          <w:szCs w:val="24"/>
          <w:lang w:val="en-AU"/>
        </w:rPr>
        <w:t>ir</w:t>
      </w:r>
      <w:r w:rsidR="006F3AF5" w:rsidRPr="00B45F7B">
        <w:rPr>
          <w:rFonts w:eastAsia="Times New Roman" w:cs="Times New Roman"/>
          <w:sz w:val="21"/>
          <w:szCs w:val="24"/>
          <w:lang w:val="en-AU"/>
        </w:rPr>
        <w:t xml:space="preserve"> frequency and intensity</w:t>
      </w:r>
      <w:r w:rsidR="006F3AF5">
        <w:rPr>
          <w:rFonts w:eastAsia="Times New Roman" w:cs="Times New Roman"/>
          <w:sz w:val="21"/>
          <w:szCs w:val="24"/>
          <w:lang w:val="en-AU"/>
        </w:rPr>
        <w:t>.</w:t>
      </w:r>
      <w:r w:rsidR="006F3AF5" w:rsidRPr="00E93683">
        <w:rPr>
          <w:rFonts w:eastAsia="Times New Roman" w:cs="Times New Roman"/>
          <w:sz w:val="21"/>
          <w:szCs w:val="24"/>
          <w:vertAlign w:val="superscript"/>
          <w:lang w:val="en-AU"/>
        </w:rPr>
        <w:footnoteReference w:id="6"/>
      </w:r>
      <w:r w:rsidR="006F3AF5" w:rsidRPr="00B45F7B">
        <w:rPr>
          <w:rFonts w:eastAsia="Times New Roman" w:cs="Times New Roman"/>
          <w:sz w:val="21"/>
          <w:szCs w:val="24"/>
          <w:lang w:val="en-AU"/>
        </w:rPr>
        <w:t xml:space="preserve"> </w:t>
      </w:r>
      <w:r w:rsidR="006F3AF5">
        <w:rPr>
          <w:rFonts w:eastAsia="Times New Roman" w:cs="Times New Roman"/>
          <w:sz w:val="21"/>
          <w:szCs w:val="24"/>
          <w:lang w:val="en-AU"/>
        </w:rPr>
        <w:t>This is</w:t>
      </w:r>
      <w:r w:rsidR="006F3AF5" w:rsidRPr="00B45F7B">
        <w:rPr>
          <w:rFonts w:eastAsia="Times New Roman" w:cs="Times New Roman"/>
          <w:sz w:val="21"/>
          <w:szCs w:val="24"/>
          <w:lang w:val="en-AU"/>
        </w:rPr>
        <w:t xml:space="preserve"> leading to an emerging and </w:t>
      </w:r>
      <w:r w:rsidR="006F3AF5">
        <w:rPr>
          <w:rFonts w:eastAsia="Times New Roman" w:cs="Times New Roman"/>
          <w:sz w:val="21"/>
          <w:szCs w:val="24"/>
          <w:lang w:val="en-AU"/>
        </w:rPr>
        <w:t xml:space="preserve">previously </w:t>
      </w:r>
      <w:r w:rsidR="006F3AF5">
        <w:rPr>
          <w:rFonts w:eastAsia="Times New Roman" w:cs="Times New Roman"/>
          <w:sz w:val="21"/>
          <w:szCs w:val="24"/>
          <w:lang w:val="en-AU"/>
        </w:rPr>
        <w:lastRenderedPageBreak/>
        <w:t xml:space="preserve">unseen </w:t>
      </w:r>
      <w:r w:rsidR="006F3AF5" w:rsidRPr="00B45F7B">
        <w:rPr>
          <w:rFonts w:eastAsia="Times New Roman" w:cs="Times New Roman"/>
          <w:sz w:val="21"/>
          <w:szCs w:val="24"/>
          <w:lang w:val="en-AU"/>
        </w:rPr>
        <w:t>complex riskscape</w:t>
      </w:r>
      <w:r w:rsidR="006F3AF5" w:rsidRPr="00E93683">
        <w:rPr>
          <w:rFonts w:eastAsia="Times New Roman" w:cs="Times New Roman"/>
          <w:sz w:val="21"/>
          <w:szCs w:val="24"/>
          <w:vertAlign w:val="superscript"/>
          <w:lang w:val="en-AU"/>
        </w:rPr>
        <w:footnoteReference w:id="7"/>
      </w:r>
      <w:r w:rsidR="006F3AF5">
        <w:rPr>
          <w:rFonts w:eastAsia="Times New Roman" w:cs="Times New Roman"/>
          <w:sz w:val="21"/>
          <w:szCs w:val="24"/>
          <w:lang w:val="en-AU"/>
        </w:rPr>
        <w:t xml:space="preserve"> and the </w:t>
      </w:r>
      <w:r w:rsidRPr="00B45F7B">
        <w:rPr>
          <w:rFonts w:eastAsia="Times New Roman" w:cs="Times New Roman"/>
          <w:sz w:val="21"/>
          <w:szCs w:val="24"/>
          <w:lang w:val="en-AU"/>
        </w:rPr>
        <w:t xml:space="preserve">most recent assessments indicate that Pacific Island countries will be </w:t>
      </w:r>
      <w:r w:rsidR="006F3AF5">
        <w:rPr>
          <w:rFonts w:eastAsia="Times New Roman" w:cs="Times New Roman"/>
          <w:sz w:val="21"/>
          <w:szCs w:val="24"/>
          <w:lang w:val="en-AU"/>
        </w:rPr>
        <w:t>subject</w:t>
      </w:r>
      <w:r w:rsidR="006F3AF5" w:rsidRPr="00B45F7B">
        <w:rPr>
          <w:rFonts w:eastAsia="Times New Roman" w:cs="Times New Roman"/>
          <w:sz w:val="21"/>
          <w:szCs w:val="24"/>
          <w:lang w:val="en-AU"/>
        </w:rPr>
        <w:t xml:space="preserve"> </w:t>
      </w:r>
      <w:r w:rsidRPr="00B45F7B">
        <w:rPr>
          <w:rFonts w:eastAsia="Times New Roman" w:cs="Times New Roman"/>
          <w:sz w:val="21"/>
          <w:szCs w:val="24"/>
          <w:lang w:val="en-AU"/>
        </w:rPr>
        <w:t xml:space="preserve">to some of the worst climate change outcomes in terms of GDP, </w:t>
      </w:r>
      <w:r w:rsidR="003853F5" w:rsidRPr="00B45F7B">
        <w:rPr>
          <w:rFonts w:eastAsia="Times New Roman" w:cs="Times New Roman"/>
          <w:sz w:val="21"/>
          <w:szCs w:val="24"/>
          <w:lang w:val="en-AU"/>
        </w:rPr>
        <w:t>health,</w:t>
      </w:r>
      <w:r w:rsidRPr="00B45F7B">
        <w:rPr>
          <w:rFonts w:eastAsia="Times New Roman" w:cs="Times New Roman"/>
          <w:sz w:val="21"/>
          <w:szCs w:val="24"/>
          <w:lang w:val="en-AU"/>
        </w:rPr>
        <w:t xml:space="preserve"> and overall stability.</w:t>
      </w:r>
      <w:r w:rsidRPr="00E93683">
        <w:rPr>
          <w:rFonts w:eastAsia="Times New Roman" w:cs="Times New Roman"/>
          <w:sz w:val="21"/>
          <w:szCs w:val="24"/>
          <w:vertAlign w:val="superscript"/>
          <w:lang w:val="en-AU"/>
        </w:rPr>
        <w:t xml:space="preserve"> </w:t>
      </w:r>
      <w:r w:rsidR="00881340">
        <w:rPr>
          <w:rFonts w:eastAsia="Times New Roman" w:cs="Times New Roman"/>
          <w:sz w:val="21"/>
          <w:szCs w:val="24"/>
          <w:vertAlign w:val="superscript"/>
          <w:lang w:val="en-AU"/>
        </w:rPr>
        <w:t xml:space="preserve"> </w:t>
      </w:r>
      <w:r w:rsidRPr="00B45F7B">
        <w:rPr>
          <w:rFonts w:eastAsia="Times New Roman" w:cs="Times New Roman"/>
          <w:sz w:val="21"/>
          <w:szCs w:val="24"/>
          <w:lang w:val="en-AU"/>
        </w:rPr>
        <w:t xml:space="preserve">The MTE noted comprehensive feedback from stakeholders that </w:t>
      </w:r>
      <w:r w:rsidR="006F3AF5">
        <w:rPr>
          <w:rFonts w:eastAsia="Times New Roman" w:cs="Times New Roman"/>
          <w:sz w:val="21"/>
          <w:szCs w:val="24"/>
          <w:lang w:val="en-AU"/>
        </w:rPr>
        <w:t xml:space="preserve">the </w:t>
      </w:r>
      <w:r w:rsidRPr="00B45F7B">
        <w:rPr>
          <w:rFonts w:eastAsia="Times New Roman" w:cs="Times New Roman"/>
          <w:sz w:val="21"/>
          <w:szCs w:val="24"/>
          <w:lang w:val="en-AU"/>
        </w:rPr>
        <w:t>AHP should work more proactively to enhance resilience</w:t>
      </w:r>
      <w:r w:rsidR="00BE5612">
        <w:rPr>
          <w:rStyle w:val="FootnoteReference"/>
          <w:rFonts w:eastAsia="Times New Roman" w:cs="Times New Roman"/>
          <w:sz w:val="21"/>
          <w:szCs w:val="24"/>
          <w:lang w:val="en-AU"/>
        </w:rPr>
        <w:footnoteReference w:id="8"/>
      </w:r>
      <w:r w:rsidRPr="00B45F7B">
        <w:rPr>
          <w:rFonts w:eastAsia="Times New Roman" w:cs="Times New Roman"/>
          <w:sz w:val="21"/>
          <w:szCs w:val="24"/>
          <w:lang w:val="en-AU"/>
        </w:rPr>
        <w:t xml:space="preserve"> and minimise the vulnerability of people to disasters and the impacts of climate change</w:t>
      </w:r>
      <w:r w:rsidR="006F3AF5">
        <w:rPr>
          <w:rFonts w:eastAsia="Times New Roman" w:cs="Times New Roman"/>
          <w:sz w:val="21"/>
          <w:szCs w:val="24"/>
          <w:lang w:val="en-AU"/>
        </w:rPr>
        <w:t xml:space="preserve">, consistent </w:t>
      </w:r>
      <w:r w:rsidR="006F3AF5" w:rsidRPr="00B45F7B">
        <w:rPr>
          <w:rFonts w:eastAsia="Times New Roman" w:cs="Times New Roman"/>
          <w:sz w:val="21"/>
          <w:szCs w:val="24"/>
          <w:lang w:val="en-AU"/>
        </w:rPr>
        <w:t>with the Framework for Resilient Development</w:t>
      </w:r>
      <w:r w:rsidR="00F63CA7">
        <w:rPr>
          <w:rFonts w:eastAsia="Times New Roman" w:cs="Times New Roman"/>
          <w:sz w:val="21"/>
          <w:szCs w:val="24"/>
          <w:lang w:val="en-AU"/>
        </w:rPr>
        <w:t xml:space="preserve"> in the Pacific (FRDP)</w:t>
      </w:r>
      <w:r w:rsidR="00396DFE">
        <w:rPr>
          <w:rFonts w:eastAsia="Times New Roman" w:cs="Times New Roman"/>
          <w:sz w:val="21"/>
          <w:szCs w:val="24"/>
          <w:lang w:val="en-AU"/>
        </w:rPr>
        <w:t xml:space="preserve"> and the Sendai Framework for Disaster Risk Reduction 2015-2030</w:t>
      </w:r>
      <w:r w:rsidR="00BB03D3">
        <w:rPr>
          <w:rFonts w:eastAsia="Times New Roman" w:cs="Times New Roman"/>
          <w:sz w:val="21"/>
          <w:szCs w:val="24"/>
          <w:lang w:val="en-AU"/>
        </w:rPr>
        <w:t xml:space="preserve"> (Sendai Framework)</w:t>
      </w:r>
      <w:r w:rsidRPr="00B45F7B">
        <w:rPr>
          <w:rFonts w:eastAsia="Times New Roman" w:cs="Times New Roman"/>
          <w:sz w:val="21"/>
          <w:szCs w:val="24"/>
          <w:lang w:val="en-AU"/>
        </w:rPr>
        <w:t xml:space="preserve">. </w:t>
      </w:r>
    </w:p>
    <w:p w14:paraId="15049BDF" w14:textId="6F99FBE7" w:rsidR="00E93683" w:rsidRPr="00B45F7B" w:rsidRDefault="00E93683" w:rsidP="00E93683">
      <w:pPr>
        <w:pStyle w:val="ListParagraph"/>
        <w:numPr>
          <w:ilvl w:val="0"/>
          <w:numId w:val="12"/>
        </w:numPr>
        <w:tabs>
          <w:tab w:val="left" w:pos="284"/>
        </w:tabs>
        <w:suppressAutoHyphens w:val="0"/>
        <w:spacing w:before="200" w:after="0" w:line="280" w:lineRule="exact"/>
        <w:ind w:left="0" w:firstLine="0"/>
        <w:contextualSpacing w:val="0"/>
        <w:rPr>
          <w:rFonts w:eastAsia="Times New Roman" w:cs="Times New Roman"/>
          <w:sz w:val="21"/>
          <w:szCs w:val="24"/>
          <w:lang w:val="en-AU"/>
        </w:rPr>
      </w:pPr>
      <w:r w:rsidRPr="00E93683">
        <w:rPr>
          <w:rFonts w:eastAsia="Times New Roman" w:cs="Times New Roman"/>
          <w:b/>
          <w:bCs/>
          <w:sz w:val="21"/>
          <w:szCs w:val="24"/>
          <w:lang w:val="en-AU"/>
        </w:rPr>
        <w:t>The impacts of COVID-19, climate change and increased complexity in both protracted and rapid onset disasters, ha</w:t>
      </w:r>
      <w:r w:rsidR="00570823">
        <w:rPr>
          <w:rFonts w:eastAsia="Times New Roman" w:cs="Times New Roman"/>
          <w:b/>
          <w:bCs/>
          <w:sz w:val="21"/>
          <w:szCs w:val="24"/>
          <w:lang w:val="en-AU"/>
        </w:rPr>
        <w:t>ve</w:t>
      </w:r>
      <w:r w:rsidRPr="00E93683">
        <w:rPr>
          <w:rFonts w:eastAsia="Times New Roman" w:cs="Times New Roman"/>
          <w:b/>
          <w:bCs/>
          <w:sz w:val="21"/>
          <w:szCs w:val="24"/>
          <w:lang w:val="en-AU"/>
        </w:rPr>
        <w:t xml:space="preserve"> blurred the boundaries between preparedness, </w:t>
      </w:r>
      <w:r w:rsidR="003853F5" w:rsidRPr="00E93683">
        <w:rPr>
          <w:rFonts w:eastAsia="Times New Roman" w:cs="Times New Roman"/>
          <w:b/>
          <w:bCs/>
          <w:sz w:val="21"/>
          <w:szCs w:val="24"/>
          <w:lang w:val="en-AU"/>
        </w:rPr>
        <w:t>response,</w:t>
      </w:r>
      <w:r w:rsidRPr="00E93683">
        <w:rPr>
          <w:rFonts w:eastAsia="Times New Roman" w:cs="Times New Roman"/>
          <w:b/>
          <w:bCs/>
          <w:sz w:val="21"/>
          <w:szCs w:val="24"/>
          <w:lang w:val="en-AU"/>
        </w:rPr>
        <w:t xml:space="preserve"> and recovery.</w:t>
      </w:r>
      <w:r w:rsidRPr="00B45F7B">
        <w:rPr>
          <w:rFonts w:eastAsia="Times New Roman" w:cs="Times New Roman"/>
          <w:sz w:val="21"/>
          <w:szCs w:val="24"/>
          <w:lang w:val="en-AU"/>
        </w:rPr>
        <w:t xml:space="preserve"> The findings from the MTE suggest that in many settings AHP </w:t>
      </w:r>
      <w:r w:rsidR="00722AEE">
        <w:rPr>
          <w:rFonts w:eastAsia="Times New Roman" w:cs="Times New Roman"/>
          <w:sz w:val="21"/>
          <w:szCs w:val="24"/>
          <w:lang w:val="en-AU"/>
        </w:rPr>
        <w:t>NGO Partners</w:t>
      </w:r>
      <w:r w:rsidRPr="00B45F7B">
        <w:rPr>
          <w:rFonts w:eastAsia="Times New Roman" w:cs="Times New Roman"/>
          <w:sz w:val="21"/>
          <w:szCs w:val="24"/>
          <w:lang w:val="en-AU"/>
        </w:rPr>
        <w:t xml:space="preserve"> are already working across the humanitarian-development </w:t>
      </w:r>
      <w:r w:rsidR="00EF5CA3">
        <w:rPr>
          <w:rFonts w:eastAsia="Times New Roman" w:cs="Times New Roman"/>
          <w:sz w:val="21"/>
          <w:szCs w:val="24"/>
          <w:lang w:val="en-AU"/>
        </w:rPr>
        <w:t>nexus</w:t>
      </w:r>
      <w:r w:rsidR="002C0397">
        <w:rPr>
          <w:rStyle w:val="FootnoteReference"/>
          <w:rFonts w:eastAsia="Times New Roman" w:cs="Times New Roman"/>
          <w:sz w:val="21"/>
          <w:szCs w:val="24"/>
          <w:lang w:val="en-AU"/>
        </w:rPr>
        <w:footnoteReference w:id="9"/>
      </w:r>
      <w:r w:rsidRPr="00B45F7B">
        <w:rPr>
          <w:rFonts w:eastAsia="Times New Roman" w:cs="Times New Roman"/>
          <w:sz w:val="21"/>
          <w:szCs w:val="24"/>
          <w:lang w:val="en-AU"/>
        </w:rPr>
        <w:t>, with preparedness and risk reduction efforts linked or contiguous with disaster response</w:t>
      </w:r>
      <w:r w:rsidR="00C43DE6">
        <w:rPr>
          <w:rFonts w:eastAsia="Times New Roman" w:cs="Times New Roman"/>
          <w:sz w:val="21"/>
          <w:szCs w:val="24"/>
          <w:lang w:val="en-AU"/>
        </w:rPr>
        <w:t xml:space="preserve">, </w:t>
      </w:r>
      <w:r w:rsidR="003853F5">
        <w:rPr>
          <w:rFonts w:eastAsia="Times New Roman" w:cs="Times New Roman"/>
          <w:sz w:val="21"/>
          <w:szCs w:val="24"/>
          <w:lang w:val="en-AU"/>
        </w:rPr>
        <w:t>recovery,</w:t>
      </w:r>
      <w:r w:rsidRPr="00B45F7B">
        <w:rPr>
          <w:rFonts w:eastAsia="Times New Roman" w:cs="Times New Roman"/>
          <w:sz w:val="21"/>
          <w:szCs w:val="24"/>
          <w:lang w:val="en-AU"/>
        </w:rPr>
        <w:t xml:space="preserve"> and development programming (often financed from other sources). The utilisation of Disaster READY</w:t>
      </w:r>
      <w:r w:rsidR="00BB301E">
        <w:rPr>
          <w:rFonts w:eastAsia="Times New Roman" w:cs="Times New Roman"/>
          <w:sz w:val="21"/>
          <w:szCs w:val="24"/>
          <w:lang w:val="en-AU"/>
        </w:rPr>
        <w:t xml:space="preserve"> governance structures </w:t>
      </w:r>
      <w:r w:rsidRPr="00B45F7B">
        <w:rPr>
          <w:rFonts w:eastAsia="Times New Roman" w:cs="Times New Roman"/>
          <w:sz w:val="21"/>
          <w:szCs w:val="24"/>
          <w:lang w:val="en-AU"/>
        </w:rPr>
        <w:t>to support the Australian government</w:t>
      </w:r>
      <w:r w:rsidR="00BB301E">
        <w:rPr>
          <w:rFonts w:eastAsia="Times New Roman" w:cs="Times New Roman"/>
          <w:sz w:val="21"/>
          <w:szCs w:val="24"/>
          <w:lang w:val="en-AU"/>
        </w:rPr>
        <w:t>’s responses to</w:t>
      </w:r>
      <w:r w:rsidRPr="00B45F7B">
        <w:rPr>
          <w:rFonts w:eastAsia="Times New Roman" w:cs="Times New Roman"/>
          <w:sz w:val="21"/>
          <w:szCs w:val="24"/>
          <w:lang w:val="en-AU"/>
        </w:rPr>
        <w:t xml:space="preserve"> COVID-19 </w:t>
      </w:r>
      <w:r w:rsidR="00BB301E">
        <w:rPr>
          <w:rFonts w:eastAsia="Times New Roman" w:cs="Times New Roman"/>
          <w:sz w:val="21"/>
          <w:szCs w:val="24"/>
          <w:lang w:val="en-AU"/>
        </w:rPr>
        <w:t>and</w:t>
      </w:r>
      <w:r w:rsidRPr="00B45F7B">
        <w:rPr>
          <w:rFonts w:eastAsia="Times New Roman" w:cs="Times New Roman"/>
          <w:sz w:val="21"/>
          <w:szCs w:val="24"/>
          <w:lang w:val="en-AU"/>
        </w:rPr>
        <w:t xml:space="preserve"> other disaster events</w:t>
      </w:r>
      <w:r w:rsidR="00570823">
        <w:rPr>
          <w:rFonts w:eastAsia="Times New Roman" w:cs="Times New Roman"/>
          <w:sz w:val="21"/>
          <w:szCs w:val="24"/>
          <w:lang w:val="en-AU"/>
        </w:rPr>
        <w:t xml:space="preserve"> in Phase I</w:t>
      </w:r>
      <w:r w:rsidRPr="00B45F7B">
        <w:rPr>
          <w:rFonts w:eastAsia="Times New Roman" w:cs="Times New Roman"/>
          <w:sz w:val="21"/>
          <w:szCs w:val="24"/>
          <w:lang w:val="en-AU"/>
        </w:rPr>
        <w:t xml:space="preserve"> has </w:t>
      </w:r>
      <w:r w:rsidR="00DF0143">
        <w:rPr>
          <w:rFonts w:eastAsia="Times New Roman" w:cs="Times New Roman"/>
          <w:sz w:val="21"/>
          <w:szCs w:val="24"/>
          <w:lang w:val="en-AU"/>
        </w:rPr>
        <w:t>demonstrated this</w:t>
      </w:r>
      <w:r w:rsidRPr="00B45F7B">
        <w:rPr>
          <w:rFonts w:eastAsia="Times New Roman" w:cs="Times New Roman"/>
          <w:sz w:val="21"/>
          <w:szCs w:val="24"/>
          <w:lang w:val="en-AU"/>
        </w:rPr>
        <w:t>. T</w:t>
      </w:r>
      <w:r w:rsidR="005348BB">
        <w:rPr>
          <w:rFonts w:eastAsia="Times New Roman" w:cs="Times New Roman"/>
          <w:sz w:val="21"/>
          <w:szCs w:val="24"/>
          <w:lang w:val="en-AU"/>
        </w:rPr>
        <w:t xml:space="preserve">he MTE proposed that the </w:t>
      </w:r>
      <w:r w:rsidRPr="00B45F7B">
        <w:rPr>
          <w:rFonts w:eastAsia="Times New Roman" w:cs="Times New Roman"/>
          <w:sz w:val="21"/>
          <w:szCs w:val="24"/>
          <w:lang w:val="en-AU"/>
        </w:rPr>
        <w:t xml:space="preserve">next phase of the </w:t>
      </w:r>
      <w:r w:rsidR="00DF0143">
        <w:rPr>
          <w:rFonts w:eastAsia="Times New Roman" w:cs="Times New Roman"/>
          <w:sz w:val="21"/>
          <w:szCs w:val="24"/>
          <w:lang w:val="en-AU"/>
        </w:rPr>
        <w:t>mechanism</w:t>
      </w:r>
      <w:r w:rsidR="00DF0143" w:rsidRPr="00B45F7B">
        <w:rPr>
          <w:rFonts w:eastAsia="Times New Roman" w:cs="Times New Roman"/>
          <w:sz w:val="21"/>
          <w:szCs w:val="24"/>
          <w:lang w:val="en-AU"/>
        </w:rPr>
        <w:t xml:space="preserve"> </w:t>
      </w:r>
      <w:r w:rsidRPr="00B45F7B">
        <w:rPr>
          <w:rFonts w:eastAsia="Times New Roman" w:cs="Times New Roman"/>
          <w:sz w:val="21"/>
          <w:szCs w:val="24"/>
          <w:lang w:val="en-AU"/>
        </w:rPr>
        <w:t xml:space="preserve">provides the opportunity to position </w:t>
      </w:r>
      <w:r w:rsidR="006F3AF5">
        <w:rPr>
          <w:rFonts w:eastAsia="Times New Roman" w:cs="Times New Roman"/>
          <w:sz w:val="21"/>
          <w:szCs w:val="24"/>
          <w:lang w:val="en-AU"/>
        </w:rPr>
        <w:t xml:space="preserve">the </w:t>
      </w:r>
      <w:r w:rsidRPr="00B45F7B">
        <w:rPr>
          <w:rFonts w:eastAsia="Times New Roman" w:cs="Times New Roman"/>
          <w:sz w:val="21"/>
          <w:szCs w:val="24"/>
          <w:lang w:val="en-AU"/>
        </w:rPr>
        <w:t>AHP as a</w:t>
      </w:r>
      <w:r w:rsidR="00DA370E">
        <w:rPr>
          <w:rFonts w:eastAsia="Times New Roman" w:cs="Times New Roman"/>
          <w:sz w:val="21"/>
          <w:szCs w:val="24"/>
          <w:lang w:val="en-AU"/>
        </w:rPr>
        <w:t xml:space="preserve"> more</w:t>
      </w:r>
      <w:r w:rsidRPr="00B45F7B">
        <w:rPr>
          <w:rFonts w:eastAsia="Times New Roman" w:cs="Times New Roman"/>
          <w:sz w:val="21"/>
          <w:szCs w:val="24"/>
          <w:lang w:val="en-AU"/>
        </w:rPr>
        <w:t xml:space="preserve"> integrated holistic program focuse</w:t>
      </w:r>
      <w:r w:rsidR="005348BB">
        <w:rPr>
          <w:rFonts w:eastAsia="Times New Roman" w:cs="Times New Roman"/>
          <w:sz w:val="21"/>
          <w:szCs w:val="24"/>
          <w:lang w:val="en-AU"/>
        </w:rPr>
        <w:t>d</w:t>
      </w:r>
      <w:r w:rsidRPr="00B45F7B">
        <w:rPr>
          <w:rFonts w:eastAsia="Times New Roman" w:cs="Times New Roman"/>
          <w:sz w:val="21"/>
          <w:szCs w:val="24"/>
          <w:lang w:val="en-AU"/>
        </w:rPr>
        <w:t xml:space="preserve"> on resilience,</w:t>
      </w:r>
      <w:r w:rsidR="00DA370E">
        <w:rPr>
          <w:rFonts w:eastAsia="Times New Roman" w:cs="Times New Roman"/>
          <w:sz w:val="21"/>
          <w:szCs w:val="24"/>
          <w:lang w:val="en-AU"/>
        </w:rPr>
        <w:t xml:space="preserve"> better</w:t>
      </w:r>
      <w:r w:rsidRPr="00B45F7B">
        <w:rPr>
          <w:rFonts w:eastAsia="Times New Roman" w:cs="Times New Roman"/>
          <w:sz w:val="21"/>
          <w:szCs w:val="24"/>
          <w:lang w:val="en-AU"/>
        </w:rPr>
        <w:t xml:space="preserve"> able to shift between preparedness, response and recovery as required. </w:t>
      </w:r>
    </w:p>
    <w:p w14:paraId="6CDC646B" w14:textId="2CCE2149" w:rsidR="00E93683" w:rsidRPr="00B45F7B" w:rsidRDefault="00E93683" w:rsidP="00E93683">
      <w:pPr>
        <w:pStyle w:val="ListParagraph"/>
        <w:numPr>
          <w:ilvl w:val="0"/>
          <w:numId w:val="12"/>
        </w:numPr>
        <w:tabs>
          <w:tab w:val="left" w:pos="284"/>
        </w:tabs>
        <w:suppressAutoHyphens w:val="0"/>
        <w:spacing w:before="200" w:after="0" w:line="280" w:lineRule="exact"/>
        <w:ind w:left="0" w:firstLine="0"/>
        <w:contextualSpacing w:val="0"/>
        <w:rPr>
          <w:rFonts w:eastAsia="Times New Roman" w:cs="Times New Roman"/>
          <w:sz w:val="21"/>
          <w:szCs w:val="24"/>
          <w:lang w:val="en-AU"/>
        </w:rPr>
      </w:pPr>
      <w:r w:rsidRPr="00E93683">
        <w:rPr>
          <w:rFonts w:eastAsia="Times New Roman" w:cs="Times New Roman"/>
          <w:b/>
          <w:bCs/>
          <w:sz w:val="21"/>
          <w:szCs w:val="24"/>
          <w:lang w:val="en-AU"/>
        </w:rPr>
        <w:t>The localisation</w:t>
      </w:r>
      <w:r w:rsidR="00DF0143">
        <w:rPr>
          <w:rFonts w:eastAsia="Times New Roman" w:cs="Times New Roman"/>
          <w:b/>
          <w:bCs/>
          <w:sz w:val="21"/>
          <w:szCs w:val="24"/>
          <w:lang w:val="en-AU"/>
        </w:rPr>
        <w:t xml:space="preserve"> </w:t>
      </w:r>
      <w:r w:rsidRPr="00E93683">
        <w:rPr>
          <w:rFonts w:eastAsia="Times New Roman" w:cs="Times New Roman"/>
          <w:b/>
          <w:bCs/>
          <w:sz w:val="21"/>
          <w:szCs w:val="24"/>
          <w:lang w:val="en-AU"/>
        </w:rPr>
        <w:t>agenda has emerged as a strong driver for change in humanitarian response</w:t>
      </w:r>
      <w:r w:rsidRPr="00B45F7B">
        <w:rPr>
          <w:rFonts w:eastAsia="Times New Roman" w:cs="Times New Roman"/>
          <w:sz w:val="21"/>
          <w:szCs w:val="24"/>
          <w:lang w:val="en-AU"/>
        </w:rPr>
        <w:t xml:space="preserve">. While AHP </w:t>
      </w:r>
      <w:r w:rsidR="00722AEE">
        <w:rPr>
          <w:rFonts w:eastAsia="Times New Roman" w:cs="Times New Roman"/>
          <w:sz w:val="21"/>
          <w:szCs w:val="24"/>
          <w:lang w:val="en-AU"/>
        </w:rPr>
        <w:t>P</w:t>
      </w:r>
      <w:r w:rsidRPr="00B45F7B">
        <w:rPr>
          <w:rFonts w:eastAsia="Times New Roman" w:cs="Times New Roman"/>
          <w:sz w:val="21"/>
          <w:szCs w:val="24"/>
          <w:lang w:val="en-AU"/>
        </w:rPr>
        <w:t xml:space="preserve">artners have been committed to the principles of localisation and the MTE identified areas where progress has been made, independent reviews indicate that </w:t>
      </w:r>
      <w:r w:rsidR="005348BB">
        <w:rPr>
          <w:rFonts w:eastAsia="Times New Roman" w:cs="Times New Roman"/>
          <w:sz w:val="21"/>
          <w:szCs w:val="24"/>
          <w:lang w:val="en-AU"/>
        </w:rPr>
        <w:t xml:space="preserve">overall </w:t>
      </w:r>
      <w:r w:rsidRPr="00B45F7B">
        <w:rPr>
          <w:rFonts w:eastAsia="Times New Roman" w:cs="Times New Roman"/>
          <w:sz w:val="21"/>
          <w:szCs w:val="24"/>
          <w:lang w:val="en-AU"/>
        </w:rPr>
        <w:t>progress</w:t>
      </w:r>
      <w:r w:rsidR="006F3AF5">
        <w:rPr>
          <w:rFonts w:eastAsia="Times New Roman" w:cs="Times New Roman"/>
          <w:sz w:val="21"/>
          <w:szCs w:val="24"/>
          <w:lang w:val="en-AU"/>
        </w:rPr>
        <w:t xml:space="preserve"> by the humanitarian and development community towards localisation</w:t>
      </w:r>
      <w:r w:rsidRPr="00B45F7B">
        <w:rPr>
          <w:rFonts w:eastAsia="Times New Roman" w:cs="Times New Roman"/>
          <w:sz w:val="21"/>
          <w:szCs w:val="24"/>
          <w:lang w:val="en-AU"/>
        </w:rPr>
        <w:t xml:space="preserve"> </w:t>
      </w:r>
      <w:r w:rsidR="005348BB">
        <w:rPr>
          <w:rFonts w:eastAsia="Times New Roman" w:cs="Times New Roman"/>
          <w:sz w:val="21"/>
          <w:szCs w:val="24"/>
          <w:lang w:val="en-AU"/>
        </w:rPr>
        <w:t xml:space="preserve">in the Pacific and elsewhere </w:t>
      </w:r>
      <w:r w:rsidRPr="00B45F7B">
        <w:rPr>
          <w:rFonts w:eastAsia="Times New Roman" w:cs="Times New Roman"/>
          <w:sz w:val="21"/>
          <w:szCs w:val="24"/>
          <w:lang w:val="en-AU"/>
        </w:rPr>
        <w:t>has been slow and insufficient. Going forward, this next phase of AHP provides the opportunity to demonstrate Australia’s international commitment to localisation through the development of a common agenda and a strategy tailored to specific country contexts.</w:t>
      </w:r>
      <w:r w:rsidR="0022534E" w:rsidRPr="0022534E">
        <w:rPr>
          <w:rFonts w:eastAsia="Times New Roman" w:cs="Times New Roman"/>
          <w:sz w:val="21"/>
          <w:szCs w:val="24"/>
          <w:lang w:val="en-AU"/>
        </w:rPr>
        <w:t xml:space="preserve"> </w:t>
      </w:r>
      <w:r w:rsidR="0022534E">
        <w:rPr>
          <w:rFonts w:eastAsia="Times New Roman" w:cs="Times New Roman"/>
          <w:sz w:val="21"/>
          <w:szCs w:val="24"/>
          <w:lang w:val="en-AU"/>
        </w:rPr>
        <w:t xml:space="preserve">This aligns with DFAT’s approach to localisation across the international </w:t>
      </w:r>
      <w:r w:rsidR="00A74D79">
        <w:rPr>
          <w:rFonts w:eastAsia="Times New Roman" w:cs="Times New Roman"/>
          <w:sz w:val="21"/>
          <w:szCs w:val="24"/>
          <w:lang w:val="en-AU"/>
        </w:rPr>
        <w:t xml:space="preserve">humanitarian </w:t>
      </w:r>
      <w:r w:rsidR="0022534E">
        <w:rPr>
          <w:rFonts w:eastAsia="Times New Roman" w:cs="Times New Roman"/>
          <w:sz w:val="21"/>
          <w:szCs w:val="24"/>
          <w:lang w:val="en-AU"/>
        </w:rPr>
        <w:t>aid and development portfolio.</w:t>
      </w:r>
      <w:r w:rsidRPr="00B45F7B">
        <w:rPr>
          <w:rFonts w:eastAsia="Times New Roman" w:cs="Times New Roman"/>
          <w:sz w:val="21"/>
          <w:szCs w:val="24"/>
          <w:lang w:val="en-AU"/>
        </w:rPr>
        <w:t xml:space="preserve"> In the Pacific, progress on localisation will provide Australia with the opportunity to demonstrate its commitment to partnership</w:t>
      </w:r>
      <w:r w:rsidR="005348BB">
        <w:rPr>
          <w:rFonts w:eastAsia="Times New Roman" w:cs="Times New Roman"/>
          <w:sz w:val="21"/>
          <w:szCs w:val="24"/>
          <w:lang w:val="en-AU"/>
        </w:rPr>
        <w:t xml:space="preserve"> and locally led recovery in lin</w:t>
      </w:r>
      <w:r w:rsidR="008C4F6E">
        <w:rPr>
          <w:rFonts w:eastAsia="Times New Roman" w:cs="Times New Roman"/>
          <w:sz w:val="21"/>
          <w:szCs w:val="24"/>
          <w:lang w:val="en-AU"/>
        </w:rPr>
        <w:t>e</w:t>
      </w:r>
      <w:r w:rsidR="005348BB">
        <w:rPr>
          <w:rFonts w:eastAsia="Times New Roman" w:cs="Times New Roman"/>
          <w:sz w:val="21"/>
          <w:szCs w:val="24"/>
          <w:lang w:val="en-AU"/>
        </w:rPr>
        <w:t xml:space="preserve"> with DFAT policy.</w:t>
      </w:r>
      <w:r w:rsidR="005348BB">
        <w:rPr>
          <w:rStyle w:val="FootnoteReference"/>
          <w:rFonts w:eastAsia="Times New Roman" w:cs="Times New Roman"/>
          <w:sz w:val="21"/>
          <w:szCs w:val="24"/>
          <w:lang w:val="en-AU"/>
        </w:rPr>
        <w:footnoteReference w:id="10"/>
      </w:r>
    </w:p>
    <w:p w14:paraId="5E0555BB" w14:textId="1C4162B6" w:rsidR="00E93683" w:rsidRPr="00B45F7B" w:rsidRDefault="00E93683" w:rsidP="00E93683">
      <w:pPr>
        <w:pStyle w:val="ListParagraph"/>
        <w:numPr>
          <w:ilvl w:val="0"/>
          <w:numId w:val="12"/>
        </w:numPr>
        <w:tabs>
          <w:tab w:val="left" w:pos="284"/>
        </w:tabs>
        <w:suppressAutoHyphens w:val="0"/>
        <w:spacing w:before="200" w:after="0" w:line="280" w:lineRule="exact"/>
        <w:ind w:left="0" w:firstLine="0"/>
        <w:contextualSpacing w:val="0"/>
        <w:rPr>
          <w:rFonts w:eastAsia="Times New Roman" w:cs="Times New Roman"/>
          <w:sz w:val="21"/>
          <w:szCs w:val="24"/>
          <w:lang w:val="en-AU"/>
        </w:rPr>
      </w:pPr>
      <w:r w:rsidRPr="00E93683">
        <w:rPr>
          <w:rFonts w:eastAsia="Times New Roman" w:cs="Times New Roman"/>
          <w:b/>
          <w:bCs/>
          <w:sz w:val="21"/>
          <w:szCs w:val="24"/>
          <w:lang w:val="en-AU"/>
        </w:rPr>
        <w:t>DFAT support</w:t>
      </w:r>
      <w:r w:rsidR="005348BB">
        <w:rPr>
          <w:rFonts w:eastAsia="Times New Roman" w:cs="Times New Roman"/>
          <w:b/>
          <w:bCs/>
          <w:sz w:val="21"/>
          <w:szCs w:val="24"/>
          <w:lang w:val="en-AU"/>
        </w:rPr>
        <w:t>s</w:t>
      </w:r>
      <w:r w:rsidRPr="00E93683">
        <w:rPr>
          <w:rFonts w:eastAsia="Times New Roman" w:cs="Times New Roman"/>
          <w:b/>
          <w:bCs/>
          <w:sz w:val="21"/>
          <w:szCs w:val="24"/>
          <w:lang w:val="en-AU"/>
        </w:rPr>
        <w:t xml:space="preserve"> related programs, particularly in the Pacific, which provide AHP with the opportunity to leverage greater impact</w:t>
      </w:r>
      <w:r w:rsidR="002934E2">
        <w:rPr>
          <w:rFonts w:eastAsia="Times New Roman" w:cs="Times New Roman"/>
          <w:b/>
          <w:bCs/>
          <w:sz w:val="21"/>
          <w:szCs w:val="24"/>
          <w:lang w:val="en-AU"/>
        </w:rPr>
        <w:t xml:space="preserve"> and new stakeholders have emerged</w:t>
      </w:r>
      <w:r w:rsidRPr="00E93683">
        <w:rPr>
          <w:rFonts w:eastAsia="Times New Roman" w:cs="Times New Roman"/>
          <w:b/>
          <w:bCs/>
          <w:sz w:val="21"/>
          <w:szCs w:val="24"/>
          <w:lang w:val="en-AU"/>
        </w:rPr>
        <w:t>.</w:t>
      </w:r>
      <w:r w:rsidRPr="00B45F7B">
        <w:rPr>
          <w:rFonts w:eastAsia="Times New Roman" w:cs="Times New Roman"/>
          <w:sz w:val="21"/>
          <w:szCs w:val="24"/>
          <w:lang w:val="en-AU"/>
        </w:rPr>
        <w:t xml:space="preserve"> The Australian Pacific Climate Partnership</w:t>
      </w:r>
      <w:r w:rsidR="005A73B5">
        <w:rPr>
          <w:rFonts w:eastAsia="Times New Roman" w:cs="Times New Roman"/>
          <w:sz w:val="21"/>
          <w:szCs w:val="24"/>
          <w:lang w:val="en-AU"/>
        </w:rPr>
        <w:t xml:space="preserve"> (APCP)</w:t>
      </w:r>
      <w:r w:rsidRPr="00B45F7B">
        <w:rPr>
          <w:rFonts w:eastAsia="Times New Roman" w:cs="Times New Roman"/>
          <w:sz w:val="21"/>
          <w:szCs w:val="24"/>
          <w:lang w:val="en-AU"/>
        </w:rPr>
        <w:t xml:space="preserve">, </w:t>
      </w:r>
      <w:r w:rsidR="00214C50" w:rsidRPr="00214C50">
        <w:rPr>
          <w:rFonts w:eastAsia="Times New Roman" w:cs="Times New Roman"/>
          <w:sz w:val="21"/>
          <w:szCs w:val="24"/>
          <w:lang w:val="en-AU"/>
        </w:rPr>
        <w:t xml:space="preserve">Partnerships for Social Protection </w:t>
      </w:r>
      <w:r w:rsidR="00214C50">
        <w:rPr>
          <w:rFonts w:eastAsia="Times New Roman" w:cs="Times New Roman"/>
          <w:sz w:val="21"/>
          <w:szCs w:val="24"/>
          <w:lang w:val="en-AU"/>
        </w:rPr>
        <w:t xml:space="preserve">(P4SP), </w:t>
      </w:r>
      <w:r w:rsidRPr="00B45F7B">
        <w:rPr>
          <w:rFonts w:eastAsia="Times New Roman" w:cs="Times New Roman"/>
          <w:sz w:val="21"/>
          <w:szCs w:val="24"/>
          <w:lang w:val="en-AU"/>
        </w:rPr>
        <w:t xml:space="preserve">Pacific Women Lead, </w:t>
      </w:r>
      <w:r w:rsidR="007E39C3">
        <w:rPr>
          <w:rFonts w:eastAsia="Times New Roman" w:cs="Times New Roman"/>
          <w:sz w:val="21"/>
          <w:szCs w:val="24"/>
          <w:lang w:val="en-AU"/>
        </w:rPr>
        <w:t xml:space="preserve">the Women’s Resilience to Disasters program, </w:t>
      </w:r>
      <w:r w:rsidRPr="00B45F7B">
        <w:rPr>
          <w:rFonts w:eastAsia="Times New Roman" w:cs="Times New Roman"/>
          <w:sz w:val="21"/>
          <w:szCs w:val="24"/>
          <w:lang w:val="en-AU"/>
        </w:rPr>
        <w:t xml:space="preserve">the Pacific Governance for Resilience </w:t>
      </w:r>
      <w:r w:rsidR="00DA370E">
        <w:rPr>
          <w:rFonts w:eastAsia="Times New Roman" w:cs="Times New Roman"/>
          <w:sz w:val="21"/>
          <w:szCs w:val="24"/>
          <w:lang w:val="en-AU"/>
        </w:rPr>
        <w:t xml:space="preserve">(Gov4Res) </w:t>
      </w:r>
      <w:r w:rsidRPr="00B45F7B">
        <w:rPr>
          <w:rFonts w:eastAsia="Times New Roman" w:cs="Times New Roman"/>
          <w:sz w:val="21"/>
          <w:szCs w:val="24"/>
          <w:lang w:val="en-AU"/>
        </w:rPr>
        <w:t>program and other humanitarian programs such as Australian Red Cross</w:t>
      </w:r>
      <w:r w:rsidR="005A73B5">
        <w:rPr>
          <w:rFonts w:eastAsia="Times New Roman" w:cs="Times New Roman"/>
          <w:sz w:val="21"/>
          <w:szCs w:val="24"/>
          <w:lang w:val="en-AU"/>
        </w:rPr>
        <w:t xml:space="preserve"> (ARC)</w:t>
      </w:r>
      <w:r w:rsidR="005348BB">
        <w:rPr>
          <w:rFonts w:eastAsia="Times New Roman" w:cs="Times New Roman"/>
          <w:sz w:val="21"/>
          <w:szCs w:val="24"/>
          <w:lang w:val="en-AU"/>
        </w:rPr>
        <w:t>,</w:t>
      </w:r>
      <w:r w:rsidRPr="00B45F7B">
        <w:rPr>
          <w:rFonts w:eastAsia="Times New Roman" w:cs="Times New Roman"/>
          <w:sz w:val="21"/>
          <w:szCs w:val="24"/>
          <w:lang w:val="en-AU"/>
        </w:rPr>
        <w:t xml:space="preserve"> pursue similar and related objectives to AHP. </w:t>
      </w:r>
      <w:r w:rsidR="00E4082E">
        <w:rPr>
          <w:rFonts w:eastAsia="Times New Roman" w:cs="Times New Roman"/>
          <w:sz w:val="21"/>
          <w:szCs w:val="24"/>
          <w:lang w:val="en-AU"/>
        </w:rPr>
        <w:t>There are complementary initiatives</w:t>
      </w:r>
      <w:r w:rsidR="00DA325E" w:rsidRPr="00DA325E">
        <w:rPr>
          <w:rFonts w:eastAsia="Times New Roman" w:cs="Times New Roman"/>
          <w:sz w:val="21"/>
          <w:szCs w:val="24"/>
          <w:lang w:val="en-AU"/>
        </w:rPr>
        <w:t xml:space="preserve"> </w:t>
      </w:r>
      <w:r w:rsidR="00DA325E">
        <w:rPr>
          <w:rFonts w:eastAsia="Times New Roman" w:cs="Times New Roman"/>
          <w:sz w:val="21"/>
          <w:szCs w:val="24"/>
          <w:lang w:val="en-AU"/>
        </w:rPr>
        <w:t>led by other development partners</w:t>
      </w:r>
      <w:r w:rsidR="00E4082E">
        <w:rPr>
          <w:rFonts w:eastAsia="Times New Roman" w:cs="Times New Roman"/>
          <w:sz w:val="21"/>
          <w:szCs w:val="24"/>
          <w:lang w:val="en-AU"/>
        </w:rPr>
        <w:t>, such as the UN and NZ MFAT.</w:t>
      </w:r>
      <w:r w:rsidR="00E4082E" w:rsidRPr="002F0466">
        <w:rPr>
          <w:rFonts w:eastAsia="Times New Roman" w:cs="Times New Roman"/>
          <w:sz w:val="21"/>
          <w:szCs w:val="24"/>
          <w:lang w:val="en-AU"/>
        </w:rPr>
        <w:t xml:space="preserve"> </w:t>
      </w:r>
      <w:r w:rsidR="00D006FA">
        <w:rPr>
          <w:rFonts w:eastAsia="Times New Roman" w:cs="Times New Roman"/>
          <w:sz w:val="21"/>
          <w:szCs w:val="24"/>
          <w:lang w:val="en-AU"/>
        </w:rPr>
        <w:t xml:space="preserve">In addition, the Emergency Action Alliance (EAA) has emerged </w:t>
      </w:r>
      <w:r w:rsidR="001943DC">
        <w:rPr>
          <w:rFonts w:eastAsia="Times New Roman" w:cs="Times New Roman"/>
          <w:sz w:val="21"/>
          <w:szCs w:val="24"/>
          <w:lang w:val="en-AU"/>
        </w:rPr>
        <w:t xml:space="preserve">providing a </w:t>
      </w:r>
      <w:r w:rsidR="002F0A1F">
        <w:rPr>
          <w:rFonts w:eastAsia="Times New Roman" w:cs="Times New Roman"/>
          <w:sz w:val="21"/>
          <w:szCs w:val="24"/>
          <w:lang w:val="en-AU"/>
        </w:rPr>
        <w:t xml:space="preserve">single public funding portal for 16 Australian humanitarian charities. </w:t>
      </w:r>
      <w:r w:rsidR="005348BB">
        <w:rPr>
          <w:rFonts w:eastAsia="Times New Roman" w:cs="Times New Roman"/>
          <w:sz w:val="21"/>
          <w:szCs w:val="24"/>
          <w:lang w:val="en-AU"/>
        </w:rPr>
        <w:t>While AHP has been cogni</w:t>
      </w:r>
      <w:r w:rsidR="0022534E">
        <w:rPr>
          <w:rFonts w:eastAsia="Times New Roman" w:cs="Times New Roman"/>
          <w:sz w:val="21"/>
          <w:szCs w:val="24"/>
          <w:lang w:val="en-AU"/>
        </w:rPr>
        <w:t>s</w:t>
      </w:r>
      <w:r w:rsidR="005348BB">
        <w:rPr>
          <w:rFonts w:eastAsia="Times New Roman" w:cs="Times New Roman"/>
          <w:sz w:val="21"/>
          <w:szCs w:val="24"/>
          <w:lang w:val="en-AU"/>
        </w:rPr>
        <w:t xml:space="preserve">ant of these </w:t>
      </w:r>
      <w:r w:rsidR="00C42DCB">
        <w:rPr>
          <w:rFonts w:eastAsia="Times New Roman" w:cs="Times New Roman"/>
          <w:sz w:val="21"/>
          <w:szCs w:val="24"/>
          <w:lang w:val="en-AU"/>
        </w:rPr>
        <w:t>connections</w:t>
      </w:r>
      <w:r w:rsidR="00C016CB">
        <w:rPr>
          <w:rFonts w:eastAsia="Times New Roman" w:cs="Times New Roman"/>
          <w:sz w:val="21"/>
          <w:szCs w:val="24"/>
          <w:lang w:val="en-AU"/>
        </w:rPr>
        <w:t xml:space="preserve">, more strategic cooperation can be developed in </w:t>
      </w:r>
      <w:r w:rsidR="00406F84">
        <w:rPr>
          <w:rFonts w:eastAsia="Times New Roman" w:cs="Times New Roman"/>
          <w:sz w:val="21"/>
          <w:szCs w:val="24"/>
          <w:lang w:val="en-AU"/>
        </w:rPr>
        <w:t>Phase II</w:t>
      </w:r>
      <w:r w:rsidR="00C42DCB">
        <w:rPr>
          <w:rFonts w:eastAsia="Times New Roman" w:cs="Times New Roman"/>
          <w:sz w:val="21"/>
          <w:szCs w:val="24"/>
          <w:lang w:val="en-AU"/>
        </w:rPr>
        <w:t xml:space="preserve">. </w:t>
      </w:r>
      <w:r w:rsidR="00C016CB">
        <w:rPr>
          <w:rFonts w:eastAsia="Times New Roman" w:cs="Times New Roman"/>
          <w:sz w:val="21"/>
          <w:szCs w:val="24"/>
          <w:lang w:val="en-AU"/>
        </w:rPr>
        <w:t>T</w:t>
      </w:r>
      <w:r w:rsidRPr="00B45F7B">
        <w:rPr>
          <w:rFonts w:eastAsia="Times New Roman" w:cs="Times New Roman"/>
          <w:sz w:val="21"/>
          <w:szCs w:val="24"/>
          <w:lang w:val="en-AU"/>
        </w:rPr>
        <w:t xml:space="preserve">here </w:t>
      </w:r>
      <w:r w:rsidR="00C42DCB">
        <w:rPr>
          <w:rFonts w:eastAsia="Times New Roman" w:cs="Times New Roman"/>
          <w:sz w:val="21"/>
          <w:szCs w:val="24"/>
          <w:lang w:val="en-AU"/>
        </w:rPr>
        <w:t xml:space="preserve">is opportunity to develop </w:t>
      </w:r>
      <w:r w:rsidRPr="00B45F7B">
        <w:rPr>
          <w:rFonts w:eastAsia="Times New Roman" w:cs="Times New Roman"/>
          <w:sz w:val="21"/>
          <w:szCs w:val="24"/>
          <w:lang w:val="en-AU"/>
        </w:rPr>
        <w:t>much clearer lines of coordination with these related programs</w:t>
      </w:r>
      <w:r w:rsidR="00C016CB">
        <w:rPr>
          <w:rFonts w:eastAsia="Times New Roman" w:cs="Times New Roman"/>
          <w:sz w:val="21"/>
          <w:szCs w:val="24"/>
          <w:lang w:val="en-AU"/>
        </w:rPr>
        <w:t xml:space="preserve"> (regionally and at the country level)</w:t>
      </w:r>
      <w:r w:rsidR="00C42DCB">
        <w:rPr>
          <w:rFonts w:eastAsia="Times New Roman" w:cs="Times New Roman"/>
          <w:sz w:val="21"/>
          <w:szCs w:val="24"/>
          <w:lang w:val="en-AU"/>
        </w:rPr>
        <w:t>,</w:t>
      </w:r>
      <w:r w:rsidRPr="00B45F7B">
        <w:rPr>
          <w:rFonts w:eastAsia="Times New Roman" w:cs="Times New Roman"/>
          <w:sz w:val="21"/>
          <w:szCs w:val="24"/>
          <w:lang w:val="en-AU"/>
        </w:rPr>
        <w:t xml:space="preserve"> both to reduce the burden on local partners and maximise opportunities for increased shared outcomes.</w:t>
      </w:r>
      <w:r w:rsidR="009857D4">
        <w:rPr>
          <w:rFonts w:eastAsia="Times New Roman" w:cs="Times New Roman"/>
          <w:sz w:val="21"/>
          <w:szCs w:val="24"/>
          <w:lang w:val="en-AU"/>
        </w:rPr>
        <w:t xml:space="preserve"> </w:t>
      </w:r>
    </w:p>
    <w:p w14:paraId="0DB6C054" w14:textId="7F557301" w:rsidR="00E93683" w:rsidRPr="00B45F7B" w:rsidRDefault="00206E7B" w:rsidP="00E93683">
      <w:pPr>
        <w:pStyle w:val="ListParagraph"/>
        <w:numPr>
          <w:ilvl w:val="0"/>
          <w:numId w:val="12"/>
        </w:numPr>
        <w:tabs>
          <w:tab w:val="left" w:pos="284"/>
        </w:tabs>
        <w:suppressAutoHyphens w:val="0"/>
        <w:spacing w:before="200" w:after="0" w:line="280" w:lineRule="exact"/>
        <w:ind w:left="0" w:firstLine="0"/>
        <w:contextualSpacing w:val="0"/>
        <w:rPr>
          <w:rFonts w:eastAsia="Times New Roman" w:cs="Times New Roman"/>
          <w:sz w:val="21"/>
          <w:szCs w:val="24"/>
          <w:lang w:val="en-AU"/>
        </w:rPr>
      </w:pPr>
      <w:r>
        <w:rPr>
          <w:rFonts w:eastAsia="Times New Roman" w:cs="Times New Roman"/>
          <w:sz w:val="21"/>
          <w:szCs w:val="24"/>
          <w:lang w:val="en-AU"/>
        </w:rPr>
        <w:t>In addition to</w:t>
      </w:r>
      <w:r w:rsidRPr="00B45F7B">
        <w:rPr>
          <w:rFonts w:eastAsia="Times New Roman" w:cs="Times New Roman"/>
          <w:sz w:val="21"/>
          <w:szCs w:val="24"/>
          <w:lang w:val="en-AU"/>
        </w:rPr>
        <w:t xml:space="preserve"> </w:t>
      </w:r>
      <w:r w:rsidR="00E93683" w:rsidRPr="00B45F7B">
        <w:rPr>
          <w:rFonts w:eastAsia="Times New Roman" w:cs="Times New Roman"/>
          <w:sz w:val="21"/>
          <w:szCs w:val="24"/>
          <w:lang w:val="en-AU"/>
        </w:rPr>
        <w:t>these contextual</w:t>
      </w:r>
      <w:r w:rsidR="000D70EE">
        <w:rPr>
          <w:rFonts w:eastAsia="Times New Roman" w:cs="Times New Roman"/>
          <w:sz w:val="21"/>
          <w:szCs w:val="24"/>
          <w:lang w:val="en-AU"/>
        </w:rPr>
        <w:t xml:space="preserve"> and sectoral</w:t>
      </w:r>
      <w:r w:rsidR="00E93683" w:rsidRPr="00B45F7B">
        <w:rPr>
          <w:rFonts w:eastAsia="Times New Roman" w:cs="Times New Roman"/>
          <w:sz w:val="21"/>
          <w:szCs w:val="24"/>
          <w:lang w:val="en-AU"/>
        </w:rPr>
        <w:t xml:space="preserve"> </w:t>
      </w:r>
      <w:r>
        <w:rPr>
          <w:rFonts w:eastAsia="Times New Roman" w:cs="Times New Roman"/>
          <w:sz w:val="21"/>
          <w:szCs w:val="24"/>
          <w:lang w:val="en-AU"/>
        </w:rPr>
        <w:t xml:space="preserve">changes, </w:t>
      </w:r>
      <w:r w:rsidR="00C5749C">
        <w:rPr>
          <w:rFonts w:eastAsia="Times New Roman" w:cs="Times New Roman"/>
          <w:sz w:val="21"/>
          <w:szCs w:val="24"/>
          <w:lang w:val="en-AU"/>
        </w:rPr>
        <w:t xml:space="preserve">other drivers for </w:t>
      </w:r>
      <w:r w:rsidR="00F06472">
        <w:rPr>
          <w:rFonts w:eastAsia="Times New Roman" w:cs="Times New Roman"/>
          <w:sz w:val="21"/>
          <w:szCs w:val="24"/>
          <w:lang w:val="en-AU"/>
        </w:rPr>
        <w:t xml:space="preserve">change in </w:t>
      </w:r>
      <w:r w:rsidR="00C5749C">
        <w:rPr>
          <w:rFonts w:eastAsia="Times New Roman" w:cs="Times New Roman"/>
          <w:sz w:val="21"/>
          <w:szCs w:val="24"/>
          <w:lang w:val="en-AU"/>
        </w:rPr>
        <w:t>the Phase II design include</w:t>
      </w:r>
      <w:r w:rsidR="00E93683" w:rsidRPr="00B45F7B">
        <w:rPr>
          <w:rFonts w:eastAsia="Times New Roman" w:cs="Times New Roman"/>
          <w:sz w:val="21"/>
          <w:szCs w:val="24"/>
          <w:lang w:val="en-AU"/>
        </w:rPr>
        <w:t xml:space="preserve"> </w:t>
      </w:r>
      <w:r w:rsidR="00523920">
        <w:rPr>
          <w:rFonts w:eastAsia="Times New Roman" w:cs="Times New Roman"/>
          <w:sz w:val="21"/>
          <w:szCs w:val="24"/>
          <w:lang w:val="en-AU"/>
        </w:rPr>
        <w:t>the following lessons learned</w:t>
      </w:r>
      <w:r w:rsidR="00E93683" w:rsidRPr="00B45F7B">
        <w:rPr>
          <w:rFonts w:eastAsia="Times New Roman" w:cs="Times New Roman"/>
          <w:sz w:val="21"/>
          <w:szCs w:val="24"/>
          <w:lang w:val="en-AU"/>
        </w:rPr>
        <w:t>.</w:t>
      </w:r>
    </w:p>
    <w:p w14:paraId="36FCFE61" w14:textId="2118C7E1" w:rsidR="00E93683" w:rsidRPr="00B45F7B" w:rsidRDefault="0027531C" w:rsidP="00E93683">
      <w:pPr>
        <w:pStyle w:val="ListParagraph"/>
        <w:numPr>
          <w:ilvl w:val="0"/>
          <w:numId w:val="12"/>
        </w:numPr>
        <w:tabs>
          <w:tab w:val="left" w:pos="284"/>
        </w:tabs>
        <w:suppressAutoHyphens w:val="0"/>
        <w:spacing w:before="200" w:after="0" w:line="280" w:lineRule="exact"/>
        <w:ind w:left="0" w:firstLine="0"/>
        <w:contextualSpacing w:val="0"/>
        <w:rPr>
          <w:rFonts w:eastAsia="Times New Roman" w:cs="Times New Roman"/>
          <w:sz w:val="21"/>
          <w:szCs w:val="24"/>
          <w:lang w:val="en-AU"/>
        </w:rPr>
      </w:pPr>
      <w:r>
        <w:rPr>
          <w:rFonts w:eastAsia="Times New Roman" w:cs="Times New Roman"/>
          <w:b/>
          <w:bCs/>
          <w:sz w:val="21"/>
          <w:szCs w:val="24"/>
          <w:lang w:val="en-AU"/>
        </w:rPr>
        <w:t xml:space="preserve">The Partnership has matured </w:t>
      </w:r>
      <w:r w:rsidR="004105ED">
        <w:rPr>
          <w:rFonts w:eastAsia="Times New Roman" w:cs="Times New Roman"/>
          <w:b/>
          <w:bCs/>
          <w:sz w:val="21"/>
          <w:szCs w:val="24"/>
          <w:lang w:val="en-AU"/>
        </w:rPr>
        <w:t>through Phase I, with a</w:t>
      </w:r>
      <w:r w:rsidR="003A3E6A">
        <w:rPr>
          <w:rFonts w:eastAsia="Times New Roman" w:cs="Times New Roman"/>
          <w:b/>
          <w:bCs/>
          <w:sz w:val="21"/>
          <w:szCs w:val="24"/>
          <w:lang w:val="en-AU"/>
        </w:rPr>
        <w:t xml:space="preserve"> gradual strengthening of</w:t>
      </w:r>
      <w:r w:rsidR="003A3E6A" w:rsidRPr="00E93683">
        <w:rPr>
          <w:rFonts w:eastAsia="Times New Roman" w:cs="Times New Roman"/>
          <w:b/>
          <w:bCs/>
          <w:sz w:val="21"/>
          <w:szCs w:val="24"/>
          <w:lang w:val="en-AU"/>
        </w:rPr>
        <w:t xml:space="preserve"> </w:t>
      </w:r>
      <w:r w:rsidR="004105ED">
        <w:rPr>
          <w:rFonts w:eastAsia="Times New Roman" w:cs="Times New Roman"/>
          <w:b/>
          <w:bCs/>
          <w:sz w:val="21"/>
          <w:szCs w:val="24"/>
          <w:lang w:val="en-AU"/>
        </w:rPr>
        <w:t>c</w:t>
      </w:r>
      <w:r w:rsidR="00E93683" w:rsidRPr="00E93683">
        <w:rPr>
          <w:rFonts w:eastAsia="Times New Roman" w:cs="Times New Roman"/>
          <w:b/>
          <w:bCs/>
          <w:sz w:val="21"/>
          <w:szCs w:val="24"/>
          <w:lang w:val="en-AU"/>
        </w:rPr>
        <w:t>ollaboration</w:t>
      </w:r>
      <w:r w:rsidR="009B099F">
        <w:rPr>
          <w:rFonts w:eastAsia="Times New Roman" w:cs="Times New Roman"/>
          <w:b/>
          <w:bCs/>
          <w:sz w:val="21"/>
          <w:szCs w:val="24"/>
          <w:lang w:val="en-AU"/>
        </w:rPr>
        <w:t xml:space="preserve"> between </w:t>
      </w:r>
      <w:r w:rsidR="00834D8B">
        <w:rPr>
          <w:rFonts w:eastAsia="Times New Roman" w:cs="Times New Roman"/>
          <w:b/>
          <w:bCs/>
          <w:sz w:val="21"/>
          <w:szCs w:val="24"/>
          <w:lang w:val="en-AU"/>
        </w:rPr>
        <w:t>AHP</w:t>
      </w:r>
      <w:r w:rsidR="00E91C00">
        <w:rPr>
          <w:rFonts w:eastAsia="Times New Roman" w:cs="Times New Roman"/>
          <w:b/>
          <w:bCs/>
          <w:sz w:val="21"/>
          <w:szCs w:val="24"/>
          <w:lang w:val="en-AU"/>
        </w:rPr>
        <w:t xml:space="preserve"> NGO partners and increasing </w:t>
      </w:r>
      <w:r w:rsidR="000367C4">
        <w:rPr>
          <w:rFonts w:eastAsia="Times New Roman" w:cs="Times New Roman"/>
          <w:b/>
          <w:bCs/>
          <w:sz w:val="21"/>
          <w:szCs w:val="24"/>
          <w:lang w:val="en-AU"/>
        </w:rPr>
        <w:t>appetite</w:t>
      </w:r>
      <w:r w:rsidR="00E91C00">
        <w:rPr>
          <w:rFonts w:eastAsia="Times New Roman" w:cs="Times New Roman"/>
          <w:b/>
          <w:bCs/>
          <w:sz w:val="21"/>
          <w:szCs w:val="24"/>
          <w:lang w:val="en-AU"/>
        </w:rPr>
        <w:t xml:space="preserve"> for local leadership</w:t>
      </w:r>
      <w:r w:rsidR="00E93683" w:rsidRPr="00E93683">
        <w:rPr>
          <w:rFonts w:eastAsia="Times New Roman" w:cs="Times New Roman"/>
          <w:b/>
          <w:bCs/>
          <w:sz w:val="21"/>
          <w:szCs w:val="24"/>
          <w:lang w:val="en-AU"/>
        </w:rPr>
        <w:t>.</w:t>
      </w:r>
      <w:r w:rsidR="00E93683" w:rsidRPr="00B45F7B">
        <w:rPr>
          <w:rFonts w:eastAsia="Times New Roman" w:cs="Times New Roman"/>
          <w:sz w:val="21"/>
          <w:szCs w:val="24"/>
          <w:lang w:val="en-AU"/>
        </w:rPr>
        <w:t xml:space="preserve"> </w:t>
      </w:r>
      <w:r w:rsidR="00C34F91" w:rsidRPr="00C34F91">
        <w:rPr>
          <w:rFonts w:eastAsia="Times New Roman" w:cs="Times New Roman"/>
          <w:sz w:val="21"/>
          <w:szCs w:val="24"/>
          <w:lang w:val="en-AU"/>
        </w:rPr>
        <w:t xml:space="preserve">This has </w:t>
      </w:r>
      <w:r w:rsidR="00A709C6">
        <w:rPr>
          <w:rFonts w:eastAsia="Times New Roman" w:cs="Times New Roman"/>
          <w:sz w:val="21"/>
          <w:szCs w:val="24"/>
          <w:lang w:val="en-AU"/>
        </w:rPr>
        <w:t>seen</w:t>
      </w:r>
      <w:r w:rsidR="00C34F91" w:rsidRPr="00C34F91">
        <w:rPr>
          <w:rFonts w:eastAsia="Times New Roman" w:cs="Times New Roman"/>
          <w:sz w:val="21"/>
          <w:szCs w:val="24"/>
          <w:lang w:val="en-AU"/>
        </w:rPr>
        <w:t xml:space="preserve"> </w:t>
      </w:r>
      <w:r w:rsidR="004105ED">
        <w:rPr>
          <w:rFonts w:eastAsia="Times New Roman" w:cs="Times New Roman"/>
          <w:sz w:val="21"/>
          <w:szCs w:val="24"/>
          <w:lang w:val="en-AU"/>
        </w:rPr>
        <w:t xml:space="preserve">a move towards </w:t>
      </w:r>
      <w:r w:rsidR="00E13F0D">
        <w:rPr>
          <w:rFonts w:eastAsia="Times New Roman" w:cs="Times New Roman"/>
          <w:sz w:val="21"/>
          <w:szCs w:val="24"/>
          <w:lang w:val="en-AU"/>
        </w:rPr>
        <w:t>collective</w:t>
      </w:r>
      <w:r w:rsidR="00245430">
        <w:rPr>
          <w:rFonts w:eastAsia="Times New Roman" w:cs="Times New Roman"/>
          <w:sz w:val="21"/>
          <w:szCs w:val="24"/>
          <w:lang w:val="en-AU"/>
        </w:rPr>
        <w:t xml:space="preserve"> or </w:t>
      </w:r>
      <w:r w:rsidR="00245430">
        <w:rPr>
          <w:rFonts w:eastAsia="Times New Roman" w:cs="Times New Roman"/>
          <w:sz w:val="21"/>
          <w:szCs w:val="24"/>
          <w:lang w:val="en-AU"/>
        </w:rPr>
        <w:lastRenderedPageBreak/>
        <w:t>all-partner</w:t>
      </w:r>
      <w:r w:rsidR="00E13F0D">
        <w:rPr>
          <w:rFonts w:eastAsia="Times New Roman" w:cs="Times New Roman"/>
          <w:sz w:val="21"/>
          <w:szCs w:val="24"/>
          <w:lang w:val="en-AU"/>
        </w:rPr>
        <w:t xml:space="preserve"> </w:t>
      </w:r>
      <w:r w:rsidR="00F30F27">
        <w:rPr>
          <w:rFonts w:eastAsia="Times New Roman" w:cs="Times New Roman"/>
          <w:sz w:val="21"/>
          <w:szCs w:val="24"/>
          <w:lang w:val="en-AU"/>
        </w:rPr>
        <w:t>approaches</w:t>
      </w:r>
      <w:r w:rsidR="00373CFF">
        <w:rPr>
          <w:rFonts w:eastAsia="Times New Roman" w:cs="Times New Roman"/>
          <w:sz w:val="21"/>
          <w:szCs w:val="24"/>
          <w:lang w:val="en-AU"/>
        </w:rPr>
        <w:t xml:space="preserve"> for humanitarian response </w:t>
      </w:r>
      <w:r w:rsidR="00C34F91">
        <w:rPr>
          <w:rFonts w:eastAsia="Times New Roman" w:cs="Times New Roman"/>
          <w:sz w:val="21"/>
          <w:szCs w:val="24"/>
          <w:lang w:val="en-AU"/>
        </w:rPr>
        <w:t>in Disaster READY countries</w:t>
      </w:r>
      <w:r w:rsidR="00C34F91" w:rsidRPr="00C34F91">
        <w:rPr>
          <w:rFonts w:eastAsia="Times New Roman" w:cs="Times New Roman"/>
          <w:sz w:val="21"/>
          <w:szCs w:val="24"/>
          <w:lang w:val="en-AU"/>
        </w:rPr>
        <w:t xml:space="preserve">, as well as </w:t>
      </w:r>
      <w:r w:rsidR="00373CFF">
        <w:rPr>
          <w:rFonts w:eastAsia="Times New Roman" w:cs="Times New Roman"/>
          <w:sz w:val="21"/>
          <w:szCs w:val="24"/>
          <w:lang w:val="en-AU"/>
        </w:rPr>
        <w:t xml:space="preserve">in some </w:t>
      </w:r>
      <w:r w:rsidR="00C34F91" w:rsidRPr="00C34F91">
        <w:rPr>
          <w:rFonts w:eastAsia="Times New Roman" w:cs="Times New Roman"/>
          <w:sz w:val="21"/>
          <w:szCs w:val="24"/>
          <w:lang w:val="en-AU"/>
        </w:rPr>
        <w:t>multi-year responses (for e</w:t>
      </w:r>
      <w:r w:rsidR="00D67927">
        <w:rPr>
          <w:rFonts w:eastAsia="Times New Roman" w:cs="Times New Roman"/>
          <w:sz w:val="21"/>
          <w:szCs w:val="24"/>
          <w:lang w:val="en-AU"/>
        </w:rPr>
        <w:t>xample</w:t>
      </w:r>
      <w:r w:rsidR="00C34F91" w:rsidRPr="00C34F91">
        <w:rPr>
          <w:rFonts w:eastAsia="Times New Roman" w:cs="Times New Roman"/>
          <w:sz w:val="21"/>
          <w:szCs w:val="24"/>
          <w:lang w:val="en-AU"/>
        </w:rPr>
        <w:t xml:space="preserve"> Bangladesh).</w:t>
      </w:r>
      <w:r w:rsidR="00373CFF">
        <w:rPr>
          <w:rFonts w:eastAsia="Times New Roman" w:cs="Times New Roman"/>
          <w:sz w:val="21"/>
          <w:szCs w:val="24"/>
          <w:lang w:val="en-AU"/>
        </w:rPr>
        <w:t xml:space="preserve"> </w:t>
      </w:r>
      <w:r w:rsidR="00F30F27">
        <w:rPr>
          <w:rFonts w:eastAsia="Times New Roman" w:cs="Times New Roman"/>
          <w:sz w:val="21"/>
          <w:szCs w:val="24"/>
          <w:lang w:val="en-AU"/>
        </w:rPr>
        <w:t>In Disaster R</w:t>
      </w:r>
      <w:r w:rsidR="00407BFE">
        <w:rPr>
          <w:rFonts w:eastAsia="Times New Roman" w:cs="Times New Roman"/>
          <w:sz w:val="21"/>
          <w:szCs w:val="24"/>
          <w:lang w:val="en-AU"/>
        </w:rPr>
        <w:t>EA</w:t>
      </w:r>
      <w:r w:rsidR="00F30F27">
        <w:rPr>
          <w:rFonts w:eastAsia="Times New Roman" w:cs="Times New Roman"/>
          <w:sz w:val="21"/>
          <w:szCs w:val="24"/>
          <w:lang w:val="en-AU"/>
        </w:rPr>
        <w:t>DY countries</w:t>
      </w:r>
      <w:r w:rsidR="00776619">
        <w:rPr>
          <w:rFonts w:eastAsia="Times New Roman" w:cs="Times New Roman"/>
          <w:sz w:val="21"/>
          <w:szCs w:val="24"/>
          <w:lang w:val="en-AU"/>
        </w:rPr>
        <w:t>, r</w:t>
      </w:r>
      <w:r w:rsidR="00776619" w:rsidRPr="001B5433">
        <w:rPr>
          <w:rFonts w:eastAsia="Times New Roman" w:cs="Times New Roman"/>
          <w:sz w:val="21"/>
          <w:szCs w:val="24"/>
          <w:lang w:val="en-AU"/>
        </w:rPr>
        <w:t xml:space="preserve">esponsibility for </w:t>
      </w:r>
      <w:r w:rsidR="00776619">
        <w:rPr>
          <w:rFonts w:eastAsia="Times New Roman" w:cs="Times New Roman"/>
          <w:sz w:val="21"/>
          <w:szCs w:val="24"/>
          <w:lang w:val="en-AU"/>
        </w:rPr>
        <w:t xml:space="preserve">response </w:t>
      </w:r>
      <w:r w:rsidR="00776619" w:rsidRPr="001B5433">
        <w:rPr>
          <w:rFonts w:eastAsia="Times New Roman" w:cs="Times New Roman"/>
          <w:sz w:val="21"/>
          <w:szCs w:val="24"/>
          <w:lang w:val="en-AU"/>
        </w:rPr>
        <w:t xml:space="preserve">proposal design and oversight </w:t>
      </w:r>
      <w:r w:rsidR="00D16EB0">
        <w:rPr>
          <w:rFonts w:eastAsia="Times New Roman" w:cs="Times New Roman"/>
          <w:sz w:val="21"/>
          <w:szCs w:val="24"/>
          <w:lang w:val="en-AU"/>
        </w:rPr>
        <w:t xml:space="preserve">also </w:t>
      </w:r>
      <w:r w:rsidR="00776619" w:rsidRPr="001B5433">
        <w:rPr>
          <w:rFonts w:eastAsia="Times New Roman" w:cs="Times New Roman"/>
          <w:sz w:val="21"/>
          <w:szCs w:val="24"/>
          <w:lang w:val="en-AU"/>
        </w:rPr>
        <w:t xml:space="preserve">shifted </w:t>
      </w:r>
      <w:r w:rsidR="00F644A7">
        <w:rPr>
          <w:rFonts w:eastAsia="Times New Roman" w:cs="Times New Roman"/>
          <w:sz w:val="21"/>
          <w:szCs w:val="24"/>
          <w:lang w:val="en-AU"/>
        </w:rPr>
        <w:t>away from</w:t>
      </w:r>
      <w:r w:rsidR="00776619" w:rsidRPr="001B5433">
        <w:rPr>
          <w:rFonts w:eastAsia="Times New Roman" w:cs="Times New Roman"/>
          <w:sz w:val="21"/>
          <w:szCs w:val="24"/>
          <w:lang w:val="en-AU"/>
        </w:rPr>
        <w:t xml:space="preserve"> </w:t>
      </w:r>
      <w:r w:rsidR="00776619">
        <w:rPr>
          <w:rFonts w:eastAsia="Times New Roman" w:cs="Times New Roman"/>
          <w:sz w:val="21"/>
          <w:szCs w:val="24"/>
          <w:lang w:val="en-AU"/>
        </w:rPr>
        <w:t>A</w:t>
      </w:r>
      <w:r w:rsidR="00776619" w:rsidRPr="001B5433">
        <w:rPr>
          <w:rFonts w:eastAsia="Times New Roman" w:cs="Times New Roman"/>
          <w:sz w:val="21"/>
          <w:szCs w:val="24"/>
          <w:lang w:val="en-AU"/>
        </w:rPr>
        <w:t>NGOs in Australia to</w:t>
      </w:r>
      <w:r w:rsidR="00F644A7">
        <w:rPr>
          <w:rFonts w:eastAsia="Times New Roman" w:cs="Times New Roman"/>
          <w:sz w:val="21"/>
          <w:szCs w:val="24"/>
          <w:lang w:val="en-AU"/>
        </w:rPr>
        <w:t>wards</w:t>
      </w:r>
      <w:r w:rsidR="00776619" w:rsidRPr="001B5433">
        <w:rPr>
          <w:rFonts w:eastAsia="Times New Roman" w:cs="Times New Roman"/>
          <w:sz w:val="21"/>
          <w:szCs w:val="24"/>
          <w:lang w:val="en-AU"/>
        </w:rPr>
        <w:t xml:space="preserve"> AHP </w:t>
      </w:r>
      <w:r w:rsidR="00776619">
        <w:rPr>
          <w:rFonts w:eastAsia="Times New Roman" w:cs="Times New Roman"/>
          <w:sz w:val="21"/>
          <w:szCs w:val="24"/>
          <w:lang w:val="en-AU"/>
        </w:rPr>
        <w:t xml:space="preserve">NGO </w:t>
      </w:r>
      <w:r w:rsidR="00776619" w:rsidRPr="001B5433">
        <w:rPr>
          <w:rFonts w:eastAsia="Times New Roman" w:cs="Times New Roman"/>
          <w:sz w:val="21"/>
          <w:szCs w:val="24"/>
          <w:lang w:val="en-AU"/>
        </w:rPr>
        <w:t>partners in-country</w:t>
      </w:r>
      <w:r w:rsidR="00F30F27">
        <w:rPr>
          <w:rFonts w:eastAsia="Times New Roman" w:cs="Times New Roman"/>
          <w:sz w:val="21"/>
          <w:szCs w:val="24"/>
          <w:lang w:val="en-AU"/>
        </w:rPr>
        <w:t xml:space="preserve"> during COVID-19</w:t>
      </w:r>
      <w:r w:rsidR="00776619" w:rsidRPr="001B5433">
        <w:rPr>
          <w:rFonts w:eastAsia="Times New Roman" w:cs="Times New Roman"/>
          <w:sz w:val="21"/>
          <w:szCs w:val="24"/>
          <w:lang w:val="en-AU"/>
        </w:rPr>
        <w:t>.</w:t>
      </w:r>
      <w:r w:rsidR="00776619">
        <w:rPr>
          <w:rFonts w:eastAsia="Times New Roman" w:cs="Times New Roman"/>
          <w:sz w:val="21"/>
          <w:szCs w:val="24"/>
          <w:lang w:val="en-AU"/>
        </w:rPr>
        <w:t xml:space="preserve"> </w:t>
      </w:r>
      <w:r w:rsidR="00E93683" w:rsidRPr="00B45F7B">
        <w:rPr>
          <w:rFonts w:eastAsia="Times New Roman" w:cs="Times New Roman"/>
          <w:sz w:val="21"/>
          <w:szCs w:val="24"/>
          <w:lang w:val="en-AU"/>
        </w:rPr>
        <w:t xml:space="preserve">The MTE </w:t>
      </w:r>
      <w:r w:rsidR="00B70FBE">
        <w:rPr>
          <w:rFonts w:eastAsia="Times New Roman" w:cs="Times New Roman"/>
          <w:sz w:val="21"/>
          <w:szCs w:val="24"/>
          <w:lang w:val="en-AU"/>
        </w:rPr>
        <w:t>found</w:t>
      </w:r>
      <w:r w:rsidR="00E93683" w:rsidRPr="00B45F7B">
        <w:rPr>
          <w:rFonts w:eastAsia="Times New Roman" w:cs="Times New Roman"/>
          <w:sz w:val="21"/>
          <w:szCs w:val="24"/>
          <w:lang w:val="en-AU"/>
        </w:rPr>
        <w:t xml:space="preserve"> </w:t>
      </w:r>
      <w:r w:rsidR="00F30F27">
        <w:rPr>
          <w:rFonts w:eastAsia="Times New Roman" w:cs="Times New Roman"/>
          <w:sz w:val="21"/>
          <w:szCs w:val="24"/>
          <w:lang w:val="en-AU"/>
        </w:rPr>
        <w:t>these trends</w:t>
      </w:r>
      <w:r w:rsidR="00E93683" w:rsidRPr="00B45F7B">
        <w:rPr>
          <w:rFonts w:eastAsia="Times New Roman" w:cs="Times New Roman"/>
          <w:sz w:val="21"/>
          <w:szCs w:val="24"/>
          <w:lang w:val="en-AU"/>
        </w:rPr>
        <w:t xml:space="preserve"> </w:t>
      </w:r>
      <w:r w:rsidR="00B70FBE">
        <w:rPr>
          <w:rFonts w:eastAsia="Times New Roman" w:cs="Times New Roman"/>
          <w:sz w:val="21"/>
          <w:szCs w:val="24"/>
          <w:lang w:val="en-AU"/>
        </w:rPr>
        <w:t xml:space="preserve">added value to implementation, </w:t>
      </w:r>
      <w:r w:rsidR="00E93683" w:rsidRPr="00B45F7B">
        <w:rPr>
          <w:rFonts w:eastAsia="Times New Roman" w:cs="Times New Roman"/>
          <w:sz w:val="21"/>
          <w:szCs w:val="24"/>
          <w:lang w:val="en-AU"/>
        </w:rPr>
        <w:t>and</w:t>
      </w:r>
      <w:r w:rsidR="001560B0">
        <w:rPr>
          <w:rFonts w:eastAsia="Times New Roman" w:cs="Times New Roman"/>
          <w:sz w:val="21"/>
          <w:szCs w:val="24"/>
          <w:lang w:val="en-AU"/>
        </w:rPr>
        <w:t xml:space="preserve"> enhanced localisation. However, </w:t>
      </w:r>
      <w:r w:rsidR="00F30F27">
        <w:rPr>
          <w:rFonts w:eastAsia="Times New Roman" w:cs="Times New Roman"/>
          <w:sz w:val="21"/>
          <w:szCs w:val="24"/>
          <w:lang w:val="en-AU"/>
        </w:rPr>
        <w:t>they</w:t>
      </w:r>
      <w:r w:rsidR="00E93683" w:rsidRPr="00B45F7B">
        <w:rPr>
          <w:rFonts w:eastAsia="Times New Roman" w:cs="Times New Roman"/>
          <w:sz w:val="21"/>
          <w:szCs w:val="24"/>
          <w:lang w:val="en-AU"/>
        </w:rPr>
        <w:t xml:space="preserve"> </w:t>
      </w:r>
      <w:r w:rsidR="00D16EB0">
        <w:rPr>
          <w:rFonts w:eastAsia="Times New Roman" w:cs="Times New Roman"/>
          <w:sz w:val="21"/>
          <w:szCs w:val="24"/>
          <w:lang w:val="en-AU"/>
        </w:rPr>
        <w:t xml:space="preserve">also </w:t>
      </w:r>
      <w:r w:rsidR="001560B0">
        <w:rPr>
          <w:rFonts w:eastAsia="Times New Roman" w:cs="Times New Roman"/>
          <w:sz w:val="21"/>
          <w:szCs w:val="24"/>
          <w:lang w:val="en-AU"/>
        </w:rPr>
        <w:t>created complexities in accountability</w:t>
      </w:r>
      <w:r w:rsidR="00A80DB2">
        <w:rPr>
          <w:rFonts w:eastAsia="Times New Roman" w:cs="Times New Roman"/>
          <w:sz w:val="21"/>
          <w:szCs w:val="24"/>
          <w:lang w:val="en-AU"/>
        </w:rPr>
        <w:t xml:space="preserve"> and efficiency</w:t>
      </w:r>
      <w:r w:rsidR="00E93683" w:rsidRPr="00B45F7B">
        <w:rPr>
          <w:rFonts w:eastAsia="Times New Roman" w:cs="Times New Roman"/>
          <w:sz w:val="21"/>
          <w:szCs w:val="24"/>
          <w:lang w:val="en-AU"/>
        </w:rPr>
        <w:t xml:space="preserve">. </w:t>
      </w:r>
      <w:r w:rsidR="009119DD">
        <w:rPr>
          <w:rFonts w:eastAsia="Times New Roman" w:cs="Times New Roman"/>
          <w:sz w:val="21"/>
          <w:szCs w:val="24"/>
          <w:lang w:val="en-AU"/>
        </w:rPr>
        <w:t xml:space="preserve">To maximise the benefits for Phase II, </w:t>
      </w:r>
      <w:r w:rsidR="000E6694">
        <w:rPr>
          <w:rFonts w:eastAsia="Times New Roman" w:cs="Times New Roman"/>
          <w:sz w:val="21"/>
          <w:szCs w:val="24"/>
          <w:lang w:val="en-AU"/>
        </w:rPr>
        <w:t xml:space="preserve">the AHP needs to </w:t>
      </w:r>
      <w:r w:rsidR="0084050F">
        <w:rPr>
          <w:rFonts w:eastAsia="Times New Roman" w:cs="Times New Roman"/>
          <w:sz w:val="21"/>
          <w:szCs w:val="24"/>
          <w:lang w:val="en-AU"/>
        </w:rPr>
        <w:t>take a stronger whole-of-Partnership</w:t>
      </w:r>
      <w:r w:rsidR="00E93683" w:rsidRPr="00B45F7B">
        <w:rPr>
          <w:rFonts w:eastAsia="Times New Roman" w:cs="Times New Roman"/>
          <w:sz w:val="21"/>
          <w:szCs w:val="24"/>
          <w:lang w:val="en-AU"/>
        </w:rPr>
        <w:t xml:space="preserve"> </w:t>
      </w:r>
      <w:r w:rsidR="0033312C">
        <w:rPr>
          <w:rFonts w:eastAsia="Times New Roman" w:cs="Times New Roman"/>
          <w:sz w:val="21"/>
          <w:szCs w:val="24"/>
          <w:lang w:val="en-AU"/>
        </w:rPr>
        <w:t xml:space="preserve">approach </w:t>
      </w:r>
      <w:r w:rsidR="00E93683" w:rsidRPr="00B45F7B">
        <w:rPr>
          <w:rFonts w:eastAsia="Times New Roman" w:cs="Times New Roman"/>
          <w:sz w:val="21"/>
          <w:szCs w:val="24"/>
          <w:lang w:val="en-AU"/>
        </w:rPr>
        <w:t>with</w:t>
      </w:r>
      <w:r w:rsidR="00DF3066">
        <w:rPr>
          <w:rFonts w:eastAsia="Times New Roman" w:cs="Times New Roman"/>
          <w:sz w:val="21"/>
          <w:szCs w:val="24"/>
          <w:lang w:val="en-AU"/>
        </w:rPr>
        <w:t xml:space="preserve"> processes and</w:t>
      </w:r>
      <w:r w:rsidR="00E93683" w:rsidRPr="00B45F7B">
        <w:rPr>
          <w:rFonts w:eastAsia="Times New Roman" w:cs="Times New Roman"/>
          <w:sz w:val="21"/>
          <w:szCs w:val="24"/>
          <w:lang w:val="en-AU"/>
        </w:rPr>
        <w:t xml:space="preserve"> shared objectives </w:t>
      </w:r>
      <w:r w:rsidR="000E6694">
        <w:rPr>
          <w:rFonts w:eastAsia="Times New Roman" w:cs="Times New Roman"/>
          <w:sz w:val="21"/>
          <w:szCs w:val="24"/>
          <w:lang w:val="en-AU"/>
        </w:rPr>
        <w:t xml:space="preserve">that </w:t>
      </w:r>
      <w:r w:rsidR="0084050F">
        <w:rPr>
          <w:rFonts w:eastAsia="Times New Roman" w:cs="Times New Roman"/>
          <w:sz w:val="21"/>
          <w:szCs w:val="24"/>
          <w:lang w:val="en-AU"/>
        </w:rPr>
        <w:t>guide collective action</w:t>
      </w:r>
      <w:r w:rsidR="00E93683" w:rsidRPr="00B45F7B">
        <w:rPr>
          <w:rFonts w:eastAsia="Times New Roman" w:cs="Times New Roman"/>
          <w:sz w:val="21"/>
          <w:szCs w:val="24"/>
          <w:lang w:val="en-AU"/>
        </w:rPr>
        <w:t xml:space="preserve"> by </w:t>
      </w:r>
      <w:r w:rsidR="00793A02">
        <w:rPr>
          <w:rFonts w:eastAsia="Times New Roman" w:cs="Times New Roman"/>
          <w:sz w:val="21"/>
          <w:szCs w:val="24"/>
          <w:lang w:val="en-AU"/>
        </w:rPr>
        <w:t xml:space="preserve">AHP NGO </w:t>
      </w:r>
      <w:r w:rsidR="004123BC">
        <w:rPr>
          <w:rFonts w:eastAsia="Times New Roman" w:cs="Times New Roman"/>
          <w:sz w:val="21"/>
          <w:szCs w:val="24"/>
          <w:lang w:val="en-AU"/>
        </w:rPr>
        <w:t>Partners</w:t>
      </w:r>
      <w:r w:rsidR="00E93683" w:rsidRPr="00B45F7B">
        <w:rPr>
          <w:rFonts w:eastAsia="Times New Roman" w:cs="Times New Roman"/>
          <w:sz w:val="21"/>
          <w:szCs w:val="24"/>
          <w:lang w:val="en-AU"/>
        </w:rPr>
        <w:t xml:space="preserve">. It also </w:t>
      </w:r>
      <w:r w:rsidR="0084050F">
        <w:rPr>
          <w:rFonts w:eastAsia="Times New Roman" w:cs="Times New Roman"/>
          <w:sz w:val="21"/>
          <w:szCs w:val="24"/>
          <w:lang w:val="en-AU"/>
        </w:rPr>
        <w:t>needs to</w:t>
      </w:r>
      <w:r w:rsidR="00E93683" w:rsidRPr="00B45F7B">
        <w:rPr>
          <w:rFonts w:eastAsia="Times New Roman" w:cs="Times New Roman"/>
          <w:sz w:val="21"/>
          <w:szCs w:val="24"/>
          <w:lang w:val="en-AU"/>
        </w:rPr>
        <w:t xml:space="preserve"> more clearly defin</w:t>
      </w:r>
      <w:r w:rsidR="0084050F">
        <w:rPr>
          <w:rFonts w:eastAsia="Times New Roman" w:cs="Times New Roman"/>
          <w:sz w:val="21"/>
          <w:szCs w:val="24"/>
          <w:lang w:val="en-AU"/>
        </w:rPr>
        <w:t>e</w:t>
      </w:r>
      <w:r w:rsidR="00E93683" w:rsidRPr="00B45F7B">
        <w:rPr>
          <w:rFonts w:eastAsia="Times New Roman" w:cs="Times New Roman"/>
          <w:sz w:val="21"/>
          <w:szCs w:val="24"/>
          <w:lang w:val="en-AU"/>
        </w:rPr>
        <w:t xml:space="preserve"> the accountability and management role</w:t>
      </w:r>
      <w:r w:rsidR="0084050F">
        <w:rPr>
          <w:rFonts w:eastAsia="Times New Roman" w:cs="Times New Roman"/>
          <w:sz w:val="21"/>
          <w:szCs w:val="24"/>
          <w:lang w:val="en-AU"/>
        </w:rPr>
        <w:t>s</w:t>
      </w:r>
      <w:r w:rsidR="00E93683" w:rsidRPr="00B45F7B">
        <w:rPr>
          <w:rFonts w:eastAsia="Times New Roman" w:cs="Times New Roman"/>
          <w:sz w:val="21"/>
          <w:szCs w:val="24"/>
          <w:lang w:val="en-AU"/>
        </w:rPr>
        <w:t xml:space="preserve"> of </w:t>
      </w:r>
      <w:r w:rsidR="009F6AA8">
        <w:rPr>
          <w:rFonts w:eastAsia="Times New Roman" w:cs="Times New Roman"/>
          <w:sz w:val="21"/>
          <w:szCs w:val="24"/>
          <w:lang w:val="en-AU"/>
        </w:rPr>
        <w:t>A</w:t>
      </w:r>
      <w:r w:rsidR="00E93683" w:rsidRPr="00B45F7B">
        <w:rPr>
          <w:rFonts w:eastAsia="Times New Roman" w:cs="Times New Roman"/>
          <w:sz w:val="21"/>
          <w:szCs w:val="24"/>
          <w:lang w:val="en-AU"/>
        </w:rPr>
        <w:t>NGOs and their local partners. Finally</w:t>
      </w:r>
      <w:r w:rsidR="00C42DCB">
        <w:rPr>
          <w:rFonts w:eastAsia="Times New Roman" w:cs="Times New Roman"/>
          <w:sz w:val="21"/>
          <w:szCs w:val="24"/>
          <w:lang w:val="en-AU"/>
        </w:rPr>
        <w:t>,</w:t>
      </w:r>
      <w:r w:rsidR="00E93683" w:rsidRPr="00B45F7B">
        <w:rPr>
          <w:rFonts w:eastAsia="Times New Roman" w:cs="Times New Roman"/>
          <w:sz w:val="21"/>
          <w:szCs w:val="24"/>
          <w:lang w:val="en-AU"/>
        </w:rPr>
        <w:t xml:space="preserve"> it requires more efficient and locally effective </w:t>
      </w:r>
      <w:r w:rsidR="00AB086A">
        <w:rPr>
          <w:rFonts w:eastAsia="Times New Roman" w:cs="Times New Roman"/>
          <w:sz w:val="21"/>
          <w:szCs w:val="24"/>
          <w:lang w:val="en-AU"/>
        </w:rPr>
        <w:t xml:space="preserve">governance and coordination, </w:t>
      </w:r>
      <w:r w:rsidR="00070348">
        <w:rPr>
          <w:rFonts w:eastAsia="Times New Roman" w:cs="Times New Roman"/>
          <w:sz w:val="21"/>
          <w:szCs w:val="24"/>
          <w:lang w:val="en-AU"/>
        </w:rPr>
        <w:t>MEL</w:t>
      </w:r>
      <w:r w:rsidR="00E93683" w:rsidRPr="00B45F7B">
        <w:rPr>
          <w:rFonts w:eastAsia="Times New Roman" w:cs="Times New Roman"/>
          <w:sz w:val="21"/>
          <w:szCs w:val="24"/>
          <w:lang w:val="en-AU"/>
        </w:rPr>
        <w:t>, quality control and risk management.</w:t>
      </w:r>
    </w:p>
    <w:p w14:paraId="78C1CE3F" w14:textId="53B5AEA0" w:rsidR="00E93683" w:rsidRPr="00B45F7B" w:rsidRDefault="009B4AEA" w:rsidP="00E93683">
      <w:pPr>
        <w:pStyle w:val="ListParagraph"/>
        <w:numPr>
          <w:ilvl w:val="0"/>
          <w:numId w:val="12"/>
        </w:numPr>
        <w:tabs>
          <w:tab w:val="left" w:pos="284"/>
        </w:tabs>
        <w:suppressAutoHyphens w:val="0"/>
        <w:spacing w:before="200" w:after="0" w:line="280" w:lineRule="exact"/>
        <w:ind w:left="0" w:firstLine="0"/>
        <w:contextualSpacing w:val="0"/>
        <w:rPr>
          <w:rFonts w:eastAsia="Times New Roman" w:cs="Times New Roman"/>
          <w:sz w:val="21"/>
          <w:szCs w:val="24"/>
          <w:lang w:val="en-AU"/>
        </w:rPr>
      </w:pPr>
      <w:r>
        <w:rPr>
          <w:rFonts w:eastAsia="Times New Roman" w:cs="Times New Roman"/>
          <w:b/>
          <w:bCs/>
          <w:sz w:val="21"/>
          <w:szCs w:val="24"/>
          <w:lang w:val="en-AU"/>
        </w:rPr>
        <w:t xml:space="preserve">The MTE found that </w:t>
      </w:r>
      <w:r w:rsidR="0042520A">
        <w:rPr>
          <w:rFonts w:eastAsia="Times New Roman" w:cs="Times New Roman"/>
          <w:b/>
          <w:bCs/>
          <w:sz w:val="21"/>
          <w:szCs w:val="24"/>
          <w:lang w:val="en-AU"/>
        </w:rPr>
        <w:t>while</w:t>
      </w:r>
      <w:r w:rsidR="00935CEA">
        <w:rPr>
          <w:rFonts w:eastAsia="Times New Roman" w:cs="Times New Roman"/>
          <w:b/>
          <w:bCs/>
          <w:sz w:val="21"/>
          <w:szCs w:val="24"/>
          <w:lang w:val="en-AU"/>
        </w:rPr>
        <w:t xml:space="preserve"> outcomes vary across countries</w:t>
      </w:r>
      <w:r w:rsidR="001331F2">
        <w:rPr>
          <w:rFonts w:eastAsia="Times New Roman" w:cs="Times New Roman"/>
          <w:b/>
          <w:bCs/>
          <w:sz w:val="21"/>
          <w:szCs w:val="24"/>
          <w:lang w:val="en-AU"/>
        </w:rPr>
        <w:t>, r</w:t>
      </w:r>
      <w:r w:rsidR="001331F2" w:rsidRPr="001331F2">
        <w:rPr>
          <w:rFonts w:eastAsia="Times New Roman" w:cs="Times New Roman"/>
          <w:b/>
          <w:bCs/>
          <w:sz w:val="21"/>
          <w:szCs w:val="24"/>
          <w:lang w:val="en-AU"/>
        </w:rPr>
        <w:t xml:space="preserve">esults show that </w:t>
      </w:r>
      <w:r w:rsidR="003853F5" w:rsidRPr="001331F2">
        <w:rPr>
          <w:rFonts w:eastAsia="Times New Roman" w:cs="Times New Roman"/>
          <w:b/>
          <w:bCs/>
          <w:sz w:val="21"/>
          <w:szCs w:val="24"/>
          <w:lang w:val="en-AU"/>
        </w:rPr>
        <w:t>overall</w:t>
      </w:r>
      <w:r w:rsidR="001331F2" w:rsidRPr="001331F2">
        <w:rPr>
          <w:rFonts w:eastAsia="Times New Roman" w:cs="Times New Roman"/>
          <w:b/>
          <w:bCs/>
          <w:sz w:val="21"/>
          <w:szCs w:val="24"/>
          <w:lang w:val="en-AU"/>
        </w:rPr>
        <w:t xml:space="preserve"> </w:t>
      </w:r>
      <w:r w:rsidR="000B5C0A">
        <w:rPr>
          <w:rFonts w:eastAsia="Times New Roman" w:cs="Times New Roman"/>
          <w:b/>
          <w:bCs/>
          <w:sz w:val="21"/>
          <w:szCs w:val="24"/>
          <w:lang w:val="en-AU"/>
        </w:rPr>
        <w:t>the empowerment of women</w:t>
      </w:r>
      <w:r w:rsidR="001331F2" w:rsidRPr="001331F2">
        <w:rPr>
          <w:rFonts w:eastAsia="Times New Roman" w:cs="Times New Roman"/>
          <w:b/>
          <w:bCs/>
          <w:sz w:val="21"/>
          <w:szCs w:val="24"/>
          <w:lang w:val="en-AU"/>
        </w:rPr>
        <w:t xml:space="preserve"> has been more effective than </w:t>
      </w:r>
      <w:r w:rsidR="00063CBE">
        <w:rPr>
          <w:rFonts w:eastAsia="Times New Roman" w:cs="Times New Roman"/>
          <w:b/>
          <w:bCs/>
          <w:sz w:val="21"/>
          <w:szCs w:val="24"/>
          <w:lang w:val="en-AU"/>
        </w:rPr>
        <w:t xml:space="preserve">the </w:t>
      </w:r>
      <w:r w:rsidR="001331F2" w:rsidRPr="001331F2">
        <w:rPr>
          <w:rFonts w:eastAsia="Times New Roman" w:cs="Times New Roman"/>
          <w:b/>
          <w:bCs/>
          <w:sz w:val="21"/>
          <w:szCs w:val="24"/>
          <w:lang w:val="en-AU"/>
        </w:rPr>
        <w:t xml:space="preserve">inclusion of people </w:t>
      </w:r>
      <w:r w:rsidR="003D6E7F">
        <w:rPr>
          <w:rFonts w:eastAsia="Times New Roman" w:cs="Times New Roman"/>
          <w:b/>
          <w:bCs/>
          <w:sz w:val="21"/>
          <w:szCs w:val="24"/>
          <w:lang w:val="en-AU"/>
        </w:rPr>
        <w:t xml:space="preserve">living </w:t>
      </w:r>
      <w:r w:rsidR="001331F2" w:rsidRPr="001331F2">
        <w:rPr>
          <w:rFonts w:eastAsia="Times New Roman" w:cs="Times New Roman"/>
          <w:b/>
          <w:bCs/>
          <w:sz w:val="21"/>
          <w:szCs w:val="24"/>
          <w:lang w:val="en-AU"/>
        </w:rPr>
        <w:t>with disability</w:t>
      </w:r>
      <w:r w:rsidR="000B5C0A">
        <w:rPr>
          <w:rFonts w:eastAsia="Times New Roman" w:cs="Times New Roman"/>
          <w:b/>
          <w:bCs/>
          <w:sz w:val="21"/>
          <w:szCs w:val="24"/>
          <w:lang w:val="en-AU"/>
        </w:rPr>
        <w:t xml:space="preserve"> in the AHP</w:t>
      </w:r>
      <w:r w:rsidR="00E93683" w:rsidRPr="00E93683">
        <w:rPr>
          <w:rFonts w:eastAsia="Times New Roman" w:cs="Times New Roman"/>
          <w:b/>
          <w:bCs/>
          <w:sz w:val="21"/>
          <w:szCs w:val="24"/>
          <w:lang w:val="en-AU"/>
        </w:rPr>
        <w:t>.</w:t>
      </w:r>
      <w:r w:rsidR="00E93683" w:rsidRPr="00B45F7B">
        <w:rPr>
          <w:rFonts w:eastAsia="Times New Roman" w:cs="Times New Roman"/>
          <w:sz w:val="21"/>
          <w:szCs w:val="24"/>
          <w:lang w:val="en-AU"/>
        </w:rPr>
        <w:t xml:space="preserve"> </w:t>
      </w:r>
      <w:r w:rsidR="003B4B12">
        <w:rPr>
          <w:rFonts w:eastAsia="Times New Roman" w:cs="Times New Roman"/>
          <w:sz w:val="21"/>
          <w:szCs w:val="24"/>
          <w:lang w:val="en-AU"/>
        </w:rPr>
        <w:t xml:space="preserve">An evaluation of disability inclusion in Disaster READY </w:t>
      </w:r>
      <w:r w:rsidR="00D3694D">
        <w:rPr>
          <w:rFonts w:eastAsia="Times New Roman" w:cs="Times New Roman"/>
          <w:sz w:val="21"/>
          <w:szCs w:val="24"/>
          <w:lang w:val="en-AU"/>
        </w:rPr>
        <w:t xml:space="preserve">reinforced these </w:t>
      </w:r>
      <w:r w:rsidR="00B9285D">
        <w:rPr>
          <w:rFonts w:eastAsia="Times New Roman" w:cs="Times New Roman"/>
          <w:sz w:val="21"/>
          <w:szCs w:val="24"/>
          <w:lang w:val="en-AU"/>
        </w:rPr>
        <w:t>findings and</w:t>
      </w:r>
      <w:r w:rsidR="00D3694D">
        <w:rPr>
          <w:rFonts w:eastAsia="Times New Roman" w:cs="Times New Roman"/>
          <w:sz w:val="21"/>
          <w:szCs w:val="24"/>
          <w:lang w:val="en-AU"/>
        </w:rPr>
        <w:t xml:space="preserve"> noted a range of</w:t>
      </w:r>
      <w:r w:rsidR="00F47787">
        <w:rPr>
          <w:rFonts w:eastAsia="Times New Roman" w:cs="Times New Roman"/>
          <w:sz w:val="21"/>
          <w:szCs w:val="24"/>
          <w:lang w:val="en-AU"/>
        </w:rPr>
        <w:t xml:space="preserve"> opportunities for stronger practices</w:t>
      </w:r>
      <w:r w:rsidR="000A749E">
        <w:rPr>
          <w:rFonts w:eastAsia="Times New Roman" w:cs="Times New Roman"/>
          <w:sz w:val="21"/>
          <w:szCs w:val="24"/>
          <w:lang w:val="en-AU"/>
        </w:rPr>
        <w:t>.</w:t>
      </w:r>
      <w:r w:rsidR="00F47787">
        <w:rPr>
          <w:rStyle w:val="FootnoteReference"/>
          <w:rFonts w:eastAsia="Times New Roman" w:cs="Times New Roman"/>
          <w:sz w:val="21"/>
          <w:szCs w:val="24"/>
          <w:lang w:val="en-AU"/>
        </w:rPr>
        <w:footnoteReference w:id="11"/>
      </w:r>
      <w:r w:rsidR="00F47787">
        <w:rPr>
          <w:rFonts w:eastAsia="Times New Roman" w:cs="Times New Roman"/>
          <w:sz w:val="21"/>
          <w:szCs w:val="24"/>
          <w:lang w:val="en-AU"/>
        </w:rPr>
        <w:t xml:space="preserve"> </w:t>
      </w:r>
      <w:r w:rsidR="00E93683" w:rsidRPr="00B45F7B">
        <w:rPr>
          <w:rFonts w:eastAsia="Times New Roman" w:cs="Times New Roman"/>
          <w:sz w:val="21"/>
          <w:szCs w:val="24"/>
          <w:lang w:val="en-AU"/>
        </w:rPr>
        <w:t xml:space="preserve">The second phase of the program provides the opportunity for more differentiated strategies and approaches to increase effective </w:t>
      </w:r>
      <w:r w:rsidR="00F717BD">
        <w:rPr>
          <w:rFonts w:eastAsia="Times New Roman" w:cs="Times New Roman"/>
          <w:sz w:val="21"/>
          <w:szCs w:val="24"/>
          <w:lang w:val="en-AU"/>
        </w:rPr>
        <w:t>GEDSI</w:t>
      </w:r>
      <w:r w:rsidR="004E3977">
        <w:rPr>
          <w:rFonts w:eastAsia="Times New Roman" w:cs="Times New Roman"/>
          <w:sz w:val="21"/>
          <w:szCs w:val="24"/>
          <w:lang w:val="en-AU"/>
        </w:rPr>
        <w:t>, including a focus on i</w:t>
      </w:r>
      <w:r w:rsidR="00F249A3">
        <w:rPr>
          <w:rFonts w:eastAsia="Times New Roman" w:cs="Times New Roman"/>
          <w:sz w:val="21"/>
          <w:szCs w:val="24"/>
          <w:lang w:val="en-AU"/>
        </w:rPr>
        <w:t>ntersectionality</w:t>
      </w:r>
      <w:r w:rsidR="00A41C50">
        <w:rPr>
          <w:rStyle w:val="FootnoteReference"/>
          <w:rFonts w:eastAsia="Times New Roman" w:cs="Times New Roman"/>
          <w:sz w:val="21"/>
          <w:szCs w:val="24"/>
          <w:lang w:val="en-AU"/>
        </w:rPr>
        <w:footnoteReference w:id="12"/>
      </w:r>
      <w:r w:rsidR="009C738F">
        <w:rPr>
          <w:rFonts w:eastAsia="Times New Roman" w:cs="Times New Roman"/>
          <w:sz w:val="21"/>
          <w:szCs w:val="24"/>
          <w:lang w:val="en-AU"/>
        </w:rPr>
        <w:t xml:space="preserve"> and addressing vulnerability to violence against women in disaster and humanitarian crisis.</w:t>
      </w:r>
      <w:r w:rsidR="00AB086A">
        <w:rPr>
          <w:rFonts w:eastAsia="Times New Roman" w:cs="Times New Roman"/>
          <w:sz w:val="21"/>
          <w:szCs w:val="24"/>
          <w:lang w:val="en-AU"/>
        </w:rPr>
        <w:t xml:space="preserve"> The link between evaluation of </w:t>
      </w:r>
      <w:r w:rsidR="00E66705">
        <w:rPr>
          <w:rFonts w:eastAsia="Times New Roman" w:cs="Times New Roman"/>
          <w:sz w:val="21"/>
          <w:szCs w:val="24"/>
          <w:lang w:val="en-AU"/>
        </w:rPr>
        <w:t xml:space="preserve">AHP </w:t>
      </w:r>
      <w:r w:rsidR="00AB086A">
        <w:rPr>
          <w:rFonts w:eastAsia="Times New Roman" w:cs="Times New Roman"/>
          <w:sz w:val="21"/>
          <w:szCs w:val="24"/>
          <w:lang w:val="en-AU"/>
        </w:rPr>
        <w:t xml:space="preserve">programs and accountability for performance, particularly in the areas of </w:t>
      </w:r>
      <w:r w:rsidR="00F554CC">
        <w:rPr>
          <w:rFonts w:eastAsia="Times New Roman" w:cs="Times New Roman"/>
          <w:sz w:val="21"/>
          <w:szCs w:val="24"/>
          <w:lang w:val="en-AU"/>
        </w:rPr>
        <w:t>GEDSI</w:t>
      </w:r>
      <w:r w:rsidR="00AB086A">
        <w:rPr>
          <w:rFonts w:eastAsia="Times New Roman" w:cs="Times New Roman"/>
          <w:sz w:val="21"/>
          <w:szCs w:val="24"/>
          <w:lang w:val="en-AU"/>
        </w:rPr>
        <w:t xml:space="preserve">, </w:t>
      </w:r>
      <w:r w:rsidR="00E818A8">
        <w:rPr>
          <w:rFonts w:eastAsia="Times New Roman" w:cs="Times New Roman"/>
          <w:sz w:val="21"/>
          <w:szCs w:val="24"/>
          <w:lang w:val="en-AU"/>
        </w:rPr>
        <w:t>will</w:t>
      </w:r>
      <w:r w:rsidR="00AB086A">
        <w:rPr>
          <w:rFonts w:eastAsia="Times New Roman" w:cs="Times New Roman"/>
          <w:sz w:val="21"/>
          <w:szCs w:val="24"/>
          <w:lang w:val="en-AU"/>
        </w:rPr>
        <w:t xml:space="preserve"> be strengthened through governance mechanisms.</w:t>
      </w:r>
    </w:p>
    <w:p w14:paraId="0BB11A87" w14:textId="3956C56E" w:rsidR="00E93683" w:rsidRPr="004B53D8" w:rsidRDefault="008F2AD6" w:rsidP="004B53D8">
      <w:pPr>
        <w:pStyle w:val="ListParagraph"/>
        <w:numPr>
          <w:ilvl w:val="0"/>
          <w:numId w:val="12"/>
        </w:numPr>
        <w:tabs>
          <w:tab w:val="left" w:pos="284"/>
        </w:tabs>
        <w:suppressAutoHyphens w:val="0"/>
        <w:spacing w:before="200" w:after="0" w:line="280" w:lineRule="exact"/>
        <w:ind w:left="0" w:firstLine="0"/>
        <w:contextualSpacing w:val="0"/>
        <w:rPr>
          <w:rFonts w:eastAsia="Times New Roman" w:cs="Times New Roman"/>
          <w:sz w:val="21"/>
          <w:szCs w:val="24"/>
          <w:lang w:val="en-AU"/>
        </w:rPr>
      </w:pPr>
      <w:r>
        <w:rPr>
          <w:rFonts w:eastAsia="Times New Roman" w:cs="Times New Roman"/>
          <w:b/>
          <w:bCs/>
          <w:sz w:val="21"/>
          <w:szCs w:val="24"/>
          <w:lang w:val="en-AU"/>
        </w:rPr>
        <w:t>The</w:t>
      </w:r>
      <w:r w:rsidR="004E7208">
        <w:rPr>
          <w:rFonts w:eastAsia="Times New Roman" w:cs="Times New Roman"/>
          <w:b/>
          <w:bCs/>
          <w:sz w:val="21"/>
          <w:szCs w:val="24"/>
          <w:lang w:val="en-AU"/>
        </w:rPr>
        <w:t xml:space="preserve">re </w:t>
      </w:r>
      <w:r w:rsidR="00CB1D4A">
        <w:rPr>
          <w:rFonts w:eastAsia="Times New Roman" w:cs="Times New Roman"/>
          <w:b/>
          <w:bCs/>
          <w:sz w:val="21"/>
          <w:szCs w:val="24"/>
          <w:lang w:val="en-AU"/>
        </w:rPr>
        <w:t xml:space="preserve">is a need for stronger outcomes-based </w:t>
      </w:r>
      <w:r w:rsidR="00C23021">
        <w:rPr>
          <w:rFonts w:eastAsia="Times New Roman" w:cs="Times New Roman"/>
          <w:b/>
          <w:bCs/>
          <w:sz w:val="21"/>
          <w:szCs w:val="24"/>
          <w:lang w:val="en-AU"/>
        </w:rPr>
        <w:t xml:space="preserve">and accountable </w:t>
      </w:r>
      <w:r w:rsidR="00070348">
        <w:rPr>
          <w:rFonts w:eastAsia="Times New Roman" w:cs="Times New Roman"/>
          <w:b/>
          <w:bCs/>
          <w:sz w:val="21"/>
          <w:szCs w:val="24"/>
          <w:lang w:val="en-AU"/>
        </w:rPr>
        <w:t>MEL</w:t>
      </w:r>
      <w:r w:rsidR="00C23021">
        <w:rPr>
          <w:rFonts w:eastAsia="Times New Roman" w:cs="Times New Roman"/>
          <w:b/>
          <w:bCs/>
          <w:sz w:val="21"/>
          <w:szCs w:val="24"/>
          <w:lang w:val="en-AU"/>
        </w:rPr>
        <w:t xml:space="preserve">, and </w:t>
      </w:r>
      <w:r w:rsidR="00E34371">
        <w:rPr>
          <w:rFonts w:eastAsia="Times New Roman" w:cs="Times New Roman"/>
          <w:b/>
          <w:bCs/>
          <w:sz w:val="21"/>
          <w:szCs w:val="24"/>
          <w:lang w:val="en-AU"/>
        </w:rPr>
        <w:t xml:space="preserve">more can be done </w:t>
      </w:r>
      <w:r w:rsidR="00B9285D">
        <w:rPr>
          <w:rFonts w:eastAsia="Times New Roman" w:cs="Times New Roman"/>
          <w:b/>
          <w:bCs/>
          <w:sz w:val="21"/>
          <w:szCs w:val="24"/>
          <w:lang w:val="en-AU"/>
        </w:rPr>
        <w:t>to contribute</w:t>
      </w:r>
      <w:r w:rsidR="00082A83">
        <w:rPr>
          <w:rFonts w:eastAsia="Times New Roman" w:cs="Times New Roman"/>
          <w:b/>
          <w:bCs/>
          <w:sz w:val="21"/>
          <w:szCs w:val="24"/>
          <w:lang w:val="en-AU"/>
        </w:rPr>
        <w:t xml:space="preserve"> to learning </w:t>
      </w:r>
      <w:r w:rsidR="007D3A44">
        <w:rPr>
          <w:rFonts w:eastAsia="Times New Roman" w:cs="Times New Roman"/>
          <w:b/>
          <w:bCs/>
          <w:sz w:val="21"/>
          <w:szCs w:val="24"/>
          <w:lang w:val="en-AU"/>
        </w:rPr>
        <w:t xml:space="preserve">in </w:t>
      </w:r>
      <w:r w:rsidR="00E93683" w:rsidRPr="00E93683">
        <w:rPr>
          <w:rFonts w:eastAsia="Times New Roman" w:cs="Times New Roman"/>
          <w:b/>
          <w:bCs/>
          <w:sz w:val="21"/>
          <w:szCs w:val="24"/>
          <w:lang w:val="en-AU"/>
        </w:rPr>
        <w:t>the humanitarian sector.</w:t>
      </w:r>
      <w:r w:rsidR="00E93683" w:rsidRPr="00B45F7B">
        <w:rPr>
          <w:rFonts w:eastAsia="Times New Roman" w:cs="Times New Roman"/>
          <w:sz w:val="21"/>
          <w:szCs w:val="24"/>
          <w:lang w:val="en-AU"/>
        </w:rPr>
        <w:t xml:space="preserve"> </w:t>
      </w:r>
      <w:r w:rsidR="00CE3DB6">
        <w:rPr>
          <w:rFonts w:eastAsia="Times New Roman" w:cs="Times New Roman"/>
          <w:sz w:val="21"/>
          <w:szCs w:val="24"/>
          <w:lang w:val="en-AU"/>
        </w:rPr>
        <w:t>The MTE found that c</w:t>
      </w:r>
      <w:r w:rsidR="00E93683" w:rsidRPr="00B45F7B">
        <w:rPr>
          <w:rFonts w:eastAsia="Times New Roman" w:cs="Times New Roman"/>
          <w:sz w:val="21"/>
          <w:szCs w:val="24"/>
          <w:lang w:val="en-AU"/>
        </w:rPr>
        <w:t xml:space="preserve">onsiderable attention has been given to </w:t>
      </w:r>
      <w:r w:rsidR="00070348">
        <w:rPr>
          <w:rFonts w:eastAsia="Times New Roman" w:cs="Times New Roman"/>
          <w:sz w:val="21"/>
          <w:szCs w:val="24"/>
          <w:lang w:val="en-AU"/>
        </w:rPr>
        <w:t>MEL</w:t>
      </w:r>
      <w:r w:rsidR="00E93683" w:rsidRPr="00B45F7B">
        <w:rPr>
          <w:rFonts w:eastAsia="Times New Roman" w:cs="Times New Roman"/>
          <w:sz w:val="21"/>
          <w:szCs w:val="24"/>
          <w:lang w:val="en-AU"/>
        </w:rPr>
        <w:t xml:space="preserve"> to meet reporting requirements</w:t>
      </w:r>
      <w:r w:rsidR="004B7726">
        <w:rPr>
          <w:rFonts w:eastAsia="Times New Roman" w:cs="Times New Roman"/>
          <w:sz w:val="21"/>
          <w:szCs w:val="24"/>
          <w:lang w:val="en-AU"/>
        </w:rPr>
        <w:t xml:space="preserve">, and to independent evaluations to support learning and improvement of AHP </w:t>
      </w:r>
      <w:r w:rsidR="00722AEE">
        <w:rPr>
          <w:rFonts w:eastAsia="Times New Roman" w:cs="Times New Roman"/>
          <w:sz w:val="21"/>
          <w:szCs w:val="24"/>
          <w:lang w:val="en-AU"/>
        </w:rPr>
        <w:t>NGO P</w:t>
      </w:r>
      <w:r w:rsidR="004B7726">
        <w:rPr>
          <w:rFonts w:eastAsia="Times New Roman" w:cs="Times New Roman"/>
          <w:sz w:val="21"/>
          <w:szCs w:val="24"/>
          <w:lang w:val="en-AU"/>
        </w:rPr>
        <w:t>artner implementation</w:t>
      </w:r>
      <w:r w:rsidR="004B7726" w:rsidRPr="00B45F7B">
        <w:rPr>
          <w:rFonts w:eastAsia="Times New Roman" w:cs="Times New Roman"/>
          <w:sz w:val="21"/>
          <w:szCs w:val="24"/>
          <w:lang w:val="en-AU"/>
        </w:rPr>
        <w:t>.</w:t>
      </w:r>
      <w:r w:rsidR="00E93683" w:rsidRPr="00B45F7B">
        <w:rPr>
          <w:rFonts w:eastAsia="Times New Roman" w:cs="Times New Roman"/>
          <w:sz w:val="21"/>
          <w:szCs w:val="24"/>
          <w:lang w:val="en-AU"/>
        </w:rPr>
        <w:t xml:space="preserve"> </w:t>
      </w:r>
      <w:r w:rsidR="00C42DCB">
        <w:rPr>
          <w:rFonts w:eastAsia="Times New Roman" w:cs="Times New Roman"/>
          <w:sz w:val="21"/>
          <w:szCs w:val="24"/>
          <w:lang w:val="en-AU"/>
        </w:rPr>
        <w:t>Less attention has been given to</w:t>
      </w:r>
      <w:r w:rsidR="00E93683" w:rsidRPr="00B45F7B">
        <w:rPr>
          <w:rFonts w:eastAsia="Times New Roman" w:cs="Times New Roman"/>
          <w:sz w:val="21"/>
          <w:szCs w:val="24"/>
          <w:lang w:val="en-AU"/>
        </w:rPr>
        <w:t xml:space="preserve"> </w:t>
      </w:r>
      <w:r w:rsidR="00070348">
        <w:rPr>
          <w:rFonts w:eastAsia="Times New Roman" w:cs="Times New Roman"/>
          <w:sz w:val="21"/>
          <w:szCs w:val="24"/>
          <w:lang w:val="en-AU"/>
        </w:rPr>
        <w:t>MEL</w:t>
      </w:r>
      <w:r w:rsidR="00E93683" w:rsidRPr="00B45F7B">
        <w:rPr>
          <w:rFonts w:eastAsia="Times New Roman" w:cs="Times New Roman"/>
          <w:sz w:val="21"/>
          <w:szCs w:val="24"/>
          <w:lang w:val="en-AU"/>
        </w:rPr>
        <w:t xml:space="preserve"> systems to promote local learning and accountability to local populations and </w:t>
      </w:r>
      <w:r w:rsidR="00B9285D" w:rsidRPr="00B45F7B">
        <w:rPr>
          <w:rFonts w:eastAsia="Times New Roman" w:cs="Times New Roman"/>
          <w:sz w:val="21"/>
          <w:szCs w:val="24"/>
          <w:lang w:val="en-AU"/>
        </w:rPr>
        <w:t>stakeholders</w:t>
      </w:r>
      <w:r w:rsidR="00B9285D">
        <w:rPr>
          <w:rFonts w:eastAsia="Times New Roman" w:cs="Times New Roman"/>
          <w:sz w:val="21"/>
          <w:szCs w:val="24"/>
          <w:lang w:val="en-AU"/>
        </w:rPr>
        <w:t xml:space="preserve"> and</w:t>
      </w:r>
      <w:r w:rsidR="0091481B">
        <w:rPr>
          <w:rFonts w:eastAsia="Times New Roman" w:cs="Times New Roman"/>
          <w:sz w:val="21"/>
          <w:szCs w:val="24"/>
          <w:lang w:val="en-AU"/>
        </w:rPr>
        <w:t xml:space="preserve"> assess progress at the outcome level</w:t>
      </w:r>
      <w:r w:rsidR="00E93683" w:rsidRPr="00B45F7B">
        <w:rPr>
          <w:rFonts w:eastAsia="Times New Roman" w:cs="Times New Roman"/>
          <w:sz w:val="21"/>
          <w:szCs w:val="24"/>
          <w:lang w:val="en-AU"/>
        </w:rPr>
        <w:t xml:space="preserve">. </w:t>
      </w:r>
      <w:r w:rsidR="00CE3DB6">
        <w:rPr>
          <w:rFonts w:eastAsia="Times New Roman" w:cs="Times New Roman"/>
          <w:sz w:val="21"/>
          <w:szCs w:val="24"/>
          <w:lang w:val="en-AU"/>
        </w:rPr>
        <w:t>In addition,</w:t>
      </w:r>
      <w:r w:rsidR="0091481B">
        <w:rPr>
          <w:rFonts w:eastAsia="Times New Roman" w:cs="Times New Roman"/>
          <w:sz w:val="21"/>
          <w:szCs w:val="24"/>
          <w:lang w:val="en-AU"/>
        </w:rPr>
        <w:t xml:space="preserve"> in Phase I</w:t>
      </w:r>
      <w:r w:rsidR="00CE3DB6">
        <w:rPr>
          <w:rFonts w:eastAsia="Times New Roman" w:cs="Times New Roman"/>
          <w:sz w:val="21"/>
          <w:szCs w:val="24"/>
          <w:lang w:val="en-AU"/>
        </w:rPr>
        <w:t xml:space="preserve"> </w:t>
      </w:r>
      <w:r w:rsidR="00CE3DB6" w:rsidRPr="00082A83">
        <w:rPr>
          <w:rFonts w:eastAsia="Times New Roman" w:cs="Times New Roman"/>
          <w:sz w:val="21"/>
          <w:szCs w:val="24"/>
          <w:lang w:val="en-AU"/>
        </w:rPr>
        <w:t xml:space="preserve">there </w:t>
      </w:r>
      <w:r w:rsidR="0091481B">
        <w:rPr>
          <w:rFonts w:eastAsia="Times New Roman" w:cs="Times New Roman"/>
          <w:sz w:val="21"/>
          <w:szCs w:val="24"/>
          <w:lang w:val="en-AU"/>
        </w:rPr>
        <w:t>were</w:t>
      </w:r>
      <w:r w:rsidR="00CE3DB6" w:rsidRPr="00082A83">
        <w:rPr>
          <w:rFonts w:eastAsia="Times New Roman" w:cs="Times New Roman"/>
          <w:sz w:val="21"/>
          <w:szCs w:val="24"/>
          <w:lang w:val="en-AU"/>
        </w:rPr>
        <w:t xml:space="preserve"> limited opportunities</w:t>
      </w:r>
      <w:r w:rsidR="00700AC7">
        <w:rPr>
          <w:rFonts w:eastAsia="Times New Roman" w:cs="Times New Roman"/>
          <w:sz w:val="21"/>
          <w:szCs w:val="24"/>
          <w:lang w:val="en-AU"/>
        </w:rPr>
        <w:t xml:space="preserve"> and resourcing </w:t>
      </w:r>
      <w:r w:rsidR="00CE3DB6" w:rsidRPr="00082A83">
        <w:rPr>
          <w:rFonts w:eastAsia="Times New Roman" w:cs="Times New Roman"/>
          <w:sz w:val="21"/>
          <w:szCs w:val="24"/>
          <w:lang w:val="en-AU"/>
        </w:rPr>
        <w:t>to share learning</w:t>
      </w:r>
      <w:r w:rsidR="000C5364">
        <w:rPr>
          <w:rFonts w:eastAsia="Times New Roman" w:cs="Times New Roman"/>
          <w:sz w:val="21"/>
          <w:szCs w:val="24"/>
          <w:lang w:val="en-AU"/>
        </w:rPr>
        <w:t xml:space="preserve"> </w:t>
      </w:r>
      <w:r w:rsidR="00700AC7">
        <w:rPr>
          <w:rFonts w:eastAsia="Times New Roman" w:cs="Times New Roman"/>
          <w:sz w:val="21"/>
          <w:szCs w:val="24"/>
          <w:lang w:val="en-AU"/>
        </w:rPr>
        <w:t>for wider improvement of the humanitarian sector</w:t>
      </w:r>
      <w:r w:rsidR="00CE3DB6" w:rsidRPr="00082A83">
        <w:rPr>
          <w:rFonts w:eastAsia="Times New Roman" w:cs="Times New Roman"/>
          <w:sz w:val="21"/>
          <w:szCs w:val="24"/>
          <w:lang w:val="en-AU"/>
        </w:rPr>
        <w:t>.</w:t>
      </w:r>
      <w:r w:rsidR="00CE3DB6">
        <w:rPr>
          <w:rFonts w:eastAsia="Times New Roman" w:cs="Times New Roman"/>
          <w:sz w:val="21"/>
          <w:szCs w:val="24"/>
          <w:lang w:val="en-AU"/>
        </w:rPr>
        <w:t xml:space="preserve"> </w:t>
      </w:r>
      <w:r w:rsidR="00E93683" w:rsidRPr="00B45F7B">
        <w:rPr>
          <w:rFonts w:eastAsia="Times New Roman" w:cs="Times New Roman"/>
          <w:sz w:val="21"/>
          <w:szCs w:val="24"/>
          <w:lang w:val="en-AU"/>
        </w:rPr>
        <w:t xml:space="preserve">This next phase of the program provides the opportunity to streamline </w:t>
      </w:r>
      <w:r w:rsidR="00070348">
        <w:rPr>
          <w:rFonts w:eastAsia="Times New Roman" w:cs="Times New Roman"/>
          <w:sz w:val="21"/>
          <w:szCs w:val="24"/>
          <w:lang w:val="en-AU"/>
        </w:rPr>
        <w:t>MEL</w:t>
      </w:r>
      <w:r w:rsidR="00E93683" w:rsidRPr="00B45F7B">
        <w:rPr>
          <w:rFonts w:eastAsia="Times New Roman" w:cs="Times New Roman"/>
          <w:sz w:val="21"/>
          <w:szCs w:val="24"/>
          <w:lang w:val="en-AU"/>
        </w:rPr>
        <w:t xml:space="preserve"> requirements</w:t>
      </w:r>
      <w:r w:rsidR="00FB1A5C">
        <w:rPr>
          <w:rFonts w:eastAsia="Times New Roman" w:cs="Times New Roman"/>
          <w:sz w:val="21"/>
          <w:szCs w:val="24"/>
          <w:lang w:val="en-AU"/>
        </w:rPr>
        <w:t xml:space="preserve">, </w:t>
      </w:r>
      <w:r w:rsidR="00E93683" w:rsidRPr="00B45F7B">
        <w:rPr>
          <w:rFonts w:eastAsia="Times New Roman" w:cs="Times New Roman"/>
          <w:sz w:val="21"/>
          <w:szCs w:val="24"/>
          <w:lang w:val="en-AU"/>
        </w:rPr>
        <w:t>rebalance these to reinforce learning throughout the program</w:t>
      </w:r>
      <w:r w:rsidR="00FB1A5C">
        <w:rPr>
          <w:rFonts w:eastAsia="Times New Roman" w:cs="Times New Roman"/>
          <w:sz w:val="21"/>
          <w:szCs w:val="24"/>
          <w:lang w:val="en-AU"/>
        </w:rPr>
        <w:t xml:space="preserve"> and</w:t>
      </w:r>
      <w:r w:rsidR="00C42DCB">
        <w:rPr>
          <w:rFonts w:eastAsia="Times New Roman" w:cs="Times New Roman"/>
          <w:sz w:val="21"/>
          <w:szCs w:val="24"/>
          <w:lang w:val="en-AU"/>
        </w:rPr>
        <w:t xml:space="preserve"> accountability for affected populations, and </w:t>
      </w:r>
      <w:r w:rsidR="005E25A4">
        <w:rPr>
          <w:rFonts w:eastAsia="Times New Roman" w:cs="Times New Roman"/>
          <w:sz w:val="21"/>
          <w:szCs w:val="24"/>
          <w:lang w:val="en-AU"/>
        </w:rPr>
        <w:t xml:space="preserve">invest more in </w:t>
      </w:r>
      <w:r w:rsidR="009C0744">
        <w:rPr>
          <w:rFonts w:eastAsia="Times New Roman" w:cs="Times New Roman"/>
          <w:sz w:val="21"/>
          <w:szCs w:val="24"/>
          <w:lang w:val="en-AU"/>
        </w:rPr>
        <w:t>knowledge brokering internally and externally</w:t>
      </w:r>
      <w:r w:rsidR="00E93683" w:rsidRPr="00B45F7B">
        <w:rPr>
          <w:rFonts w:eastAsia="Times New Roman" w:cs="Times New Roman"/>
          <w:sz w:val="21"/>
          <w:szCs w:val="24"/>
          <w:lang w:val="en-AU"/>
        </w:rPr>
        <w:t>.</w:t>
      </w:r>
    </w:p>
    <w:p w14:paraId="41E64D43" w14:textId="4049D14D" w:rsidR="0047031F" w:rsidRDefault="0047031F" w:rsidP="00117035"/>
    <w:p w14:paraId="2F04F02E" w14:textId="77777777" w:rsidR="0047031F" w:rsidRPr="00851A62" w:rsidRDefault="0047031F" w:rsidP="0011591E">
      <w:pPr>
        <w:pStyle w:val="Heading1"/>
        <w:numPr>
          <w:ilvl w:val="0"/>
          <w:numId w:val="22"/>
        </w:numPr>
        <w:pBdr>
          <w:top w:val="single" w:sz="4" w:space="1" w:color="auto"/>
          <w:left w:val="single" w:sz="4" w:space="4" w:color="auto"/>
          <w:bottom w:val="single" w:sz="4" w:space="1" w:color="auto"/>
          <w:right w:val="single" w:sz="4" w:space="4" w:color="auto"/>
        </w:pBdr>
        <w:shd w:val="clear" w:color="auto" w:fill="E0F3EF" w:themeFill="accent1" w:themeFillTint="33"/>
        <w:rPr>
          <w:rFonts w:eastAsiaTheme="minorHAnsi" w:cstheme="minorBidi"/>
          <w:bCs w:val="0"/>
          <w:sz w:val="22"/>
          <w:szCs w:val="21"/>
        </w:rPr>
      </w:pPr>
      <w:bookmarkStart w:id="16" w:name="_Toc101521650"/>
      <w:r w:rsidRPr="00851A62">
        <w:rPr>
          <w:rFonts w:eastAsiaTheme="minorHAnsi" w:cstheme="minorBidi"/>
          <w:bCs w:val="0"/>
          <w:sz w:val="22"/>
          <w:szCs w:val="21"/>
        </w:rPr>
        <w:t>Strategic Intent and Rationale (Why?)</w:t>
      </w:r>
      <w:bookmarkEnd w:id="16"/>
    </w:p>
    <w:p w14:paraId="6B7EE7CE" w14:textId="77777777" w:rsidR="0047031F" w:rsidRPr="00A92894" w:rsidRDefault="0047031F" w:rsidP="00A92894">
      <w:pPr>
        <w:rPr>
          <w:i/>
          <w:iCs/>
        </w:rPr>
      </w:pPr>
      <w:r w:rsidRPr="00A92894">
        <w:rPr>
          <w:i/>
          <w:iCs/>
        </w:rPr>
        <w:t xml:space="preserve">Strategic Setting and Rationale for Australian/DFAT Engagement  </w:t>
      </w:r>
    </w:p>
    <w:p w14:paraId="64EEB682" w14:textId="0779685D" w:rsidR="00532BEF" w:rsidRPr="003E2C60" w:rsidRDefault="002F69BC" w:rsidP="003E2C60">
      <w:pPr>
        <w:pStyle w:val="ListParagraph"/>
        <w:numPr>
          <w:ilvl w:val="0"/>
          <w:numId w:val="12"/>
        </w:numPr>
        <w:tabs>
          <w:tab w:val="left" w:pos="284"/>
        </w:tabs>
        <w:suppressAutoHyphens w:val="0"/>
        <w:spacing w:before="200" w:after="0" w:line="280" w:lineRule="exact"/>
        <w:ind w:left="0" w:firstLine="0"/>
        <w:contextualSpacing w:val="0"/>
        <w:rPr>
          <w:color w:val="44546A"/>
          <w:sz w:val="21"/>
          <w:szCs w:val="21"/>
          <w:lang w:val="en-AU"/>
        </w:rPr>
      </w:pPr>
      <w:r w:rsidRPr="003E2C60">
        <w:rPr>
          <w:sz w:val="21"/>
          <w:szCs w:val="21"/>
        </w:rPr>
        <w:t xml:space="preserve">The </w:t>
      </w:r>
      <w:r w:rsidRPr="003E2C60">
        <w:rPr>
          <w:rFonts w:eastAsia="Times New Roman" w:cs="Times New Roman"/>
          <w:sz w:val="21"/>
          <w:szCs w:val="24"/>
          <w:lang w:val="en-AU"/>
        </w:rPr>
        <w:t>strategic</w:t>
      </w:r>
      <w:r w:rsidRPr="003E2C60">
        <w:rPr>
          <w:sz w:val="21"/>
          <w:szCs w:val="21"/>
        </w:rPr>
        <w:t xml:space="preserve"> rationale for the AHP </w:t>
      </w:r>
      <w:r w:rsidR="005F4229" w:rsidRPr="003E2C60">
        <w:rPr>
          <w:sz w:val="21"/>
          <w:szCs w:val="21"/>
        </w:rPr>
        <w:t>set out in</w:t>
      </w:r>
      <w:r w:rsidRPr="003E2C60">
        <w:rPr>
          <w:sz w:val="21"/>
          <w:szCs w:val="21"/>
        </w:rPr>
        <w:t xml:space="preserve"> the </w:t>
      </w:r>
      <w:r w:rsidR="00406F84">
        <w:rPr>
          <w:sz w:val="21"/>
          <w:szCs w:val="21"/>
        </w:rPr>
        <w:t>Phase I</w:t>
      </w:r>
      <w:r w:rsidR="008B5BA5" w:rsidRPr="003E2C60">
        <w:rPr>
          <w:sz w:val="21"/>
          <w:szCs w:val="21"/>
        </w:rPr>
        <w:t xml:space="preserve"> </w:t>
      </w:r>
      <w:r w:rsidRPr="003E2C60">
        <w:rPr>
          <w:sz w:val="21"/>
          <w:szCs w:val="21"/>
        </w:rPr>
        <w:t>ID</w:t>
      </w:r>
      <w:r w:rsidR="006E42EB">
        <w:rPr>
          <w:sz w:val="21"/>
          <w:szCs w:val="21"/>
        </w:rPr>
        <w:t>D</w:t>
      </w:r>
      <w:r w:rsidR="006E42EB">
        <w:rPr>
          <w:rStyle w:val="FootnoteReference"/>
          <w:sz w:val="21"/>
          <w:szCs w:val="21"/>
        </w:rPr>
        <w:footnoteReference w:id="13"/>
      </w:r>
      <w:r w:rsidR="005F4229" w:rsidRPr="003E2C60">
        <w:rPr>
          <w:sz w:val="21"/>
          <w:szCs w:val="21"/>
        </w:rPr>
        <w:t xml:space="preserve"> remains </w:t>
      </w:r>
      <w:r w:rsidR="008B5BA5" w:rsidRPr="003E2C60">
        <w:rPr>
          <w:sz w:val="21"/>
          <w:szCs w:val="21"/>
        </w:rPr>
        <w:t>highly relevant to the current policy context:</w:t>
      </w:r>
      <w:r w:rsidR="005F4229" w:rsidRPr="003E2C60">
        <w:rPr>
          <w:sz w:val="21"/>
          <w:szCs w:val="21"/>
        </w:rPr>
        <w:t xml:space="preserve"> </w:t>
      </w:r>
    </w:p>
    <w:p w14:paraId="1C9A9744" w14:textId="4DFAE180" w:rsidR="009E0AA1" w:rsidRPr="005B092D" w:rsidRDefault="00EC5109" w:rsidP="0011591E">
      <w:pPr>
        <w:pStyle w:val="ListParagraph"/>
        <w:numPr>
          <w:ilvl w:val="0"/>
          <w:numId w:val="34"/>
        </w:numPr>
        <w:suppressAutoHyphens w:val="0"/>
        <w:spacing w:before="60" w:line="280" w:lineRule="exact"/>
        <w:contextualSpacing w:val="0"/>
        <w:rPr>
          <w:rFonts w:eastAsia="Times New Roman" w:cs="Times New Roman"/>
          <w:sz w:val="21"/>
          <w:szCs w:val="24"/>
          <w:lang w:val="en-AU"/>
        </w:rPr>
      </w:pPr>
      <w:r>
        <w:rPr>
          <w:rFonts w:eastAsia="Times New Roman" w:cs="Times New Roman"/>
          <w:b/>
          <w:bCs/>
          <w:i/>
          <w:iCs/>
          <w:sz w:val="21"/>
          <w:szCs w:val="24"/>
          <w:lang w:val="en-AU"/>
        </w:rPr>
        <w:t xml:space="preserve">Strengthening preparedness for and responding to </w:t>
      </w:r>
      <w:r w:rsidR="009C0744">
        <w:rPr>
          <w:rFonts w:eastAsia="Times New Roman" w:cs="Times New Roman"/>
          <w:b/>
          <w:bCs/>
          <w:i/>
          <w:iCs/>
          <w:sz w:val="21"/>
          <w:szCs w:val="24"/>
          <w:lang w:val="en-AU"/>
        </w:rPr>
        <w:t>disasters</w:t>
      </w:r>
      <w:r w:rsidR="009E0AA1">
        <w:rPr>
          <w:rFonts w:eastAsia="Times New Roman" w:cs="Times New Roman"/>
          <w:b/>
          <w:bCs/>
          <w:i/>
          <w:iCs/>
          <w:sz w:val="21"/>
          <w:szCs w:val="24"/>
          <w:lang w:val="en-AU"/>
        </w:rPr>
        <w:t xml:space="preserve"> and other</w:t>
      </w:r>
      <w:r>
        <w:rPr>
          <w:rFonts w:eastAsia="Times New Roman" w:cs="Times New Roman"/>
          <w:b/>
          <w:bCs/>
          <w:i/>
          <w:iCs/>
          <w:sz w:val="21"/>
          <w:szCs w:val="24"/>
          <w:lang w:val="en-AU"/>
        </w:rPr>
        <w:t xml:space="preserve"> humanitarian</w:t>
      </w:r>
      <w:r w:rsidR="009E0AA1">
        <w:rPr>
          <w:rFonts w:eastAsia="Times New Roman" w:cs="Times New Roman"/>
          <w:b/>
          <w:bCs/>
          <w:i/>
          <w:iCs/>
          <w:sz w:val="21"/>
          <w:szCs w:val="24"/>
          <w:lang w:val="en-AU"/>
        </w:rPr>
        <w:t xml:space="preserve"> crises support</w:t>
      </w:r>
      <w:r w:rsidR="003314B8">
        <w:rPr>
          <w:rFonts w:eastAsia="Times New Roman" w:cs="Times New Roman"/>
          <w:b/>
          <w:bCs/>
          <w:i/>
          <w:iCs/>
          <w:sz w:val="21"/>
          <w:szCs w:val="24"/>
          <w:lang w:val="en-AU"/>
        </w:rPr>
        <w:t>s</w:t>
      </w:r>
      <w:r w:rsidR="009E0AA1">
        <w:rPr>
          <w:rFonts w:eastAsia="Times New Roman" w:cs="Times New Roman"/>
          <w:b/>
          <w:bCs/>
          <w:i/>
          <w:iCs/>
          <w:sz w:val="21"/>
          <w:szCs w:val="24"/>
          <w:lang w:val="en-AU"/>
        </w:rPr>
        <w:t xml:space="preserve"> Australia’s strategic and development objectives, particularly i</w:t>
      </w:r>
      <w:r w:rsidR="009E0AA1" w:rsidRPr="00FF3D91">
        <w:rPr>
          <w:rFonts w:eastAsia="Times New Roman" w:cs="Times New Roman"/>
          <w:b/>
          <w:bCs/>
          <w:i/>
          <w:iCs/>
          <w:sz w:val="21"/>
          <w:szCs w:val="24"/>
          <w:lang w:val="en-AU"/>
        </w:rPr>
        <w:t>n Timor-Leste and the Pacific</w:t>
      </w:r>
      <w:r w:rsidR="009E0AA1" w:rsidRPr="00393664">
        <w:rPr>
          <w:rFonts w:eastAsia="Times New Roman" w:cs="Times New Roman"/>
        </w:rPr>
        <w:t xml:space="preserve">. </w:t>
      </w:r>
      <w:r w:rsidR="009E0AA1">
        <w:rPr>
          <w:rFonts w:eastAsia="Times New Roman" w:cs="Times New Roman"/>
          <w:sz w:val="21"/>
          <w:szCs w:val="24"/>
          <w:lang w:val="en-AU"/>
        </w:rPr>
        <w:t>Consistent with t</w:t>
      </w:r>
      <w:r w:rsidR="009E0AA1" w:rsidRPr="009C74B6">
        <w:rPr>
          <w:rFonts w:eastAsia="Times New Roman" w:cs="Times New Roman"/>
          <w:sz w:val="21"/>
          <w:szCs w:val="24"/>
          <w:lang w:val="en-AU"/>
        </w:rPr>
        <w:t xml:space="preserve">he Australian Government's </w:t>
      </w:r>
      <w:r w:rsidR="004B7726">
        <w:rPr>
          <w:rFonts w:eastAsia="Times New Roman" w:cs="Times New Roman"/>
          <w:sz w:val="21"/>
          <w:szCs w:val="24"/>
          <w:lang w:val="en-AU"/>
        </w:rPr>
        <w:t xml:space="preserve">current </w:t>
      </w:r>
      <w:r w:rsidR="009E0AA1" w:rsidRPr="009C74B6">
        <w:rPr>
          <w:rFonts w:eastAsia="Times New Roman" w:cs="Times New Roman"/>
          <w:sz w:val="21"/>
          <w:szCs w:val="24"/>
          <w:lang w:val="en-AU"/>
        </w:rPr>
        <w:t xml:space="preserve">development policy </w:t>
      </w:r>
      <w:r w:rsidR="009E0AA1" w:rsidRPr="008A7BFC">
        <w:rPr>
          <w:rFonts w:eastAsia="Times New Roman" w:cs="Times New Roman"/>
          <w:i/>
          <w:iCs/>
          <w:sz w:val="21"/>
          <w:szCs w:val="24"/>
          <w:lang w:val="en-AU"/>
        </w:rPr>
        <w:t>Partnerships for Recovery</w:t>
      </w:r>
      <w:r w:rsidR="003314B8">
        <w:rPr>
          <w:rFonts w:eastAsia="Times New Roman" w:cs="Times New Roman"/>
          <w:i/>
          <w:iCs/>
          <w:sz w:val="21"/>
          <w:szCs w:val="24"/>
          <w:lang w:val="en-AU"/>
        </w:rPr>
        <w:t>:</w:t>
      </w:r>
      <w:r w:rsidR="009E0AA1" w:rsidRPr="008A7BFC">
        <w:rPr>
          <w:rFonts w:eastAsia="Times New Roman" w:cs="Times New Roman"/>
          <w:i/>
          <w:iCs/>
          <w:sz w:val="21"/>
          <w:szCs w:val="24"/>
          <w:lang w:val="en-AU"/>
        </w:rPr>
        <w:t xml:space="preserve"> Australia’s COVID-19 Development Response</w:t>
      </w:r>
      <w:r w:rsidR="003314B8">
        <w:rPr>
          <w:rFonts w:eastAsia="Times New Roman" w:cs="Times New Roman"/>
          <w:i/>
          <w:iCs/>
          <w:sz w:val="21"/>
          <w:szCs w:val="24"/>
          <w:lang w:val="en-AU"/>
        </w:rPr>
        <w:t xml:space="preserve"> (</w:t>
      </w:r>
      <w:r w:rsidR="003314B8" w:rsidRPr="003314B8">
        <w:rPr>
          <w:rFonts w:eastAsia="Times New Roman" w:cs="Times New Roman"/>
          <w:sz w:val="21"/>
          <w:szCs w:val="24"/>
          <w:lang w:val="en-AU"/>
        </w:rPr>
        <w:t>Partnerships for Recovery</w:t>
      </w:r>
      <w:r w:rsidR="003314B8">
        <w:rPr>
          <w:rFonts w:eastAsia="Times New Roman" w:cs="Times New Roman"/>
          <w:i/>
          <w:iCs/>
          <w:sz w:val="21"/>
          <w:szCs w:val="24"/>
          <w:lang w:val="en-AU"/>
        </w:rPr>
        <w:t>)</w:t>
      </w:r>
      <w:r w:rsidR="009E0AA1" w:rsidRPr="005B092D">
        <w:rPr>
          <w:rFonts w:eastAsia="Times New Roman" w:cs="Times New Roman"/>
          <w:sz w:val="21"/>
          <w:szCs w:val="24"/>
          <w:lang w:val="en-AU"/>
        </w:rPr>
        <w:t>,</w:t>
      </w:r>
      <w:r w:rsidR="008A7BFC">
        <w:rPr>
          <w:rStyle w:val="FootnoteReference"/>
          <w:rFonts w:eastAsia="Times New Roman" w:cs="Times New Roman"/>
        </w:rPr>
        <w:footnoteReference w:id="14"/>
      </w:r>
      <w:r w:rsidR="009E0AA1" w:rsidRPr="005B092D">
        <w:rPr>
          <w:rFonts w:eastAsia="Times New Roman" w:cs="Times New Roman"/>
          <w:sz w:val="21"/>
          <w:szCs w:val="24"/>
          <w:lang w:val="en-AU"/>
        </w:rPr>
        <w:t xml:space="preserve"> strengthened preparedness for, response to and recovery from humanitarian crises contributes to health security, </w:t>
      </w:r>
      <w:r w:rsidR="00B9285D" w:rsidRPr="005B092D">
        <w:rPr>
          <w:rFonts w:eastAsia="Times New Roman" w:cs="Times New Roman"/>
          <w:sz w:val="21"/>
          <w:szCs w:val="24"/>
          <w:lang w:val="en-AU"/>
        </w:rPr>
        <w:t>stability,</w:t>
      </w:r>
      <w:r w:rsidR="009E0AA1" w:rsidRPr="005B092D">
        <w:rPr>
          <w:rFonts w:eastAsia="Times New Roman" w:cs="Times New Roman"/>
          <w:sz w:val="21"/>
          <w:szCs w:val="24"/>
          <w:lang w:val="en-AU"/>
        </w:rPr>
        <w:t xml:space="preserve"> and economic recovery in our region and around the world. </w:t>
      </w:r>
      <w:r w:rsidR="009E0AA1" w:rsidRPr="00393664">
        <w:rPr>
          <w:rFonts w:eastAsia="Times New Roman" w:cs="Times New Roman"/>
          <w:sz w:val="21"/>
          <w:szCs w:val="24"/>
          <w:lang w:val="en-AU"/>
        </w:rPr>
        <w:t>The AHP</w:t>
      </w:r>
      <w:r w:rsidR="009E0AA1">
        <w:rPr>
          <w:rFonts w:eastAsia="Times New Roman" w:cs="Times New Roman"/>
          <w:sz w:val="21"/>
          <w:szCs w:val="24"/>
          <w:lang w:val="en-AU"/>
        </w:rPr>
        <w:t>’s</w:t>
      </w:r>
      <w:r w:rsidR="009E0AA1" w:rsidRPr="00393664">
        <w:rPr>
          <w:rFonts w:eastAsia="Times New Roman" w:cs="Times New Roman"/>
          <w:sz w:val="21"/>
          <w:szCs w:val="24"/>
          <w:lang w:val="en-AU"/>
        </w:rPr>
        <w:t xml:space="preserve"> work to mitigate the impacts of </w:t>
      </w:r>
      <w:r w:rsidR="009C0744">
        <w:rPr>
          <w:rFonts w:eastAsia="Times New Roman" w:cs="Times New Roman"/>
          <w:sz w:val="21"/>
          <w:szCs w:val="24"/>
          <w:lang w:val="en-AU"/>
        </w:rPr>
        <w:t xml:space="preserve">COVID-19 and </w:t>
      </w:r>
      <w:r w:rsidR="009E0AA1" w:rsidRPr="00393664">
        <w:rPr>
          <w:rFonts w:eastAsia="Times New Roman" w:cs="Times New Roman"/>
          <w:sz w:val="21"/>
          <w:szCs w:val="24"/>
          <w:lang w:val="en-AU"/>
        </w:rPr>
        <w:t>climate change, promote Pacific-led coordination</w:t>
      </w:r>
      <w:r w:rsidR="009E0AA1" w:rsidRPr="005B092D">
        <w:rPr>
          <w:rFonts w:eastAsia="Times New Roman" w:cs="Times New Roman"/>
          <w:sz w:val="21"/>
          <w:szCs w:val="24"/>
          <w:lang w:val="en-AU"/>
        </w:rPr>
        <w:t xml:space="preserve">, </w:t>
      </w:r>
      <w:r w:rsidR="009E0AA1" w:rsidRPr="005B092D">
        <w:rPr>
          <w:rFonts w:eastAsia="Times New Roman" w:cs="Times New Roman"/>
          <w:sz w:val="21"/>
          <w:szCs w:val="24"/>
          <w:lang w:val="en-AU"/>
        </w:rPr>
        <w:lastRenderedPageBreak/>
        <w:t xml:space="preserve">and support regional cooperation and cross-country learning also demonstrates Australia’s commitment to the policies of Pacific Island governments and regional institutions. </w:t>
      </w:r>
    </w:p>
    <w:p w14:paraId="7CAF91C3" w14:textId="05370FB1" w:rsidR="00532BEF" w:rsidRPr="00393664" w:rsidRDefault="004B53D8" w:rsidP="0011591E">
      <w:pPr>
        <w:pStyle w:val="ListParagraph"/>
        <w:numPr>
          <w:ilvl w:val="0"/>
          <w:numId w:val="34"/>
        </w:numPr>
        <w:suppressAutoHyphens w:val="0"/>
        <w:spacing w:before="60" w:line="280" w:lineRule="exact"/>
        <w:ind w:left="714" w:hanging="357"/>
        <w:contextualSpacing w:val="0"/>
        <w:rPr>
          <w:rFonts w:eastAsia="Times New Roman" w:cs="Times New Roman"/>
        </w:rPr>
      </w:pPr>
      <w:r w:rsidRPr="00FF3D91">
        <w:rPr>
          <w:rFonts w:eastAsia="Times New Roman" w:cs="Times New Roman"/>
          <w:b/>
          <w:bCs/>
          <w:i/>
          <w:iCs/>
          <w:sz w:val="21"/>
          <w:szCs w:val="24"/>
          <w:lang w:val="en-AU"/>
        </w:rPr>
        <w:t xml:space="preserve">Supporting a </w:t>
      </w:r>
      <w:r w:rsidR="007A23FC">
        <w:rPr>
          <w:rFonts w:eastAsia="Times New Roman" w:cs="Times New Roman"/>
          <w:b/>
          <w:bCs/>
          <w:i/>
          <w:iCs/>
          <w:sz w:val="21"/>
          <w:szCs w:val="24"/>
          <w:lang w:val="en-AU"/>
        </w:rPr>
        <w:t>regional</w:t>
      </w:r>
      <w:r w:rsidR="007A23FC" w:rsidRPr="00FF3D91">
        <w:rPr>
          <w:rFonts w:eastAsia="Times New Roman" w:cs="Times New Roman"/>
          <w:b/>
          <w:bCs/>
          <w:i/>
          <w:iCs/>
          <w:sz w:val="21"/>
          <w:szCs w:val="24"/>
          <w:lang w:val="en-AU"/>
        </w:rPr>
        <w:t xml:space="preserve"> </w:t>
      </w:r>
      <w:r w:rsidRPr="00FF3D91">
        <w:rPr>
          <w:rFonts w:eastAsia="Times New Roman" w:cs="Times New Roman"/>
          <w:b/>
          <w:bCs/>
          <w:i/>
          <w:iCs/>
          <w:sz w:val="21"/>
          <w:szCs w:val="24"/>
          <w:lang w:val="en-AU"/>
        </w:rPr>
        <w:t xml:space="preserve">and global agenda </w:t>
      </w:r>
      <w:r w:rsidR="00176721">
        <w:rPr>
          <w:rFonts w:eastAsia="Times New Roman" w:cs="Times New Roman"/>
          <w:b/>
          <w:bCs/>
          <w:i/>
          <w:iCs/>
          <w:sz w:val="21"/>
          <w:szCs w:val="24"/>
          <w:lang w:val="en-AU"/>
        </w:rPr>
        <w:t>for humanitarian assistance</w:t>
      </w:r>
      <w:r w:rsidRPr="00FF3D91">
        <w:rPr>
          <w:rFonts w:eastAsia="Times New Roman" w:cs="Times New Roman"/>
          <w:b/>
          <w:bCs/>
          <w:i/>
          <w:iCs/>
          <w:sz w:val="21"/>
          <w:szCs w:val="24"/>
          <w:lang w:val="en-AU"/>
        </w:rPr>
        <w:t xml:space="preserve"> positions Australia favourably in the international community.</w:t>
      </w:r>
      <w:r w:rsidRPr="00393664">
        <w:rPr>
          <w:rFonts w:eastAsia="Times New Roman" w:cs="Times New Roman"/>
          <w:b/>
          <w:bCs/>
          <w:sz w:val="21"/>
          <w:szCs w:val="24"/>
          <w:lang w:val="en-AU"/>
        </w:rPr>
        <w:t xml:space="preserve"> </w:t>
      </w:r>
      <w:r w:rsidR="00C42DCB" w:rsidRPr="00393664">
        <w:rPr>
          <w:rFonts w:eastAsia="Times New Roman" w:cs="Times New Roman"/>
          <w:sz w:val="21"/>
          <w:szCs w:val="24"/>
          <w:lang w:val="en-AU"/>
        </w:rPr>
        <w:t>In line with</w:t>
      </w:r>
      <w:r w:rsidRPr="00393664">
        <w:rPr>
          <w:rFonts w:eastAsia="Times New Roman" w:cs="Times New Roman"/>
          <w:sz w:val="21"/>
          <w:szCs w:val="24"/>
          <w:lang w:val="en-AU"/>
        </w:rPr>
        <w:t xml:space="preserve"> </w:t>
      </w:r>
      <w:r w:rsidR="009E0AA1" w:rsidRPr="003E2C60">
        <w:rPr>
          <w:rFonts w:eastAsia="Times New Roman" w:cs="Times New Roman"/>
          <w:i/>
          <w:iCs/>
          <w:sz w:val="21"/>
          <w:szCs w:val="24"/>
          <w:lang w:val="en-AU"/>
        </w:rPr>
        <w:t>Partnerships for Recovery</w:t>
      </w:r>
      <w:r w:rsidRPr="00393664">
        <w:rPr>
          <w:rFonts w:eastAsia="Times New Roman" w:cs="Times New Roman"/>
          <w:sz w:val="21"/>
          <w:szCs w:val="24"/>
          <w:lang w:val="en-AU"/>
        </w:rPr>
        <w:t xml:space="preserve">, advancing policy and good practice in humanitarian spaces globally positions Australia as a supporter of the rules-based system. It </w:t>
      </w:r>
      <w:r w:rsidR="00680633">
        <w:rPr>
          <w:rFonts w:eastAsia="Times New Roman" w:cs="Times New Roman"/>
          <w:sz w:val="21"/>
          <w:szCs w:val="24"/>
          <w:lang w:val="en-AU"/>
        </w:rPr>
        <w:t xml:space="preserve">also </w:t>
      </w:r>
      <w:r w:rsidRPr="00393664">
        <w:rPr>
          <w:rFonts w:eastAsia="Times New Roman" w:cs="Times New Roman"/>
          <w:sz w:val="21"/>
          <w:szCs w:val="24"/>
          <w:lang w:val="en-AU"/>
        </w:rPr>
        <w:t xml:space="preserve">reinforces Australia’s relationship with other like-minded countries who seek to address </w:t>
      </w:r>
      <w:r w:rsidR="00B06F8A">
        <w:rPr>
          <w:rFonts w:eastAsia="Times New Roman" w:cs="Times New Roman"/>
          <w:sz w:val="21"/>
          <w:szCs w:val="24"/>
          <w:lang w:val="en-AU"/>
        </w:rPr>
        <w:t xml:space="preserve">humanitarian </w:t>
      </w:r>
      <w:r w:rsidRPr="00393664">
        <w:rPr>
          <w:rFonts w:eastAsia="Times New Roman" w:cs="Times New Roman"/>
          <w:sz w:val="21"/>
          <w:szCs w:val="24"/>
          <w:lang w:val="en-AU"/>
        </w:rPr>
        <w:t xml:space="preserve">need. </w:t>
      </w:r>
    </w:p>
    <w:p w14:paraId="3EC2BC01" w14:textId="533B633E" w:rsidR="00393664" w:rsidRDefault="004902A7" w:rsidP="0011591E">
      <w:pPr>
        <w:pStyle w:val="ListParagraph"/>
        <w:numPr>
          <w:ilvl w:val="0"/>
          <w:numId w:val="34"/>
        </w:numPr>
        <w:suppressAutoHyphens w:val="0"/>
        <w:spacing w:before="60" w:line="280" w:lineRule="exact"/>
        <w:rPr>
          <w:rFonts w:eastAsia="Times New Roman" w:cs="Times New Roman"/>
          <w:sz w:val="21"/>
          <w:szCs w:val="24"/>
          <w:lang w:val="en-AU"/>
        </w:rPr>
      </w:pPr>
      <w:r>
        <w:rPr>
          <w:rFonts w:eastAsia="Times New Roman" w:cs="Times New Roman"/>
          <w:b/>
          <w:bCs/>
          <w:i/>
          <w:iCs/>
          <w:sz w:val="21"/>
          <w:szCs w:val="24"/>
          <w:lang w:val="en-AU"/>
        </w:rPr>
        <w:t>Working with</w:t>
      </w:r>
      <w:r w:rsidR="00FA0065" w:rsidRPr="00FF3D91">
        <w:rPr>
          <w:rFonts w:eastAsia="Times New Roman" w:cs="Times New Roman"/>
          <w:b/>
          <w:bCs/>
          <w:i/>
          <w:iCs/>
          <w:sz w:val="21"/>
          <w:szCs w:val="24"/>
          <w:lang w:val="en-AU"/>
        </w:rPr>
        <w:t xml:space="preserve"> ANGOs</w:t>
      </w:r>
      <w:r w:rsidR="004C7340">
        <w:rPr>
          <w:rFonts w:eastAsia="Times New Roman" w:cs="Times New Roman"/>
          <w:b/>
          <w:bCs/>
          <w:i/>
          <w:iCs/>
          <w:sz w:val="21"/>
          <w:szCs w:val="24"/>
          <w:lang w:val="en-AU"/>
        </w:rPr>
        <w:t xml:space="preserve"> and their consortia </w:t>
      </w:r>
      <w:r w:rsidR="00E66705">
        <w:rPr>
          <w:rFonts w:eastAsia="Times New Roman" w:cs="Times New Roman"/>
          <w:b/>
          <w:bCs/>
          <w:i/>
          <w:iCs/>
          <w:sz w:val="21"/>
          <w:szCs w:val="24"/>
          <w:lang w:val="en-AU"/>
        </w:rPr>
        <w:t xml:space="preserve">and local </w:t>
      </w:r>
      <w:r w:rsidR="004C7340">
        <w:rPr>
          <w:rFonts w:eastAsia="Times New Roman" w:cs="Times New Roman"/>
          <w:b/>
          <w:bCs/>
          <w:i/>
          <w:iCs/>
          <w:sz w:val="21"/>
          <w:szCs w:val="24"/>
          <w:lang w:val="en-AU"/>
        </w:rPr>
        <w:t>partners</w:t>
      </w:r>
      <w:r w:rsidR="00A56108">
        <w:rPr>
          <w:rFonts w:eastAsia="Times New Roman" w:cs="Times New Roman"/>
          <w:b/>
          <w:bCs/>
          <w:i/>
          <w:iCs/>
          <w:sz w:val="21"/>
          <w:szCs w:val="24"/>
          <w:lang w:val="en-AU"/>
        </w:rPr>
        <w:t xml:space="preserve"> advance</w:t>
      </w:r>
      <w:r>
        <w:rPr>
          <w:rFonts w:eastAsia="Times New Roman" w:cs="Times New Roman"/>
          <w:b/>
          <w:bCs/>
          <w:i/>
          <w:iCs/>
          <w:sz w:val="21"/>
          <w:szCs w:val="24"/>
          <w:lang w:val="en-AU"/>
        </w:rPr>
        <w:t>s</w:t>
      </w:r>
      <w:r w:rsidR="00A56108">
        <w:rPr>
          <w:rFonts w:eastAsia="Times New Roman" w:cs="Times New Roman"/>
          <w:b/>
          <w:bCs/>
          <w:i/>
          <w:iCs/>
          <w:sz w:val="21"/>
          <w:szCs w:val="24"/>
          <w:lang w:val="en-AU"/>
        </w:rPr>
        <w:t xml:space="preserve"> our </w:t>
      </w:r>
      <w:r w:rsidR="00A56108" w:rsidRPr="00FF3D91">
        <w:rPr>
          <w:rFonts w:eastAsia="Times New Roman" w:cs="Times New Roman"/>
          <w:b/>
          <w:bCs/>
          <w:i/>
          <w:iCs/>
          <w:sz w:val="21"/>
          <w:szCs w:val="24"/>
          <w:lang w:val="en-AU"/>
        </w:rPr>
        <w:t xml:space="preserve">priorities for </w:t>
      </w:r>
      <w:r>
        <w:rPr>
          <w:rFonts w:eastAsia="Times New Roman" w:cs="Times New Roman"/>
          <w:b/>
          <w:bCs/>
          <w:i/>
          <w:iCs/>
          <w:sz w:val="21"/>
          <w:szCs w:val="24"/>
          <w:lang w:val="en-AU"/>
        </w:rPr>
        <w:t xml:space="preserve">localisation, </w:t>
      </w:r>
      <w:r w:rsidR="00F554CC">
        <w:rPr>
          <w:rFonts w:eastAsia="Times New Roman" w:cs="Times New Roman"/>
          <w:b/>
          <w:bCs/>
          <w:i/>
          <w:iCs/>
          <w:sz w:val="21"/>
          <w:szCs w:val="24"/>
          <w:lang w:val="en-AU"/>
        </w:rPr>
        <w:t>GEDSI</w:t>
      </w:r>
      <w:r w:rsidR="00A56108">
        <w:rPr>
          <w:rFonts w:eastAsia="Times New Roman" w:cs="Times New Roman"/>
          <w:b/>
          <w:bCs/>
          <w:i/>
          <w:iCs/>
          <w:sz w:val="21"/>
          <w:szCs w:val="24"/>
          <w:lang w:val="en-AU"/>
        </w:rPr>
        <w:t xml:space="preserve"> and meet</w:t>
      </w:r>
      <w:r>
        <w:rPr>
          <w:rFonts w:eastAsia="Times New Roman" w:cs="Times New Roman"/>
          <w:b/>
          <w:bCs/>
          <w:i/>
          <w:iCs/>
          <w:sz w:val="21"/>
          <w:szCs w:val="24"/>
          <w:lang w:val="en-AU"/>
        </w:rPr>
        <w:t>ing</w:t>
      </w:r>
      <w:r w:rsidR="00A56108">
        <w:rPr>
          <w:rFonts w:eastAsia="Times New Roman" w:cs="Times New Roman"/>
          <w:b/>
          <w:bCs/>
          <w:i/>
          <w:iCs/>
          <w:sz w:val="21"/>
          <w:szCs w:val="24"/>
          <w:lang w:val="en-AU"/>
        </w:rPr>
        <w:t xml:space="preserve"> the needs of crisis-affected people</w:t>
      </w:r>
      <w:r w:rsidR="00FA0065" w:rsidRPr="00FF3D91">
        <w:rPr>
          <w:rFonts w:eastAsia="Times New Roman" w:cs="Times New Roman"/>
          <w:b/>
          <w:bCs/>
          <w:i/>
          <w:iCs/>
          <w:sz w:val="21"/>
          <w:szCs w:val="24"/>
          <w:lang w:val="en-AU"/>
        </w:rPr>
        <w:t>.</w:t>
      </w:r>
      <w:r w:rsidR="00FA0065" w:rsidRPr="00393664">
        <w:rPr>
          <w:rFonts w:eastAsia="Times New Roman" w:cs="Times New Roman"/>
          <w:sz w:val="21"/>
          <w:szCs w:val="24"/>
          <w:lang w:val="en-AU"/>
        </w:rPr>
        <w:t xml:space="preserve"> </w:t>
      </w:r>
      <w:r w:rsidR="00B429A9">
        <w:rPr>
          <w:rFonts w:eastAsia="Times New Roman" w:cs="Times New Roman"/>
          <w:sz w:val="21"/>
          <w:szCs w:val="24"/>
          <w:lang w:val="en-AU"/>
        </w:rPr>
        <w:t>Consistent with DFAT’s Effective Development Partners Statement</w:t>
      </w:r>
      <w:r w:rsidR="00B429A9">
        <w:rPr>
          <w:rStyle w:val="FootnoteReference"/>
          <w:rFonts w:eastAsia="Times New Roman" w:cs="Times New Roman"/>
          <w:sz w:val="21"/>
          <w:szCs w:val="24"/>
          <w:lang w:val="en-AU"/>
        </w:rPr>
        <w:footnoteReference w:id="15"/>
      </w:r>
      <w:r w:rsidR="00B429A9">
        <w:rPr>
          <w:rFonts w:eastAsia="Times New Roman" w:cs="Times New Roman"/>
          <w:sz w:val="21"/>
          <w:szCs w:val="24"/>
          <w:lang w:val="en-AU"/>
        </w:rPr>
        <w:t xml:space="preserve"> </w:t>
      </w:r>
      <w:r w:rsidR="00E77F33">
        <w:rPr>
          <w:rFonts w:eastAsia="Times New Roman" w:cs="Times New Roman"/>
          <w:sz w:val="21"/>
          <w:szCs w:val="24"/>
          <w:lang w:val="en-AU"/>
        </w:rPr>
        <w:t xml:space="preserve">NGOs are </w:t>
      </w:r>
      <w:r w:rsidR="00E63247">
        <w:rPr>
          <w:rFonts w:eastAsia="Times New Roman" w:cs="Times New Roman"/>
          <w:sz w:val="21"/>
          <w:szCs w:val="24"/>
          <w:lang w:val="en-AU"/>
        </w:rPr>
        <w:t>highly effective partners for humanitarian assistance due to their</w:t>
      </w:r>
      <w:r w:rsidR="002F0771" w:rsidRPr="002F0771">
        <w:t xml:space="preserve"> </w:t>
      </w:r>
      <w:r w:rsidR="00D4788B">
        <w:t xml:space="preserve">reach into remote areas and fragile and conflict affected states, their </w:t>
      </w:r>
      <w:r w:rsidR="002F0771" w:rsidRPr="005B092D">
        <w:rPr>
          <w:rFonts w:eastAsia="Times New Roman" w:cs="Times New Roman"/>
          <w:sz w:val="21"/>
          <w:szCs w:val="24"/>
          <w:lang w:val="en-AU"/>
        </w:rPr>
        <w:t>trusted local relationships, networks, and</w:t>
      </w:r>
      <w:r w:rsidR="00D4788B">
        <w:rPr>
          <w:rFonts w:eastAsia="Times New Roman" w:cs="Times New Roman"/>
          <w:sz w:val="21"/>
          <w:szCs w:val="24"/>
          <w:lang w:val="en-AU"/>
        </w:rPr>
        <w:t xml:space="preserve"> k</w:t>
      </w:r>
      <w:r w:rsidR="002F0771" w:rsidRPr="005B092D">
        <w:rPr>
          <w:rFonts w:eastAsia="Times New Roman" w:cs="Times New Roman"/>
          <w:sz w:val="21"/>
          <w:szCs w:val="24"/>
          <w:lang w:val="en-AU"/>
        </w:rPr>
        <w:t>nowledge, their established</w:t>
      </w:r>
      <w:r w:rsidR="00A1392A">
        <w:rPr>
          <w:rFonts w:eastAsia="Times New Roman" w:cs="Times New Roman"/>
          <w:sz w:val="21"/>
          <w:szCs w:val="24"/>
          <w:lang w:val="en-AU"/>
        </w:rPr>
        <w:t xml:space="preserve"> </w:t>
      </w:r>
      <w:r w:rsidR="0088519A">
        <w:rPr>
          <w:rFonts w:eastAsia="Times New Roman" w:cs="Times New Roman"/>
          <w:sz w:val="21"/>
          <w:szCs w:val="24"/>
          <w:lang w:val="en-AU"/>
        </w:rPr>
        <w:t xml:space="preserve">corporate </w:t>
      </w:r>
      <w:r w:rsidR="002F0771" w:rsidRPr="005B092D">
        <w:rPr>
          <w:rFonts w:eastAsia="Times New Roman" w:cs="Times New Roman"/>
          <w:sz w:val="21"/>
          <w:szCs w:val="24"/>
          <w:lang w:val="en-AU"/>
        </w:rPr>
        <w:t>infrastructure and capabilities,</w:t>
      </w:r>
      <w:r w:rsidR="006020FA" w:rsidRPr="006020FA">
        <w:t xml:space="preserve"> </w:t>
      </w:r>
      <w:r w:rsidR="006020FA" w:rsidRPr="006020FA">
        <w:rPr>
          <w:rFonts w:eastAsia="Times New Roman" w:cs="Times New Roman"/>
          <w:sz w:val="21"/>
          <w:szCs w:val="24"/>
          <w:lang w:val="en-AU"/>
        </w:rPr>
        <w:t>the visibility that NGOs provide to the Australian</w:t>
      </w:r>
      <w:r w:rsidR="006020FA">
        <w:rPr>
          <w:rFonts w:eastAsia="Times New Roman" w:cs="Times New Roman"/>
          <w:sz w:val="21"/>
          <w:szCs w:val="24"/>
          <w:lang w:val="en-AU"/>
        </w:rPr>
        <w:t xml:space="preserve"> aid</w:t>
      </w:r>
      <w:r w:rsidR="006020FA" w:rsidRPr="005B092D">
        <w:rPr>
          <w:rFonts w:eastAsia="Times New Roman" w:cs="Times New Roman"/>
          <w:sz w:val="21"/>
          <w:szCs w:val="24"/>
          <w:lang w:val="en-AU"/>
        </w:rPr>
        <w:t xml:space="preserve"> program</w:t>
      </w:r>
      <w:r w:rsidR="006020FA">
        <w:rPr>
          <w:rFonts w:eastAsia="Times New Roman" w:cs="Times New Roman"/>
          <w:sz w:val="21"/>
          <w:szCs w:val="24"/>
          <w:lang w:val="en-AU"/>
        </w:rPr>
        <w:t xml:space="preserve">, and their </w:t>
      </w:r>
      <w:r w:rsidR="00E25DDE">
        <w:rPr>
          <w:rFonts w:eastAsia="Times New Roman" w:cs="Times New Roman"/>
          <w:sz w:val="21"/>
          <w:szCs w:val="24"/>
          <w:lang w:val="en-AU"/>
        </w:rPr>
        <w:t>expertise in</w:t>
      </w:r>
      <w:r w:rsidR="00A1392A">
        <w:rPr>
          <w:rFonts w:eastAsia="Times New Roman" w:cs="Times New Roman"/>
          <w:sz w:val="21"/>
          <w:szCs w:val="24"/>
          <w:lang w:val="en-AU"/>
        </w:rPr>
        <w:t xml:space="preserve"> inclusive development</w:t>
      </w:r>
      <w:r w:rsidR="00706199">
        <w:rPr>
          <w:rFonts w:eastAsia="Times New Roman" w:cs="Times New Roman"/>
          <w:sz w:val="21"/>
          <w:szCs w:val="24"/>
          <w:lang w:val="en-AU"/>
        </w:rPr>
        <w:t xml:space="preserve">, </w:t>
      </w:r>
      <w:r w:rsidR="00E25DDE" w:rsidRPr="00E25DDE">
        <w:rPr>
          <w:rFonts w:eastAsia="Times New Roman" w:cs="Times New Roman"/>
          <w:sz w:val="21"/>
          <w:szCs w:val="24"/>
          <w:lang w:val="en-AU"/>
        </w:rPr>
        <w:t xml:space="preserve">local capacity </w:t>
      </w:r>
      <w:r w:rsidR="008446E0">
        <w:rPr>
          <w:rFonts w:eastAsia="Times New Roman" w:cs="Times New Roman"/>
          <w:sz w:val="21"/>
          <w:szCs w:val="24"/>
          <w:lang w:val="en-AU"/>
        </w:rPr>
        <w:t>strengthening</w:t>
      </w:r>
      <w:r w:rsidR="00E25DDE" w:rsidRPr="00E25DDE">
        <w:rPr>
          <w:rFonts w:eastAsia="Times New Roman" w:cs="Times New Roman"/>
          <w:sz w:val="21"/>
          <w:szCs w:val="24"/>
          <w:lang w:val="en-AU"/>
        </w:rPr>
        <w:t xml:space="preserve"> and empowering</w:t>
      </w:r>
      <w:r w:rsidR="00E25DDE">
        <w:rPr>
          <w:rFonts w:eastAsia="Times New Roman" w:cs="Times New Roman"/>
          <w:sz w:val="21"/>
          <w:szCs w:val="24"/>
          <w:lang w:val="en-AU"/>
        </w:rPr>
        <w:t xml:space="preserve"> </w:t>
      </w:r>
      <w:r w:rsidR="00E25DDE" w:rsidRPr="005B092D">
        <w:rPr>
          <w:rFonts w:eastAsia="Times New Roman" w:cs="Times New Roman"/>
          <w:sz w:val="21"/>
          <w:szCs w:val="24"/>
          <w:lang w:val="en-AU"/>
        </w:rPr>
        <w:t>local communities</w:t>
      </w:r>
      <w:r w:rsidR="00A56108" w:rsidRPr="005B092D">
        <w:rPr>
          <w:rFonts w:eastAsia="Times New Roman" w:cs="Times New Roman"/>
          <w:sz w:val="21"/>
          <w:szCs w:val="24"/>
          <w:lang w:val="en-AU"/>
        </w:rPr>
        <w:t xml:space="preserve">. </w:t>
      </w:r>
    </w:p>
    <w:p w14:paraId="54161DEF" w14:textId="133C1F9A" w:rsidR="002F69BC" w:rsidRPr="003E2C60" w:rsidRDefault="00871230" w:rsidP="003E2C60">
      <w:pPr>
        <w:pStyle w:val="ListParagraph"/>
        <w:numPr>
          <w:ilvl w:val="0"/>
          <w:numId w:val="12"/>
        </w:numPr>
        <w:tabs>
          <w:tab w:val="left" w:pos="284"/>
        </w:tabs>
        <w:suppressAutoHyphens w:val="0"/>
        <w:spacing w:before="200" w:after="0" w:line="280" w:lineRule="exact"/>
        <w:ind w:left="0" w:firstLine="0"/>
        <w:contextualSpacing w:val="0"/>
        <w:rPr>
          <w:sz w:val="21"/>
          <w:szCs w:val="21"/>
        </w:rPr>
      </w:pPr>
      <w:r w:rsidRPr="005B092D">
        <w:rPr>
          <w:sz w:val="21"/>
          <w:szCs w:val="21"/>
        </w:rPr>
        <w:t>Key features of</w:t>
      </w:r>
      <w:r w:rsidR="006458CB" w:rsidRPr="003E2C60">
        <w:rPr>
          <w:sz w:val="21"/>
          <w:szCs w:val="21"/>
        </w:rPr>
        <w:t xml:space="preserve"> this</w:t>
      </w:r>
      <w:r w:rsidR="009676D0" w:rsidRPr="003E2C60">
        <w:rPr>
          <w:sz w:val="21"/>
          <w:szCs w:val="21"/>
        </w:rPr>
        <w:t xml:space="preserve"> </w:t>
      </w:r>
      <w:r w:rsidR="00406F84">
        <w:rPr>
          <w:sz w:val="21"/>
          <w:szCs w:val="21"/>
        </w:rPr>
        <w:t>Phase II</w:t>
      </w:r>
      <w:r w:rsidR="009676D0" w:rsidRPr="003E2C60">
        <w:rPr>
          <w:sz w:val="21"/>
          <w:szCs w:val="21"/>
        </w:rPr>
        <w:t xml:space="preserve"> design</w:t>
      </w:r>
      <w:r w:rsidR="00F44728" w:rsidRPr="003E2C60">
        <w:rPr>
          <w:sz w:val="21"/>
          <w:szCs w:val="21"/>
        </w:rPr>
        <w:t xml:space="preserve"> </w:t>
      </w:r>
      <w:r w:rsidR="0044725D" w:rsidRPr="003E2C60">
        <w:rPr>
          <w:sz w:val="21"/>
          <w:szCs w:val="21"/>
        </w:rPr>
        <w:t>will also ensure the AHP is contributing to</w:t>
      </w:r>
      <w:r w:rsidR="000C287E" w:rsidRPr="003E2C60">
        <w:rPr>
          <w:sz w:val="21"/>
          <w:szCs w:val="21"/>
        </w:rPr>
        <w:t xml:space="preserve"> Australia’s</w:t>
      </w:r>
      <w:r w:rsidR="00D11D16">
        <w:rPr>
          <w:sz w:val="21"/>
          <w:szCs w:val="21"/>
        </w:rPr>
        <w:t xml:space="preserve"> </w:t>
      </w:r>
      <w:r w:rsidR="00E84E59">
        <w:rPr>
          <w:sz w:val="21"/>
          <w:szCs w:val="21"/>
        </w:rPr>
        <w:t>current</w:t>
      </w:r>
      <w:r w:rsidR="00D11D16">
        <w:rPr>
          <w:sz w:val="21"/>
          <w:szCs w:val="21"/>
        </w:rPr>
        <w:t xml:space="preserve"> and </w:t>
      </w:r>
      <w:r w:rsidR="00E84E59">
        <w:rPr>
          <w:sz w:val="21"/>
          <w:szCs w:val="21"/>
        </w:rPr>
        <w:t>emerging</w:t>
      </w:r>
      <w:r w:rsidR="000C287E" w:rsidRPr="003E2C60">
        <w:rPr>
          <w:sz w:val="21"/>
          <w:szCs w:val="21"/>
        </w:rPr>
        <w:t xml:space="preserve"> </w:t>
      </w:r>
      <w:r w:rsidR="006458CB" w:rsidRPr="003E2C60">
        <w:rPr>
          <w:sz w:val="21"/>
          <w:szCs w:val="21"/>
        </w:rPr>
        <w:t>key policy priorities</w:t>
      </w:r>
      <w:r w:rsidR="001E516C" w:rsidRPr="003E2C60">
        <w:rPr>
          <w:sz w:val="21"/>
          <w:szCs w:val="21"/>
        </w:rPr>
        <w:t>, including</w:t>
      </w:r>
      <w:r w:rsidR="002F69BC" w:rsidRPr="00415502">
        <w:rPr>
          <w:sz w:val="21"/>
          <w:szCs w:val="21"/>
        </w:rPr>
        <w:t>:</w:t>
      </w:r>
    </w:p>
    <w:p w14:paraId="4380A076" w14:textId="0899E58E" w:rsidR="00FC7E9F" w:rsidRPr="003E2C60" w:rsidRDefault="00943D50" w:rsidP="0011591E">
      <w:pPr>
        <w:pStyle w:val="ListParagraph"/>
        <w:numPr>
          <w:ilvl w:val="0"/>
          <w:numId w:val="34"/>
        </w:numPr>
        <w:suppressAutoHyphens w:val="0"/>
        <w:spacing w:before="60" w:line="280" w:lineRule="exact"/>
        <w:contextualSpacing w:val="0"/>
        <w:rPr>
          <w:sz w:val="21"/>
          <w:szCs w:val="21"/>
        </w:rPr>
      </w:pPr>
      <w:r w:rsidRPr="00415502">
        <w:rPr>
          <w:b/>
          <w:bCs/>
          <w:i/>
          <w:iCs/>
          <w:sz w:val="21"/>
          <w:szCs w:val="21"/>
        </w:rPr>
        <w:t xml:space="preserve">Building </w:t>
      </w:r>
      <w:r w:rsidR="00926BEC" w:rsidRPr="00415502">
        <w:rPr>
          <w:b/>
          <w:bCs/>
          <w:i/>
          <w:iCs/>
          <w:sz w:val="21"/>
          <w:szCs w:val="21"/>
        </w:rPr>
        <w:t xml:space="preserve">resilience </w:t>
      </w:r>
      <w:r w:rsidR="00926BEC">
        <w:rPr>
          <w:b/>
          <w:bCs/>
          <w:i/>
          <w:iCs/>
          <w:sz w:val="21"/>
          <w:szCs w:val="21"/>
        </w:rPr>
        <w:t xml:space="preserve">to </w:t>
      </w:r>
      <w:r w:rsidRPr="00415502">
        <w:rPr>
          <w:b/>
          <w:bCs/>
          <w:i/>
          <w:iCs/>
          <w:sz w:val="21"/>
          <w:szCs w:val="21"/>
        </w:rPr>
        <w:t>climate</w:t>
      </w:r>
      <w:r w:rsidR="00926BEC">
        <w:rPr>
          <w:b/>
          <w:bCs/>
          <w:i/>
          <w:iCs/>
          <w:sz w:val="21"/>
          <w:szCs w:val="21"/>
        </w:rPr>
        <w:t xml:space="preserve"> change</w:t>
      </w:r>
      <w:r w:rsidRPr="00415502">
        <w:rPr>
          <w:b/>
          <w:bCs/>
          <w:i/>
          <w:iCs/>
          <w:sz w:val="21"/>
          <w:szCs w:val="21"/>
        </w:rPr>
        <w:t>.</w:t>
      </w:r>
      <w:r w:rsidRPr="00415502">
        <w:rPr>
          <w:sz w:val="21"/>
          <w:szCs w:val="21"/>
        </w:rPr>
        <w:t xml:space="preserve"> </w:t>
      </w:r>
      <w:r w:rsidR="00CB1F12" w:rsidRPr="00415502">
        <w:rPr>
          <w:sz w:val="21"/>
          <w:szCs w:val="21"/>
        </w:rPr>
        <w:t xml:space="preserve">Australia has committed </w:t>
      </w:r>
      <w:r w:rsidR="008C613D" w:rsidRPr="00415502">
        <w:rPr>
          <w:sz w:val="21"/>
          <w:szCs w:val="21"/>
        </w:rPr>
        <w:t xml:space="preserve">to </w:t>
      </w:r>
      <w:r w:rsidR="008C613D" w:rsidRPr="003E2C60">
        <w:rPr>
          <w:sz w:val="21"/>
          <w:szCs w:val="21"/>
        </w:rPr>
        <w:t xml:space="preserve">doubling </w:t>
      </w:r>
      <w:r w:rsidR="008C613D" w:rsidRPr="00415502">
        <w:rPr>
          <w:sz w:val="21"/>
          <w:szCs w:val="21"/>
        </w:rPr>
        <w:t>its</w:t>
      </w:r>
      <w:r w:rsidR="008C613D" w:rsidRPr="003E2C60">
        <w:rPr>
          <w:sz w:val="21"/>
          <w:szCs w:val="21"/>
        </w:rPr>
        <w:t xml:space="preserve"> climate</w:t>
      </w:r>
      <w:r w:rsidR="008C613D" w:rsidRPr="00415502">
        <w:rPr>
          <w:sz w:val="21"/>
          <w:szCs w:val="21"/>
        </w:rPr>
        <w:t xml:space="preserve"> </w:t>
      </w:r>
      <w:r w:rsidR="008C613D" w:rsidRPr="003E2C60">
        <w:rPr>
          <w:sz w:val="21"/>
          <w:szCs w:val="21"/>
        </w:rPr>
        <w:t>financing to $2 billion</w:t>
      </w:r>
      <w:r w:rsidR="008C613D" w:rsidRPr="00415502">
        <w:rPr>
          <w:sz w:val="21"/>
          <w:szCs w:val="21"/>
        </w:rPr>
        <w:t xml:space="preserve"> </w:t>
      </w:r>
      <w:r w:rsidR="008C613D" w:rsidRPr="003E2C60">
        <w:rPr>
          <w:sz w:val="21"/>
          <w:szCs w:val="21"/>
        </w:rPr>
        <w:t>over the five years</w:t>
      </w:r>
      <w:r w:rsidR="008C613D" w:rsidRPr="00415502">
        <w:rPr>
          <w:sz w:val="21"/>
          <w:szCs w:val="21"/>
        </w:rPr>
        <w:t xml:space="preserve"> </w:t>
      </w:r>
      <w:r w:rsidR="008C613D" w:rsidRPr="003E2C60">
        <w:rPr>
          <w:sz w:val="21"/>
          <w:szCs w:val="21"/>
        </w:rPr>
        <w:t xml:space="preserve">of 2020–25 </w:t>
      </w:r>
      <w:r w:rsidR="00CB1F12" w:rsidRPr="003E2C60">
        <w:rPr>
          <w:sz w:val="21"/>
          <w:szCs w:val="21"/>
        </w:rPr>
        <w:t>to ensur</w:t>
      </w:r>
      <w:r w:rsidR="008C613D" w:rsidRPr="00415502">
        <w:rPr>
          <w:sz w:val="21"/>
          <w:szCs w:val="21"/>
        </w:rPr>
        <w:t>e</w:t>
      </w:r>
      <w:r w:rsidR="00CB1F12" w:rsidRPr="003E2C60">
        <w:rPr>
          <w:sz w:val="21"/>
          <w:szCs w:val="21"/>
        </w:rPr>
        <w:t xml:space="preserve"> that communities in the Indo-Pacific region are better prepared and more resilient to the impacts of climate change. </w:t>
      </w:r>
      <w:r w:rsidR="0037199D">
        <w:rPr>
          <w:sz w:val="21"/>
          <w:szCs w:val="21"/>
        </w:rPr>
        <w:t xml:space="preserve">Consistent with DFAT’s </w:t>
      </w:r>
      <w:r w:rsidR="0037199D" w:rsidRPr="003E2C60">
        <w:rPr>
          <w:i/>
          <w:iCs/>
          <w:sz w:val="21"/>
          <w:szCs w:val="21"/>
        </w:rPr>
        <w:t>Climate Change Action Strategy 2020-25</w:t>
      </w:r>
      <w:r w:rsidR="0037199D">
        <w:rPr>
          <w:i/>
          <w:iCs/>
          <w:sz w:val="21"/>
          <w:szCs w:val="21"/>
        </w:rPr>
        <w:t>,</w:t>
      </w:r>
      <w:r w:rsidR="0037199D">
        <w:rPr>
          <w:sz w:val="21"/>
          <w:szCs w:val="21"/>
        </w:rPr>
        <w:t xml:space="preserve"> i</w:t>
      </w:r>
      <w:r w:rsidR="00CB1F12" w:rsidRPr="003E2C60">
        <w:rPr>
          <w:sz w:val="21"/>
          <w:szCs w:val="21"/>
        </w:rPr>
        <w:t xml:space="preserve">n </w:t>
      </w:r>
      <w:r w:rsidR="00406F84">
        <w:rPr>
          <w:sz w:val="21"/>
          <w:szCs w:val="21"/>
        </w:rPr>
        <w:t>Phase II</w:t>
      </w:r>
      <w:r w:rsidR="00CB1F12" w:rsidRPr="003E2C60">
        <w:rPr>
          <w:sz w:val="21"/>
          <w:szCs w:val="21"/>
        </w:rPr>
        <w:t xml:space="preserve"> t</w:t>
      </w:r>
      <w:r w:rsidR="009233CF" w:rsidRPr="003E2C60">
        <w:rPr>
          <w:sz w:val="21"/>
          <w:szCs w:val="21"/>
        </w:rPr>
        <w:t xml:space="preserve">he AHP through Disaster READY will </w:t>
      </w:r>
      <w:r w:rsidR="00B768F1" w:rsidRPr="00415502">
        <w:rPr>
          <w:sz w:val="21"/>
          <w:szCs w:val="21"/>
        </w:rPr>
        <w:t>help deliver on</w:t>
      </w:r>
      <w:r w:rsidR="00FC7E9F" w:rsidRPr="00415502">
        <w:rPr>
          <w:sz w:val="21"/>
          <w:szCs w:val="21"/>
        </w:rPr>
        <w:t xml:space="preserve"> this commitment by </w:t>
      </w:r>
      <w:r w:rsidR="009B79A4" w:rsidRPr="00415502">
        <w:rPr>
          <w:sz w:val="21"/>
          <w:szCs w:val="21"/>
        </w:rPr>
        <w:t xml:space="preserve">supporting </w:t>
      </w:r>
      <w:r w:rsidR="00A66AF6">
        <w:rPr>
          <w:sz w:val="21"/>
          <w:szCs w:val="21"/>
        </w:rPr>
        <w:t>local organisations</w:t>
      </w:r>
      <w:r w:rsidR="009B79A4" w:rsidRPr="00415502">
        <w:rPr>
          <w:sz w:val="21"/>
          <w:szCs w:val="21"/>
        </w:rPr>
        <w:t xml:space="preserve"> and local communities to</w:t>
      </w:r>
      <w:r w:rsidR="00B9334D" w:rsidRPr="00415502">
        <w:rPr>
          <w:sz w:val="21"/>
          <w:szCs w:val="21"/>
        </w:rPr>
        <w:t xml:space="preserve"> identify and adapt to </w:t>
      </w:r>
      <w:r w:rsidR="00883285">
        <w:rPr>
          <w:sz w:val="21"/>
          <w:szCs w:val="21"/>
        </w:rPr>
        <w:t xml:space="preserve">climate </w:t>
      </w:r>
      <w:r w:rsidR="00B9334D" w:rsidRPr="00415502">
        <w:rPr>
          <w:sz w:val="21"/>
          <w:szCs w:val="21"/>
        </w:rPr>
        <w:t xml:space="preserve">risks and </w:t>
      </w:r>
      <w:r w:rsidR="00B9285D" w:rsidRPr="00415502">
        <w:rPr>
          <w:sz w:val="21"/>
          <w:szCs w:val="21"/>
        </w:rPr>
        <w:t>hazards and</w:t>
      </w:r>
      <w:r w:rsidR="00B9334D" w:rsidRPr="00415502">
        <w:rPr>
          <w:sz w:val="21"/>
          <w:szCs w:val="21"/>
        </w:rPr>
        <w:t xml:space="preserve"> </w:t>
      </w:r>
      <w:r w:rsidR="009B79A4" w:rsidRPr="00415502">
        <w:rPr>
          <w:sz w:val="21"/>
          <w:szCs w:val="21"/>
        </w:rPr>
        <w:t xml:space="preserve">increase their capacity to respond </w:t>
      </w:r>
      <w:r w:rsidR="00A061CA">
        <w:rPr>
          <w:sz w:val="21"/>
          <w:szCs w:val="21"/>
        </w:rPr>
        <w:t xml:space="preserve">to </w:t>
      </w:r>
      <w:r w:rsidR="00B9334D" w:rsidRPr="00415502">
        <w:rPr>
          <w:sz w:val="21"/>
          <w:szCs w:val="21"/>
        </w:rPr>
        <w:t xml:space="preserve">and </w:t>
      </w:r>
      <w:r w:rsidR="00883285">
        <w:rPr>
          <w:sz w:val="21"/>
          <w:szCs w:val="21"/>
        </w:rPr>
        <w:t>bounce back</w:t>
      </w:r>
      <w:r w:rsidR="00B9334D" w:rsidRPr="00415502">
        <w:rPr>
          <w:sz w:val="21"/>
          <w:szCs w:val="21"/>
        </w:rPr>
        <w:t xml:space="preserve"> after disasters.</w:t>
      </w:r>
      <w:r w:rsidR="00FC7E9F" w:rsidRPr="00415502">
        <w:rPr>
          <w:sz w:val="21"/>
          <w:szCs w:val="21"/>
        </w:rPr>
        <w:t xml:space="preserve"> </w:t>
      </w:r>
      <w:r w:rsidR="00E63A24">
        <w:rPr>
          <w:sz w:val="21"/>
          <w:szCs w:val="21"/>
        </w:rPr>
        <w:t>The Partnership will also investigate options for limiting the environmental impact of humanitarian response.</w:t>
      </w:r>
    </w:p>
    <w:p w14:paraId="5F6FD2C1" w14:textId="4172568B" w:rsidR="006259D6" w:rsidRDefault="006259D6" w:rsidP="0011591E">
      <w:pPr>
        <w:pStyle w:val="ListParagraph"/>
        <w:numPr>
          <w:ilvl w:val="0"/>
          <w:numId w:val="34"/>
        </w:numPr>
        <w:suppressAutoHyphens w:val="0"/>
        <w:spacing w:before="60" w:line="280" w:lineRule="exact"/>
        <w:ind w:left="714" w:hanging="357"/>
        <w:contextualSpacing w:val="0"/>
        <w:rPr>
          <w:sz w:val="21"/>
          <w:szCs w:val="21"/>
        </w:rPr>
      </w:pPr>
      <w:r>
        <w:rPr>
          <w:b/>
          <w:bCs/>
          <w:i/>
          <w:iCs/>
          <w:sz w:val="21"/>
          <w:szCs w:val="21"/>
        </w:rPr>
        <w:t xml:space="preserve">Responding to COVID-19. </w:t>
      </w:r>
      <w:r w:rsidR="00204D49">
        <w:rPr>
          <w:sz w:val="21"/>
          <w:szCs w:val="21"/>
        </w:rPr>
        <w:t xml:space="preserve">COVID-19 </w:t>
      </w:r>
      <w:r w:rsidR="006C2DE4">
        <w:rPr>
          <w:sz w:val="21"/>
          <w:szCs w:val="21"/>
        </w:rPr>
        <w:t xml:space="preserve">is likely </w:t>
      </w:r>
      <w:r w:rsidR="00204D49">
        <w:rPr>
          <w:sz w:val="21"/>
          <w:szCs w:val="21"/>
        </w:rPr>
        <w:t xml:space="preserve">to threaten security, </w:t>
      </w:r>
      <w:r w:rsidR="00B9285D">
        <w:rPr>
          <w:sz w:val="21"/>
          <w:szCs w:val="21"/>
        </w:rPr>
        <w:t>stability,</w:t>
      </w:r>
      <w:r w:rsidR="00204D49">
        <w:rPr>
          <w:sz w:val="21"/>
          <w:szCs w:val="21"/>
        </w:rPr>
        <w:t xml:space="preserve"> and recovery in our region </w:t>
      </w:r>
      <w:r w:rsidR="00FB661A">
        <w:rPr>
          <w:sz w:val="21"/>
          <w:szCs w:val="21"/>
        </w:rPr>
        <w:t xml:space="preserve">and beyond </w:t>
      </w:r>
      <w:r w:rsidR="00204D49">
        <w:rPr>
          <w:sz w:val="21"/>
          <w:szCs w:val="21"/>
        </w:rPr>
        <w:t xml:space="preserve">for </w:t>
      </w:r>
      <w:r w:rsidR="00D86E1F">
        <w:rPr>
          <w:sz w:val="21"/>
          <w:szCs w:val="21"/>
        </w:rPr>
        <w:t xml:space="preserve">years to come. The </w:t>
      </w:r>
      <w:r w:rsidR="0090029F">
        <w:rPr>
          <w:sz w:val="21"/>
          <w:szCs w:val="21"/>
        </w:rPr>
        <w:t xml:space="preserve">local </w:t>
      </w:r>
      <w:r w:rsidR="00B81132">
        <w:rPr>
          <w:sz w:val="21"/>
          <w:szCs w:val="21"/>
        </w:rPr>
        <w:t xml:space="preserve">capability and </w:t>
      </w:r>
      <w:r w:rsidR="005843A7">
        <w:rPr>
          <w:sz w:val="21"/>
          <w:szCs w:val="21"/>
        </w:rPr>
        <w:t>technical</w:t>
      </w:r>
      <w:r w:rsidR="00B81132">
        <w:rPr>
          <w:sz w:val="21"/>
          <w:szCs w:val="21"/>
        </w:rPr>
        <w:t xml:space="preserve"> expertise of AHP NGO partners enabled them to </w:t>
      </w:r>
      <w:r w:rsidR="000D444E">
        <w:rPr>
          <w:sz w:val="21"/>
          <w:szCs w:val="21"/>
        </w:rPr>
        <w:t>implement</w:t>
      </w:r>
      <w:r w:rsidR="005843A7">
        <w:rPr>
          <w:sz w:val="21"/>
          <w:szCs w:val="21"/>
        </w:rPr>
        <w:t xml:space="preserve"> over $</w:t>
      </w:r>
      <w:r w:rsidR="0005727E">
        <w:rPr>
          <w:sz w:val="21"/>
          <w:szCs w:val="21"/>
        </w:rPr>
        <w:t>45</w:t>
      </w:r>
      <w:r w:rsidR="005843A7">
        <w:rPr>
          <w:sz w:val="21"/>
          <w:szCs w:val="21"/>
        </w:rPr>
        <w:t xml:space="preserve"> million in</w:t>
      </w:r>
      <w:r w:rsidR="000D444E">
        <w:rPr>
          <w:sz w:val="21"/>
          <w:szCs w:val="21"/>
        </w:rPr>
        <w:t xml:space="preserve"> hi</w:t>
      </w:r>
      <w:r w:rsidR="00D86E1F">
        <w:rPr>
          <w:sz w:val="21"/>
          <w:szCs w:val="21"/>
        </w:rPr>
        <w:t>gh quality COVID-19 response programming</w:t>
      </w:r>
      <w:r w:rsidR="00F749ED">
        <w:rPr>
          <w:sz w:val="21"/>
          <w:szCs w:val="21"/>
        </w:rPr>
        <w:t xml:space="preserve"> </w:t>
      </w:r>
      <w:r w:rsidR="006A2F6D">
        <w:rPr>
          <w:sz w:val="21"/>
          <w:szCs w:val="21"/>
        </w:rPr>
        <w:t xml:space="preserve">in the Indo-Pacific </w:t>
      </w:r>
      <w:r w:rsidR="000D444E">
        <w:rPr>
          <w:sz w:val="21"/>
          <w:szCs w:val="21"/>
        </w:rPr>
        <w:t>in Phase I</w:t>
      </w:r>
      <w:r w:rsidR="00BB7F63">
        <w:rPr>
          <w:sz w:val="21"/>
          <w:szCs w:val="21"/>
        </w:rPr>
        <w:t xml:space="preserve">. This included </w:t>
      </w:r>
      <w:r w:rsidR="00A1217D">
        <w:rPr>
          <w:sz w:val="21"/>
          <w:szCs w:val="21"/>
        </w:rPr>
        <w:t>activities in water</w:t>
      </w:r>
      <w:r w:rsidR="00E049D5">
        <w:rPr>
          <w:sz w:val="21"/>
          <w:szCs w:val="21"/>
        </w:rPr>
        <w:t xml:space="preserve">, </w:t>
      </w:r>
      <w:r w:rsidR="00B9285D">
        <w:rPr>
          <w:sz w:val="21"/>
          <w:szCs w:val="21"/>
        </w:rPr>
        <w:t>sanitation,</w:t>
      </w:r>
      <w:r w:rsidR="00E049D5">
        <w:rPr>
          <w:sz w:val="21"/>
          <w:szCs w:val="21"/>
        </w:rPr>
        <w:t xml:space="preserve"> and hygiene</w:t>
      </w:r>
      <w:r w:rsidR="00A1217D">
        <w:rPr>
          <w:sz w:val="21"/>
          <w:szCs w:val="21"/>
        </w:rPr>
        <w:t xml:space="preserve"> (WASH), </w:t>
      </w:r>
      <w:r w:rsidR="00E049D5">
        <w:rPr>
          <w:sz w:val="21"/>
          <w:szCs w:val="21"/>
        </w:rPr>
        <w:t>risk communications and community engagement, and support for vaccine rollout</w:t>
      </w:r>
      <w:r w:rsidR="00F82462">
        <w:rPr>
          <w:sz w:val="21"/>
          <w:szCs w:val="21"/>
        </w:rPr>
        <w:t xml:space="preserve"> to marginalised groups</w:t>
      </w:r>
      <w:r w:rsidR="00115882">
        <w:rPr>
          <w:sz w:val="21"/>
          <w:szCs w:val="21"/>
        </w:rPr>
        <w:t xml:space="preserve"> funded by the Vaccine Access and Health Security Initiative (VAHSI)</w:t>
      </w:r>
      <w:r w:rsidR="00BB7F63">
        <w:rPr>
          <w:sz w:val="21"/>
          <w:szCs w:val="21"/>
        </w:rPr>
        <w:t>, through both dedicated programming and in concert with concurrent disaster response</w:t>
      </w:r>
      <w:r w:rsidR="00CD20E8">
        <w:rPr>
          <w:sz w:val="21"/>
          <w:szCs w:val="21"/>
        </w:rPr>
        <w:t>s</w:t>
      </w:r>
      <w:r w:rsidR="00BB7F63">
        <w:rPr>
          <w:sz w:val="21"/>
          <w:szCs w:val="21"/>
        </w:rPr>
        <w:t xml:space="preserve">. </w:t>
      </w:r>
      <w:r w:rsidR="006A2F6D">
        <w:rPr>
          <w:sz w:val="21"/>
          <w:szCs w:val="21"/>
        </w:rPr>
        <w:t>COVID-19 response</w:t>
      </w:r>
      <w:r w:rsidR="006C2DE4">
        <w:rPr>
          <w:sz w:val="21"/>
          <w:szCs w:val="21"/>
        </w:rPr>
        <w:t xml:space="preserve"> activities currently underway </w:t>
      </w:r>
      <w:r w:rsidR="009950F3">
        <w:rPr>
          <w:sz w:val="21"/>
          <w:szCs w:val="21"/>
        </w:rPr>
        <w:t xml:space="preserve">will continue into Phase II, and the Partnership retains capacity to support additional countries as </w:t>
      </w:r>
      <w:r w:rsidR="00941D72">
        <w:rPr>
          <w:sz w:val="21"/>
          <w:szCs w:val="21"/>
        </w:rPr>
        <w:t>required subject to additional funding</w:t>
      </w:r>
      <w:r w:rsidR="00F749ED">
        <w:rPr>
          <w:sz w:val="21"/>
          <w:szCs w:val="21"/>
        </w:rPr>
        <w:t>.</w:t>
      </w:r>
      <w:r w:rsidR="00F65BBF">
        <w:rPr>
          <w:sz w:val="21"/>
          <w:szCs w:val="21"/>
        </w:rPr>
        <w:t xml:space="preserve"> </w:t>
      </w:r>
      <w:r w:rsidR="00C237B4">
        <w:rPr>
          <w:sz w:val="21"/>
          <w:szCs w:val="21"/>
        </w:rPr>
        <w:t xml:space="preserve">Preparedness </w:t>
      </w:r>
      <w:r w:rsidR="00A061CA">
        <w:rPr>
          <w:sz w:val="21"/>
          <w:szCs w:val="21"/>
        </w:rPr>
        <w:t>for and the impact of</w:t>
      </w:r>
      <w:r w:rsidR="00C237B4">
        <w:rPr>
          <w:sz w:val="21"/>
          <w:szCs w:val="21"/>
        </w:rPr>
        <w:t xml:space="preserve"> </w:t>
      </w:r>
      <w:r w:rsidR="00F65BBF">
        <w:rPr>
          <w:sz w:val="21"/>
          <w:szCs w:val="21"/>
        </w:rPr>
        <w:t xml:space="preserve">COVID-19 will also be </w:t>
      </w:r>
      <w:r w:rsidR="00B91D4A">
        <w:rPr>
          <w:sz w:val="21"/>
          <w:szCs w:val="21"/>
        </w:rPr>
        <w:t xml:space="preserve">considered in </w:t>
      </w:r>
      <w:r w:rsidR="00C237B4">
        <w:rPr>
          <w:sz w:val="21"/>
          <w:szCs w:val="21"/>
        </w:rPr>
        <w:t xml:space="preserve">the problem analysis for </w:t>
      </w:r>
      <w:r w:rsidR="00B91D4A">
        <w:rPr>
          <w:sz w:val="21"/>
          <w:szCs w:val="21"/>
        </w:rPr>
        <w:t>Disaster READY country planning</w:t>
      </w:r>
      <w:r w:rsidR="00C237B4">
        <w:rPr>
          <w:sz w:val="21"/>
          <w:szCs w:val="21"/>
        </w:rPr>
        <w:t>.</w:t>
      </w:r>
    </w:p>
    <w:p w14:paraId="0C397233" w14:textId="36491262" w:rsidR="00F749ED" w:rsidRDefault="00F749ED" w:rsidP="0011591E">
      <w:pPr>
        <w:pStyle w:val="ListParagraph"/>
        <w:numPr>
          <w:ilvl w:val="0"/>
          <w:numId w:val="34"/>
        </w:numPr>
        <w:suppressAutoHyphens w:val="0"/>
        <w:spacing w:before="60" w:line="280" w:lineRule="exact"/>
        <w:ind w:left="714" w:hanging="357"/>
        <w:contextualSpacing w:val="0"/>
        <w:rPr>
          <w:sz w:val="21"/>
          <w:szCs w:val="21"/>
        </w:rPr>
      </w:pPr>
      <w:r>
        <w:rPr>
          <w:b/>
          <w:bCs/>
          <w:i/>
          <w:iCs/>
          <w:sz w:val="21"/>
          <w:szCs w:val="21"/>
        </w:rPr>
        <w:t xml:space="preserve">Strengthening </w:t>
      </w:r>
      <w:r w:rsidR="001C3EE7">
        <w:rPr>
          <w:b/>
          <w:bCs/>
          <w:i/>
          <w:iCs/>
          <w:sz w:val="21"/>
          <w:szCs w:val="21"/>
        </w:rPr>
        <w:t>local</w:t>
      </w:r>
      <w:r>
        <w:rPr>
          <w:b/>
          <w:bCs/>
          <w:i/>
          <w:iCs/>
          <w:sz w:val="21"/>
          <w:szCs w:val="21"/>
        </w:rPr>
        <w:t xml:space="preserve"> </w:t>
      </w:r>
      <w:r w:rsidR="001339FE">
        <w:rPr>
          <w:b/>
          <w:bCs/>
          <w:i/>
          <w:iCs/>
          <w:sz w:val="21"/>
          <w:szCs w:val="21"/>
        </w:rPr>
        <w:t xml:space="preserve">capacity and </w:t>
      </w:r>
      <w:r>
        <w:rPr>
          <w:b/>
          <w:bCs/>
          <w:i/>
          <w:iCs/>
          <w:sz w:val="21"/>
          <w:szCs w:val="21"/>
        </w:rPr>
        <w:t>leadership</w:t>
      </w:r>
      <w:r w:rsidR="00790F55">
        <w:rPr>
          <w:b/>
          <w:bCs/>
          <w:i/>
          <w:iCs/>
          <w:sz w:val="21"/>
          <w:szCs w:val="21"/>
        </w:rPr>
        <w:t>, particularly in our region</w:t>
      </w:r>
      <w:r>
        <w:rPr>
          <w:b/>
          <w:bCs/>
          <w:i/>
          <w:iCs/>
          <w:sz w:val="21"/>
          <w:szCs w:val="21"/>
        </w:rPr>
        <w:t>.</w:t>
      </w:r>
      <w:r>
        <w:rPr>
          <w:sz w:val="21"/>
          <w:szCs w:val="21"/>
        </w:rPr>
        <w:t xml:space="preserve"> </w:t>
      </w:r>
      <w:r w:rsidR="00143389" w:rsidRPr="00143389">
        <w:rPr>
          <w:i/>
          <w:iCs/>
          <w:sz w:val="21"/>
          <w:szCs w:val="21"/>
        </w:rPr>
        <w:t xml:space="preserve">Partnerships for Recovery </w:t>
      </w:r>
      <w:r w:rsidR="00143389" w:rsidRPr="00143389">
        <w:rPr>
          <w:sz w:val="21"/>
          <w:szCs w:val="21"/>
        </w:rPr>
        <w:t>includes a renewed commitment to localisation</w:t>
      </w:r>
      <w:r w:rsidR="000C53B0">
        <w:rPr>
          <w:sz w:val="21"/>
          <w:szCs w:val="21"/>
        </w:rPr>
        <w:t xml:space="preserve"> and i</w:t>
      </w:r>
      <w:r w:rsidR="00514F84" w:rsidRPr="00D14B30">
        <w:rPr>
          <w:sz w:val="21"/>
          <w:szCs w:val="21"/>
        </w:rPr>
        <w:t xml:space="preserve">n </w:t>
      </w:r>
      <w:r w:rsidR="00406F84">
        <w:rPr>
          <w:sz w:val="21"/>
          <w:szCs w:val="21"/>
        </w:rPr>
        <w:t>Phase II</w:t>
      </w:r>
      <w:r w:rsidR="00514F84" w:rsidRPr="00D14B30">
        <w:rPr>
          <w:sz w:val="21"/>
          <w:szCs w:val="21"/>
        </w:rPr>
        <w:t xml:space="preserve">, the AHP through Disaster READY will help deliver on this </w:t>
      </w:r>
      <w:r w:rsidR="000C53B0">
        <w:rPr>
          <w:sz w:val="21"/>
          <w:szCs w:val="21"/>
        </w:rPr>
        <w:t>policy priority</w:t>
      </w:r>
      <w:r w:rsidR="00514F84" w:rsidRPr="00D14B30">
        <w:rPr>
          <w:sz w:val="21"/>
          <w:szCs w:val="21"/>
        </w:rPr>
        <w:t xml:space="preserve"> by</w:t>
      </w:r>
      <w:r w:rsidR="00514F84">
        <w:rPr>
          <w:sz w:val="21"/>
          <w:szCs w:val="21"/>
        </w:rPr>
        <w:t xml:space="preserve"> </w:t>
      </w:r>
      <w:r w:rsidR="008E083A" w:rsidRPr="008E083A">
        <w:rPr>
          <w:sz w:val="21"/>
          <w:szCs w:val="21"/>
        </w:rPr>
        <w:t>moving to a country</w:t>
      </w:r>
      <w:r w:rsidR="008E083A">
        <w:rPr>
          <w:sz w:val="21"/>
          <w:szCs w:val="21"/>
        </w:rPr>
        <w:t>-</w:t>
      </w:r>
      <w:r w:rsidR="008E083A" w:rsidRPr="008E083A">
        <w:rPr>
          <w:sz w:val="21"/>
          <w:szCs w:val="21"/>
        </w:rPr>
        <w:t xml:space="preserve">led planning process, strengthening the role of </w:t>
      </w:r>
      <w:r w:rsidR="00A061CA">
        <w:rPr>
          <w:sz w:val="21"/>
          <w:szCs w:val="21"/>
        </w:rPr>
        <w:t>Disaster READY Country Committees (DRCCs</w:t>
      </w:r>
      <w:r w:rsidR="00DB05E7">
        <w:rPr>
          <w:sz w:val="21"/>
          <w:szCs w:val="21"/>
        </w:rPr>
        <w:t>),</w:t>
      </w:r>
      <w:r w:rsidR="000C170E">
        <w:rPr>
          <w:sz w:val="21"/>
          <w:szCs w:val="21"/>
        </w:rPr>
        <w:t xml:space="preserve"> </w:t>
      </w:r>
      <w:r w:rsidR="008E083A" w:rsidRPr="008E083A">
        <w:rPr>
          <w:sz w:val="21"/>
          <w:szCs w:val="21"/>
        </w:rPr>
        <w:t xml:space="preserve">and adopting </w:t>
      </w:r>
      <w:r w:rsidR="000C170E">
        <w:rPr>
          <w:sz w:val="21"/>
          <w:szCs w:val="21"/>
        </w:rPr>
        <w:t xml:space="preserve">country-specific </w:t>
      </w:r>
      <w:r w:rsidR="008E083A" w:rsidRPr="008E083A">
        <w:rPr>
          <w:sz w:val="21"/>
          <w:szCs w:val="21"/>
        </w:rPr>
        <w:t>localisation strategies</w:t>
      </w:r>
      <w:r w:rsidR="00514F84">
        <w:rPr>
          <w:sz w:val="21"/>
          <w:szCs w:val="21"/>
        </w:rPr>
        <w:t xml:space="preserve">. This will include articulating the expected changes in roles, capacities and participation of local actors and affected populations in outcomes, </w:t>
      </w:r>
      <w:r w:rsidR="00DB05E7">
        <w:rPr>
          <w:sz w:val="21"/>
          <w:szCs w:val="21"/>
        </w:rPr>
        <w:t>implementation,</w:t>
      </w:r>
      <w:r w:rsidR="00514F84">
        <w:rPr>
          <w:sz w:val="21"/>
          <w:szCs w:val="21"/>
        </w:rPr>
        <w:t xml:space="preserve"> and </w:t>
      </w:r>
      <w:r w:rsidR="00DD01C3">
        <w:rPr>
          <w:sz w:val="21"/>
          <w:szCs w:val="21"/>
        </w:rPr>
        <w:t>MEL</w:t>
      </w:r>
      <w:r w:rsidR="00514F84">
        <w:rPr>
          <w:sz w:val="21"/>
          <w:szCs w:val="21"/>
        </w:rPr>
        <w:t xml:space="preserve"> arrangements.</w:t>
      </w:r>
      <w:r w:rsidR="00790F55">
        <w:rPr>
          <w:sz w:val="21"/>
          <w:szCs w:val="21"/>
        </w:rPr>
        <w:t xml:space="preserve"> </w:t>
      </w:r>
      <w:r w:rsidR="007C4717">
        <w:rPr>
          <w:sz w:val="21"/>
          <w:szCs w:val="21"/>
        </w:rPr>
        <w:t>Localisation will also continue to be a focus in rapid and protracted responses through</w:t>
      </w:r>
      <w:r w:rsidR="009369F9">
        <w:rPr>
          <w:sz w:val="21"/>
          <w:szCs w:val="21"/>
        </w:rPr>
        <w:t xml:space="preserve"> </w:t>
      </w:r>
      <w:r w:rsidR="00D14AD4">
        <w:rPr>
          <w:sz w:val="21"/>
          <w:szCs w:val="21"/>
        </w:rPr>
        <w:t xml:space="preserve">developing and implementing </w:t>
      </w:r>
      <w:r w:rsidR="009505BD">
        <w:rPr>
          <w:sz w:val="21"/>
          <w:szCs w:val="21"/>
        </w:rPr>
        <w:t>contextualised localisation strategies.</w:t>
      </w:r>
    </w:p>
    <w:p w14:paraId="69CB8064" w14:textId="6CC8F304" w:rsidR="00002905" w:rsidRPr="005B092D" w:rsidRDefault="00183CE2" w:rsidP="0011591E">
      <w:pPr>
        <w:pStyle w:val="ListParagraph"/>
        <w:numPr>
          <w:ilvl w:val="0"/>
          <w:numId w:val="34"/>
        </w:numPr>
        <w:suppressAutoHyphens w:val="0"/>
        <w:spacing w:before="60" w:line="280" w:lineRule="exact"/>
        <w:rPr>
          <w:sz w:val="21"/>
          <w:szCs w:val="21"/>
        </w:rPr>
      </w:pPr>
      <w:r>
        <w:rPr>
          <w:b/>
          <w:bCs/>
          <w:i/>
          <w:iCs/>
          <w:sz w:val="21"/>
          <w:szCs w:val="21"/>
        </w:rPr>
        <w:t>Innovation and</w:t>
      </w:r>
      <w:r w:rsidR="009E6609">
        <w:rPr>
          <w:b/>
          <w:bCs/>
          <w:i/>
          <w:iCs/>
          <w:sz w:val="21"/>
          <w:szCs w:val="21"/>
        </w:rPr>
        <w:t xml:space="preserve"> value for money. </w:t>
      </w:r>
      <w:r w:rsidR="00103A2E" w:rsidRPr="00630333">
        <w:rPr>
          <w:sz w:val="21"/>
          <w:szCs w:val="21"/>
        </w:rPr>
        <w:t xml:space="preserve">Anticipatory action approaches </w:t>
      </w:r>
      <w:r w:rsidR="00103A2E">
        <w:rPr>
          <w:sz w:val="21"/>
          <w:szCs w:val="21"/>
        </w:rPr>
        <w:t xml:space="preserve">will be explored in </w:t>
      </w:r>
      <w:r w:rsidR="00406F84">
        <w:rPr>
          <w:sz w:val="21"/>
          <w:szCs w:val="21"/>
        </w:rPr>
        <w:t>Phase II</w:t>
      </w:r>
      <w:r w:rsidR="00103A2E">
        <w:rPr>
          <w:sz w:val="21"/>
          <w:szCs w:val="21"/>
        </w:rPr>
        <w:t xml:space="preserve"> capitalising on lessons learned across the sector that a</w:t>
      </w:r>
      <w:r w:rsidR="00080590">
        <w:rPr>
          <w:sz w:val="21"/>
          <w:szCs w:val="21"/>
        </w:rPr>
        <w:t xml:space="preserve">cting early, before a disaster strikes, can </w:t>
      </w:r>
      <w:r w:rsidR="00080590">
        <w:rPr>
          <w:sz w:val="21"/>
          <w:szCs w:val="21"/>
        </w:rPr>
        <w:lastRenderedPageBreak/>
        <w:t xml:space="preserve">reduce </w:t>
      </w:r>
      <w:r w:rsidR="00AD5CB3">
        <w:rPr>
          <w:sz w:val="21"/>
          <w:szCs w:val="21"/>
        </w:rPr>
        <w:t xml:space="preserve">suffering, </w:t>
      </w:r>
      <w:r w:rsidR="00080590">
        <w:rPr>
          <w:sz w:val="21"/>
          <w:szCs w:val="21"/>
        </w:rPr>
        <w:t>response time</w:t>
      </w:r>
      <w:r w:rsidR="00AD5CB3">
        <w:rPr>
          <w:sz w:val="21"/>
          <w:szCs w:val="21"/>
        </w:rPr>
        <w:t xml:space="preserve">, and response costs. </w:t>
      </w:r>
      <w:r w:rsidR="00F04629">
        <w:rPr>
          <w:sz w:val="21"/>
          <w:szCs w:val="21"/>
        </w:rPr>
        <w:t xml:space="preserve">In addition, Disaster READY will </w:t>
      </w:r>
      <w:r w:rsidR="004A64D5">
        <w:rPr>
          <w:sz w:val="21"/>
          <w:szCs w:val="21"/>
        </w:rPr>
        <w:t xml:space="preserve">continue to provide scope for </w:t>
      </w:r>
      <w:r w:rsidR="00B900F8">
        <w:rPr>
          <w:sz w:val="21"/>
          <w:szCs w:val="21"/>
        </w:rPr>
        <w:t xml:space="preserve">supporting </w:t>
      </w:r>
      <w:r w:rsidR="004C5F67">
        <w:rPr>
          <w:sz w:val="21"/>
          <w:szCs w:val="21"/>
        </w:rPr>
        <w:t xml:space="preserve">Cash and Voucher Assistance </w:t>
      </w:r>
      <w:r w:rsidR="00115B33">
        <w:rPr>
          <w:sz w:val="21"/>
          <w:szCs w:val="21"/>
        </w:rPr>
        <w:t>preparedness</w:t>
      </w:r>
      <w:r w:rsidR="004C5F67">
        <w:rPr>
          <w:sz w:val="21"/>
          <w:szCs w:val="21"/>
        </w:rPr>
        <w:t xml:space="preserve">, which can </w:t>
      </w:r>
      <w:r w:rsidR="00437ACC">
        <w:rPr>
          <w:sz w:val="21"/>
          <w:szCs w:val="21"/>
        </w:rPr>
        <w:t xml:space="preserve">increase beneficiary reach and facilitate swift, flexible </w:t>
      </w:r>
      <w:r w:rsidR="00B3731A">
        <w:rPr>
          <w:sz w:val="21"/>
          <w:szCs w:val="21"/>
        </w:rPr>
        <w:t>assistance for affected and vulnerable populations</w:t>
      </w:r>
      <w:r w:rsidR="004654E8">
        <w:rPr>
          <w:sz w:val="21"/>
          <w:szCs w:val="21"/>
        </w:rPr>
        <w:t xml:space="preserve"> </w:t>
      </w:r>
      <w:r w:rsidR="00B97369">
        <w:rPr>
          <w:sz w:val="21"/>
          <w:szCs w:val="21"/>
        </w:rPr>
        <w:t>as well as support broader</w:t>
      </w:r>
      <w:r w:rsidR="004654E8">
        <w:rPr>
          <w:sz w:val="21"/>
          <w:szCs w:val="21"/>
        </w:rPr>
        <w:t xml:space="preserve"> social protection</w:t>
      </w:r>
      <w:r w:rsidR="00B97369">
        <w:rPr>
          <w:sz w:val="21"/>
          <w:szCs w:val="21"/>
        </w:rPr>
        <w:t xml:space="preserve"> systems</w:t>
      </w:r>
      <w:r w:rsidR="00B3731A">
        <w:rPr>
          <w:sz w:val="21"/>
          <w:szCs w:val="21"/>
        </w:rPr>
        <w:t>.</w:t>
      </w:r>
    </w:p>
    <w:p w14:paraId="7815AC59" w14:textId="30BE3EC5" w:rsidR="00EE1626" w:rsidRDefault="00EE1626" w:rsidP="0011591E">
      <w:pPr>
        <w:pStyle w:val="ListParagraph"/>
        <w:numPr>
          <w:ilvl w:val="0"/>
          <w:numId w:val="34"/>
        </w:numPr>
        <w:suppressAutoHyphens w:val="0"/>
        <w:spacing w:line="280" w:lineRule="exact"/>
        <w:ind w:left="714" w:hanging="357"/>
        <w:contextualSpacing w:val="0"/>
        <w:rPr>
          <w:sz w:val="21"/>
          <w:szCs w:val="21"/>
        </w:rPr>
      </w:pPr>
      <w:r>
        <w:rPr>
          <w:b/>
          <w:bCs/>
          <w:i/>
          <w:iCs/>
          <w:sz w:val="21"/>
          <w:szCs w:val="21"/>
        </w:rPr>
        <w:t xml:space="preserve">Building stronger partnerships. </w:t>
      </w:r>
      <w:r w:rsidR="00406F84">
        <w:rPr>
          <w:sz w:val="21"/>
          <w:szCs w:val="21"/>
        </w:rPr>
        <w:t>Phase II</w:t>
      </w:r>
      <w:r>
        <w:rPr>
          <w:sz w:val="21"/>
          <w:szCs w:val="21"/>
        </w:rPr>
        <w:t xml:space="preserve"> will </w:t>
      </w:r>
      <w:r w:rsidR="00F020C8">
        <w:rPr>
          <w:sz w:val="21"/>
          <w:szCs w:val="21"/>
        </w:rPr>
        <w:t xml:space="preserve">promote more collaboration between AHP </w:t>
      </w:r>
      <w:r w:rsidR="00722AEE">
        <w:rPr>
          <w:sz w:val="21"/>
          <w:szCs w:val="21"/>
        </w:rPr>
        <w:t xml:space="preserve">NGO </w:t>
      </w:r>
      <w:r w:rsidR="00F020C8">
        <w:rPr>
          <w:sz w:val="21"/>
          <w:szCs w:val="21"/>
        </w:rPr>
        <w:t xml:space="preserve">Partners </w:t>
      </w:r>
      <w:r w:rsidR="00EE6E37">
        <w:rPr>
          <w:sz w:val="21"/>
          <w:szCs w:val="21"/>
        </w:rPr>
        <w:t xml:space="preserve">and a stronger whole-of-program approach </w:t>
      </w:r>
      <w:r w:rsidR="00F020C8">
        <w:rPr>
          <w:sz w:val="21"/>
          <w:szCs w:val="21"/>
        </w:rPr>
        <w:t>to</w:t>
      </w:r>
      <w:r w:rsidRPr="00EE1626">
        <w:rPr>
          <w:sz w:val="21"/>
          <w:szCs w:val="21"/>
        </w:rPr>
        <w:t xml:space="preserve"> strengthen collective impact. </w:t>
      </w:r>
      <w:r w:rsidR="00F30ED5">
        <w:rPr>
          <w:sz w:val="21"/>
          <w:szCs w:val="21"/>
        </w:rPr>
        <w:t xml:space="preserve">It will also work </w:t>
      </w:r>
      <w:r w:rsidR="00056D92">
        <w:rPr>
          <w:sz w:val="21"/>
          <w:szCs w:val="21"/>
        </w:rPr>
        <w:t xml:space="preserve">more consciously to share lessons and innovation with external stakeholders. </w:t>
      </w:r>
      <w:r w:rsidR="00EE6E37">
        <w:rPr>
          <w:sz w:val="21"/>
          <w:szCs w:val="21"/>
        </w:rPr>
        <w:t>This will be achieved throug</w:t>
      </w:r>
      <w:r w:rsidR="00EA0CA0">
        <w:rPr>
          <w:sz w:val="21"/>
          <w:szCs w:val="21"/>
        </w:rPr>
        <w:t xml:space="preserve">h a more holistic </w:t>
      </w:r>
      <w:r w:rsidR="005854BA">
        <w:rPr>
          <w:sz w:val="21"/>
          <w:szCs w:val="21"/>
        </w:rPr>
        <w:t xml:space="preserve">view of and </w:t>
      </w:r>
      <w:r w:rsidR="00EA0CA0">
        <w:rPr>
          <w:sz w:val="21"/>
          <w:szCs w:val="21"/>
        </w:rPr>
        <w:t>approach to the three program components</w:t>
      </w:r>
      <w:r w:rsidR="00056D92">
        <w:rPr>
          <w:sz w:val="21"/>
          <w:szCs w:val="21"/>
        </w:rPr>
        <w:t>;</w:t>
      </w:r>
      <w:r w:rsidR="00EA0CA0">
        <w:rPr>
          <w:sz w:val="21"/>
          <w:szCs w:val="21"/>
        </w:rPr>
        <w:t xml:space="preserve"> </w:t>
      </w:r>
      <w:r w:rsidR="005854BA">
        <w:rPr>
          <w:sz w:val="21"/>
          <w:szCs w:val="21"/>
        </w:rPr>
        <w:t>strengthened</w:t>
      </w:r>
      <w:r>
        <w:rPr>
          <w:sz w:val="21"/>
          <w:szCs w:val="21"/>
        </w:rPr>
        <w:t xml:space="preserve"> </w:t>
      </w:r>
      <w:r w:rsidR="005854BA">
        <w:rPr>
          <w:sz w:val="21"/>
          <w:szCs w:val="21"/>
        </w:rPr>
        <w:t xml:space="preserve">shared </w:t>
      </w:r>
      <w:r>
        <w:rPr>
          <w:sz w:val="21"/>
          <w:szCs w:val="21"/>
        </w:rPr>
        <w:t>governance</w:t>
      </w:r>
      <w:r w:rsidR="005854BA">
        <w:rPr>
          <w:sz w:val="21"/>
          <w:szCs w:val="21"/>
        </w:rPr>
        <w:t>,</w:t>
      </w:r>
      <w:r w:rsidR="002B0613">
        <w:rPr>
          <w:sz w:val="21"/>
          <w:szCs w:val="21"/>
        </w:rPr>
        <w:t xml:space="preserve"> accountability,</w:t>
      </w:r>
      <w:r w:rsidR="005854BA">
        <w:rPr>
          <w:sz w:val="21"/>
          <w:szCs w:val="21"/>
        </w:rPr>
        <w:t xml:space="preserve"> </w:t>
      </w:r>
      <w:r>
        <w:rPr>
          <w:sz w:val="21"/>
          <w:szCs w:val="21"/>
        </w:rPr>
        <w:t>decision making and reporting</w:t>
      </w:r>
      <w:r w:rsidR="005854BA">
        <w:rPr>
          <w:sz w:val="21"/>
          <w:szCs w:val="21"/>
        </w:rPr>
        <w:t xml:space="preserve"> processes</w:t>
      </w:r>
      <w:r w:rsidR="00056D92">
        <w:rPr>
          <w:sz w:val="21"/>
          <w:szCs w:val="21"/>
        </w:rPr>
        <w:t xml:space="preserve">; a </w:t>
      </w:r>
      <w:r>
        <w:rPr>
          <w:sz w:val="21"/>
          <w:szCs w:val="21"/>
        </w:rPr>
        <w:t xml:space="preserve">re-balancing </w:t>
      </w:r>
      <w:r w:rsidR="00056D92">
        <w:rPr>
          <w:sz w:val="21"/>
          <w:szCs w:val="21"/>
        </w:rPr>
        <w:t xml:space="preserve">of </w:t>
      </w:r>
      <w:r w:rsidR="00070348">
        <w:rPr>
          <w:sz w:val="21"/>
          <w:szCs w:val="21"/>
        </w:rPr>
        <w:t>MEL</w:t>
      </w:r>
      <w:r>
        <w:rPr>
          <w:sz w:val="21"/>
          <w:szCs w:val="21"/>
        </w:rPr>
        <w:t xml:space="preserve"> resources and focus towards the higher-level program outcomes</w:t>
      </w:r>
      <w:r w:rsidR="00056D92">
        <w:rPr>
          <w:sz w:val="21"/>
          <w:szCs w:val="21"/>
        </w:rPr>
        <w:t xml:space="preserve">; more </w:t>
      </w:r>
      <w:r w:rsidR="00056D92" w:rsidRPr="008364B6">
        <w:rPr>
          <w:sz w:val="21"/>
          <w:szCs w:val="21"/>
        </w:rPr>
        <w:t xml:space="preserve">resources for joint activity, </w:t>
      </w:r>
      <w:r w:rsidR="00DB05E7" w:rsidRPr="008364B6">
        <w:rPr>
          <w:sz w:val="21"/>
          <w:szCs w:val="21"/>
        </w:rPr>
        <w:t>communications,</w:t>
      </w:r>
      <w:r w:rsidR="00056D92" w:rsidRPr="008364B6">
        <w:rPr>
          <w:sz w:val="21"/>
          <w:szCs w:val="21"/>
        </w:rPr>
        <w:t xml:space="preserve"> and public diplomacy</w:t>
      </w:r>
      <w:r w:rsidR="00056D92">
        <w:rPr>
          <w:sz w:val="21"/>
          <w:szCs w:val="21"/>
        </w:rPr>
        <w:t>;</w:t>
      </w:r>
      <w:r w:rsidR="00056D92" w:rsidRPr="008364B6">
        <w:rPr>
          <w:sz w:val="21"/>
          <w:szCs w:val="21"/>
        </w:rPr>
        <w:t xml:space="preserve"> and arrangements for sharing lessons and supporting DFAT-led policy engagement</w:t>
      </w:r>
      <w:r>
        <w:rPr>
          <w:sz w:val="21"/>
          <w:szCs w:val="21"/>
        </w:rPr>
        <w:t>.</w:t>
      </w:r>
    </w:p>
    <w:p w14:paraId="7BEF8E2B" w14:textId="5EF7A131" w:rsidR="008364B6" w:rsidRDefault="008364B6" w:rsidP="003E2C60">
      <w:pPr>
        <w:pStyle w:val="ListParagraph"/>
        <w:numPr>
          <w:ilvl w:val="0"/>
          <w:numId w:val="12"/>
        </w:numPr>
        <w:tabs>
          <w:tab w:val="left" w:pos="284"/>
        </w:tabs>
        <w:suppressAutoHyphens w:val="0"/>
        <w:spacing w:before="200" w:after="0" w:line="280" w:lineRule="exact"/>
        <w:ind w:left="0" w:firstLine="0"/>
        <w:contextualSpacing w:val="0"/>
        <w:rPr>
          <w:b/>
          <w:bCs/>
          <w:sz w:val="21"/>
          <w:szCs w:val="21"/>
        </w:rPr>
      </w:pPr>
      <w:r>
        <w:rPr>
          <w:b/>
          <w:bCs/>
          <w:sz w:val="21"/>
          <w:szCs w:val="21"/>
        </w:rPr>
        <w:t xml:space="preserve">There are potential areas for further development of AHP which are outside the scope of this design update </w:t>
      </w:r>
      <w:r w:rsidRPr="002D41E1">
        <w:rPr>
          <w:sz w:val="21"/>
          <w:szCs w:val="21"/>
        </w:rPr>
        <w:t xml:space="preserve">but </w:t>
      </w:r>
      <w:r w:rsidRPr="003E2C60">
        <w:rPr>
          <w:rFonts w:eastAsia="Times New Roman" w:cs="Times New Roman"/>
          <w:sz w:val="21"/>
          <w:szCs w:val="24"/>
          <w:lang w:val="en-AU"/>
        </w:rPr>
        <w:t>may</w:t>
      </w:r>
      <w:r w:rsidRPr="002D41E1">
        <w:rPr>
          <w:sz w:val="21"/>
          <w:szCs w:val="21"/>
        </w:rPr>
        <w:t xml:space="preserve"> be considered during the life of the program or in </w:t>
      </w:r>
      <w:r w:rsidR="00A061CA">
        <w:rPr>
          <w:sz w:val="21"/>
          <w:szCs w:val="21"/>
        </w:rPr>
        <w:t>a new</w:t>
      </w:r>
      <w:r w:rsidR="007D4CB4">
        <w:rPr>
          <w:sz w:val="21"/>
          <w:szCs w:val="21"/>
        </w:rPr>
        <w:t xml:space="preserve"> investment design</w:t>
      </w:r>
      <w:r w:rsidRPr="002D41E1">
        <w:rPr>
          <w:sz w:val="21"/>
          <w:szCs w:val="21"/>
        </w:rPr>
        <w:t>. These include</w:t>
      </w:r>
      <w:r w:rsidR="007D4CB4">
        <w:rPr>
          <w:sz w:val="21"/>
          <w:szCs w:val="21"/>
        </w:rPr>
        <w:t>:</w:t>
      </w:r>
      <w:r>
        <w:rPr>
          <w:b/>
          <w:bCs/>
          <w:sz w:val="21"/>
          <w:szCs w:val="21"/>
        </w:rPr>
        <w:t xml:space="preserve"> </w:t>
      </w:r>
    </w:p>
    <w:p w14:paraId="302DFA56" w14:textId="1CC45C55" w:rsidR="008364B6" w:rsidRDefault="008364B6" w:rsidP="0011591E">
      <w:pPr>
        <w:pStyle w:val="ListParagraph"/>
        <w:numPr>
          <w:ilvl w:val="0"/>
          <w:numId w:val="36"/>
        </w:numPr>
        <w:suppressAutoHyphens w:val="0"/>
        <w:spacing w:before="60" w:line="280" w:lineRule="exact"/>
        <w:ind w:left="714" w:hanging="357"/>
        <w:contextualSpacing w:val="0"/>
        <w:rPr>
          <w:sz w:val="21"/>
          <w:szCs w:val="21"/>
        </w:rPr>
      </w:pPr>
      <w:r w:rsidRPr="00FF3D91">
        <w:rPr>
          <w:rFonts w:eastAsia="Times New Roman" w:cs="Times New Roman"/>
          <w:b/>
          <w:bCs/>
          <w:i/>
          <w:iCs/>
          <w:sz w:val="21"/>
          <w:szCs w:val="24"/>
          <w:lang w:val="en-AU"/>
        </w:rPr>
        <w:t>Disaster READY scope</w:t>
      </w:r>
      <w:r w:rsidRPr="00D51CDB">
        <w:rPr>
          <w:b/>
          <w:bCs/>
          <w:sz w:val="21"/>
          <w:szCs w:val="21"/>
        </w:rPr>
        <w:t xml:space="preserve">. </w:t>
      </w:r>
      <w:r w:rsidRPr="00D51CDB">
        <w:rPr>
          <w:sz w:val="21"/>
          <w:szCs w:val="21"/>
        </w:rPr>
        <w:t xml:space="preserve">Due to current budget limitations, Disaster READY will remain focused on the </w:t>
      </w:r>
      <w:r w:rsidR="00AD19A0">
        <w:rPr>
          <w:sz w:val="21"/>
          <w:szCs w:val="21"/>
        </w:rPr>
        <w:t xml:space="preserve">current five </w:t>
      </w:r>
      <w:r w:rsidRPr="00D51CDB">
        <w:rPr>
          <w:sz w:val="21"/>
          <w:szCs w:val="21"/>
        </w:rPr>
        <w:t>countries of Timor</w:t>
      </w:r>
      <w:r w:rsidR="00AD19A0">
        <w:rPr>
          <w:sz w:val="21"/>
          <w:szCs w:val="21"/>
        </w:rPr>
        <w:t>-</w:t>
      </w:r>
      <w:r w:rsidRPr="00D51CDB">
        <w:rPr>
          <w:sz w:val="21"/>
          <w:szCs w:val="21"/>
        </w:rPr>
        <w:t xml:space="preserve">Leste, Vanuatu, PNG, Solomon Islands and Fiji. </w:t>
      </w:r>
      <w:r w:rsidR="00AD19A0">
        <w:rPr>
          <w:sz w:val="21"/>
          <w:szCs w:val="21"/>
        </w:rPr>
        <w:t>Should additional budget become available, consideration may be given to expanding t</w:t>
      </w:r>
      <w:r w:rsidR="00814247">
        <w:rPr>
          <w:sz w:val="21"/>
          <w:szCs w:val="21"/>
        </w:rPr>
        <w:t xml:space="preserve">he </w:t>
      </w:r>
      <w:r w:rsidR="006F07FF">
        <w:rPr>
          <w:sz w:val="21"/>
          <w:szCs w:val="21"/>
        </w:rPr>
        <w:t>p</w:t>
      </w:r>
      <w:r w:rsidR="00814247">
        <w:rPr>
          <w:sz w:val="21"/>
          <w:szCs w:val="21"/>
        </w:rPr>
        <w:t>rogram to other vulnerable Pacific countries such as Tonga</w:t>
      </w:r>
      <w:r w:rsidR="007B7321">
        <w:rPr>
          <w:sz w:val="21"/>
          <w:szCs w:val="21"/>
        </w:rPr>
        <w:t>,</w:t>
      </w:r>
      <w:r w:rsidR="006D6913">
        <w:rPr>
          <w:sz w:val="21"/>
          <w:szCs w:val="21"/>
        </w:rPr>
        <w:t xml:space="preserve"> </w:t>
      </w:r>
      <w:r w:rsidR="00DB05E7">
        <w:rPr>
          <w:sz w:val="21"/>
          <w:szCs w:val="21"/>
        </w:rPr>
        <w:t>Kiribati,</w:t>
      </w:r>
      <w:r w:rsidR="006D6913">
        <w:rPr>
          <w:sz w:val="21"/>
          <w:szCs w:val="21"/>
        </w:rPr>
        <w:t xml:space="preserve"> or Tuvalu,</w:t>
      </w:r>
      <w:r w:rsidR="007B7321">
        <w:rPr>
          <w:sz w:val="21"/>
          <w:szCs w:val="21"/>
        </w:rPr>
        <w:t xml:space="preserve"> and/or </w:t>
      </w:r>
      <w:r w:rsidR="00485848">
        <w:rPr>
          <w:sz w:val="21"/>
          <w:szCs w:val="21"/>
        </w:rPr>
        <w:t>expanding impact in the existing countries</w:t>
      </w:r>
      <w:r w:rsidRPr="00D51CDB">
        <w:rPr>
          <w:sz w:val="21"/>
          <w:szCs w:val="21"/>
        </w:rPr>
        <w:t>.</w:t>
      </w:r>
    </w:p>
    <w:p w14:paraId="6EE992AD" w14:textId="0E755F9D" w:rsidR="008364B6" w:rsidRDefault="008364B6" w:rsidP="0011591E">
      <w:pPr>
        <w:pStyle w:val="ListParagraph"/>
        <w:numPr>
          <w:ilvl w:val="0"/>
          <w:numId w:val="36"/>
        </w:numPr>
        <w:suppressAutoHyphens w:val="0"/>
        <w:spacing w:before="60" w:line="280" w:lineRule="exact"/>
        <w:ind w:left="714" w:hanging="357"/>
        <w:contextualSpacing w:val="0"/>
        <w:rPr>
          <w:sz w:val="21"/>
          <w:szCs w:val="21"/>
        </w:rPr>
      </w:pPr>
      <w:r w:rsidRPr="00FF3D91">
        <w:rPr>
          <w:rFonts w:eastAsia="Times New Roman" w:cs="Times New Roman"/>
          <w:b/>
          <w:bCs/>
          <w:i/>
          <w:iCs/>
          <w:sz w:val="21"/>
          <w:szCs w:val="24"/>
          <w:lang w:val="en-AU"/>
        </w:rPr>
        <w:t xml:space="preserve">AHP </w:t>
      </w:r>
      <w:r w:rsidR="00291872">
        <w:rPr>
          <w:rFonts w:eastAsia="Times New Roman" w:cs="Times New Roman"/>
          <w:b/>
          <w:bCs/>
          <w:i/>
          <w:iCs/>
          <w:sz w:val="21"/>
          <w:szCs w:val="24"/>
          <w:lang w:val="en-AU"/>
        </w:rPr>
        <w:t>implementing partners</w:t>
      </w:r>
      <w:r>
        <w:rPr>
          <w:b/>
          <w:bCs/>
          <w:sz w:val="21"/>
          <w:szCs w:val="21"/>
        </w:rPr>
        <w:t>.</w:t>
      </w:r>
      <w:r>
        <w:rPr>
          <w:sz w:val="21"/>
          <w:szCs w:val="21"/>
        </w:rPr>
        <w:t xml:space="preserve"> </w:t>
      </w:r>
      <w:r w:rsidR="0000786D">
        <w:rPr>
          <w:sz w:val="21"/>
          <w:szCs w:val="21"/>
        </w:rPr>
        <w:t>The six lead AHP ANGOs were selected due to their</w:t>
      </w:r>
      <w:r w:rsidR="0000786D" w:rsidRPr="0000786D">
        <w:rPr>
          <w:sz w:val="21"/>
          <w:szCs w:val="21"/>
        </w:rPr>
        <w:t xml:space="preserve"> global footprint, technical and organisational capacity, compliance with DFAT </w:t>
      </w:r>
      <w:r w:rsidR="00764206" w:rsidRPr="00764206">
        <w:rPr>
          <w:sz w:val="21"/>
          <w:szCs w:val="21"/>
        </w:rPr>
        <w:t xml:space="preserve">Australian NGO Cooperation Program </w:t>
      </w:r>
      <w:r w:rsidR="00764206">
        <w:rPr>
          <w:sz w:val="21"/>
          <w:szCs w:val="21"/>
        </w:rPr>
        <w:t xml:space="preserve">(ANCP) </w:t>
      </w:r>
      <w:r w:rsidR="0000786D">
        <w:rPr>
          <w:sz w:val="21"/>
          <w:szCs w:val="21"/>
        </w:rPr>
        <w:t>a</w:t>
      </w:r>
      <w:r w:rsidR="0000786D" w:rsidRPr="0000786D">
        <w:rPr>
          <w:sz w:val="21"/>
          <w:szCs w:val="21"/>
        </w:rPr>
        <w:t xml:space="preserve">ccreditation requirements and commitment to international humanitarian standards. The </w:t>
      </w:r>
      <w:r w:rsidR="0000786D">
        <w:rPr>
          <w:sz w:val="21"/>
          <w:szCs w:val="21"/>
        </w:rPr>
        <w:t xml:space="preserve">MTE found the selected ANGOs have consistently </w:t>
      </w:r>
      <w:r w:rsidR="0000786D" w:rsidRPr="0000786D">
        <w:rPr>
          <w:sz w:val="21"/>
          <w:szCs w:val="21"/>
        </w:rPr>
        <w:t xml:space="preserve">demonstrated capacity to respond to DFAT priorities and </w:t>
      </w:r>
      <w:r w:rsidR="00064643" w:rsidRPr="0000786D">
        <w:rPr>
          <w:sz w:val="21"/>
          <w:szCs w:val="21"/>
        </w:rPr>
        <w:t>interests and</w:t>
      </w:r>
      <w:r w:rsidR="0000786D">
        <w:rPr>
          <w:sz w:val="21"/>
          <w:szCs w:val="21"/>
        </w:rPr>
        <w:t xml:space="preserve"> deliver high quality programming</w:t>
      </w:r>
      <w:r w:rsidR="0000786D" w:rsidRPr="0000786D">
        <w:rPr>
          <w:sz w:val="21"/>
          <w:szCs w:val="21"/>
        </w:rPr>
        <w:t xml:space="preserve">. </w:t>
      </w:r>
      <w:r w:rsidR="00764206">
        <w:rPr>
          <w:sz w:val="21"/>
          <w:szCs w:val="21"/>
        </w:rPr>
        <w:t xml:space="preserve">As a result, </w:t>
      </w:r>
      <w:r w:rsidR="003D6A96">
        <w:rPr>
          <w:sz w:val="21"/>
          <w:szCs w:val="21"/>
        </w:rPr>
        <w:t>DFAT</w:t>
      </w:r>
      <w:r w:rsidR="00764206">
        <w:rPr>
          <w:sz w:val="21"/>
          <w:szCs w:val="21"/>
        </w:rPr>
        <w:t xml:space="preserve"> has decided </w:t>
      </w:r>
      <w:r w:rsidR="003D6A96">
        <w:rPr>
          <w:sz w:val="21"/>
          <w:szCs w:val="21"/>
        </w:rPr>
        <w:t xml:space="preserve">to extend the current contractual arrangements consistent with the </w:t>
      </w:r>
      <w:r w:rsidR="00041E57">
        <w:rPr>
          <w:sz w:val="21"/>
          <w:szCs w:val="21"/>
        </w:rPr>
        <w:t>terms of the original approach to market</w:t>
      </w:r>
      <w:r w:rsidR="003D6A96">
        <w:rPr>
          <w:sz w:val="21"/>
          <w:szCs w:val="21"/>
        </w:rPr>
        <w:t xml:space="preserve">, </w:t>
      </w:r>
      <w:r w:rsidR="00764206">
        <w:rPr>
          <w:sz w:val="21"/>
          <w:szCs w:val="21"/>
        </w:rPr>
        <w:t xml:space="preserve">and </w:t>
      </w:r>
      <w:r w:rsidR="003D6A96">
        <w:rPr>
          <w:sz w:val="21"/>
          <w:szCs w:val="21"/>
        </w:rPr>
        <w:t xml:space="preserve">the </w:t>
      </w:r>
      <w:r>
        <w:rPr>
          <w:sz w:val="21"/>
          <w:szCs w:val="21"/>
        </w:rPr>
        <w:t>AHP will not expand to include new ANGOs nor international or regional partner</w:t>
      </w:r>
      <w:r w:rsidR="00764206">
        <w:rPr>
          <w:sz w:val="21"/>
          <w:szCs w:val="21"/>
        </w:rPr>
        <w:t xml:space="preserve">s. However, </w:t>
      </w:r>
      <w:r>
        <w:rPr>
          <w:sz w:val="21"/>
          <w:szCs w:val="21"/>
        </w:rPr>
        <w:t xml:space="preserve">individual consortia membership and other local partner engagements can be varied by the ANGOs. </w:t>
      </w:r>
    </w:p>
    <w:p w14:paraId="329CF481" w14:textId="1BB43074" w:rsidR="00EE35CA" w:rsidRDefault="00EE35CA" w:rsidP="0011591E">
      <w:pPr>
        <w:pStyle w:val="ListParagraph"/>
        <w:numPr>
          <w:ilvl w:val="0"/>
          <w:numId w:val="36"/>
        </w:numPr>
        <w:suppressAutoHyphens w:val="0"/>
        <w:spacing w:before="60" w:line="280" w:lineRule="exact"/>
        <w:ind w:left="714" w:hanging="357"/>
        <w:contextualSpacing w:val="0"/>
        <w:rPr>
          <w:sz w:val="21"/>
          <w:szCs w:val="21"/>
        </w:rPr>
      </w:pPr>
      <w:r w:rsidRPr="00FF3D91">
        <w:rPr>
          <w:rFonts w:eastAsia="Times New Roman" w:cs="Times New Roman"/>
          <w:b/>
          <w:bCs/>
          <w:i/>
          <w:iCs/>
          <w:sz w:val="21"/>
          <w:szCs w:val="24"/>
          <w:lang w:val="en-AU"/>
        </w:rPr>
        <w:t>Direct funding to in</w:t>
      </w:r>
      <w:r>
        <w:rPr>
          <w:rFonts w:eastAsia="Times New Roman" w:cs="Times New Roman"/>
          <w:b/>
          <w:bCs/>
          <w:i/>
          <w:iCs/>
          <w:sz w:val="21"/>
          <w:szCs w:val="24"/>
          <w:lang w:val="en-AU"/>
        </w:rPr>
        <w:t>-</w:t>
      </w:r>
      <w:r w:rsidRPr="00FF3D91">
        <w:rPr>
          <w:rFonts w:eastAsia="Times New Roman" w:cs="Times New Roman"/>
          <w:b/>
          <w:bCs/>
          <w:i/>
          <w:iCs/>
          <w:sz w:val="21"/>
          <w:szCs w:val="24"/>
          <w:lang w:val="en-AU"/>
        </w:rPr>
        <w:t>country organisations</w:t>
      </w:r>
      <w:r>
        <w:rPr>
          <w:b/>
          <w:bCs/>
          <w:sz w:val="21"/>
          <w:szCs w:val="21"/>
        </w:rPr>
        <w:t xml:space="preserve">. </w:t>
      </w:r>
      <w:r>
        <w:rPr>
          <w:sz w:val="21"/>
          <w:szCs w:val="21"/>
        </w:rPr>
        <w:t xml:space="preserve">Consistent with </w:t>
      </w:r>
      <w:r w:rsidR="00406F84">
        <w:rPr>
          <w:sz w:val="21"/>
          <w:szCs w:val="21"/>
        </w:rPr>
        <w:t>Phase I</w:t>
      </w:r>
      <w:r>
        <w:rPr>
          <w:sz w:val="21"/>
          <w:szCs w:val="21"/>
        </w:rPr>
        <w:t xml:space="preserve">, </w:t>
      </w:r>
      <w:r w:rsidRPr="002D41E1">
        <w:rPr>
          <w:sz w:val="21"/>
          <w:szCs w:val="21"/>
        </w:rPr>
        <w:t xml:space="preserve">DFAT </w:t>
      </w:r>
      <w:r>
        <w:rPr>
          <w:sz w:val="21"/>
          <w:szCs w:val="21"/>
        </w:rPr>
        <w:t xml:space="preserve">will continue to direct funding through ANGOs as intermediaries for humanitarian response. However, strategies for increasing </w:t>
      </w:r>
      <w:r w:rsidR="00A061CA">
        <w:rPr>
          <w:sz w:val="21"/>
          <w:szCs w:val="21"/>
        </w:rPr>
        <w:t xml:space="preserve">the proportion of </w:t>
      </w:r>
      <w:r w:rsidR="00DF401E">
        <w:rPr>
          <w:sz w:val="21"/>
          <w:szCs w:val="21"/>
        </w:rPr>
        <w:t xml:space="preserve">downstream </w:t>
      </w:r>
      <w:r w:rsidR="00A061CA">
        <w:rPr>
          <w:sz w:val="21"/>
          <w:szCs w:val="21"/>
        </w:rPr>
        <w:t>funding for</w:t>
      </w:r>
      <w:r w:rsidR="00D930F0">
        <w:rPr>
          <w:sz w:val="21"/>
          <w:szCs w:val="21"/>
        </w:rPr>
        <w:t xml:space="preserve"> local</w:t>
      </w:r>
      <w:r>
        <w:rPr>
          <w:sz w:val="21"/>
          <w:szCs w:val="21"/>
        </w:rPr>
        <w:t xml:space="preserve"> NGOs and other in country stakeholders (including a local response fund) may emerge through Localisation Strategies, be piloted in </w:t>
      </w:r>
      <w:r w:rsidR="00406F84">
        <w:rPr>
          <w:sz w:val="21"/>
          <w:szCs w:val="21"/>
        </w:rPr>
        <w:t>Phase II</w:t>
      </w:r>
      <w:r>
        <w:rPr>
          <w:sz w:val="21"/>
          <w:szCs w:val="21"/>
        </w:rPr>
        <w:t xml:space="preserve"> </w:t>
      </w:r>
      <w:r w:rsidR="00CA4710">
        <w:rPr>
          <w:sz w:val="21"/>
          <w:szCs w:val="21"/>
        </w:rPr>
        <w:t xml:space="preserve">subject to additional budget </w:t>
      </w:r>
      <w:r>
        <w:rPr>
          <w:sz w:val="21"/>
          <w:szCs w:val="21"/>
        </w:rPr>
        <w:t xml:space="preserve">and/or be considered for future programs. </w:t>
      </w:r>
    </w:p>
    <w:p w14:paraId="11ACE419" w14:textId="06E86FBE" w:rsidR="008364B6" w:rsidRDefault="00291872" w:rsidP="0011591E">
      <w:pPr>
        <w:pStyle w:val="ListParagraph"/>
        <w:numPr>
          <w:ilvl w:val="0"/>
          <w:numId w:val="36"/>
        </w:numPr>
        <w:suppressAutoHyphens w:val="0"/>
        <w:spacing w:before="60" w:line="280" w:lineRule="exact"/>
        <w:ind w:left="714" w:hanging="357"/>
        <w:contextualSpacing w:val="0"/>
        <w:rPr>
          <w:sz w:val="21"/>
          <w:szCs w:val="21"/>
        </w:rPr>
      </w:pPr>
      <w:r>
        <w:rPr>
          <w:rFonts w:eastAsia="Times New Roman" w:cs="Times New Roman"/>
          <w:b/>
          <w:bCs/>
          <w:i/>
          <w:iCs/>
          <w:sz w:val="21"/>
          <w:szCs w:val="24"/>
          <w:lang w:val="en-AU"/>
        </w:rPr>
        <w:t>Integration</w:t>
      </w:r>
      <w:r w:rsidRPr="00FF3D91">
        <w:rPr>
          <w:rFonts w:eastAsia="Times New Roman" w:cs="Times New Roman"/>
          <w:b/>
          <w:bCs/>
          <w:i/>
          <w:iCs/>
          <w:sz w:val="21"/>
          <w:szCs w:val="24"/>
          <w:lang w:val="en-AU"/>
        </w:rPr>
        <w:t xml:space="preserve"> </w:t>
      </w:r>
      <w:r w:rsidR="008364B6" w:rsidRPr="00FF3D91">
        <w:rPr>
          <w:rFonts w:eastAsia="Times New Roman" w:cs="Times New Roman"/>
          <w:b/>
          <w:bCs/>
          <w:i/>
          <w:iCs/>
          <w:sz w:val="21"/>
          <w:szCs w:val="24"/>
          <w:lang w:val="en-AU"/>
        </w:rPr>
        <w:t xml:space="preserve">with </w:t>
      </w:r>
      <w:r w:rsidR="00041E57">
        <w:rPr>
          <w:rFonts w:eastAsia="Times New Roman" w:cs="Times New Roman"/>
          <w:b/>
          <w:bCs/>
          <w:i/>
          <w:iCs/>
          <w:sz w:val="21"/>
          <w:szCs w:val="24"/>
          <w:lang w:val="en-AU"/>
        </w:rPr>
        <w:t>ANCP</w:t>
      </w:r>
      <w:r w:rsidR="008364B6" w:rsidRPr="00D51CDB">
        <w:rPr>
          <w:b/>
          <w:bCs/>
          <w:sz w:val="21"/>
          <w:szCs w:val="21"/>
        </w:rPr>
        <w:t>.</w:t>
      </w:r>
      <w:r w:rsidR="008364B6" w:rsidRPr="00D51CDB">
        <w:rPr>
          <w:sz w:val="21"/>
          <w:szCs w:val="21"/>
        </w:rPr>
        <w:t xml:space="preserve"> </w:t>
      </w:r>
      <w:r w:rsidR="00F310C7">
        <w:rPr>
          <w:sz w:val="21"/>
          <w:szCs w:val="21"/>
        </w:rPr>
        <w:t xml:space="preserve">Where there is a shared footprint </w:t>
      </w:r>
      <w:r w:rsidR="005C682C">
        <w:rPr>
          <w:sz w:val="21"/>
          <w:szCs w:val="21"/>
        </w:rPr>
        <w:t>between</w:t>
      </w:r>
      <w:r w:rsidR="00041E57">
        <w:rPr>
          <w:sz w:val="21"/>
          <w:szCs w:val="21"/>
        </w:rPr>
        <w:t xml:space="preserve"> ANCP </w:t>
      </w:r>
      <w:r w:rsidR="00257C42">
        <w:rPr>
          <w:sz w:val="21"/>
          <w:szCs w:val="21"/>
        </w:rPr>
        <w:t>and AHP</w:t>
      </w:r>
      <w:r w:rsidR="00041E57">
        <w:rPr>
          <w:sz w:val="21"/>
          <w:szCs w:val="21"/>
        </w:rPr>
        <w:t xml:space="preserve"> </w:t>
      </w:r>
      <w:r w:rsidR="005C682C">
        <w:rPr>
          <w:sz w:val="21"/>
          <w:szCs w:val="21"/>
        </w:rPr>
        <w:t>there are</w:t>
      </w:r>
      <w:r w:rsidR="00257C42">
        <w:rPr>
          <w:sz w:val="21"/>
          <w:szCs w:val="21"/>
        </w:rPr>
        <w:t xml:space="preserve"> opportunities to strengthen holistic programming across the humanitarian-development nexus. </w:t>
      </w:r>
      <w:r w:rsidR="00FC2EC2">
        <w:rPr>
          <w:sz w:val="21"/>
          <w:szCs w:val="21"/>
        </w:rPr>
        <w:t xml:space="preserve">While some improved activity-level </w:t>
      </w:r>
      <w:r w:rsidR="00D51D21">
        <w:rPr>
          <w:sz w:val="21"/>
          <w:szCs w:val="21"/>
        </w:rPr>
        <w:t xml:space="preserve">cooperation is proposed by this design, </w:t>
      </w:r>
      <w:r w:rsidR="006F07FF">
        <w:rPr>
          <w:sz w:val="21"/>
          <w:szCs w:val="21"/>
        </w:rPr>
        <w:t xml:space="preserve">the potential for </w:t>
      </w:r>
      <w:r w:rsidR="00153268">
        <w:rPr>
          <w:sz w:val="21"/>
          <w:szCs w:val="21"/>
        </w:rPr>
        <w:t xml:space="preserve">more in-depth alignment </w:t>
      </w:r>
      <w:r w:rsidR="00993141">
        <w:rPr>
          <w:sz w:val="21"/>
          <w:szCs w:val="21"/>
        </w:rPr>
        <w:t xml:space="preserve">or integration </w:t>
      </w:r>
      <w:r w:rsidR="00153268">
        <w:rPr>
          <w:sz w:val="21"/>
          <w:szCs w:val="21"/>
        </w:rPr>
        <w:t>will be explored through the 2022 ANCP evaluation and recommendations</w:t>
      </w:r>
      <w:r w:rsidR="000B730C">
        <w:rPr>
          <w:sz w:val="21"/>
          <w:szCs w:val="21"/>
        </w:rPr>
        <w:t>.</w:t>
      </w:r>
    </w:p>
    <w:p w14:paraId="667AAC38" w14:textId="71B36FBF" w:rsidR="008364B6" w:rsidRPr="00DE287B" w:rsidRDefault="00C0232B" w:rsidP="0011591E">
      <w:pPr>
        <w:pStyle w:val="ListParagraph"/>
        <w:numPr>
          <w:ilvl w:val="0"/>
          <w:numId w:val="36"/>
        </w:numPr>
        <w:suppressAutoHyphens w:val="0"/>
        <w:spacing w:before="60" w:line="280" w:lineRule="exact"/>
        <w:ind w:left="714" w:hanging="357"/>
        <w:contextualSpacing w:val="0"/>
        <w:rPr>
          <w:b/>
          <w:bCs/>
          <w:i/>
          <w:iCs/>
          <w:sz w:val="21"/>
          <w:szCs w:val="21"/>
        </w:rPr>
      </w:pPr>
      <w:r>
        <w:rPr>
          <w:rFonts w:eastAsia="Times New Roman" w:cs="Times New Roman"/>
          <w:b/>
          <w:bCs/>
          <w:i/>
          <w:iCs/>
          <w:sz w:val="21"/>
          <w:szCs w:val="24"/>
          <w:lang w:val="en-AU"/>
        </w:rPr>
        <w:t>Predictable</w:t>
      </w:r>
      <w:r w:rsidR="00FA055E">
        <w:rPr>
          <w:rFonts w:eastAsia="Times New Roman" w:cs="Times New Roman"/>
          <w:b/>
          <w:bCs/>
          <w:i/>
          <w:iCs/>
          <w:sz w:val="21"/>
          <w:szCs w:val="24"/>
          <w:lang w:val="en-AU"/>
        </w:rPr>
        <w:t xml:space="preserve"> multi-year</w:t>
      </w:r>
      <w:r w:rsidR="00FA055E" w:rsidRPr="00FF3D91">
        <w:rPr>
          <w:rFonts w:eastAsia="Times New Roman" w:cs="Times New Roman"/>
          <w:b/>
          <w:bCs/>
          <w:i/>
          <w:iCs/>
          <w:sz w:val="21"/>
          <w:szCs w:val="24"/>
          <w:lang w:val="en-AU"/>
        </w:rPr>
        <w:t xml:space="preserve"> </w:t>
      </w:r>
      <w:r w:rsidR="008364B6" w:rsidRPr="00FF3D91">
        <w:rPr>
          <w:rFonts w:eastAsia="Times New Roman" w:cs="Times New Roman"/>
          <w:b/>
          <w:bCs/>
          <w:i/>
          <w:iCs/>
          <w:sz w:val="21"/>
          <w:szCs w:val="24"/>
          <w:lang w:val="en-AU"/>
        </w:rPr>
        <w:t>funding for disaster response</w:t>
      </w:r>
      <w:r w:rsidR="008364B6" w:rsidRPr="00DE287B">
        <w:rPr>
          <w:sz w:val="21"/>
          <w:szCs w:val="21"/>
        </w:rPr>
        <w:t xml:space="preserve">. Establishing </w:t>
      </w:r>
      <w:r w:rsidR="00D4251F">
        <w:rPr>
          <w:sz w:val="21"/>
          <w:szCs w:val="21"/>
        </w:rPr>
        <w:t>predictable or guaranteed</w:t>
      </w:r>
      <w:r w:rsidR="008364B6" w:rsidRPr="00DE287B">
        <w:rPr>
          <w:sz w:val="21"/>
          <w:szCs w:val="21"/>
        </w:rPr>
        <w:t xml:space="preserve"> funding amounts for disaster response either annually or for the life of the program, </w:t>
      </w:r>
      <w:r w:rsidR="00AD64D9">
        <w:rPr>
          <w:sz w:val="21"/>
          <w:szCs w:val="21"/>
        </w:rPr>
        <w:t>which may</w:t>
      </w:r>
      <w:r w:rsidR="008364B6" w:rsidRPr="00DE287B">
        <w:rPr>
          <w:sz w:val="21"/>
          <w:szCs w:val="21"/>
        </w:rPr>
        <w:t xml:space="preserve"> </w:t>
      </w:r>
      <w:r w:rsidR="00E818A8">
        <w:rPr>
          <w:sz w:val="21"/>
          <w:szCs w:val="21"/>
        </w:rPr>
        <w:t xml:space="preserve">enable </w:t>
      </w:r>
      <w:r w:rsidR="008364B6" w:rsidRPr="00DE287B">
        <w:rPr>
          <w:sz w:val="21"/>
          <w:szCs w:val="21"/>
        </w:rPr>
        <w:t xml:space="preserve">ANGOs to better plan and resource their capacity and that of their partners to respond when required, </w:t>
      </w:r>
      <w:r w:rsidR="00FA055E">
        <w:rPr>
          <w:sz w:val="21"/>
          <w:szCs w:val="21"/>
        </w:rPr>
        <w:t xml:space="preserve">is not currently feasible </w:t>
      </w:r>
      <w:r w:rsidR="004C4B36">
        <w:rPr>
          <w:sz w:val="21"/>
          <w:szCs w:val="21"/>
        </w:rPr>
        <w:t>given the nature of Australia’s humanitarian response funding</w:t>
      </w:r>
      <w:r w:rsidR="008364B6" w:rsidRPr="00DE287B">
        <w:rPr>
          <w:sz w:val="21"/>
          <w:szCs w:val="21"/>
        </w:rPr>
        <w:t xml:space="preserve">. </w:t>
      </w:r>
    </w:p>
    <w:p w14:paraId="117EB197" w14:textId="1F9C650D" w:rsidR="00A32858" w:rsidRPr="00851A62" w:rsidRDefault="00A32858" w:rsidP="0011591E">
      <w:pPr>
        <w:pStyle w:val="Heading1"/>
        <w:numPr>
          <w:ilvl w:val="0"/>
          <w:numId w:val="22"/>
        </w:numPr>
        <w:pBdr>
          <w:top w:val="single" w:sz="4" w:space="1" w:color="auto"/>
          <w:left w:val="single" w:sz="4" w:space="4" w:color="auto"/>
          <w:bottom w:val="single" w:sz="4" w:space="1" w:color="auto"/>
          <w:right w:val="single" w:sz="4" w:space="4" w:color="auto"/>
        </w:pBdr>
        <w:shd w:val="clear" w:color="auto" w:fill="E0F3EF" w:themeFill="accent1" w:themeFillTint="33"/>
        <w:spacing w:before="200" w:after="0"/>
        <w:contextualSpacing w:val="0"/>
        <w:rPr>
          <w:rFonts w:eastAsiaTheme="minorHAnsi" w:cstheme="minorBidi"/>
          <w:bCs w:val="0"/>
          <w:sz w:val="22"/>
          <w:szCs w:val="21"/>
        </w:rPr>
      </w:pPr>
      <w:bookmarkStart w:id="17" w:name="_Toc89707899"/>
      <w:bookmarkStart w:id="18" w:name="_Toc89708041"/>
      <w:bookmarkStart w:id="19" w:name="_Toc89708065"/>
      <w:bookmarkStart w:id="20" w:name="_Toc89708438"/>
      <w:bookmarkStart w:id="21" w:name="_Toc101521651"/>
      <w:bookmarkEnd w:id="17"/>
      <w:bookmarkEnd w:id="18"/>
      <w:bookmarkEnd w:id="19"/>
      <w:bookmarkEnd w:id="20"/>
      <w:r w:rsidRPr="00851A62">
        <w:rPr>
          <w:rFonts w:eastAsiaTheme="minorHAnsi" w:cstheme="minorBidi"/>
          <w:bCs w:val="0"/>
          <w:sz w:val="22"/>
          <w:szCs w:val="21"/>
        </w:rPr>
        <w:lastRenderedPageBreak/>
        <w:t>Proposed Outcomes and Investment Options (What?)</w:t>
      </w:r>
      <w:bookmarkEnd w:id="21"/>
    </w:p>
    <w:p w14:paraId="707488CD" w14:textId="6151B99C" w:rsidR="00D2696D" w:rsidRPr="00851A62" w:rsidRDefault="00D2696D" w:rsidP="00130515">
      <w:pPr>
        <w:keepNext/>
        <w:spacing w:before="200" w:after="0"/>
        <w:outlineLvl w:val="1"/>
        <w:rPr>
          <w:i/>
          <w:iCs/>
        </w:rPr>
      </w:pPr>
      <w:bookmarkStart w:id="22" w:name="_Toc101521652"/>
      <w:r w:rsidRPr="00851A62">
        <w:rPr>
          <w:i/>
          <w:iCs/>
        </w:rPr>
        <w:t>Program Logic</w:t>
      </w:r>
      <w:bookmarkEnd w:id="22"/>
      <w:r w:rsidRPr="00851A62">
        <w:rPr>
          <w:i/>
          <w:iCs/>
        </w:rPr>
        <w:t xml:space="preserve"> </w:t>
      </w:r>
      <w:r w:rsidR="00851A62">
        <w:rPr>
          <w:i/>
          <w:iCs/>
        </w:rPr>
        <w:t xml:space="preserve"> </w:t>
      </w:r>
    </w:p>
    <w:p w14:paraId="4B9138F7" w14:textId="09AED348" w:rsidR="00EF33EE" w:rsidRDefault="004C4B36" w:rsidP="00130515">
      <w:pPr>
        <w:pStyle w:val="ListParagraph"/>
        <w:keepNext/>
        <w:numPr>
          <w:ilvl w:val="0"/>
          <w:numId w:val="12"/>
        </w:numPr>
        <w:tabs>
          <w:tab w:val="left" w:pos="284"/>
        </w:tabs>
        <w:suppressAutoHyphens w:val="0"/>
        <w:spacing w:before="200" w:after="0" w:line="280" w:lineRule="exact"/>
        <w:ind w:left="0" w:firstLine="0"/>
        <w:contextualSpacing w:val="0"/>
        <w:rPr>
          <w:sz w:val="21"/>
          <w:szCs w:val="21"/>
        </w:rPr>
      </w:pPr>
      <w:r w:rsidRPr="003E2C60">
        <w:rPr>
          <w:sz w:val="21"/>
          <w:szCs w:val="21"/>
        </w:rPr>
        <w:t xml:space="preserve">The </w:t>
      </w:r>
      <w:r w:rsidRPr="00415502">
        <w:rPr>
          <w:rFonts w:eastAsia="Times New Roman" w:cs="Times New Roman"/>
          <w:sz w:val="21"/>
          <w:szCs w:val="24"/>
          <w:lang w:val="en-AU"/>
        </w:rPr>
        <w:t>program</w:t>
      </w:r>
      <w:r w:rsidRPr="003E2C60">
        <w:rPr>
          <w:sz w:val="21"/>
          <w:szCs w:val="21"/>
        </w:rPr>
        <w:t xml:space="preserve"> logic for AHP </w:t>
      </w:r>
      <w:r w:rsidR="00406F84">
        <w:rPr>
          <w:sz w:val="21"/>
          <w:szCs w:val="21"/>
        </w:rPr>
        <w:t>Phase II</w:t>
      </w:r>
      <w:r w:rsidRPr="003E2C60">
        <w:rPr>
          <w:sz w:val="21"/>
          <w:szCs w:val="21"/>
        </w:rPr>
        <w:t xml:space="preserve"> has been updated to reflect changes to the policy and operating context. </w:t>
      </w:r>
      <w:r w:rsidR="00DC57C4">
        <w:rPr>
          <w:sz w:val="21"/>
          <w:szCs w:val="21"/>
        </w:rPr>
        <w:t xml:space="preserve">The </w:t>
      </w:r>
      <w:r w:rsidR="005201EA">
        <w:rPr>
          <w:sz w:val="21"/>
          <w:szCs w:val="21"/>
        </w:rPr>
        <w:t xml:space="preserve">original </w:t>
      </w:r>
      <w:r w:rsidR="00DC57C4">
        <w:rPr>
          <w:sz w:val="21"/>
          <w:szCs w:val="21"/>
        </w:rPr>
        <w:t xml:space="preserve">program logic for Phase I </w:t>
      </w:r>
      <w:r w:rsidR="005201EA">
        <w:rPr>
          <w:sz w:val="21"/>
          <w:szCs w:val="21"/>
        </w:rPr>
        <w:t xml:space="preserve">is included </w:t>
      </w:r>
      <w:r w:rsidR="0097552F">
        <w:rPr>
          <w:sz w:val="21"/>
          <w:szCs w:val="21"/>
        </w:rPr>
        <w:t xml:space="preserve">for reference </w:t>
      </w:r>
      <w:r w:rsidR="005201EA">
        <w:rPr>
          <w:sz w:val="21"/>
          <w:szCs w:val="21"/>
        </w:rPr>
        <w:t xml:space="preserve">at Annex </w:t>
      </w:r>
      <w:r w:rsidR="00A92894">
        <w:rPr>
          <w:sz w:val="21"/>
          <w:szCs w:val="21"/>
        </w:rPr>
        <w:t>5</w:t>
      </w:r>
      <w:r w:rsidR="005201EA">
        <w:rPr>
          <w:sz w:val="21"/>
          <w:szCs w:val="21"/>
        </w:rPr>
        <w:t>.</w:t>
      </w:r>
    </w:p>
    <w:p w14:paraId="7C110587" w14:textId="6F424DA1" w:rsidR="004C4B36" w:rsidRPr="003E2C60" w:rsidRDefault="004C4B36" w:rsidP="003E2C60">
      <w:pPr>
        <w:pStyle w:val="ListParagraph"/>
        <w:numPr>
          <w:ilvl w:val="0"/>
          <w:numId w:val="12"/>
        </w:numPr>
        <w:suppressAutoHyphens w:val="0"/>
        <w:spacing w:before="200" w:after="0" w:line="280" w:lineRule="exact"/>
        <w:ind w:left="357" w:hanging="357"/>
        <w:contextualSpacing w:val="0"/>
        <w:rPr>
          <w:sz w:val="21"/>
          <w:szCs w:val="21"/>
        </w:rPr>
      </w:pPr>
      <w:r w:rsidRPr="003E2C60">
        <w:rPr>
          <w:sz w:val="21"/>
          <w:szCs w:val="21"/>
        </w:rPr>
        <w:t xml:space="preserve">The goal of the </w:t>
      </w:r>
      <w:r w:rsidR="00FC605D">
        <w:rPr>
          <w:sz w:val="21"/>
          <w:szCs w:val="21"/>
        </w:rPr>
        <w:t>Partnership for</w:t>
      </w:r>
      <w:r w:rsidR="00FC605D" w:rsidRPr="003E2C60">
        <w:rPr>
          <w:sz w:val="21"/>
          <w:szCs w:val="21"/>
        </w:rPr>
        <w:t xml:space="preserve"> </w:t>
      </w:r>
      <w:r w:rsidR="00406F84">
        <w:rPr>
          <w:sz w:val="21"/>
          <w:szCs w:val="21"/>
        </w:rPr>
        <w:t>Phase II</w:t>
      </w:r>
      <w:r w:rsidRPr="003E2C60">
        <w:rPr>
          <w:sz w:val="21"/>
          <w:szCs w:val="21"/>
        </w:rPr>
        <w:t xml:space="preserve"> is:</w:t>
      </w:r>
    </w:p>
    <w:p w14:paraId="5D71A77B" w14:textId="1F992EDF" w:rsidR="0047031F" w:rsidRPr="008E3ABE" w:rsidRDefault="00FC605D" w:rsidP="008E3ABE">
      <w:pPr>
        <w:pStyle w:val="ListParagraph"/>
        <w:suppressAutoHyphens w:val="0"/>
        <w:spacing w:before="200" w:after="0" w:line="280" w:lineRule="exact"/>
        <w:ind w:left="357"/>
        <w:contextualSpacing w:val="0"/>
        <w:rPr>
          <w:rFonts w:eastAsia="Times New Roman" w:cs="Times New Roman"/>
          <w:b/>
          <w:bCs/>
          <w:sz w:val="21"/>
          <w:szCs w:val="21"/>
          <w:lang w:val="en-AU"/>
        </w:rPr>
      </w:pPr>
      <w:r w:rsidRPr="008E3ABE">
        <w:rPr>
          <w:rFonts w:eastAsia="Times New Roman" w:cs="Times New Roman"/>
          <w:b/>
          <w:bCs/>
          <w:sz w:val="21"/>
          <w:szCs w:val="21"/>
          <w:lang w:val="en-AU"/>
        </w:rPr>
        <w:t>To save lives and alleviate suffering by supporting partner countries</w:t>
      </w:r>
      <w:r w:rsidR="00DF401E">
        <w:rPr>
          <w:rFonts w:eastAsia="Times New Roman" w:cs="Times New Roman"/>
          <w:b/>
          <w:bCs/>
          <w:sz w:val="21"/>
          <w:szCs w:val="21"/>
          <w:lang w:val="en-AU"/>
        </w:rPr>
        <w:t>,</w:t>
      </w:r>
      <w:r w:rsidR="00E474E5" w:rsidRPr="008E3ABE">
        <w:rPr>
          <w:rFonts w:eastAsia="Times New Roman" w:cs="Times New Roman"/>
          <w:b/>
          <w:bCs/>
          <w:sz w:val="21"/>
          <w:szCs w:val="21"/>
          <w:lang w:val="en-AU"/>
        </w:rPr>
        <w:t xml:space="preserve"> local </w:t>
      </w:r>
      <w:r w:rsidR="00064643" w:rsidRPr="008E3ABE">
        <w:rPr>
          <w:rFonts w:eastAsia="Times New Roman" w:cs="Times New Roman"/>
          <w:b/>
          <w:bCs/>
          <w:sz w:val="21"/>
          <w:szCs w:val="21"/>
          <w:lang w:val="en-AU"/>
        </w:rPr>
        <w:t>organisations,</w:t>
      </w:r>
      <w:r w:rsidRPr="008E3ABE">
        <w:rPr>
          <w:rFonts w:eastAsia="Times New Roman" w:cs="Times New Roman"/>
          <w:b/>
          <w:bCs/>
          <w:sz w:val="21"/>
          <w:szCs w:val="21"/>
          <w:lang w:val="en-AU"/>
        </w:rPr>
        <w:t xml:space="preserve"> and communities to prevent, prepare for, respond </w:t>
      </w:r>
      <w:r w:rsidR="00064643" w:rsidRPr="008E3ABE">
        <w:rPr>
          <w:rFonts w:eastAsia="Times New Roman" w:cs="Times New Roman"/>
          <w:b/>
          <w:bCs/>
          <w:sz w:val="21"/>
          <w:szCs w:val="21"/>
          <w:lang w:val="en-AU"/>
        </w:rPr>
        <w:t>to,</w:t>
      </w:r>
      <w:r w:rsidRPr="008E3ABE">
        <w:rPr>
          <w:rFonts w:eastAsia="Times New Roman" w:cs="Times New Roman"/>
          <w:b/>
          <w:bCs/>
          <w:sz w:val="21"/>
          <w:szCs w:val="21"/>
          <w:lang w:val="en-AU"/>
        </w:rPr>
        <w:t xml:space="preserve"> and recover from disasters and other humanitarian crises.</w:t>
      </w:r>
    </w:p>
    <w:p w14:paraId="46D70139" w14:textId="57B70300" w:rsidR="00FC605D" w:rsidRDefault="00FC605D" w:rsidP="00FE6F0C">
      <w:pPr>
        <w:pStyle w:val="ListParagraph"/>
        <w:tabs>
          <w:tab w:val="left" w:pos="284"/>
        </w:tabs>
        <w:suppressAutoHyphens w:val="0"/>
        <w:spacing w:before="200" w:after="0" w:line="280" w:lineRule="exact"/>
        <w:ind w:left="284"/>
        <w:contextualSpacing w:val="0"/>
        <w:rPr>
          <w:rFonts w:eastAsia="Times New Roman" w:cs="Times New Roman"/>
          <w:sz w:val="21"/>
          <w:szCs w:val="24"/>
          <w:lang w:val="en-AU"/>
        </w:rPr>
      </w:pPr>
      <w:r>
        <w:rPr>
          <w:rFonts w:eastAsia="Times New Roman" w:cs="Times New Roman"/>
          <w:sz w:val="21"/>
          <w:szCs w:val="24"/>
          <w:lang w:val="en-AU"/>
        </w:rPr>
        <w:t xml:space="preserve">The </w:t>
      </w:r>
      <w:r w:rsidR="008C1FB5">
        <w:rPr>
          <w:rFonts w:eastAsia="Times New Roman" w:cs="Times New Roman"/>
          <w:sz w:val="21"/>
          <w:szCs w:val="24"/>
          <w:lang w:val="en-AU"/>
        </w:rPr>
        <w:t>o</w:t>
      </w:r>
      <w:r>
        <w:rPr>
          <w:rFonts w:eastAsia="Times New Roman" w:cs="Times New Roman"/>
          <w:sz w:val="21"/>
          <w:szCs w:val="24"/>
          <w:lang w:val="en-AU"/>
        </w:rPr>
        <w:t>bjective of the investment is:</w:t>
      </w:r>
    </w:p>
    <w:p w14:paraId="6ED094E6" w14:textId="2B0DE878" w:rsidR="00FC605D" w:rsidRPr="008E3ABE" w:rsidRDefault="004F1D37" w:rsidP="008E3ABE">
      <w:pPr>
        <w:pStyle w:val="ListParagraph"/>
        <w:suppressAutoHyphens w:val="0"/>
        <w:spacing w:before="200" w:after="0" w:line="280" w:lineRule="exact"/>
        <w:ind w:left="357"/>
        <w:contextualSpacing w:val="0"/>
        <w:rPr>
          <w:rFonts w:eastAsia="Times New Roman" w:cs="Times New Roman"/>
          <w:b/>
          <w:bCs/>
          <w:sz w:val="21"/>
          <w:szCs w:val="21"/>
          <w:lang w:val="en-AU"/>
        </w:rPr>
      </w:pPr>
      <w:r w:rsidRPr="005B092D">
        <w:rPr>
          <w:b/>
          <w:bCs/>
          <w:sz w:val="21"/>
          <w:szCs w:val="21"/>
          <w:lang w:val="en-AU"/>
        </w:rPr>
        <w:t>To strengthen resilience</w:t>
      </w:r>
      <w:r>
        <w:rPr>
          <w:b/>
          <w:bCs/>
          <w:sz w:val="21"/>
          <w:szCs w:val="21"/>
          <w:lang w:val="en-AU"/>
        </w:rPr>
        <w:t xml:space="preserve">, </w:t>
      </w:r>
      <w:r w:rsidR="00064643" w:rsidRPr="005B092D">
        <w:rPr>
          <w:b/>
          <w:bCs/>
          <w:sz w:val="21"/>
          <w:szCs w:val="21"/>
          <w:lang w:val="en-AU"/>
        </w:rPr>
        <w:t>stability,</w:t>
      </w:r>
      <w:r>
        <w:rPr>
          <w:b/>
          <w:bCs/>
          <w:sz w:val="21"/>
          <w:szCs w:val="21"/>
          <w:lang w:val="en-AU"/>
        </w:rPr>
        <w:t xml:space="preserve"> and equality</w:t>
      </w:r>
      <w:r w:rsidRPr="005B092D">
        <w:rPr>
          <w:b/>
          <w:bCs/>
          <w:sz w:val="21"/>
          <w:szCs w:val="21"/>
          <w:lang w:val="en-AU"/>
        </w:rPr>
        <w:t>, particularly in the Indo-Pacific region, by addressing the challenges of disaster</w:t>
      </w:r>
      <w:r>
        <w:rPr>
          <w:b/>
          <w:bCs/>
          <w:sz w:val="21"/>
          <w:szCs w:val="21"/>
          <w:lang w:val="en-AU"/>
        </w:rPr>
        <w:t>s</w:t>
      </w:r>
      <w:r w:rsidRPr="005B092D">
        <w:rPr>
          <w:b/>
          <w:bCs/>
          <w:sz w:val="21"/>
          <w:szCs w:val="21"/>
          <w:lang w:val="en-AU"/>
        </w:rPr>
        <w:t>, changing climate, conflict and other threats and hazards</w:t>
      </w:r>
      <w:r w:rsidR="00FC605D" w:rsidRPr="008E3ABE">
        <w:rPr>
          <w:rFonts w:eastAsia="Times New Roman" w:cs="Times New Roman"/>
          <w:b/>
          <w:bCs/>
          <w:sz w:val="21"/>
          <w:szCs w:val="21"/>
          <w:lang w:val="en-AU"/>
        </w:rPr>
        <w:t>.</w:t>
      </w:r>
    </w:p>
    <w:p w14:paraId="50BB98F2" w14:textId="070433BA" w:rsidR="005351B5" w:rsidRPr="00C2408E" w:rsidRDefault="005351B5" w:rsidP="00FC605D">
      <w:pPr>
        <w:pStyle w:val="ListParagraph"/>
        <w:tabs>
          <w:tab w:val="left" w:pos="284"/>
        </w:tabs>
        <w:suppressAutoHyphens w:val="0"/>
        <w:spacing w:before="200" w:after="0" w:line="280" w:lineRule="exact"/>
        <w:ind w:left="0"/>
        <w:contextualSpacing w:val="0"/>
        <w:rPr>
          <w:rFonts w:eastAsia="Times New Roman" w:cs="Times New Roman"/>
          <w:sz w:val="21"/>
          <w:szCs w:val="24"/>
          <w:lang w:val="en-AU"/>
        </w:rPr>
      </w:pPr>
      <w:r w:rsidRPr="00415502">
        <w:rPr>
          <w:rFonts w:eastAsia="Times New Roman" w:cs="Times New Roman"/>
          <w:sz w:val="21"/>
          <w:szCs w:val="24"/>
          <w:lang w:val="en-AU"/>
        </w:rPr>
        <w:t>Th</w:t>
      </w:r>
      <w:r w:rsidR="00FC605D">
        <w:rPr>
          <w:rFonts w:eastAsia="Times New Roman" w:cs="Times New Roman"/>
          <w:sz w:val="21"/>
          <w:szCs w:val="24"/>
          <w:lang w:val="en-AU"/>
        </w:rPr>
        <w:t>e</w:t>
      </w:r>
      <w:r w:rsidRPr="00415502">
        <w:rPr>
          <w:rFonts w:eastAsia="Times New Roman" w:cs="Times New Roman"/>
          <w:sz w:val="21"/>
          <w:szCs w:val="24"/>
          <w:lang w:val="en-AU"/>
        </w:rPr>
        <w:t xml:space="preserve"> goal </w:t>
      </w:r>
      <w:r w:rsidR="00355D87">
        <w:rPr>
          <w:rFonts w:eastAsia="Times New Roman" w:cs="Times New Roman"/>
          <w:sz w:val="21"/>
          <w:szCs w:val="24"/>
          <w:lang w:val="en-AU"/>
        </w:rPr>
        <w:t>retains</w:t>
      </w:r>
      <w:r w:rsidR="00355D87" w:rsidRPr="00415502">
        <w:rPr>
          <w:rFonts w:eastAsia="Times New Roman" w:cs="Times New Roman"/>
          <w:sz w:val="21"/>
          <w:szCs w:val="24"/>
          <w:lang w:val="en-AU"/>
        </w:rPr>
        <w:t xml:space="preserve"> </w:t>
      </w:r>
      <w:r w:rsidRPr="00415502">
        <w:rPr>
          <w:rFonts w:eastAsia="Times New Roman" w:cs="Times New Roman"/>
          <w:sz w:val="21"/>
          <w:szCs w:val="24"/>
          <w:lang w:val="en-AU"/>
        </w:rPr>
        <w:t xml:space="preserve">the original objectives of the </w:t>
      </w:r>
      <w:r w:rsidR="00DF401E">
        <w:rPr>
          <w:rFonts w:eastAsia="Times New Roman" w:cs="Times New Roman"/>
          <w:sz w:val="21"/>
          <w:szCs w:val="24"/>
          <w:lang w:val="en-AU"/>
        </w:rPr>
        <w:t>P</w:t>
      </w:r>
      <w:r w:rsidRPr="00415502">
        <w:rPr>
          <w:rFonts w:eastAsia="Times New Roman" w:cs="Times New Roman"/>
          <w:sz w:val="21"/>
          <w:szCs w:val="24"/>
          <w:lang w:val="en-AU"/>
        </w:rPr>
        <w:t>artnership to ‘save lives and alleviate suffering’ drawn</w:t>
      </w:r>
      <w:r>
        <w:rPr>
          <w:rFonts w:eastAsia="Times New Roman" w:cs="Times New Roman"/>
          <w:sz w:val="21"/>
          <w:szCs w:val="24"/>
          <w:lang w:val="en-AU"/>
        </w:rPr>
        <w:t xml:space="preserve"> from the </w:t>
      </w:r>
      <w:r w:rsidRPr="008E3ABE">
        <w:rPr>
          <w:rFonts w:eastAsia="Times New Roman"/>
          <w:sz w:val="21"/>
        </w:rPr>
        <w:t>principles</w:t>
      </w:r>
      <w:r>
        <w:rPr>
          <w:rFonts w:eastAsia="Times New Roman" w:cs="Times New Roman"/>
          <w:sz w:val="21"/>
          <w:szCs w:val="24"/>
          <w:lang w:val="en-AU"/>
        </w:rPr>
        <w:t xml:space="preserve"> of good humanitarian donorship to which Australia has been a signatory since 2013</w:t>
      </w:r>
      <w:r w:rsidR="00C81E13">
        <w:rPr>
          <w:rFonts w:eastAsia="Times New Roman" w:cs="Times New Roman"/>
          <w:sz w:val="21"/>
          <w:szCs w:val="24"/>
          <w:lang w:val="en-AU"/>
        </w:rPr>
        <w:t xml:space="preserve">. </w:t>
      </w:r>
      <w:r w:rsidR="00FC605D">
        <w:rPr>
          <w:rFonts w:eastAsia="Times New Roman" w:cs="Times New Roman"/>
          <w:sz w:val="21"/>
          <w:szCs w:val="24"/>
          <w:lang w:val="en-AU"/>
        </w:rPr>
        <w:t>It has been updated to reflect Australia’s commitment to</w:t>
      </w:r>
      <w:r w:rsidR="009057C9">
        <w:rPr>
          <w:rFonts w:eastAsia="Times New Roman" w:cs="Times New Roman"/>
          <w:sz w:val="21"/>
          <w:szCs w:val="24"/>
          <w:lang w:val="en-AU"/>
        </w:rPr>
        <w:t xml:space="preserve"> proactively working to prevent as well as prepare for and respond to disasters</w:t>
      </w:r>
      <w:r w:rsidR="006C437D">
        <w:rPr>
          <w:rFonts w:eastAsia="Times New Roman" w:cs="Times New Roman"/>
          <w:sz w:val="21"/>
          <w:szCs w:val="24"/>
          <w:lang w:val="en-AU"/>
        </w:rPr>
        <w:t>.</w:t>
      </w:r>
      <w:r>
        <w:rPr>
          <w:rFonts w:eastAsia="Times New Roman" w:cs="Times New Roman"/>
          <w:sz w:val="21"/>
          <w:szCs w:val="24"/>
          <w:lang w:val="en-AU"/>
        </w:rPr>
        <w:t xml:space="preserve">  </w:t>
      </w:r>
      <w:r w:rsidR="00FC605D">
        <w:rPr>
          <w:rFonts w:eastAsia="Times New Roman" w:cs="Times New Roman"/>
          <w:sz w:val="21"/>
          <w:szCs w:val="24"/>
          <w:lang w:val="en-AU"/>
        </w:rPr>
        <w:t>The objective reflects Australia’s policy interests in building stability</w:t>
      </w:r>
      <w:r w:rsidR="004F1D37">
        <w:rPr>
          <w:rFonts w:eastAsia="Times New Roman" w:cs="Times New Roman"/>
          <w:sz w:val="21"/>
          <w:szCs w:val="24"/>
          <w:lang w:val="en-AU"/>
        </w:rPr>
        <w:t xml:space="preserve">, </w:t>
      </w:r>
      <w:r w:rsidR="00FC605D">
        <w:rPr>
          <w:rFonts w:eastAsia="Times New Roman" w:cs="Times New Roman"/>
          <w:sz w:val="21"/>
          <w:szCs w:val="24"/>
          <w:lang w:val="en-AU"/>
        </w:rPr>
        <w:t xml:space="preserve">resilience </w:t>
      </w:r>
      <w:r w:rsidR="004F1D37">
        <w:rPr>
          <w:rFonts w:eastAsia="Times New Roman" w:cs="Times New Roman"/>
          <w:sz w:val="21"/>
          <w:szCs w:val="24"/>
          <w:lang w:val="en-AU"/>
        </w:rPr>
        <w:t xml:space="preserve">and equality while </w:t>
      </w:r>
      <w:r w:rsidR="00FC605D">
        <w:rPr>
          <w:rFonts w:eastAsia="Times New Roman" w:cs="Times New Roman"/>
          <w:sz w:val="21"/>
          <w:szCs w:val="24"/>
          <w:lang w:val="en-AU"/>
        </w:rPr>
        <w:t>recognising the</w:t>
      </w:r>
      <w:r w:rsidR="00B13AD6">
        <w:rPr>
          <w:rFonts w:eastAsia="Times New Roman" w:cs="Times New Roman"/>
          <w:sz w:val="21"/>
          <w:szCs w:val="24"/>
          <w:lang w:val="en-AU"/>
        </w:rPr>
        <w:t xml:space="preserve"> complex</w:t>
      </w:r>
      <w:r w:rsidR="00FC605D">
        <w:rPr>
          <w:rFonts w:eastAsia="Times New Roman" w:cs="Times New Roman"/>
          <w:sz w:val="21"/>
          <w:szCs w:val="24"/>
          <w:lang w:val="en-AU"/>
        </w:rPr>
        <w:t xml:space="preserve"> challenges of climate change and conflict, particularly in the Indo-Pacific region.</w:t>
      </w:r>
    </w:p>
    <w:p w14:paraId="2603600F" w14:textId="79F86BC5" w:rsidR="009140E8" w:rsidRDefault="00C81E13" w:rsidP="003E2C60">
      <w:pPr>
        <w:pStyle w:val="ListParagraph"/>
        <w:numPr>
          <w:ilvl w:val="0"/>
          <w:numId w:val="12"/>
        </w:numPr>
        <w:tabs>
          <w:tab w:val="left" w:pos="284"/>
        </w:tabs>
        <w:suppressAutoHyphens w:val="0"/>
        <w:spacing w:before="200" w:after="0" w:line="280" w:lineRule="exact"/>
        <w:ind w:left="0" w:firstLine="0"/>
        <w:contextualSpacing w:val="0"/>
        <w:rPr>
          <w:rFonts w:eastAsia="Times New Roman" w:cs="Times New Roman"/>
          <w:sz w:val="21"/>
          <w:szCs w:val="24"/>
          <w:lang w:val="en-AU"/>
        </w:rPr>
      </w:pPr>
      <w:r w:rsidRPr="002A25C4">
        <w:rPr>
          <w:rFonts w:eastAsia="Times New Roman" w:cs="Times New Roman"/>
          <w:sz w:val="21"/>
          <w:szCs w:val="24"/>
          <w:lang w:val="en-AU"/>
        </w:rPr>
        <w:t xml:space="preserve">There are </w:t>
      </w:r>
      <w:r w:rsidR="00D2696D" w:rsidRPr="002A25C4">
        <w:rPr>
          <w:rFonts w:eastAsia="Times New Roman" w:cs="Times New Roman"/>
          <w:sz w:val="21"/>
          <w:szCs w:val="24"/>
          <w:lang w:val="en-AU"/>
        </w:rPr>
        <w:t xml:space="preserve">three </w:t>
      </w:r>
      <w:r w:rsidR="0081243E" w:rsidRPr="002A25C4">
        <w:rPr>
          <w:rFonts w:eastAsia="Times New Roman" w:cs="Times New Roman"/>
          <w:sz w:val="21"/>
          <w:szCs w:val="24"/>
          <w:lang w:val="en-AU"/>
        </w:rPr>
        <w:t>components to the</w:t>
      </w:r>
      <w:r w:rsidRPr="002A25C4">
        <w:rPr>
          <w:rFonts w:eastAsia="Times New Roman" w:cs="Times New Roman"/>
          <w:sz w:val="21"/>
          <w:szCs w:val="24"/>
          <w:lang w:val="en-AU"/>
        </w:rPr>
        <w:t xml:space="preserve"> Partnership</w:t>
      </w:r>
      <w:r w:rsidR="0081243E" w:rsidRPr="002A25C4">
        <w:rPr>
          <w:rFonts w:eastAsia="Times New Roman" w:cs="Times New Roman"/>
          <w:sz w:val="21"/>
          <w:szCs w:val="24"/>
          <w:lang w:val="en-AU"/>
        </w:rPr>
        <w:t xml:space="preserve">, each with an End of Program </w:t>
      </w:r>
      <w:r w:rsidR="00F35080">
        <w:rPr>
          <w:rFonts w:eastAsia="Times New Roman" w:cs="Times New Roman"/>
          <w:sz w:val="21"/>
          <w:szCs w:val="24"/>
          <w:lang w:val="en-AU"/>
        </w:rPr>
        <w:t xml:space="preserve">(EOPO) </w:t>
      </w:r>
      <w:r w:rsidR="0081243E" w:rsidRPr="002A25C4">
        <w:rPr>
          <w:rFonts w:eastAsia="Times New Roman" w:cs="Times New Roman"/>
          <w:sz w:val="21"/>
          <w:szCs w:val="24"/>
          <w:lang w:val="en-AU"/>
        </w:rPr>
        <w:t>and Intermediate Outcomes</w:t>
      </w:r>
      <w:r w:rsidR="00297B2E">
        <w:rPr>
          <w:rFonts w:eastAsia="Times New Roman" w:cs="Times New Roman"/>
          <w:sz w:val="21"/>
          <w:szCs w:val="24"/>
          <w:lang w:val="en-AU"/>
        </w:rPr>
        <w:t xml:space="preserve"> (IOs)</w:t>
      </w:r>
      <w:r w:rsidR="00E163F2">
        <w:rPr>
          <w:rFonts w:eastAsia="Times New Roman" w:cs="Times New Roman"/>
          <w:sz w:val="21"/>
          <w:szCs w:val="24"/>
          <w:lang w:val="en-AU"/>
        </w:rPr>
        <w:t xml:space="preserve">. </w:t>
      </w:r>
      <w:r w:rsidR="00921468">
        <w:rPr>
          <w:rFonts w:eastAsia="Times New Roman" w:cs="Times New Roman"/>
          <w:sz w:val="21"/>
          <w:szCs w:val="24"/>
          <w:lang w:val="en-AU"/>
        </w:rPr>
        <w:t>EOPO 1 and 2</w:t>
      </w:r>
      <w:r w:rsidR="008B4B6C">
        <w:rPr>
          <w:rFonts w:eastAsia="Times New Roman" w:cs="Times New Roman"/>
          <w:sz w:val="21"/>
          <w:szCs w:val="24"/>
          <w:lang w:val="en-AU"/>
        </w:rPr>
        <w:t xml:space="preserve"> are framed in recognition that </w:t>
      </w:r>
      <w:r w:rsidR="00476EBC">
        <w:rPr>
          <w:rFonts w:eastAsia="Times New Roman" w:cs="Times New Roman"/>
          <w:sz w:val="21"/>
          <w:szCs w:val="24"/>
          <w:lang w:val="en-AU"/>
        </w:rPr>
        <w:t xml:space="preserve">the AHP is a </w:t>
      </w:r>
      <w:r w:rsidR="00FF5345">
        <w:rPr>
          <w:rFonts w:eastAsia="Times New Roman" w:cs="Times New Roman"/>
          <w:sz w:val="21"/>
          <w:szCs w:val="24"/>
          <w:lang w:val="en-AU"/>
        </w:rPr>
        <w:t xml:space="preserve">flexible </w:t>
      </w:r>
      <w:r w:rsidR="00476EBC">
        <w:rPr>
          <w:rFonts w:eastAsia="Times New Roman" w:cs="Times New Roman"/>
          <w:sz w:val="21"/>
          <w:szCs w:val="24"/>
          <w:lang w:val="en-AU"/>
        </w:rPr>
        <w:t xml:space="preserve">multi-country </w:t>
      </w:r>
      <w:r w:rsidR="00DF401E">
        <w:rPr>
          <w:rFonts w:eastAsia="Times New Roman" w:cs="Times New Roman"/>
          <w:sz w:val="21"/>
          <w:szCs w:val="24"/>
          <w:lang w:val="en-AU"/>
        </w:rPr>
        <w:t>mechanism</w:t>
      </w:r>
      <w:r w:rsidR="00FF5345">
        <w:rPr>
          <w:rFonts w:eastAsia="Times New Roman" w:cs="Times New Roman"/>
          <w:sz w:val="21"/>
          <w:szCs w:val="24"/>
          <w:lang w:val="en-AU"/>
        </w:rPr>
        <w:t xml:space="preserve"> design</w:t>
      </w:r>
      <w:r w:rsidR="00E0466D">
        <w:rPr>
          <w:rFonts w:eastAsia="Times New Roman" w:cs="Times New Roman"/>
          <w:sz w:val="21"/>
          <w:szCs w:val="24"/>
          <w:lang w:val="en-AU"/>
        </w:rPr>
        <w:t>ed</w:t>
      </w:r>
      <w:r w:rsidR="00FF5345">
        <w:rPr>
          <w:rFonts w:eastAsia="Times New Roman" w:cs="Times New Roman"/>
          <w:sz w:val="21"/>
          <w:szCs w:val="24"/>
          <w:lang w:val="en-AU"/>
        </w:rPr>
        <w:t xml:space="preserve"> to </w:t>
      </w:r>
      <w:r w:rsidR="00465394">
        <w:rPr>
          <w:rFonts w:eastAsia="Times New Roman" w:cs="Times New Roman"/>
          <w:sz w:val="21"/>
          <w:szCs w:val="24"/>
          <w:lang w:val="en-AU"/>
        </w:rPr>
        <w:t>implement</w:t>
      </w:r>
      <w:r w:rsidR="00E0466D">
        <w:rPr>
          <w:rFonts w:eastAsia="Times New Roman" w:cs="Times New Roman"/>
          <w:sz w:val="21"/>
          <w:szCs w:val="24"/>
          <w:lang w:val="en-AU"/>
        </w:rPr>
        <w:t xml:space="preserve"> country and context-specific p</w:t>
      </w:r>
      <w:r w:rsidR="000A62CF">
        <w:rPr>
          <w:rFonts w:eastAsia="Times New Roman" w:cs="Times New Roman"/>
          <w:sz w:val="21"/>
          <w:szCs w:val="24"/>
          <w:lang w:val="en-AU"/>
        </w:rPr>
        <w:t>rogramming</w:t>
      </w:r>
      <w:r w:rsidR="00FF5345">
        <w:rPr>
          <w:rFonts w:eastAsia="Times New Roman" w:cs="Times New Roman"/>
          <w:sz w:val="21"/>
          <w:szCs w:val="24"/>
          <w:lang w:val="en-AU"/>
        </w:rPr>
        <w:t>.</w:t>
      </w:r>
      <w:r w:rsidR="00465394">
        <w:rPr>
          <w:rFonts w:eastAsia="Times New Roman" w:cs="Times New Roman"/>
          <w:sz w:val="21"/>
          <w:szCs w:val="24"/>
          <w:lang w:val="en-AU"/>
        </w:rPr>
        <w:t xml:space="preserve"> </w:t>
      </w:r>
      <w:r w:rsidR="00E0466D">
        <w:rPr>
          <w:rFonts w:eastAsia="Times New Roman" w:cs="Times New Roman"/>
          <w:sz w:val="21"/>
          <w:szCs w:val="24"/>
          <w:lang w:val="en-AU"/>
        </w:rPr>
        <w:t xml:space="preserve"> </w:t>
      </w:r>
      <w:r w:rsidR="00FF5345">
        <w:rPr>
          <w:rFonts w:eastAsia="Times New Roman" w:cs="Times New Roman"/>
          <w:sz w:val="21"/>
          <w:szCs w:val="24"/>
          <w:lang w:val="en-AU"/>
        </w:rPr>
        <w:t xml:space="preserve"> </w:t>
      </w:r>
      <w:r w:rsidR="00921468">
        <w:rPr>
          <w:rFonts w:eastAsia="Times New Roman" w:cs="Times New Roman"/>
          <w:sz w:val="21"/>
          <w:szCs w:val="24"/>
          <w:lang w:val="en-AU"/>
        </w:rPr>
        <w:t xml:space="preserve"> </w:t>
      </w:r>
    </w:p>
    <w:p w14:paraId="05EF2626" w14:textId="77777777" w:rsidR="009057C9" w:rsidRDefault="009057C9" w:rsidP="00AC65BE">
      <w:pPr>
        <w:pStyle w:val="ListParagraph"/>
        <w:suppressAutoHyphens w:val="0"/>
        <w:spacing w:before="0" w:after="0" w:line="280" w:lineRule="exact"/>
        <w:ind w:left="0"/>
        <w:contextualSpacing w:val="0"/>
        <w:rPr>
          <w:rFonts w:eastAsia="Times New Roman" w:cs="Times New Roman"/>
          <w:sz w:val="21"/>
          <w:szCs w:val="24"/>
          <w:lang w:val="en-AU"/>
        </w:rPr>
      </w:pPr>
    </w:p>
    <w:p w14:paraId="12977E01" w14:textId="32AEED93" w:rsidR="00D9303A" w:rsidRPr="008214A1" w:rsidRDefault="004320EE" w:rsidP="003E2C60">
      <w:pPr>
        <w:pStyle w:val="ListParagraph"/>
        <w:pBdr>
          <w:top w:val="single" w:sz="4" w:space="1" w:color="auto"/>
          <w:left w:val="single" w:sz="4" w:space="4" w:color="auto"/>
          <w:bottom w:val="single" w:sz="4" w:space="1" w:color="auto"/>
          <w:right w:val="single" w:sz="4" w:space="4" w:color="auto"/>
        </w:pBdr>
        <w:shd w:val="clear" w:color="auto" w:fill="E0F3EF" w:themeFill="accent1" w:themeFillTint="33"/>
        <w:tabs>
          <w:tab w:val="left" w:pos="284"/>
        </w:tabs>
        <w:spacing w:before="200" w:line="280" w:lineRule="exact"/>
        <w:ind w:left="0"/>
        <w:rPr>
          <w:rFonts w:eastAsia="Times New Roman"/>
          <w:b/>
          <w:bCs/>
          <w:i/>
          <w:iCs/>
          <w:sz w:val="21"/>
        </w:rPr>
      </w:pPr>
      <w:r w:rsidRPr="008214A1">
        <w:rPr>
          <w:rFonts w:eastAsia="Times New Roman"/>
          <w:b/>
          <w:bCs/>
          <w:i/>
          <w:iCs/>
          <w:sz w:val="21"/>
        </w:rPr>
        <w:t xml:space="preserve">EOPO 1: </w:t>
      </w:r>
      <w:r w:rsidR="00D9303A" w:rsidRPr="008214A1">
        <w:rPr>
          <w:rFonts w:eastAsia="Times New Roman"/>
          <w:b/>
          <w:bCs/>
          <w:i/>
          <w:iCs/>
          <w:sz w:val="21"/>
        </w:rPr>
        <w:t xml:space="preserve">Disaster READY </w:t>
      </w:r>
      <w:r w:rsidR="0081243E" w:rsidRPr="008214A1">
        <w:rPr>
          <w:rFonts w:eastAsia="Times New Roman"/>
          <w:b/>
          <w:bCs/>
          <w:i/>
          <w:iCs/>
          <w:sz w:val="21"/>
        </w:rPr>
        <w:t xml:space="preserve"> </w:t>
      </w:r>
    </w:p>
    <w:p w14:paraId="1FE71B90" w14:textId="78AD1E85" w:rsidR="00812DF7" w:rsidRPr="008214A1" w:rsidRDefault="00812DF7" w:rsidP="003E2C60">
      <w:pPr>
        <w:pStyle w:val="ListParagraph"/>
        <w:pBdr>
          <w:top w:val="single" w:sz="4" w:space="1" w:color="auto"/>
          <w:left w:val="single" w:sz="4" w:space="4" w:color="auto"/>
          <w:bottom w:val="single" w:sz="4" w:space="1" w:color="auto"/>
          <w:right w:val="single" w:sz="4" w:space="4" w:color="auto"/>
        </w:pBdr>
        <w:shd w:val="clear" w:color="auto" w:fill="E0F3EF" w:themeFill="accent1" w:themeFillTint="33"/>
        <w:tabs>
          <w:tab w:val="left" w:pos="0"/>
        </w:tabs>
        <w:spacing w:before="200" w:line="280" w:lineRule="exact"/>
        <w:ind w:left="0"/>
        <w:rPr>
          <w:rFonts w:eastAsia="Times New Roman"/>
          <w:sz w:val="21"/>
        </w:rPr>
      </w:pPr>
      <w:r w:rsidRPr="008214A1">
        <w:rPr>
          <w:rFonts w:eastAsia="Times New Roman"/>
          <w:sz w:val="21"/>
        </w:rPr>
        <w:t>1</w:t>
      </w:r>
      <w:r w:rsidRPr="008214A1">
        <w:rPr>
          <w:rFonts w:eastAsia="Times New Roman"/>
          <w:b/>
          <w:bCs/>
          <w:i/>
          <w:iCs/>
          <w:sz w:val="21"/>
        </w:rPr>
        <w:t xml:space="preserve">. </w:t>
      </w:r>
      <w:bookmarkStart w:id="23" w:name="_Hlk90302995"/>
      <w:r w:rsidR="00CF2365" w:rsidRPr="004F1D37">
        <w:rPr>
          <w:rFonts w:eastAsia="Times New Roman"/>
          <w:sz w:val="21"/>
        </w:rPr>
        <w:t>W</w:t>
      </w:r>
      <w:r w:rsidRPr="004F1D37">
        <w:rPr>
          <w:rFonts w:eastAsia="Times New Roman"/>
          <w:sz w:val="21"/>
        </w:rPr>
        <w:t xml:space="preserve">omen, </w:t>
      </w:r>
      <w:r w:rsidR="00CF2365" w:rsidRPr="004F1D37">
        <w:rPr>
          <w:rFonts w:eastAsia="Times New Roman"/>
          <w:sz w:val="21"/>
        </w:rPr>
        <w:t xml:space="preserve">men, </w:t>
      </w:r>
      <w:r w:rsidRPr="004F1D37">
        <w:rPr>
          <w:rFonts w:eastAsia="Times New Roman"/>
          <w:sz w:val="21"/>
        </w:rPr>
        <w:t xml:space="preserve">youth, children, </w:t>
      </w:r>
      <w:bookmarkStart w:id="24" w:name="_Hlk95823737"/>
      <w:r w:rsidRPr="004F1D37">
        <w:rPr>
          <w:rFonts w:eastAsia="Times New Roman"/>
          <w:sz w:val="21"/>
        </w:rPr>
        <w:t xml:space="preserve">people </w:t>
      </w:r>
      <w:r w:rsidR="003D6E7F">
        <w:rPr>
          <w:rFonts w:eastAsia="Times New Roman"/>
          <w:sz w:val="21"/>
        </w:rPr>
        <w:t xml:space="preserve">living </w:t>
      </w:r>
      <w:r w:rsidRPr="004F1D37">
        <w:rPr>
          <w:rFonts w:eastAsia="Times New Roman"/>
          <w:sz w:val="21"/>
        </w:rPr>
        <w:t xml:space="preserve">with disabilities </w:t>
      </w:r>
      <w:bookmarkEnd w:id="24"/>
      <w:r w:rsidRPr="004F1D37">
        <w:rPr>
          <w:rFonts w:eastAsia="Times New Roman"/>
          <w:sz w:val="21"/>
        </w:rPr>
        <w:t xml:space="preserve">and other </w:t>
      </w:r>
      <w:r w:rsidR="004F1D37">
        <w:rPr>
          <w:rFonts w:eastAsia="Times New Roman"/>
          <w:sz w:val="21"/>
        </w:rPr>
        <w:t>at-risk</w:t>
      </w:r>
      <w:r w:rsidRPr="004F1D37">
        <w:rPr>
          <w:rFonts w:eastAsia="Times New Roman"/>
          <w:sz w:val="21"/>
        </w:rPr>
        <w:t xml:space="preserve"> </w:t>
      </w:r>
      <w:r w:rsidR="00B05380" w:rsidRPr="004F1D37">
        <w:rPr>
          <w:rFonts w:eastAsia="Times New Roman"/>
          <w:sz w:val="21"/>
        </w:rPr>
        <w:t>groups,</w:t>
      </w:r>
      <w:r w:rsidR="000277F1" w:rsidRPr="004F1D37">
        <w:rPr>
          <w:rStyle w:val="FootnoteReference"/>
          <w:rFonts w:eastAsia="Times New Roman"/>
          <w:sz w:val="21"/>
        </w:rPr>
        <w:footnoteReference w:id="16"/>
      </w:r>
      <w:r w:rsidR="00B05380" w:rsidRPr="004F1D37">
        <w:rPr>
          <w:rFonts w:eastAsia="Times New Roman"/>
          <w:sz w:val="21"/>
        </w:rPr>
        <w:t xml:space="preserve"> </w:t>
      </w:r>
      <w:r w:rsidRPr="004F1D37">
        <w:rPr>
          <w:rFonts w:eastAsia="Times New Roman"/>
          <w:sz w:val="21"/>
        </w:rPr>
        <w:t>are better</w:t>
      </w:r>
      <w:r w:rsidRPr="008214A1">
        <w:rPr>
          <w:rFonts w:eastAsia="Times New Roman"/>
          <w:sz w:val="21"/>
        </w:rPr>
        <w:t xml:space="preserve"> prepared </w:t>
      </w:r>
      <w:r w:rsidR="00402978" w:rsidRPr="008214A1">
        <w:rPr>
          <w:rFonts w:eastAsia="Times New Roman"/>
          <w:sz w:val="21"/>
        </w:rPr>
        <w:t xml:space="preserve">for </w:t>
      </w:r>
      <w:r w:rsidRPr="008214A1">
        <w:rPr>
          <w:rFonts w:eastAsia="Times New Roman"/>
          <w:sz w:val="21"/>
        </w:rPr>
        <w:t>and more resilient to disasters</w:t>
      </w:r>
      <w:r w:rsidR="005A73B5" w:rsidRPr="008214A1">
        <w:rPr>
          <w:rFonts w:eastAsia="Times New Roman"/>
          <w:sz w:val="21"/>
        </w:rPr>
        <w:t xml:space="preserve"> and climate change</w:t>
      </w:r>
      <w:r w:rsidRPr="008214A1">
        <w:rPr>
          <w:rFonts w:eastAsia="Times New Roman"/>
          <w:sz w:val="21"/>
        </w:rPr>
        <w:t>, in selected Pacific countries and Timor-Leste.</w:t>
      </w:r>
      <w:bookmarkEnd w:id="23"/>
    </w:p>
    <w:p w14:paraId="5BB6CA18" w14:textId="3C3AAFA3" w:rsidR="004320EE" w:rsidRPr="008214A1" w:rsidRDefault="004320EE" w:rsidP="003E2C60">
      <w:pPr>
        <w:pStyle w:val="ListParagraph"/>
        <w:pBdr>
          <w:top w:val="single" w:sz="4" w:space="1" w:color="auto"/>
          <w:left w:val="single" w:sz="4" w:space="4" w:color="auto"/>
          <w:bottom w:val="single" w:sz="4" w:space="1" w:color="auto"/>
          <w:right w:val="single" w:sz="4" w:space="4" w:color="auto"/>
        </w:pBdr>
        <w:shd w:val="clear" w:color="auto" w:fill="E0F3EF" w:themeFill="accent1" w:themeFillTint="33"/>
        <w:tabs>
          <w:tab w:val="left" w:pos="0"/>
        </w:tabs>
        <w:spacing w:before="200" w:line="280" w:lineRule="exact"/>
        <w:ind w:left="0"/>
        <w:rPr>
          <w:rFonts w:eastAsia="Times New Roman"/>
          <w:b/>
          <w:bCs/>
          <w:i/>
          <w:iCs/>
          <w:sz w:val="21"/>
        </w:rPr>
      </w:pPr>
      <w:r w:rsidRPr="008214A1">
        <w:rPr>
          <w:rFonts w:eastAsia="Times New Roman"/>
          <w:b/>
          <w:bCs/>
          <w:i/>
          <w:iCs/>
          <w:sz w:val="21"/>
        </w:rPr>
        <w:t>Intermediate Outcomes:</w:t>
      </w:r>
    </w:p>
    <w:p w14:paraId="3DE366D4" w14:textId="11675527" w:rsidR="004F1D37" w:rsidRPr="004F1D37" w:rsidRDefault="004F1D37" w:rsidP="004F1D37">
      <w:pPr>
        <w:pStyle w:val="ListParagraph"/>
        <w:pBdr>
          <w:top w:val="single" w:sz="4" w:space="1" w:color="auto"/>
          <w:left w:val="single" w:sz="4" w:space="4" w:color="auto"/>
          <w:bottom w:val="single" w:sz="4" w:space="1" w:color="auto"/>
          <w:right w:val="single" w:sz="4" w:space="4" w:color="auto"/>
        </w:pBdr>
        <w:shd w:val="clear" w:color="auto" w:fill="E0F3EF" w:themeFill="accent1" w:themeFillTint="33"/>
        <w:tabs>
          <w:tab w:val="left" w:pos="0"/>
        </w:tabs>
        <w:spacing w:before="200" w:line="280" w:lineRule="exact"/>
        <w:ind w:left="0"/>
        <w:rPr>
          <w:rFonts w:eastAsia="Times New Roman"/>
          <w:sz w:val="21"/>
        </w:rPr>
      </w:pPr>
      <w:r w:rsidRPr="004F1D37">
        <w:rPr>
          <w:rFonts w:eastAsia="Times New Roman"/>
          <w:sz w:val="21"/>
        </w:rPr>
        <w:t xml:space="preserve">1.1 Communities (especially at-risk groups) are empowered to plan and implement effective, gender-responsive, socially </w:t>
      </w:r>
      <w:r w:rsidR="00064643" w:rsidRPr="004F1D37">
        <w:rPr>
          <w:rFonts w:eastAsia="Times New Roman"/>
          <w:sz w:val="21"/>
        </w:rPr>
        <w:t>inclusive,</w:t>
      </w:r>
      <w:r w:rsidRPr="004F1D37">
        <w:rPr>
          <w:rFonts w:eastAsia="Times New Roman"/>
          <w:sz w:val="21"/>
        </w:rPr>
        <w:t xml:space="preserve"> and integrated disaster preparedness and adaptation activities.</w:t>
      </w:r>
    </w:p>
    <w:p w14:paraId="087B63D3" w14:textId="1DE0387A" w:rsidR="004F1D37" w:rsidRPr="004F1D37" w:rsidRDefault="004F1D37" w:rsidP="004F1D37">
      <w:pPr>
        <w:pStyle w:val="ListParagraph"/>
        <w:pBdr>
          <w:top w:val="single" w:sz="4" w:space="1" w:color="auto"/>
          <w:left w:val="single" w:sz="4" w:space="4" w:color="auto"/>
          <w:bottom w:val="single" w:sz="4" w:space="1" w:color="auto"/>
          <w:right w:val="single" w:sz="4" w:space="4" w:color="auto"/>
        </w:pBdr>
        <w:shd w:val="clear" w:color="auto" w:fill="E0F3EF" w:themeFill="accent1" w:themeFillTint="33"/>
        <w:tabs>
          <w:tab w:val="left" w:pos="0"/>
        </w:tabs>
        <w:spacing w:before="200" w:line="280" w:lineRule="exact"/>
        <w:ind w:left="0"/>
        <w:rPr>
          <w:rFonts w:eastAsia="Times New Roman"/>
          <w:sz w:val="21"/>
        </w:rPr>
      </w:pPr>
      <w:r w:rsidRPr="004F1D37">
        <w:rPr>
          <w:rFonts w:eastAsia="Times New Roman"/>
          <w:sz w:val="21"/>
        </w:rPr>
        <w:t>1.2 Local civil society actors (NGOs, Community Based Organisations (CBOs), Organisations of Persons with Disability (OPDs), churches, informal groups) have improved institutional and technical capacity to fulfil their role in effective disaster preparedness and adaptation.</w:t>
      </w:r>
    </w:p>
    <w:p w14:paraId="1AB38D0C" w14:textId="603F235F" w:rsidR="004F1D37" w:rsidRPr="004F1D37" w:rsidRDefault="004F1D37" w:rsidP="004F1D37">
      <w:pPr>
        <w:pStyle w:val="ListParagraph"/>
        <w:pBdr>
          <w:top w:val="single" w:sz="4" w:space="1" w:color="auto"/>
          <w:left w:val="single" w:sz="4" w:space="4" w:color="auto"/>
          <w:bottom w:val="single" w:sz="4" w:space="1" w:color="auto"/>
          <w:right w:val="single" w:sz="4" w:space="4" w:color="auto"/>
        </w:pBdr>
        <w:shd w:val="clear" w:color="auto" w:fill="E0F3EF" w:themeFill="accent1" w:themeFillTint="33"/>
        <w:tabs>
          <w:tab w:val="left" w:pos="0"/>
        </w:tabs>
        <w:spacing w:before="200" w:line="280" w:lineRule="exact"/>
        <w:ind w:left="0"/>
        <w:rPr>
          <w:rFonts w:eastAsia="Times New Roman"/>
          <w:sz w:val="21"/>
        </w:rPr>
      </w:pPr>
      <w:r w:rsidRPr="004F1D37">
        <w:rPr>
          <w:rFonts w:eastAsia="Times New Roman"/>
          <w:sz w:val="21"/>
        </w:rPr>
        <w:t xml:space="preserve">1.3 National and sub-national governments are supported to lead effective, gender responsive, socially </w:t>
      </w:r>
      <w:r w:rsidR="00064643" w:rsidRPr="004F1D37">
        <w:rPr>
          <w:rFonts w:eastAsia="Times New Roman"/>
          <w:sz w:val="21"/>
        </w:rPr>
        <w:t>inclusive,</w:t>
      </w:r>
      <w:r w:rsidRPr="004F1D37">
        <w:rPr>
          <w:rFonts w:eastAsia="Times New Roman"/>
          <w:sz w:val="21"/>
        </w:rPr>
        <w:t xml:space="preserve"> and better coordinated disaster preparedness, </w:t>
      </w:r>
      <w:r w:rsidR="00064643" w:rsidRPr="004F1D37">
        <w:rPr>
          <w:rFonts w:eastAsia="Times New Roman"/>
          <w:sz w:val="21"/>
        </w:rPr>
        <w:t>adaptation,</w:t>
      </w:r>
      <w:r w:rsidRPr="004F1D37">
        <w:rPr>
          <w:rFonts w:eastAsia="Times New Roman"/>
          <w:sz w:val="21"/>
        </w:rPr>
        <w:t xml:space="preserve"> and response activities.</w:t>
      </w:r>
    </w:p>
    <w:p w14:paraId="11826EA7" w14:textId="1C02B516" w:rsidR="00010AAA" w:rsidRDefault="00D9303A" w:rsidP="003E2C60">
      <w:pPr>
        <w:pStyle w:val="ListParagraph"/>
        <w:tabs>
          <w:tab w:val="left" w:pos="284"/>
        </w:tabs>
        <w:suppressAutoHyphens w:val="0"/>
        <w:spacing w:before="200" w:after="0" w:line="280" w:lineRule="exact"/>
        <w:ind w:left="0"/>
        <w:contextualSpacing w:val="0"/>
        <w:rPr>
          <w:rFonts w:eastAsia="Times New Roman"/>
          <w:sz w:val="21"/>
        </w:rPr>
      </w:pPr>
      <w:r>
        <w:rPr>
          <w:rFonts w:eastAsia="Times New Roman"/>
          <w:sz w:val="21"/>
        </w:rPr>
        <w:t>T</w:t>
      </w:r>
      <w:r w:rsidRPr="0085223B">
        <w:rPr>
          <w:rFonts w:eastAsia="Times New Roman"/>
          <w:sz w:val="21"/>
        </w:rPr>
        <w:t>h</w:t>
      </w:r>
      <w:r w:rsidR="004320EE">
        <w:rPr>
          <w:rFonts w:eastAsia="Times New Roman"/>
          <w:sz w:val="21"/>
        </w:rPr>
        <w:t>e</w:t>
      </w:r>
      <w:r w:rsidR="00917FE0">
        <w:rPr>
          <w:rFonts w:eastAsia="Times New Roman"/>
          <w:sz w:val="21"/>
        </w:rPr>
        <w:t xml:space="preserve"> revised</w:t>
      </w:r>
      <w:r w:rsidR="004320EE">
        <w:rPr>
          <w:rFonts w:eastAsia="Times New Roman"/>
          <w:sz w:val="21"/>
        </w:rPr>
        <w:t xml:space="preserve"> </w:t>
      </w:r>
      <w:r w:rsidR="00802070">
        <w:rPr>
          <w:rFonts w:eastAsia="Times New Roman"/>
          <w:sz w:val="21"/>
        </w:rPr>
        <w:t>EOPO</w:t>
      </w:r>
      <w:r>
        <w:rPr>
          <w:rFonts w:eastAsia="Times New Roman"/>
          <w:sz w:val="21"/>
        </w:rPr>
        <w:t xml:space="preserve"> reflects </w:t>
      </w:r>
      <w:r w:rsidR="0032640E">
        <w:rPr>
          <w:rFonts w:eastAsia="Times New Roman"/>
          <w:sz w:val="21"/>
        </w:rPr>
        <w:t>that</w:t>
      </w:r>
      <w:r>
        <w:rPr>
          <w:rFonts w:eastAsia="Times New Roman"/>
          <w:sz w:val="21"/>
        </w:rPr>
        <w:t xml:space="preserve"> </w:t>
      </w:r>
      <w:r w:rsidR="00450E2E">
        <w:rPr>
          <w:rFonts w:eastAsia="Times New Roman"/>
          <w:sz w:val="21"/>
        </w:rPr>
        <w:t xml:space="preserve">local communities </w:t>
      </w:r>
      <w:r w:rsidR="0032640E">
        <w:rPr>
          <w:rFonts w:eastAsia="Times New Roman"/>
          <w:sz w:val="21"/>
        </w:rPr>
        <w:t xml:space="preserve">are </w:t>
      </w:r>
      <w:r w:rsidR="00450E2E">
        <w:rPr>
          <w:rFonts w:eastAsia="Times New Roman"/>
          <w:sz w:val="21"/>
        </w:rPr>
        <w:t>the first responders to any disaster</w:t>
      </w:r>
      <w:r w:rsidR="0032640E">
        <w:rPr>
          <w:rFonts w:eastAsia="Times New Roman"/>
          <w:sz w:val="21"/>
        </w:rPr>
        <w:t xml:space="preserve">, and </w:t>
      </w:r>
      <w:r w:rsidR="00450E2E">
        <w:rPr>
          <w:rFonts w:eastAsia="Times New Roman"/>
          <w:sz w:val="21"/>
        </w:rPr>
        <w:t>the</w:t>
      </w:r>
      <w:r w:rsidR="0032640E">
        <w:rPr>
          <w:rFonts w:eastAsia="Times New Roman"/>
          <w:sz w:val="21"/>
        </w:rPr>
        <w:t xml:space="preserve">y remain the key </w:t>
      </w:r>
      <w:r w:rsidR="00450E2E">
        <w:rPr>
          <w:rFonts w:eastAsia="Times New Roman"/>
          <w:sz w:val="21"/>
        </w:rPr>
        <w:t xml:space="preserve">focus of </w:t>
      </w:r>
      <w:r w:rsidR="00255FB6">
        <w:rPr>
          <w:rFonts w:eastAsia="Times New Roman"/>
          <w:sz w:val="21"/>
        </w:rPr>
        <w:t xml:space="preserve">Disaster READY’s </w:t>
      </w:r>
      <w:r w:rsidR="00450E2E">
        <w:rPr>
          <w:rFonts w:eastAsia="Times New Roman"/>
          <w:sz w:val="21"/>
        </w:rPr>
        <w:t xml:space="preserve">preparedness and resilience </w:t>
      </w:r>
      <w:r w:rsidR="00255FB6">
        <w:rPr>
          <w:rFonts w:eastAsia="Times New Roman"/>
          <w:sz w:val="21"/>
        </w:rPr>
        <w:t xml:space="preserve">activities </w:t>
      </w:r>
      <w:r w:rsidR="00450E2E">
        <w:rPr>
          <w:rFonts w:eastAsia="Times New Roman"/>
          <w:sz w:val="21"/>
        </w:rPr>
        <w:t>in the Pacific and Timor</w:t>
      </w:r>
      <w:r w:rsidR="00255FB6">
        <w:rPr>
          <w:rFonts w:eastAsia="Times New Roman"/>
          <w:sz w:val="21"/>
        </w:rPr>
        <w:t>-</w:t>
      </w:r>
      <w:r w:rsidR="00450E2E" w:rsidRPr="003E2C60">
        <w:rPr>
          <w:rFonts w:eastAsia="Times New Roman" w:cs="Times New Roman"/>
          <w:sz w:val="21"/>
          <w:szCs w:val="24"/>
          <w:lang w:val="en-AU"/>
        </w:rPr>
        <w:t>Leste</w:t>
      </w:r>
      <w:r w:rsidR="00255FB6">
        <w:rPr>
          <w:rFonts w:eastAsia="Times New Roman"/>
          <w:sz w:val="21"/>
        </w:rPr>
        <w:t xml:space="preserve"> in line with </w:t>
      </w:r>
      <w:r w:rsidR="00805EAD">
        <w:rPr>
          <w:rFonts w:eastAsia="Times New Roman"/>
          <w:sz w:val="21"/>
        </w:rPr>
        <w:t>the</w:t>
      </w:r>
      <w:r w:rsidR="00450E2E">
        <w:rPr>
          <w:rFonts w:eastAsia="Times New Roman"/>
          <w:sz w:val="21"/>
        </w:rPr>
        <w:t xml:space="preserve"> comparative advantage of </w:t>
      </w:r>
      <w:r w:rsidR="00426DA0">
        <w:rPr>
          <w:rFonts w:eastAsia="Times New Roman"/>
          <w:sz w:val="21"/>
        </w:rPr>
        <w:t>AHP NGO Partners</w:t>
      </w:r>
      <w:r w:rsidR="00450E2E">
        <w:rPr>
          <w:rFonts w:eastAsia="Times New Roman"/>
          <w:sz w:val="21"/>
        </w:rPr>
        <w:t xml:space="preserve">. The EOPO incorporates </w:t>
      </w:r>
      <w:r w:rsidR="00230B51">
        <w:rPr>
          <w:rFonts w:eastAsia="Times New Roman"/>
          <w:sz w:val="21"/>
        </w:rPr>
        <w:t>GEDSI</w:t>
      </w:r>
      <w:r w:rsidR="00450E2E">
        <w:rPr>
          <w:rFonts w:eastAsia="Times New Roman"/>
          <w:sz w:val="21"/>
        </w:rPr>
        <w:t xml:space="preserve"> as a key principle and outcome of the approach</w:t>
      </w:r>
      <w:r w:rsidR="00805EAD">
        <w:rPr>
          <w:rFonts w:eastAsia="Times New Roman"/>
          <w:sz w:val="21"/>
        </w:rPr>
        <w:t>,</w:t>
      </w:r>
      <w:r>
        <w:rPr>
          <w:rFonts w:eastAsia="Times New Roman"/>
          <w:sz w:val="21"/>
        </w:rPr>
        <w:t xml:space="preserve"> </w:t>
      </w:r>
      <w:r w:rsidR="001F146A">
        <w:rPr>
          <w:rFonts w:eastAsia="Times New Roman"/>
          <w:sz w:val="21"/>
        </w:rPr>
        <w:t>a</w:t>
      </w:r>
      <w:r w:rsidR="001F146A" w:rsidRPr="001F146A">
        <w:rPr>
          <w:rFonts w:eastAsia="Times New Roman"/>
          <w:sz w:val="21"/>
        </w:rPr>
        <w:t xml:space="preserve">cknowledging the disproportionate impact of disasters on women, girls and marginalised groups and their </w:t>
      </w:r>
      <w:r w:rsidR="0074279B">
        <w:rPr>
          <w:rFonts w:eastAsia="Times New Roman"/>
          <w:sz w:val="21"/>
        </w:rPr>
        <w:t>important role as agents of change</w:t>
      </w:r>
      <w:r w:rsidR="001F146A" w:rsidRPr="001F146A">
        <w:rPr>
          <w:rFonts w:eastAsia="Times New Roman"/>
          <w:sz w:val="21"/>
        </w:rPr>
        <w:t xml:space="preserve">, </w:t>
      </w:r>
      <w:r>
        <w:rPr>
          <w:rFonts w:eastAsia="Times New Roman"/>
          <w:sz w:val="21"/>
        </w:rPr>
        <w:t xml:space="preserve">and </w:t>
      </w:r>
      <w:r w:rsidR="00805EAD">
        <w:rPr>
          <w:rFonts w:eastAsia="Times New Roman"/>
          <w:sz w:val="21"/>
        </w:rPr>
        <w:t xml:space="preserve">emphasises </w:t>
      </w:r>
      <w:r>
        <w:rPr>
          <w:rFonts w:eastAsia="Times New Roman"/>
          <w:sz w:val="21"/>
        </w:rPr>
        <w:t xml:space="preserve">the adoption of a resilience lens </w:t>
      </w:r>
      <w:r w:rsidR="00805EAD">
        <w:rPr>
          <w:rFonts w:eastAsia="Times New Roman"/>
          <w:sz w:val="21"/>
        </w:rPr>
        <w:t xml:space="preserve">for </w:t>
      </w:r>
      <w:r w:rsidR="00406F84">
        <w:rPr>
          <w:rFonts w:eastAsia="Times New Roman"/>
          <w:sz w:val="21"/>
        </w:rPr>
        <w:t>Phase II</w:t>
      </w:r>
      <w:r w:rsidR="00805EAD">
        <w:rPr>
          <w:rFonts w:eastAsia="Times New Roman"/>
          <w:sz w:val="21"/>
        </w:rPr>
        <w:t xml:space="preserve"> </w:t>
      </w:r>
      <w:r>
        <w:rPr>
          <w:rFonts w:eastAsia="Times New Roman"/>
          <w:sz w:val="21"/>
        </w:rPr>
        <w:t xml:space="preserve">in line with the </w:t>
      </w:r>
      <w:r w:rsidR="00A27286">
        <w:rPr>
          <w:rFonts w:eastAsia="Times New Roman"/>
          <w:sz w:val="21"/>
        </w:rPr>
        <w:t>FRDP</w:t>
      </w:r>
      <w:r>
        <w:rPr>
          <w:rFonts w:eastAsia="Times New Roman"/>
          <w:sz w:val="21"/>
        </w:rPr>
        <w:t xml:space="preserve">. </w:t>
      </w:r>
    </w:p>
    <w:p w14:paraId="14A3C1DF" w14:textId="220DE7FA" w:rsidR="00D86754" w:rsidRDefault="00D9303A" w:rsidP="002E1CC9">
      <w:pPr>
        <w:pStyle w:val="ListParagraph"/>
        <w:tabs>
          <w:tab w:val="left" w:pos="284"/>
        </w:tabs>
        <w:suppressAutoHyphens w:val="0"/>
        <w:spacing w:before="200" w:after="240" w:line="280" w:lineRule="exact"/>
        <w:ind w:left="0"/>
        <w:contextualSpacing w:val="0"/>
        <w:rPr>
          <w:rFonts w:eastAsia="Times New Roman"/>
          <w:sz w:val="21"/>
        </w:rPr>
      </w:pPr>
      <w:r>
        <w:rPr>
          <w:rFonts w:eastAsia="Times New Roman"/>
          <w:sz w:val="21"/>
        </w:rPr>
        <w:lastRenderedPageBreak/>
        <w:t>There are three key strategies to achieve the EOPO</w:t>
      </w:r>
      <w:r w:rsidR="00D86754">
        <w:rPr>
          <w:rFonts w:eastAsia="Times New Roman"/>
          <w:sz w:val="21"/>
        </w:rPr>
        <w:t xml:space="preserve"> reflected in the </w:t>
      </w:r>
      <w:r w:rsidR="00963A9C">
        <w:rPr>
          <w:rFonts w:eastAsia="Times New Roman"/>
          <w:sz w:val="21"/>
        </w:rPr>
        <w:t>IOs</w:t>
      </w:r>
      <w:r>
        <w:rPr>
          <w:rFonts w:eastAsia="Times New Roman"/>
          <w:sz w:val="21"/>
        </w:rPr>
        <w:t xml:space="preserve">: </w:t>
      </w:r>
      <w:r w:rsidR="00F56DE3">
        <w:rPr>
          <w:rFonts w:eastAsia="Times New Roman"/>
          <w:sz w:val="21"/>
        </w:rPr>
        <w:t xml:space="preserve">1.1 </w:t>
      </w:r>
      <w:r>
        <w:rPr>
          <w:rFonts w:eastAsia="Times New Roman"/>
          <w:sz w:val="21"/>
        </w:rPr>
        <w:t>building community resilience and preparedness, particularly ensuring th</w:t>
      </w:r>
      <w:r w:rsidR="004320EE">
        <w:rPr>
          <w:rFonts w:eastAsia="Times New Roman"/>
          <w:sz w:val="21"/>
        </w:rPr>
        <w:t>at all people are included in planning</w:t>
      </w:r>
      <w:r w:rsidR="00F84F5B">
        <w:rPr>
          <w:rFonts w:eastAsia="Times New Roman"/>
          <w:sz w:val="21"/>
        </w:rPr>
        <w:t xml:space="preserve">, </w:t>
      </w:r>
      <w:r w:rsidR="00064643">
        <w:rPr>
          <w:rFonts w:eastAsia="Times New Roman"/>
          <w:sz w:val="21"/>
        </w:rPr>
        <w:t>implementation,</w:t>
      </w:r>
      <w:r w:rsidR="00F84F5B">
        <w:rPr>
          <w:rFonts w:eastAsia="Times New Roman"/>
          <w:sz w:val="21"/>
        </w:rPr>
        <w:t xml:space="preserve"> and assessment of activities</w:t>
      </w:r>
      <w:r w:rsidR="004320EE">
        <w:rPr>
          <w:rFonts w:eastAsia="Times New Roman"/>
          <w:sz w:val="21"/>
        </w:rPr>
        <w:t xml:space="preserve">; </w:t>
      </w:r>
      <w:r w:rsidR="00F56DE3">
        <w:rPr>
          <w:rFonts w:eastAsia="Times New Roman"/>
          <w:sz w:val="21"/>
        </w:rPr>
        <w:t xml:space="preserve">1.2 </w:t>
      </w:r>
      <w:r w:rsidR="004320EE">
        <w:rPr>
          <w:rFonts w:eastAsia="Times New Roman"/>
          <w:sz w:val="21"/>
        </w:rPr>
        <w:t xml:space="preserve">strengthening civil society actors (NGOs, CBOs, </w:t>
      </w:r>
      <w:r w:rsidR="003E229B">
        <w:rPr>
          <w:rFonts w:eastAsia="Times New Roman"/>
          <w:sz w:val="21"/>
        </w:rPr>
        <w:t>OPD</w:t>
      </w:r>
      <w:r w:rsidR="009C738F">
        <w:rPr>
          <w:rFonts w:eastAsia="Times New Roman"/>
          <w:sz w:val="21"/>
        </w:rPr>
        <w:t xml:space="preserve">s, </w:t>
      </w:r>
      <w:r w:rsidR="004320EE">
        <w:rPr>
          <w:rFonts w:eastAsia="Times New Roman"/>
          <w:sz w:val="21"/>
        </w:rPr>
        <w:t>churches and informal groups); and</w:t>
      </w:r>
      <w:r w:rsidR="00F56DE3">
        <w:rPr>
          <w:rFonts w:eastAsia="Times New Roman"/>
          <w:sz w:val="21"/>
        </w:rPr>
        <w:t xml:space="preserve"> 1.3</w:t>
      </w:r>
      <w:r w:rsidR="004320EE">
        <w:rPr>
          <w:rFonts w:eastAsia="Times New Roman"/>
          <w:sz w:val="21"/>
        </w:rPr>
        <w:t xml:space="preserve"> strengthening organisational capacities and institutional arrangements </w:t>
      </w:r>
      <w:r w:rsidR="00805EAD">
        <w:rPr>
          <w:rFonts w:eastAsia="Times New Roman"/>
          <w:sz w:val="21"/>
        </w:rPr>
        <w:t>of</w:t>
      </w:r>
      <w:r w:rsidR="004320EE">
        <w:rPr>
          <w:rFonts w:eastAsia="Times New Roman"/>
          <w:sz w:val="21"/>
        </w:rPr>
        <w:t xml:space="preserve"> partner governments</w:t>
      </w:r>
      <w:r w:rsidR="00805EAD">
        <w:rPr>
          <w:rFonts w:eastAsia="Times New Roman"/>
          <w:sz w:val="21"/>
        </w:rPr>
        <w:t xml:space="preserve"> to ensure effective coordination at local level.</w:t>
      </w:r>
      <w:r w:rsidR="005665DC">
        <w:rPr>
          <w:rFonts w:eastAsia="Times New Roman"/>
          <w:sz w:val="21"/>
        </w:rPr>
        <w:t xml:space="preserve"> This represents a simplification of the </w:t>
      </w:r>
      <w:r w:rsidR="00F56DE3">
        <w:rPr>
          <w:rFonts w:eastAsia="Times New Roman"/>
          <w:sz w:val="21"/>
        </w:rPr>
        <w:t>p</w:t>
      </w:r>
      <w:r w:rsidR="005665DC">
        <w:rPr>
          <w:rFonts w:eastAsia="Times New Roman"/>
          <w:sz w:val="21"/>
        </w:rPr>
        <w:t xml:space="preserve">rogram </w:t>
      </w:r>
      <w:r w:rsidR="00F56DE3">
        <w:rPr>
          <w:rFonts w:eastAsia="Times New Roman"/>
          <w:sz w:val="21"/>
        </w:rPr>
        <w:t>l</w:t>
      </w:r>
      <w:r w:rsidR="005665DC">
        <w:rPr>
          <w:rFonts w:eastAsia="Times New Roman"/>
          <w:sz w:val="21"/>
        </w:rPr>
        <w:t xml:space="preserve">ogic for Disaster READY, which had five dedicated IOs in </w:t>
      </w:r>
      <w:r w:rsidR="00406F84">
        <w:rPr>
          <w:rFonts w:eastAsia="Times New Roman"/>
          <w:sz w:val="21"/>
        </w:rPr>
        <w:t>Phase I</w:t>
      </w:r>
      <w:r w:rsidR="004457A7">
        <w:rPr>
          <w:rFonts w:eastAsia="Times New Roman"/>
          <w:sz w:val="21"/>
        </w:rPr>
        <w:t xml:space="preserve"> and was found by the MTE to generate too many indicators</w:t>
      </w:r>
      <w:r w:rsidR="00B12027">
        <w:rPr>
          <w:rFonts w:eastAsia="Times New Roman"/>
          <w:sz w:val="21"/>
        </w:rPr>
        <w:t xml:space="preserve">. </w:t>
      </w:r>
      <w:r w:rsidR="00D86754">
        <w:rPr>
          <w:rFonts w:eastAsia="Times New Roman"/>
          <w:sz w:val="21"/>
        </w:rPr>
        <w:t xml:space="preserve">Key elements of these former objectives are incorporated </w:t>
      </w:r>
      <w:r w:rsidR="00F84F5B">
        <w:rPr>
          <w:rFonts w:eastAsia="Times New Roman"/>
          <w:sz w:val="21"/>
        </w:rPr>
        <w:t>in</w:t>
      </w:r>
      <w:r w:rsidR="00B12027">
        <w:rPr>
          <w:rFonts w:eastAsia="Times New Roman"/>
          <w:sz w:val="21"/>
        </w:rPr>
        <w:t xml:space="preserve"> the Program Principles and safeguarded through the </w:t>
      </w:r>
      <w:r w:rsidR="00D86754">
        <w:rPr>
          <w:rFonts w:eastAsia="Times New Roman"/>
          <w:sz w:val="21"/>
        </w:rPr>
        <w:t xml:space="preserve">Implementation </w:t>
      </w:r>
      <w:r w:rsidR="004563A7">
        <w:rPr>
          <w:rFonts w:eastAsia="Times New Roman"/>
          <w:sz w:val="21"/>
        </w:rPr>
        <w:t>A</w:t>
      </w:r>
      <w:r w:rsidR="00D86754">
        <w:rPr>
          <w:rFonts w:eastAsia="Times New Roman"/>
          <w:sz w:val="21"/>
        </w:rPr>
        <w:t>rrangements.</w:t>
      </w:r>
    </w:p>
    <w:p w14:paraId="4FF1B0BA" w14:textId="5E8F1FE0" w:rsidR="00D86754" w:rsidRPr="008214A1" w:rsidRDefault="00D86754" w:rsidP="003E2C60">
      <w:pPr>
        <w:pStyle w:val="ListParagraph"/>
        <w:pBdr>
          <w:top w:val="single" w:sz="4" w:space="1" w:color="auto"/>
          <w:left w:val="single" w:sz="4" w:space="4" w:color="auto"/>
          <w:bottom w:val="single" w:sz="4" w:space="1" w:color="auto"/>
          <w:right w:val="single" w:sz="4" w:space="4" w:color="auto"/>
        </w:pBdr>
        <w:shd w:val="clear" w:color="auto" w:fill="E0F3EF" w:themeFill="accent1" w:themeFillTint="33"/>
        <w:tabs>
          <w:tab w:val="left" w:pos="0"/>
        </w:tabs>
        <w:spacing w:before="200" w:line="280" w:lineRule="exact"/>
        <w:ind w:left="0"/>
        <w:rPr>
          <w:rFonts w:eastAsia="Times New Roman"/>
          <w:b/>
          <w:bCs/>
          <w:i/>
          <w:iCs/>
          <w:sz w:val="21"/>
        </w:rPr>
      </w:pPr>
      <w:r w:rsidRPr="008214A1">
        <w:rPr>
          <w:rFonts w:eastAsia="Times New Roman"/>
          <w:b/>
          <w:bCs/>
          <w:i/>
          <w:iCs/>
          <w:sz w:val="21"/>
        </w:rPr>
        <w:t>EOPO</w:t>
      </w:r>
      <w:r w:rsidR="00A27286" w:rsidRPr="008214A1">
        <w:rPr>
          <w:rFonts w:eastAsia="Times New Roman"/>
          <w:b/>
          <w:bCs/>
          <w:i/>
          <w:iCs/>
          <w:sz w:val="21"/>
        </w:rPr>
        <w:t xml:space="preserve"> </w:t>
      </w:r>
      <w:r w:rsidRPr="008214A1">
        <w:rPr>
          <w:rFonts w:eastAsia="Times New Roman"/>
          <w:b/>
          <w:bCs/>
          <w:i/>
          <w:iCs/>
          <w:sz w:val="21"/>
        </w:rPr>
        <w:t xml:space="preserve">2: </w:t>
      </w:r>
      <w:r w:rsidR="0074462A" w:rsidRPr="008214A1">
        <w:rPr>
          <w:rFonts w:eastAsia="Times New Roman"/>
          <w:b/>
          <w:bCs/>
          <w:i/>
          <w:iCs/>
          <w:sz w:val="21"/>
        </w:rPr>
        <w:t xml:space="preserve">Rapid Onset and Protracted Crisis </w:t>
      </w:r>
      <w:r w:rsidRPr="008214A1">
        <w:rPr>
          <w:rFonts w:eastAsia="Times New Roman"/>
          <w:b/>
          <w:bCs/>
          <w:i/>
          <w:iCs/>
          <w:sz w:val="21"/>
        </w:rPr>
        <w:t>Response</w:t>
      </w:r>
    </w:p>
    <w:p w14:paraId="1291675D" w14:textId="4F828D24" w:rsidR="00812DF7" w:rsidRPr="008214A1" w:rsidRDefault="00812DF7" w:rsidP="003E2C60">
      <w:pPr>
        <w:pStyle w:val="ListParagraph"/>
        <w:pBdr>
          <w:top w:val="single" w:sz="4" w:space="1" w:color="auto"/>
          <w:left w:val="single" w:sz="4" w:space="4" w:color="auto"/>
          <w:bottom w:val="single" w:sz="4" w:space="1" w:color="auto"/>
          <w:right w:val="single" w:sz="4" w:space="4" w:color="auto"/>
        </w:pBdr>
        <w:shd w:val="clear" w:color="auto" w:fill="E0F3EF" w:themeFill="accent1" w:themeFillTint="33"/>
        <w:tabs>
          <w:tab w:val="left" w:pos="0"/>
        </w:tabs>
        <w:spacing w:before="200" w:line="280" w:lineRule="exact"/>
        <w:ind w:left="0"/>
        <w:rPr>
          <w:rFonts w:eastAsia="Times New Roman"/>
          <w:sz w:val="21"/>
        </w:rPr>
      </w:pPr>
      <w:r w:rsidRPr="008214A1">
        <w:rPr>
          <w:rFonts w:eastAsia="Times New Roman"/>
          <w:sz w:val="21"/>
        </w:rPr>
        <w:t>2</w:t>
      </w:r>
      <w:r w:rsidR="0081243E" w:rsidRPr="008214A1">
        <w:rPr>
          <w:rFonts w:eastAsia="Times New Roman"/>
          <w:sz w:val="21"/>
        </w:rPr>
        <w:t>.</w:t>
      </w:r>
      <w:r w:rsidRPr="008214A1">
        <w:rPr>
          <w:rFonts w:eastAsia="Times New Roman"/>
          <w:sz w:val="21"/>
        </w:rPr>
        <w:t xml:space="preserve"> </w:t>
      </w:r>
      <w:r w:rsidR="00541E33">
        <w:rPr>
          <w:rFonts w:eastAsia="Times New Roman"/>
          <w:sz w:val="21"/>
        </w:rPr>
        <w:t>Affected</w:t>
      </w:r>
      <w:r w:rsidR="00B66820" w:rsidRPr="00B66820">
        <w:rPr>
          <w:rFonts w:eastAsia="Times New Roman"/>
          <w:sz w:val="21"/>
        </w:rPr>
        <w:t xml:space="preserve"> populations, particularly women</w:t>
      </w:r>
      <w:r w:rsidR="00B66820">
        <w:rPr>
          <w:rFonts w:eastAsia="Times New Roman"/>
          <w:sz w:val="21"/>
        </w:rPr>
        <w:t>,</w:t>
      </w:r>
      <w:r w:rsidR="00B66820" w:rsidRPr="00B66820">
        <w:rPr>
          <w:rFonts w:eastAsia="Times New Roman"/>
          <w:sz w:val="21"/>
        </w:rPr>
        <w:t xml:space="preserve"> people </w:t>
      </w:r>
      <w:r w:rsidR="003D6E7F">
        <w:rPr>
          <w:rFonts w:eastAsia="Times New Roman"/>
          <w:sz w:val="21"/>
        </w:rPr>
        <w:t xml:space="preserve">living </w:t>
      </w:r>
      <w:r w:rsidR="00B66820" w:rsidRPr="00B66820">
        <w:rPr>
          <w:rFonts w:eastAsia="Times New Roman"/>
          <w:sz w:val="21"/>
        </w:rPr>
        <w:t xml:space="preserve">with disabilities and other </w:t>
      </w:r>
      <w:r w:rsidR="004F1D37">
        <w:rPr>
          <w:rFonts w:eastAsia="Times New Roman"/>
          <w:sz w:val="21"/>
        </w:rPr>
        <w:t>at-risk</w:t>
      </w:r>
      <w:r w:rsidR="00B66820" w:rsidRPr="00B66820">
        <w:rPr>
          <w:rFonts w:eastAsia="Times New Roman"/>
          <w:sz w:val="21"/>
        </w:rPr>
        <w:t xml:space="preserve"> groups, receive timely, high quality and locally led humanitarian assistance </w:t>
      </w:r>
      <w:r w:rsidR="00541E33">
        <w:rPr>
          <w:rFonts w:eastAsia="Times New Roman"/>
          <w:sz w:val="21"/>
        </w:rPr>
        <w:t xml:space="preserve">that meets priority needs </w:t>
      </w:r>
      <w:r w:rsidR="00B66820" w:rsidRPr="00B66820">
        <w:rPr>
          <w:rFonts w:eastAsia="Times New Roman"/>
          <w:sz w:val="21"/>
        </w:rPr>
        <w:t>appropriate to the context</w:t>
      </w:r>
      <w:r w:rsidRPr="008214A1">
        <w:rPr>
          <w:rFonts w:eastAsia="Times New Roman"/>
          <w:sz w:val="21"/>
        </w:rPr>
        <w:t>.</w:t>
      </w:r>
    </w:p>
    <w:p w14:paraId="068A5ECC" w14:textId="77777777" w:rsidR="00D86754" w:rsidRPr="008214A1" w:rsidRDefault="00D86754" w:rsidP="003E2C60">
      <w:pPr>
        <w:pStyle w:val="ListParagraph"/>
        <w:pBdr>
          <w:top w:val="single" w:sz="4" w:space="1" w:color="auto"/>
          <w:left w:val="single" w:sz="4" w:space="4" w:color="auto"/>
          <w:bottom w:val="single" w:sz="4" w:space="1" w:color="auto"/>
          <w:right w:val="single" w:sz="4" w:space="4" w:color="auto"/>
        </w:pBdr>
        <w:shd w:val="clear" w:color="auto" w:fill="E0F3EF" w:themeFill="accent1" w:themeFillTint="33"/>
        <w:tabs>
          <w:tab w:val="left" w:pos="0"/>
        </w:tabs>
        <w:spacing w:before="200" w:line="280" w:lineRule="exact"/>
        <w:ind w:left="0"/>
        <w:rPr>
          <w:rFonts w:eastAsia="Times New Roman"/>
          <w:b/>
          <w:bCs/>
          <w:i/>
          <w:iCs/>
          <w:sz w:val="21"/>
        </w:rPr>
      </w:pPr>
      <w:r w:rsidRPr="008214A1">
        <w:rPr>
          <w:rFonts w:eastAsia="Times New Roman"/>
          <w:b/>
          <w:bCs/>
          <w:i/>
          <w:iCs/>
          <w:sz w:val="21"/>
        </w:rPr>
        <w:t>Intermediate Outcomes:</w:t>
      </w:r>
    </w:p>
    <w:p w14:paraId="5D37D334" w14:textId="228C80BC" w:rsidR="00C84D68" w:rsidRPr="008214A1" w:rsidRDefault="00C84D68" w:rsidP="003E2C60">
      <w:pPr>
        <w:pStyle w:val="ListParagraph"/>
        <w:pBdr>
          <w:top w:val="single" w:sz="4" w:space="1" w:color="auto"/>
          <w:left w:val="single" w:sz="4" w:space="4" w:color="auto"/>
          <w:bottom w:val="single" w:sz="4" w:space="1" w:color="auto"/>
          <w:right w:val="single" w:sz="4" w:space="4" w:color="auto"/>
        </w:pBdr>
        <w:shd w:val="clear" w:color="auto" w:fill="E0F3EF" w:themeFill="accent1" w:themeFillTint="33"/>
        <w:tabs>
          <w:tab w:val="left" w:pos="0"/>
        </w:tabs>
        <w:spacing w:before="200" w:line="280" w:lineRule="exact"/>
        <w:ind w:left="0"/>
        <w:rPr>
          <w:rFonts w:eastAsia="Times New Roman"/>
          <w:sz w:val="21"/>
          <w:lang w:val="en-AU"/>
        </w:rPr>
      </w:pPr>
      <w:bookmarkStart w:id="25" w:name="_Hlk95825744"/>
      <w:r w:rsidRPr="008214A1">
        <w:rPr>
          <w:rFonts w:eastAsia="Times New Roman"/>
          <w:sz w:val="21"/>
          <w:lang w:val="en-AU"/>
        </w:rPr>
        <w:t xml:space="preserve">2.1 </w:t>
      </w:r>
      <w:r w:rsidR="001761A7" w:rsidRPr="001761A7">
        <w:rPr>
          <w:rFonts w:eastAsia="Times New Roman"/>
          <w:sz w:val="21"/>
          <w:lang w:val="en-AU"/>
        </w:rPr>
        <w:t xml:space="preserve">AHP </w:t>
      </w:r>
      <w:r w:rsidR="00FB5847">
        <w:rPr>
          <w:rFonts w:eastAsia="Times New Roman"/>
          <w:sz w:val="21"/>
          <w:lang w:val="en-AU"/>
        </w:rPr>
        <w:t>NGO P</w:t>
      </w:r>
      <w:r w:rsidR="001761A7" w:rsidRPr="001761A7">
        <w:rPr>
          <w:rFonts w:eastAsia="Times New Roman"/>
          <w:sz w:val="21"/>
          <w:lang w:val="en-AU"/>
        </w:rPr>
        <w:t xml:space="preserve">artners </w:t>
      </w:r>
      <w:r w:rsidR="00541E33">
        <w:rPr>
          <w:rFonts w:eastAsia="Times New Roman"/>
          <w:sz w:val="21"/>
          <w:lang w:val="en-AU"/>
        </w:rPr>
        <w:t>deliver</w:t>
      </w:r>
      <w:r w:rsidR="001761A7" w:rsidRPr="001761A7">
        <w:rPr>
          <w:rFonts w:eastAsia="Times New Roman"/>
          <w:sz w:val="21"/>
          <w:lang w:val="en-AU"/>
        </w:rPr>
        <w:t xml:space="preserve"> timely</w:t>
      </w:r>
      <w:r w:rsidR="001761A7" w:rsidRPr="001761A7">
        <w:rPr>
          <w:rFonts w:eastAsia="Times New Roman"/>
          <w:sz w:val="21"/>
        </w:rPr>
        <w:t xml:space="preserve">, well-coordinated and integrated responses to rapid onset disasters </w:t>
      </w:r>
      <w:r w:rsidR="00A2241F">
        <w:rPr>
          <w:rFonts w:eastAsia="Times New Roman"/>
          <w:sz w:val="21"/>
        </w:rPr>
        <w:t>that</w:t>
      </w:r>
      <w:r w:rsidR="001761A7" w:rsidRPr="001761A7">
        <w:rPr>
          <w:rFonts w:eastAsia="Times New Roman"/>
          <w:sz w:val="21"/>
        </w:rPr>
        <w:t xml:space="preserve"> promote early recovery and resilience to future disaster</w:t>
      </w:r>
      <w:r w:rsidR="001761A7" w:rsidRPr="001761A7">
        <w:rPr>
          <w:rFonts w:eastAsia="Times New Roman"/>
          <w:sz w:val="21"/>
          <w:lang w:val="en-AU"/>
        </w:rPr>
        <w:t xml:space="preserve">. </w:t>
      </w:r>
    </w:p>
    <w:p w14:paraId="3392EDAC" w14:textId="3ADB8078" w:rsidR="00C84D68" w:rsidRPr="008214A1" w:rsidRDefault="00C84D68" w:rsidP="003E2C60">
      <w:pPr>
        <w:pStyle w:val="ListParagraph"/>
        <w:pBdr>
          <w:top w:val="single" w:sz="4" w:space="1" w:color="auto"/>
          <w:left w:val="single" w:sz="4" w:space="4" w:color="auto"/>
          <w:bottom w:val="single" w:sz="4" w:space="1" w:color="auto"/>
          <w:right w:val="single" w:sz="4" w:space="4" w:color="auto"/>
        </w:pBdr>
        <w:shd w:val="clear" w:color="auto" w:fill="E0F3EF" w:themeFill="accent1" w:themeFillTint="33"/>
        <w:tabs>
          <w:tab w:val="left" w:pos="0"/>
        </w:tabs>
        <w:spacing w:before="200" w:line="280" w:lineRule="exact"/>
        <w:ind w:left="0"/>
        <w:rPr>
          <w:rFonts w:eastAsia="Times New Roman"/>
          <w:sz w:val="21"/>
          <w:lang w:val="en-AU"/>
        </w:rPr>
      </w:pPr>
      <w:r w:rsidRPr="008214A1">
        <w:rPr>
          <w:rFonts w:eastAsia="Times New Roman"/>
          <w:sz w:val="21"/>
          <w:lang w:val="en-AU"/>
        </w:rPr>
        <w:t xml:space="preserve">2.2 </w:t>
      </w:r>
      <w:r w:rsidR="001761A7" w:rsidRPr="001761A7">
        <w:rPr>
          <w:rFonts w:eastAsia="Times New Roman"/>
          <w:sz w:val="21"/>
          <w:lang w:val="en-AU"/>
        </w:rPr>
        <w:t xml:space="preserve">AHP </w:t>
      </w:r>
      <w:r w:rsidR="00FB5847">
        <w:rPr>
          <w:rFonts w:eastAsia="Times New Roman"/>
          <w:sz w:val="21"/>
          <w:lang w:val="en-AU"/>
        </w:rPr>
        <w:t>NGO P</w:t>
      </w:r>
      <w:r w:rsidR="001761A7" w:rsidRPr="001761A7">
        <w:rPr>
          <w:rFonts w:eastAsia="Times New Roman"/>
          <w:sz w:val="21"/>
          <w:lang w:val="en-AU"/>
        </w:rPr>
        <w:t xml:space="preserve">artners </w:t>
      </w:r>
      <w:r w:rsidR="00541E33">
        <w:rPr>
          <w:rFonts w:eastAsia="Times New Roman"/>
          <w:sz w:val="21"/>
          <w:lang w:val="en-AU"/>
        </w:rPr>
        <w:t>deliver</w:t>
      </w:r>
      <w:r w:rsidR="001761A7" w:rsidRPr="001761A7">
        <w:rPr>
          <w:rFonts w:eastAsia="Times New Roman"/>
          <w:sz w:val="21"/>
          <w:lang w:val="en-AU"/>
        </w:rPr>
        <w:t xml:space="preserve"> </w:t>
      </w:r>
      <w:r w:rsidR="001761A7" w:rsidRPr="001761A7">
        <w:rPr>
          <w:rFonts w:eastAsia="Times New Roman"/>
          <w:sz w:val="21"/>
        </w:rPr>
        <w:t>responses to protracted crises with context-specific design and management arrangements</w:t>
      </w:r>
      <w:r w:rsidR="00B91A4C">
        <w:rPr>
          <w:rFonts w:eastAsia="Times New Roman"/>
          <w:sz w:val="21"/>
        </w:rPr>
        <w:t xml:space="preserve"> that </w:t>
      </w:r>
      <w:r w:rsidR="001761A7" w:rsidRPr="001761A7">
        <w:rPr>
          <w:rFonts w:eastAsia="Times New Roman"/>
          <w:sz w:val="21"/>
        </w:rPr>
        <w:t>promote sustainability</w:t>
      </w:r>
      <w:r w:rsidR="00870821">
        <w:rPr>
          <w:rFonts w:eastAsia="Times New Roman"/>
          <w:sz w:val="21"/>
        </w:rPr>
        <w:t>.</w:t>
      </w:r>
      <w:r w:rsidR="001761A7" w:rsidRPr="008214A1">
        <w:rPr>
          <w:rFonts w:eastAsia="Times New Roman"/>
          <w:sz w:val="21"/>
          <w:lang w:val="en-AU"/>
        </w:rPr>
        <w:t xml:space="preserve"> </w:t>
      </w:r>
    </w:p>
    <w:p w14:paraId="57587B85" w14:textId="217B1F24" w:rsidR="001761A7" w:rsidRPr="008214A1" w:rsidRDefault="001C63A1" w:rsidP="003E2C60">
      <w:pPr>
        <w:pStyle w:val="ListParagraph"/>
        <w:pBdr>
          <w:top w:val="single" w:sz="4" w:space="1" w:color="auto"/>
          <w:left w:val="single" w:sz="4" w:space="4" w:color="auto"/>
          <w:bottom w:val="single" w:sz="4" w:space="1" w:color="auto"/>
          <w:right w:val="single" w:sz="4" w:space="4" w:color="auto"/>
        </w:pBdr>
        <w:shd w:val="clear" w:color="auto" w:fill="E0F3EF" w:themeFill="accent1" w:themeFillTint="33"/>
        <w:tabs>
          <w:tab w:val="left" w:pos="0"/>
        </w:tabs>
        <w:spacing w:before="200" w:line="280" w:lineRule="exact"/>
        <w:ind w:left="0"/>
        <w:rPr>
          <w:rFonts w:eastAsia="Times New Roman"/>
          <w:sz w:val="21"/>
          <w:lang w:val="en-AU"/>
        </w:rPr>
      </w:pPr>
      <w:r w:rsidRPr="008214A1">
        <w:rPr>
          <w:rFonts w:eastAsia="Times New Roman"/>
          <w:sz w:val="21"/>
          <w:lang w:val="en-AU"/>
        </w:rPr>
        <w:t xml:space="preserve">2.3 </w:t>
      </w:r>
      <w:r w:rsidR="001761A7" w:rsidRPr="001761A7">
        <w:rPr>
          <w:rFonts w:eastAsia="Times New Roman"/>
          <w:sz w:val="21"/>
          <w:lang w:val="en-AU"/>
        </w:rPr>
        <w:t xml:space="preserve">AHP </w:t>
      </w:r>
      <w:r w:rsidR="00FB5847">
        <w:rPr>
          <w:rFonts w:eastAsia="Times New Roman"/>
          <w:sz w:val="21"/>
          <w:lang w:val="en-AU"/>
        </w:rPr>
        <w:t>NGO P</w:t>
      </w:r>
      <w:r w:rsidR="001761A7" w:rsidRPr="001761A7">
        <w:rPr>
          <w:rFonts w:eastAsia="Times New Roman"/>
          <w:sz w:val="21"/>
          <w:lang w:val="en-AU"/>
        </w:rPr>
        <w:t>artner</w:t>
      </w:r>
      <w:r w:rsidR="00B7508A">
        <w:rPr>
          <w:rFonts w:eastAsia="Times New Roman"/>
          <w:sz w:val="21"/>
          <w:lang w:val="en-AU"/>
        </w:rPr>
        <w:t xml:space="preserve"> responses in Disaster READY countries </w:t>
      </w:r>
      <w:r w:rsidR="006E3D42">
        <w:rPr>
          <w:rFonts w:eastAsia="Times New Roman"/>
          <w:sz w:val="21"/>
          <w:lang w:val="en-AU"/>
        </w:rPr>
        <w:t>demonstrate</w:t>
      </w:r>
      <w:r w:rsidR="00B7508A" w:rsidRPr="00B7508A">
        <w:rPr>
          <w:rFonts w:eastAsia="Times New Roman"/>
          <w:sz w:val="21"/>
          <w:lang w:val="en-AU"/>
        </w:rPr>
        <w:t xml:space="preserve"> </w:t>
      </w:r>
      <w:r w:rsidR="00541E33">
        <w:rPr>
          <w:rFonts w:eastAsia="Times New Roman"/>
          <w:sz w:val="21"/>
          <w:lang w:val="en-AU"/>
        </w:rPr>
        <w:t>increased</w:t>
      </w:r>
      <w:r w:rsidR="00B7508A" w:rsidRPr="00B7508A">
        <w:rPr>
          <w:rFonts w:eastAsia="Times New Roman"/>
          <w:sz w:val="21"/>
          <w:lang w:val="en-AU"/>
        </w:rPr>
        <w:t xml:space="preserve"> </w:t>
      </w:r>
      <w:r w:rsidR="00FB5847">
        <w:rPr>
          <w:rFonts w:eastAsia="Times New Roman"/>
          <w:sz w:val="21"/>
          <w:lang w:val="en-AU"/>
        </w:rPr>
        <w:t>local</w:t>
      </w:r>
      <w:r w:rsidR="00B7508A" w:rsidRPr="00B7508A">
        <w:rPr>
          <w:rFonts w:eastAsia="Times New Roman"/>
          <w:sz w:val="21"/>
          <w:lang w:val="en-AU"/>
        </w:rPr>
        <w:t xml:space="preserve"> leadership, </w:t>
      </w:r>
      <w:r w:rsidR="00064643" w:rsidRPr="00B7508A">
        <w:rPr>
          <w:rFonts w:eastAsia="Times New Roman"/>
          <w:sz w:val="21"/>
          <w:lang w:val="en-AU"/>
        </w:rPr>
        <w:t>coordination,</w:t>
      </w:r>
      <w:r w:rsidR="00B7508A" w:rsidRPr="00B7508A">
        <w:rPr>
          <w:rFonts w:eastAsia="Times New Roman"/>
          <w:sz w:val="21"/>
          <w:lang w:val="en-AU"/>
        </w:rPr>
        <w:t xml:space="preserve"> and capacity</w:t>
      </w:r>
      <w:r w:rsidR="001761A7" w:rsidRPr="001761A7">
        <w:rPr>
          <w:rFonts w:eastAsia="Times New Roman"/>
          <w:sz w:val="21"/>
          <w:lang w:val="en-AU"/>
        </w:rPr>
        <w:t xml:space="preserve">. </w:t>
      </w:r>
    </w:p>
    <w:bookmarkEnd w:id="25"/>
    <w:p w14:paraId="763FE092" w14:textId="72C29DC9" w:rsidR="001C63A1" w:rsidRDefault="00EC038D" w:rsidP="003E2C60">
      <w:pPr>
        <w:pStyle w:val="ListParagraph"/>
        <w:tabs>
          <w:tab w:val="left" w:pos="284"/>
        </w:tabs>
        <w:suppressAutoHyphens w:val="0"/>
        <w:spacing w:before="200" w:after="0" w:line="280" w:lineRule="exact"/>
        <w:ind w:left="0"/>
        <w:contextualSpacing w:val="0"/>
        <w:rPr>
          <w:rFonts w:eastAsia="Times New Roman"/>
          <w:sz w:val="21"/>
        </w:rPr>
      </w:pPr>
      <w:r>
        <w:rPr>
          <w:rFonts w:eastAsia="Times New Roman"/>
          <w:sz w:val="21"/>
        </w:rPr>
        <w:t xml:space="preserve">This </w:t>
      </w:r>
      <w:r w:rsidR="00802070">
        <w:rPr>
          <w:rFonts w:eastAsia="Times New Roman"/>
          <w:sz w:val="21"/>
        </w:rPr>
        <w:t>EOPO</w:t>
      </w:r>
      <w:r>
        <w:rPr>
          <w:rFonts w:eastAsia="Times New Roman"/>
          <w:sz w:val="21"/>
        </w:rPr>
        <w:t xml:space="preserve"> </w:t>
      </w:r>
      <w:r w:rsidR="00571F47">
        <w:rPr>
          <w:rFonts w:eastAsia="Times New Roman"/>
          <w:sz w:val="21"/>
        </w:rPr>
        <w:t xml:space="preserve">(consistent with the objectives of </w:t>
      </w:r>
      <w:r w:rsidR="00406F84">
        <w:rPr>
          <w:rFonts w:eastAsia="Times New Roman"/>
          <w:sz w:val="21"/>
        </w:rPr>
        <w:t>Phase I</w:t>
      </w:r>
      <w:r w:rsidR="00571F47">
        <w:rPr>
          <w:rFonts w:eastAsia="Times New Roman"/>
          <w:sz w:val="21"/>
        </w:rPr>
        <w:t xml:space="preserve">) </w:t>
      </w:r>
      <w:r w:rsidR="00463DAB">
        <w:rPr>
          <w:rFonts w:eastAsia="Times New Roman"/>
          <w:sz w:val="21"/>
        </w:rPr>
        <w:t>reflects the critical priorit</w:t>
      </w:r>
      <w:r w:rsidR="0036728A">
        <w:rPr>
          <w:rFonts w:eastAsia="Times New Roman"/>
          <w:sz w:val="21"/>
        </w:rPr>
        <w:t>y</w:t>
      </w:r>
      <w:r w:rsidR="00463DAB">
        <w:rPr>
          <w:rFonts w:eastAsia="Times New Roman"/>
          <w:sz w:val="21"/>
        </w:rPr>
        <w:t xml:space="preserve"> for </w:t>
      </w:r>
      <w:r w:rsidR="00C84D68">
        <w:rPr>
          <w:rFonts w:eastAsia="Times New Roman"/>
          <w:sz w:val="21"/>
        </w:rPr>
        <w:t>Australia</w:t>
      </w:r>
      <w:r w:rsidR="00571F47">
        <w:rPr>
          <w:rFonts w:eastAsia="Times New Roman"/>
          <w:sz w:val="21"/>
        </w:rPr>
        <w:t xml:space="preserve"> in </w:t>
      </w:r>
      <w:r w:rsidR="00463DAB">
        <w:rPr>
          <w:rFonts w:eastAsia="Times New Roman"/>
          <w:sz w:val="21"/>
        </w:rPr>
        <w:t>disaster and humanitarian crisis response</w:t>
      </w:r>
      <w:r w:rsidR="00571F47">
        <w:rPr>
          <w:rFonts w:eastAsia="Times New Roman"/>
          <w:sz w:val="21"/>
        </w:rPr>
        <w:t xml:space="preserve"> -</w:t>
      </w:r>
      <w:r w:rsidR="00463DAB">
        <w:rPr>
          <w:rFonts w:eastAsia="Times New Roman"/>
          <w:sz w:val="21"/>
        </w:rPr>
        <w:t xml:space="preserve"> </w:t>
      </w:r>
      <w:r w:rsidR="0036728A">
        <w:rPr>
          <w:rFonts w:eastAsia="Times New Roman"/>
          <w:sz w:val="21"/>
        </w:rPr>
        <w:t>to</w:t>
      </w:r>
      <w:r w:rsidR="00463DAB">
        <w:rPr>
          <w:rFonts w:eastAsia="Times New Roman"/>
          <w:sz w:val="21"/>
        </w:rPr>
        <w:t xml:space="preserve"> </w:t>
      </w:r>
      <w:r w:rsidR="004F1D37">
        <w:rPr>
          <w:rFonts w:eastAsia="Times New Roman"/>
          <w:sz w:val="21"/>
        </w:rPr>
        <w:t>deliver</w:t>
      </w:r>
      <w:r w:rsidR="0036728A">
        <w:rPr>
          <w:rFonts w:eastAsia="Times New Roman"/>
          <w:sz w:val="21"/>
        </w:rPr>
        <w:t xml:space="preserve"> timely</w:t>
      </w:r>
      <w:r w:rsidR="00311B82">
        <w:rPr>
          <w:rFonts w:eastAsia="Times New Roman"/>
          <w:sz w:val="21"/>
        </w:rPr>
        <w:t>,</w:t>
      </w:r>
      <w:r w:rsidR="0036728A">
        <w:rPr>
          <w:rFonts w:eastAsia="Times New Roman"/>
          <w:sz w:val="21"/>
        </w:rPr>
        <w:t xml:space="preserve"> </w:t>
      </w:r>
      <w:r w:rsidR="008258E4">
        <w:rPr>
          <w:rFonts w:eastAsia="Times New Roman"/>
          <w:sz w:val="21"/>
        </w:rPr>
        <w:t>well-</w:t>
      </w:r>
      <w:r w:rsidR="008258E4" w:rsidRPr="003E2C60">
        <w:rPr>
          <w:rFonts w:eastAsia="Times New Roman" w:cs="Times New Roman"/>
          <w:sz w:val="21"/>
          <w:szCs w:val="24"/>
          <w:lang w:val="en-AU"/>
        </w:rPr>
        <w:t>planned,</w:t>
      </w:r>
      <w:r w:rsidR="0036728A">
        <w:rPr>
          <w:rFonts w:eastAsia="Times New Roman"/>
          <w:sz w:val="21"/>
        </w:rPr>
        <w:t xml:space="preserve"> well</w:t>
      </w:r>
      <w:r w:rsidR="00CB535A">
        <w:rPr>
          <w:rFonts w:eastAsia="Times New Roman"/>
          <w:sz w:val="21"/>
        </w:rPr>
        <w:t>-</w:t>
      </w:r>
      <w:r w:rsidR="0036728A">
        <w:rPr>
          <w:rFonts w:eastAsia="Times New Roman"/>
          <w:sz w:val="21"/>
        </w:rPr>
        <w:t xml:space="preserve">coordinated </w:t>
      </w:r>
      <w:r w:rsidR="00981B38">
        <w:rPr>
          <w:rFonts w:eastAsia="Times New Roman"/>
          <w:sz w:val="21"/>
        </w:rPr>
        <w:t xml:space="preserve">and locally led </w:t>
      </w:r>
      <w:r w:rsidR="0036728A">
        <w:rPr>
          <w:rFonts w:eastAsia="Times New Roman"/>
          <w:sz w:val="21"/>
        </w:rPr>
        <w:t xml:space="preserve">assistance. </w:t>
      </w:r>
      <w:r w:rsidR="000A6489">
        <w:rPr>
          <w:rFonts w:eastAsia="Times New Roman"/>
          <w:sz w:val="21"/>
        </w:rPr>
        <w:t>R</w:t>
      </w:r>
      <w:r w:rsidR="00C84D68">
        <w:rPr>
          <w:rFonts w:eastAsia="Times New Roman"/>
          <w:sz w:val="21"/>
        </w:rPr>
        <w:t xml:space="preserve">esponses </w:t>
      </w:r>
      <w:r w:rsidR="000A6489">
        <w:rPr>
          <w:rFonts w:eastAsia="Times New Roman"/>
          <w:sz w:val="21"/>
        </w:rPr>
        <w:t>must be</w:t>
      </w:r>
      <w:r w:rsidR="00C84D68">
        <w:rPr>
          <w:rFonts w:eastAsia="Times New Roman"/>
          <w:sz w:val="21"/>
        </w:rPr>
        <w:t xml:space="preserve"> inclusive and address vulnerability due to gender, age, religion,</w:t>
      </w:r>
      <w:r w:rsidR="002602ED">
        <w:rPr>
          <w:rFonts w:eastAsia="Times New Roman"/>
          <w:sz w:val="21"/>
        </w:rPr>
        <w:t xml:space="preserve"> disability,</w:t>
      </w:r>
      <w:r w:rsidR="00C84D68">
        <w:rPr>
          <w:rFonts w:eastAsia="Times New Roman"/>
          <w:sz w:val="21"/>
        </w:rPr>
        <w:t xml:space="preserve"> ethnicity, sexual </w:t>
      </w:r>
      <w:r w:rsidR="00064643">
        <w:rPr>
          <w:rFonts w:eastAsia="Times New Roman"/>
          <w:sz w:val="21"/>
        </w:rPr>
        <w:t>orientation,</w:t>
      </w:r>
      <w:r w:rsidR="00C84D68">
        <w:rPr>
          <w:rFonts w:eastAsia="Times New Roman"/>
          <w:sz w:val="21"/>
        </w:rPr>
        <w:t xml:space="preserve"> or other attributes. </w:t>
      </w:r>
      <w:r w:rsidR="00717068">
        <w:rPr>
          <w:rFonts w:eastAsia="Times New Roman"/>
          <w:sz w:val="21"/>
        </w:rPr>
        <w:t xml:space="preserve">There is no geographical limit to the AHP’s response capacity, though it is expected the Indo-Pacific will remain a key focus. The specific sectors that may be addressed in humanitarian response will vary according to the needs of the context, but may include WASH, health, shelter, protection, education, food security, livelihoods, early </w:t>
      </w:r>
      <w:r w:rsidR="00064643">
        <w:rPr>
          <w:rFonts w:eastAsia="Times New Roman"/>
          <w:sz w:val="21"/>
        </w:rPr>
        <w:t>recovery,</w:t>
      </w:r>
      <w:r w:rsidR="00717068">
        <w:rPr>
          <w:rFonts w:eastAsia="Times New Roman"/>
          <w:sz w:val="21"/>
        </w:rPr>
        <w:t xml:space="preserve"> or others as appropriate. </w:t>
      </w:r>
    </w:p>
    <w:p w14:paraId="4D86A83B" w14:textId="6A9C6C69" w:rsidR="00680274" w:rsidRDefault="008258E4" w:rsidP="003E2C60">
      <w:pPr>
        <w:pStyle w:val="ListParagraph"/>
        <w:tabs>
          <w:tab w:val="left" w:pos="284"/>
        </w:tabs>
        <w:suppressAutoHyphens w:val="0"/>
        <w:spacing w:before="200" w:after="0" w:line="280" w:lineRule="exact"/>
        <w:ind w:left="0"/>
        <w:contextualSpacing w:val="0"/>
        <w:rPr>
          <w:rFonts w:eastAsia="Times New Roman"/>
          <w:sz w:val="21"/>
        </w:rPr>
      </w:pPr>
      <w:r>
        <w:rPr>
          <w:rFonts w:eastAsia="Times New Roman"/>
          <w:sz w:val="21"/>
        </w:rPr>
        <w:t xml:space="preserve">The </w:t>
      </w:r>
      <w:r w:rsidR="0016298C">
        <w:rPr>
          <w:rFonts w:eastAsia="Times New Roman"/>
          <w:sz w:val="21"/>
        </w:rPr>
        <w:t xml:space="preserve">IOs reflect the </w:t>
      </w:r>
      <w:r w:rsidR="005163C4">
        <w:rPr>
          <w:rFonts w:eastAsia="Times New Roman"/>
          <w:sz w:val="21"/>
        </w:rPr>
        <w:t>different</w:t>
      </w:r>
      <w:r w:rsidR="0016298C">
        <w:rPr>
          <w:rFonts w:eastAsia="Times New Roman"/>
          <w:sz w:val="21"/>
        </w:rPr>
        <w:t xml:space="preserve"> </w:t>
      </w:r>
      <w:r w:rsidR="00E13D72">
        <w:rPr>
          <w:rFonts w:eastAsia="Times New Roman"/>
          <w:sz w:val="21"/>
        </w:rPr>
        <w:t>drivers</w:t>
      </w:r>
      <w:r w:rsidR="005163C4">
        <w:rPr>
          <w:rFonts w:eastAsia="Times New Roman"/>
          <w:sz w:val="21"/>
        </w:rPr>
        <w:t xml:space="preserve"> of the Partnership in responding to a rapid onset disaster versus protracted crisis, and the </w:t>
      </w:r>
      <w:r w:rsidR="00E13D72">
        <w:rPr>
          <w:rFonts w:eastAsia="Times New Roman"/>
          <w:sz w:val="21"/>
        </w:rPr>
        <w:t xml:space="preserve">link between </w:t>
      </w:r>
      <w:r w:rsidR="00BF0BC3">
        <w:rPr>
          <w:rFonts w:eastAsia="Times New Roman"/>
          <w:sz w:val="21"/>
        </w:rPr>
        <w:t>Disaster READY</w:t>
      </w:r>
      <w:r w:rsidR="00612B5B">
        <w:rPr>
          <w:rFonts w:eastAsia="Times New Roman"/>
          <w:sz w:val="21"/>
        </w:rPr>
        <w:t xml:space="preserve"> and response activities</w:t>
      </w:r>
      <w:r w:rsidR="005163C4">
        <w:rPr>
          <w:rFonts w:eastAsia="Times New Roman"/>
          <w:sz w:val="21"/>
        </w:rPr>
        <w:t xml:space="preserve">. </w:t>
      </w:r>
      <w:r w:rsidR="00612B5B">
        <w:rPr>
          <w:rFonts w:eastAsia="Times New Roman"/>
          <w:sz w:val="21"/>
        </w:rPr>
        <w:t xml:space="preserve">IO </w:t>
      </w:r>
      <w:r w:rsidR="00571F47">
        <w:rPr>
          <w:rFonts w:eastAsia="Times New Roman"/>
          <w:sz w:val="21"/>
        </w:rPr>
        <w:t>2.1</w:t>
      </w:r>
      <w:r w:rsidR="0036728A">
        <w:rPr>
          <w:rFonts w:eastAsia="Times New Roman"/>
          <w:sz w:val="21"/>
        </w:rPr>
        <w:t xml:space="preserve"> </w:t>
      </w:r>
      <w:r w:rsidR="00316B16">
        <w:rPr>
          <w:rFonts w:eastAsia="Times New Roman"/>
          <w:sz w:val="21"/>
        </w:rPr>
        <w:t>emphasises</w:t>
      </w:r>
      <w:r w:rsidR="00612B5B">
        <w:rPr>
          <w:rFonts w:eastAsia="Times New Roman"/>
          <w:sz w:val="21"/>
        </w:rPr>
        <w:t xml:space="preserve"> resilience and early recovery in the planning and implementation of </w:t>
      </w:r>
      <w:r w:rsidR="00E415FA">
        <w:rPr>
          <w:rFonts w:eastAsia="Times New Roman"/>
          <w:sz w:val="21"/>
        </w:rPr>
        <w:t xml:space="preserve">rapid-onset </w:t>
      </w:r>
      <w:r w:rsidR="00612B5B">
        <w:rPr>
          <w:rFonts w:eastAsia="Times New Roman"/>
          <w:sz w:val="21"/>
        </w:rPr>
        <w:t>respons</w:t>
      </w:r>
      <w:r w:rsidR="009C5C67">
        <w:rPr>
          <w:rFonts w:eastAsia="Times New Roman"/>
          <w:sz w:val="21"/>
        </w:rPr>
        <w:t>e as</w:t>
      </w:r>
      <w:r w:rsidR="00612B5B" w:rsidRPr="00971ED7">
        <w:rPr>
          <w:rFonts w:eastAsia="Times New Roman"/>
          <w:sz w:val="21"/>
        </w:rPr>
        <w:t xml:space="preserve"> the disaster recovery phase provide</w:t>
      </w:r>
      <w:r w:rsidR="00612B5B">
        <w:rPr>
          <w:rFonts w:eastAsia="Times New Roman"/>
          <w:sz w:val="21"/>
        </w:rPr>
        <w:t>s</w:t>
      </w:r>
      <w:r w:rsidR="00612B5B" w:rsidRPr="00971ED7">
        <w:rPr>
          <w:rFonts w:eastAsia="Times New Roman"/>
          <w:sz w:val="21"/>
        </w:rPr>
        <w:t xml:space="preserve"> unique opportunities for building a culture of reducing disaster risks</w:t>
      </w:r>
      <w:r w:rsidR="004F1D37">
        <w:rPr>
          <w:rFonts w:eastAsia="Times New Roman"/>
          <w:sz w:val="21"/>
        </w:rPr>
        <w:t xml:space="preserve"> (including building back better/safer)</w:t>
      </w:r>
      <w:r w:rsidR="00612B5B">
        <w:rPr>
          <w:rFonts w:eastAsia="Times New Roman"/>
          <w:sz w:val="21"/>
        </w:rPr>
        <w:t xml:space="preserve">. IO </w:t>
      </w:r>
      <w:r w:rsidR="00C75EEA">
        <w:rPr>
          <w:rFonts w:eastAsia="Times New Roman"/>
          <w:sz w:val="21"/>
        </w:rPr>
        <w:t>2.</w:t>
      </w:r>
      <w:r w:rsidR="0036728A">
        <w:rPr>
          <w:rFonts w:eastAsia="Times New Roman"/>
          <w:sz w:val="21"/>
        </w:rPr>
        <w:t xml:space="preserve">2 reflects the </w:t>
      </w:r>
      <w:r w:rsidR="00B62FD5">
        <w:rPr>
          <w:rFonts w:eastAsia="Times New Roman"/>
          <w:sz w:val="21"/>
        </w:rPr>
        <w:t>importance of developing tailored governance and management approaches</w:t>
      </w:r>
      <w:r w:rsidR="009D06D5">
        <w:rPr>
          <w:rFonts w:eastAsia="Times New Roman"/>
          <w:sz w:val="21"/>
        </w:rPr>
        <w:t>, and the need for greater consideration of sustainability</w:t>
      </w:r>
      <w:r w:rsidR="00015E26">
        <w:rPr>
          <w:rFonts w:eastAsia="Times New Roman"/>
          <w:sz w:val="21"/>
        </w:rPr>
        <w:t>,</w:t>
      </w:r>
      <w:r w:rsidR="009D06D5">
        <w:rPr>
          <w:rFonts w:eastAsia="Times New Roman"/>
          <w:sz w:val="21"/>
        </w:rPr>
        <w:t xml:space="preserve"> </w:t>
      </w:r>
      <w:r w:rsidR="00015E26">
        <w:rPr>
          <w:rFonts w:eastAsia="Times New Roman"/>
          <w:sz w:val="21"/>
        </w:rPr>
        <w:t>when responding to</w:t>
      </w:r>
      <w:r w:rsidR="009D06D5">
        <w:rPr>
          <w:rFonts w:eastAsia="Times New Roman"/>
          <w:sz w:val="21"/>
        </w:rPr>
        <w:t xml:space="preserve"> protracted crises</w:t>
      </w:r>
      <w:r w:rsidR="00B62FD5">
        <w:rPr>
          <w:rFonts w:eastAsia="Times New Roman"/>
          <w:sz w:val="21"/>
        </w:rPr>
        <w:t>.</w:t>
      </w:r>
      <w:r w:rsidR="0036728A">
        <w:rPr>
          <w:rFonts w:eastAsia="Times New Roman"/>
          <w:sz w:val="21"/>
        </w:rPr>
        <w:t xml:space="preserve"> </w:t>
      </w:r>
      <w:r w:rsidR="00DA7216">
        <w:rPr>
          <w:rFonts w:eastAsia="Times New Roman"/>
          <w:sz w:val="21"/>
        </w:rPr>
        <w:t xml:space="preserve">IO 2.3 recognises that </w:t>
      </w:r>
      <w:r w:rsidR="00FB7D4F">
        <w:rPr>
          <w:rFonts w:eastAsia="Times New Roman"/>
          <w:sz w:val="21"/>
        </w:rPr>
        <w:t xml:space="preserve">responses in </w:t>
      </w:r>
      <w:r w:rsidR="00C8758D">
        <w:rPr>
          <w:rFonts w:eastAsia="Times New Roman"/>
          <w:sz w:val="21"/>
        </w:rPr>
        <w:t xml:space="preserve">Disaster READY countries </w:t>
      </w:r>
      <w:r w:rsidR="0084534D">
        <w:rPr>
          <w:rFonts w:eastAsia="Times New Roman"/>
          <w:sz w:val="21"/>
        </w:rPr>
        <w:t xml:space="preserve">will be enhanced by the </w:t>
      </w:r>
      <w:r w:rsidR="00680274">
        <w:rPr>
          <w:rFonts w:eastAsia="Times New Roman"/>
          <w:sz w:val="21"/>
        </w:rPr>
        <w:t xml:space="preserve">AHP’s investment in disaster </w:t>
      </w:r>
      <w:r w:rsidR="00064643">
        <w:rPr>
          <w:rFonts w:eastAsia="Times New Roman"/>
          <w:sz w:val="21"/>
        </w:rPr>
        <w:t>preparedness and</w:t>
      </w:r>
      <w:r w:rsidR="004A3CFF">
        <w:rPr>
          <w:rFonts w:eastAsia="Times New Roman"/>
          <w:sz w:val="21"/>
        </w:rPr>
        <w:t xml:space="preserve"> be increasingly </w:t>
      </w:r>
      <w:r w:rsidR="00064643">
        <w:rPr>
          <w:rFonts w:eastAsia="Times New Roman"/>
          <w:sz w:val="21"/>
        </w:rPr>
        <w:t>locally led</w:t>
      </w:r>
      <w:r w:rsidR="004A3CFF">
        <w:rPr>
          <w:rFonts w:eastAsia="Times New Roman"/>
          <w:sz w:val="21"/>
        </w:rPr>
        <w:t xml:space="preserve"> in line with capacity</w:t>
      </w:r>
      <w:r w:rsidR="00DA7216">
        <w:rPr>
          <w:rFonts w:eastAsia="Times New Roman"/>
          <w:sz w:val="21"/>
        </w:rPr>
        <w:t xml:space="preserve">.  </w:t>
      </w:r>
    </w:p>
    <w:p w14:paraId="3B6EB89A" w14:textId="79979259" w:rsidR="00C84D68" w:rsidRDefault="00612B5B" w:rsidP="00655097">
      <w:pPr>
        <w:pStyle w:val="ListParagraph"/>
        <w:tabs>
          <w:tab w:val="left" w:pos="284"/>
        </w:tabs>
        <w:suppressAutoHyphens w:val="0"/>
        <w:spacing w:before="200" w:after="0" w:line="280" w:lineRule="exact"/>
        <w:ind w:left="0"/>
        <w:contextualSpacing w:val="0"/>
        <w:rPr>
          <w:rFonts w:eastAsia="Times New Roman"/>
          <w:sz w:val="21"/>
        </w:rPr>
      </w:pPr>
      <w:r>
        <w:rPr>
          <w:rFonts w:eastAsia="Times New Roman"/>
          <w:sz w:val="21"/>
        </w:rPr>
        <w:t xml:space="preserve">The Operational Arrangements for the </w:t>
      </w:r>
      <w:r w:rsidR="004A3CFF">
        <w:rPr>
          <w:rFonts w:eastAsia="Times New Roman"/>
          <w:sz w:val="21"/>
        </w:rPr>
        <w:t xml:space="preserve">IOs </w:t>
      </w:r>
      <w:r w:rsidR="00655097">
        <w:rPr>
          <w:rFonts w:eastAsia="Times New Roman"/>
          <w:sz w:val="21"/>
        </w:rPr>
        <w:t xml:space="preserve">have been updated to ensure that the selection process for partners and proposals is fit-for-purpose and able to deliver </w:t>
      </w:r>
      <w:r w:rsidR="00054F0F">
        <w:rPr>
          <w:rFonts w:eastAsia="Times New Roman"/>
          <w:sz w:val="21"/>
        </w:rPr>
        <w:t>on the EOPO.</w:t>
      </w:r>
      <w:r w:rsidR="00655097">
        <w:rPr>
          <w:rFonts w:eastAsia="Times New Roman"/>
          <w:sz w:val="21"/>
        </w:rPr>
        <w:t xml:space="preserve"> </w:t>
      </w:r>
    </w:p>
    <w:p w14:paraId="2F2E01A2" w14:textId="054584FD" w:rsidR="00C84D68" w:rsidRDefault="0036728A" w:rsidP="00D1642C">
      <w:pPr>
        <w:pStyle w:val="ListParagraph"/>
        <w:tabs>
          <w:tab w:val="left" w:pos="284"/>
        </w:tabs>
        <w:spacing w:before="200" w:line="280" w:lineRule="exact"/>
        <w:ind w:left="284"/>
        <w:rPr>
          <w:rFonts w:eastAsia="Times New Roman"/>
          <w:sz w:val="21"/>
        </w:rPr>
      </w:pPr>
      <w:r>
        <w:rPr>
          <w:rFonts w:eastAsia="Times New Roman"/>
          <w:sz w:val="21"/>
        </w:rPr>
        <w:t xml:space="preserve"> </w:t>
      </w:r>
    </w:p>
    <w:p w14:paraId="6E8C3B67" w14:textId="77777777" w:rsidR="00CB535A" w:rsidRPr="008214A1" w:rsidRDefault="00CB535A" w:rsidP="003E2C60">
      <w:pPr>
        <w:pStyle w:val="ListParagraph"/>
        <w:pBdr>
          <w:top w:val="single" w:sz="4" w:space="1" w:color="auto"/>
          <w:left w:val="single" w:sz="4" w:space="4" w:color="auto"/>
          <w:bottom w:val="single" w:sz="4" w:space="1" w:color="auto"/>
          <w:right w:val="single" w:sz="4" w:space="4" w:color="auto"/>
        </w:pBdr>
        <w:shd w:val="clear" w:color="auto" w:fill="E0F3EF" w:themeFill="accent1" w:themeFillTint="33"/>
        <w:tabs>
          <w:tab w:val="left" w:pos="0"/>
        </w:tabs>
        <w:spacing w:before="200" w:line="280" w:lineRule="exact"/>
        <w:ind w:left="0"/>
        <w:rPr>
          <w:rFonts w:eastAsia="Times New Roman"/>
          <w:b/>
          <w:bCs/>
          <w:i/>
          <w:iCs/>
          <w:sz w:val="21"/>
        </w:rPr>
      </w:pPr>
      <w:r w:rsidRPr="008214A1">
        <w:rPr>
          <w:rFonts w:eastAsia="Times New Roman"/>
          <w:b/>
          <w:bCs/>
          <w:i/>
          <w:iCs/>
          <w:sz w:val="21"/>
        </w:rPr>
        <w:t>EOPO 3: Partnership learning and practice</w:t>
      </w:r>
    </w:p>
    <w:p w14:paraId="652F9CB6" w14:textId="17BD7A46" w:rsidR="004F51E7" w:rsidRPr="008214A1" w:rsidRDefault="00812DF7" w:rsidP="003E2C60">
      <w:pPr>
        <w:pStyle w:val="ListParagraph"/>
        <w:pBdr>
          <w:top w:val="single" w:sz="4" w:space="1" w:color="auto"/>
          <w:left w:val="single" w:sz="4" w:space="4" w:color="auto"/>
          <w:bottom w:val="single" w:sz="4" w:space="1" w:color="auto"/>
          <w:right w:val="single" w:sz="4" w:space="4" w:color="auto"/>
        </w:pBdr>
        <w:shd w:val="clear" w:color="auto" w:fill="E0F3EF" w:themeFill="accent1" w:themeFillTint="33"/>
        <w:tabs>
          <w:tab w:val="left" w:pos="0"/>
        </w:tabs>
        <w:spacing w:before="200" w:line="280" w:lineRule="exact"/>
        <w:ind w:left="0"/>
        <w:rPr>
          <w:rFonts w:eastAsia="Times New Roman"/>
          <w:sz w:val="21"/>
        </w:rPr>
      </w:pPr>
      <w:r w:rsidRPr="008214A1">
        <w:rPr>
          <w:rFonts w:eastAsia="Times New Roman"/>
          <w:sz w:val="21"/>
        </w:rPr>
        <w:t xml:space="preserve">3. </w:t>
      </w:r>
      <w:r w:rsidR="004F51E7" w:rsidRPr="008214A1">
        <w:rPr>
          <w:rFonts w:eastAsia="Times New Roman"/>
          <w:sz w:val="21"/>
        </w:rPr>
        <w:t xml:space="preserve">AHP Partners and other humanitarian stakeholders </w:t>
      </w:r>
      <w:r w:rsidR="007318DC" w:rsidRPr="008214A1">
        <w:rPr>
          <w:rFonts w:eastAsia="Times New Roman"/>
          <w:sz w:val="21"/>
        </w:rPr>
        <w:t xml:space="preserve">in Australia and the region </w:t>
      </w:r>
      <w:r w:rsidR="004F51E7" w:rsidRPr="008214A1">
        <w:rPr>
          <w:rFonts w:eastAsia="Times New Roman"/>
          <w:sz w:val="21"/>
        </w:rPr>
        <w:t>strengthen policy and practice through collaboration and lessons learnt.</w:t>
      </w:r>
    </w:p>
    <w:p w14:paraId="1C5F22FE" w14:textId="3FBA3605" w:rsidR="00CB535A" w:rsidRPr="008214A1" w:rsidRDefault="00CB535A" w:rsidP="003E2C60">
      <w:pPr>
        <w:pStyle w:val="ListParagraph"/>
        <w:pBdr>
          <w:top w:val="single" w:sz="4" w:space="1" w:color="auto"/>
          <w:left w:val="single" w:sz="4" w:space="4" w:color="auto"/>
          <w:bottom w:val="single" w:sz="4" w:space="1" w:color="auto"/>
          <w:right w:val="single" w:sz="4" w:space="4" w:color="auto"/>
        </w:pBdr>
        <w:shd w:val="clear" w:color="auto" w:fill="E0F3EF" w:themeFill="accent1" w:themeFillTint="33"/>
        <w:tabs>
          <w:tab w:val="left" w:pos="0"/>
        </w:tabs>
        <w:spacing w:before="200" w:line="280" w:lineRule="exact"/>
        <w:ind w:left="0"/>
        <w:rPr>
          <w:rFonts w:eastAsia="Times New Roman"/>
          <w:b/>
          <w:bCs/>
          <w:i/>
          <w:iCs/>
          <w:sz w:val="21"/>
        </w:rPr>
      </w:pPr>
      <w:r w:rsidRPr="008214A1">
        <w:rPr>
          <w:rFonts w:eastAsia="Times New Roman"/>
          <w:b/>
          <w:bCs/>
          <w:i/>
          <w:iCs/>
          <w:sz w:val="21"/>
        </w:rPr>
        <w:t>Intermediate Outcomes:</w:t>
      </w:r>
    </w:p>
    <w:p w14:paraId="00C74E89" w14:textId="6D3A2628" w:rsidR="009E5792" w:rsidRPr="008214A1" w:rsidRDefault="00451410" w:rsidP="003E2C60">
      <w:pPr>
        <w:pStyle w:val="ListParagraph"/>
        <w:pBdr>
          <w:top w:val="single" w:sz="4" w:space="1" w:color="auto"/>
          <w:left w:val="single" w:sz="4" w:space="4" w:color="auto"/>
          <w:bottom w:val="single" w:sz="4" w:space="1" w:color="auto"/>
          <w:right w:val="single" w:sz="4" w:space="4" w:color="auto"/>
        </w:pBdr>
        <w:shd w:val="clear" w:color="auto" w:fill="E0F3EF" w:themeFill="accent1" w:themeFillTint="33"/>
        <w:tabs>
          <w:tab w:val="left" w:pos="0"/>
        </w:tabs>
        <w:spacing w:before="200" w:line="280" w:lineRule="exact"/>
        <w:ind w:left="0"/>
        <w:rPr>
          <w:rFonts w:eastAsia="Times New Roman"/>
          <w:sz w:val="21"/>
        </w:rPr>
      </w:pPr>
      <w:r w:rsidRPr="008214A1">
        <w:rPr>
          <w:rFonts w:eastAsia="Times New Roman"/>
          <w:sz w:val="21"/>
          <w:lang w:val="en-AU"/>
        </w:rPr>
        <w:t xml:space="preserve">3.1   </w:t>
      </w:r>
      <w:r w:rsidR="009E5792" w:rsidRPr="008214A1">
        <w:rPr>
          <w:rFonts w:eastAsia="Times New Roman"/>
          <w:sz w:val="21"/>
        </w:rPr>
        <w:t xml:space="preserve">AHP Partners </w:t>
      </w:r>
      <w:r w:rsidR="005819FB" w:rsidRPr="008214A1">
        <w:rPr>
          <w:rFonts w:eastAsia="Times New Roman"/>
          <w:sz w:val="21"/>
        </w:rPr>
        <w:t>learn</w:t>
      </w:r>
      <w:r w:rsidR="009E5792" w:rsidRPr="008214A1">
        <w:rPr>
          <w:rFonts w:eastAsia="Times New Roman"/>
          <w:sz w:val="21"/>
        </w:rPr>
        <w:t xml:space="preserve"> and adapt through reflection, </w:t>
      </w:r>
      <w:r w:rsidR="004D536C" w:rsidRPr="008214A1">
        <w:rPr>
          <w:rFonts w:eastAsia="Times New Roman"/>
          <w:sz w:val="21"/>
        </w:rPr>
        <w:t>MEL</w:t>
      </w:r>
      <w:r w:rsidR="009E5792" w:rsidRPr="008214A1">
        <w:rPr>
          <w:rFonts w:eastAsia="Times New Roman"/>
          <w:sz w:val="21"/>
        </w:rPr>
        <w:t xml:space="preserve"> and research</w:t>
      </w:r>
      <w:r w:rsidR="004359C4" w:rsidRPr="008214A1">
        <w:rPr>
          <w:rFonts w:eastAsia="Times New Roman"/>
          <w:sz w:val="21"/>
        </w:rPr>
        <w:t xml:space="preserve"> at an activity, </w:t>
      </w:r>
      <w:r w:rsidR="00064643" w:rsidRPr="008214A1">
        <w:rPr>
          <w:rFonts w:eastAsia="Times New Roman"/>
          <w:sz w:val="21"/>
        </w:rPr>
        <w:t>country,</w:t>
      </w:r>
      <w:r w:rsidR="004359C4" w:rsidRPr="008214A1">
        <w:rPr>
          <w:rFonts w:eastAsia="Times New Roman"/>
          <w:sz w:val="21"/>
        </w:rPr>
        <w:t xml:space="preserve"> and partnership level</w:t>
      </w:r>
      <w:r w:rsidR="009E5792" w:rsidRPr="008214A1">
        <w:rPr>
          <w:rFonts w:eastAsia="Times New Roman"/>
          <w:sz w:val="21"/>
        </w:rPr>
        <w:t>.</w:t>
      </w:r>
    </w:p>
    <w:p w14:paraId="458ECCA7" w14:textId="78C257F9" w:rsidR="004F51E7" w:rsidRPr="008214A1" w:rsidRDefault="004F51E7" w:rsidP="003E2C60">
      <w:pPr>
        <w:pStyle w:val="ListParagraph"/>
        <w:pBdr>
          <w:top w:val="single" w:sz="4" w:space="1" w:color="auto"/>
          <w:left w:val="single" w:sz="4" w:space="4" w:color="auto"/>
          <w:bottom w:val="single" w:sz="4" w:space="1" w:color="auto"/>
          <w:right w:val="single" w:sz="4" w:space="4" w:color="auto"/>
        </w:pBdr>
        <w:shd w:val="clear" w:color="auto" w:fill="E0F3EF" w:themeFill="accent1" w:themeFillTint="33"/>
        <w:tabs>
          <w:tab w:val="left" w:pos="0"/>
        </w:tabs>
        <w:spacing w:before="200" w:line="280" w:lineRule="exact"/>
        <w:ind w:left="0"/>
        <w:rPr>
          <w:rFonts w:eastAsia="Times New Roman"/>
          <w:sz w:val="21"/>
          <w:lang w:val="en-AU"/>
        </w:rPr>
      </w:pPr>
      <w:r w:rsidRPr="008214A1">
        <w:rPr>
          <w:rFonts w:eastAsia="Times New Roman"/>
          <w:sz w:val="21"/>
          <w:lang w:val="en-AU"/>
        </w:rPr>
        <w:t xml:space="preserve">3.2   </w:t>
      </w:r>
      <w:r w:rsidR="00F237DB" w:rsidRPr="008214A1">
        <w:rPr>
          <w:rFonts w:eastAsia="Times New Roman"/>
          <w:sz w:val="21"/>
          <w:lang w:val="en-AU"/>
        </w:rPr>
        <w:t>AHP partners enhance p</w:t>
      </w:r>
      <w:r w:rsidRPr="008214A1">
        <w:rPr>
          <w:rFonts w:eastAsia="Times New Roman"/>
          <w:sz w:val="21"/>
          <w:lang w:val="en-AU"/>
        </w:rPr>
        <w:t>rogram quality through joint activity in</w:t>
      </w:r>
      <w:r w:rsidR="00375B00" w:rsidRPr="008214A1">
        <w:rPr>
          <w:rFonts w:eastAsia="Times New Roman"/>
          <w:sz w:val="21"/>
          <w:lang w:val="en-AU"/>
        </w:rPr>
        <w:t xml:space="preserve"> </w:t>
      </w:r>
      <w:r w:rsidRPr="008214A1">
        <w:rPr>
          <w:rFonts w:eastAsia="Times New Roman"/>
          <w:sz w:val="21"/>
          <w:lang w:val="en-AU"/>
        </w:rPr>
        <w:t xml:space="preserve">key cross-cutting areas, including localisation, accountability to affected populations, </w:t>
      </w:r>
      <w:r w:rsidR="00065D57">
        <w:rPr>
          <w:rFonts w:eastAsia="Times New Roman"/>
          <w:sz w:val="21"/>
          <w:lang w:val="en-AU"/>
        </w:rPr>
        <w:t>and GEDSI</w:t>
      </w:r>
      <w:r w:rsidRPr="008214A1">
        <w:rPr>
          <w:rFonts w:eastAsia="Times New Roman"/>
          <w:sz w:val="21"/>
          <w:lang w:val="en-AU"/>
        </w:rPr>
        <w:t>.</w:t>
      </w:r>
    </w:p>
    <w:p w14:paraId="7D8633AD" w14:textId="77777777" w:rsidR="004F51E7" w:rsidRPr="008214A1" w:rsidRDefault="004F51E7" w:rsidP="003E2C60">
      <w:pPr>
        <w:pStyle w:val="ListParagraph"/>
        <w:pBdr>
          <w:top w:val="single" w:sz="4" w:space="1" w:color="auto"/>
          <w:left w:val="single" w:sz="4" w:space="4" w:color="auto"/>
          <w:bottom w:val="single" w:sz="4" w:space="1" w:color="auto"/>
          <w:right w:val="single" w:sz="4" w:space="4" w:color="auto"/>
        </w:pBdr>
        <w:shd w:val="clear" w:color="auto" w:fill="E0F3EF" w:themeFill="accent1" w:themeFillTint="33"/>
        <w:tabs>
          <w:tab w:val="left" w:pos="0"/>
        </w:tabs>
        <w:spacing w:before="200" w:line="280" w:lineRule="exact"/>
        <w:ind w:left="0"/>
        <w:rPr>
          <w:rFonts w:eastAsia="Times New Roman"/>
          <w:sz w:val="21"/>
          <w:lang w:val="en-AU"/>
        </w:rPr>
      </w:pPr>
      <w:r w:rsidRPr="008214A1">
        <w:rPr>
          <w:rFonts w:eastAsia="Times New Roman"/>
          <w:sz w:val="21"/>
          <w:lang w:val="en-AU"/>
        </w:rPr>
        <w:lastRenderedPageBreak/>
        <w:t xml:space="preserve">3.3   AHP partners (including DFAT and AHPSU) engage effectively with external stakeholders at country, regional and global levels. </w:t>
      </w:r>
    </w:p>
    <w:p w14:paraId="0DBF4C1A" w14:textId="142192BD" w:rsidR="00375B00" w:rsidRDefault="00CB535A" w:rsidP="003E2C60">
      <w:pPr>
        <w:pStyle w:val="ListParagraph"/>
        <w:tabs>
          <w:tab w:val="left" w:pos="284"/>
        </w:tabs>
        <w:suppressAutoHyphens w:val="0"/>
        <w:spacing w:before="200" w:after="0" w:line="280" w:lineRule="exact"/>
        <w:ind w:left="0"/>
        <w:contextualSpacing w:val="0"/>
        <w:rPr>
          <w:rFonts w:eastAsia="Times New Roman"/>
          <w:sz w:val="21"/>
        </w:rPr>
      </w:pPr>
      <w:r w:rsidRPr="00E93683">
        <w:rPr>
          <w:rFonts w:eastAsia="Times New Roman"/>
          <w:sz w:val="21"/>
        </w:rPr>
        <w:t xml:space="preserve">This </w:t>
      </w:r>
      <w:r w:rsidR="008560B3">
        <w:rPr>
          <w:rFonts w:eastAsia="Times New Roman"/>
          <w:sz w:val="21"/>
        </w:rPr>
        <w:t>EOPO</w:t>
      </w:r>
      <w:r w:rsidRPr="00E93683">
        <w:rPr>
          <w:rFonts w:eastAsia="Times New Roman"/>
          <w:sz w:val="21"/>
        </w:rPr>
        <w:t xml:space="preserve"> captures the value-add and contribution of the ‘</w:t>
      </w:r>
      <w:r w:rsidR="008C137F">
        <w:rPr>
          <w:rFonts w:eastAsia="Times New Roman"/>
          <w:sz w:val="21"/>
        </w:rPr>
        <w:t>P</w:t>
      </w:r>
      <w:r w:rsidRPr="00E93683">
        <w:rPr>
          <w:rFonts w:eastAsia="Times New Roman"/>
          <w:sz w:val="21"/>
        </w:rPr>
        <w:t xml:space="preserve">artnership’ approach to the investment. </w:t>
      </w:r>
      <w:r w:rsidR="004F51E7">
        <w:rPr>
          <w:rFonts w:eastAsia="Times New Roman"/>
          <w:sz w:val="21"/>
        </w:rPr>
        <w:t xml:space="preserve"> </w:t>
      </w:r>
      <w:r w:rsidR="00E20FA4">
        <w:rPr>
          <w:rFonts w:eastAsia="Times New Roman"/>
          <w:sz w:val="21"/>
        </w:rPr>
        <w:t xml:space="preserve">A key benefit of a collaborative approach to humanitarian preparedness and response, and </w:t>
      </w:r>
      <w:r w:rsidR="00E82317">
        <w:rPr>
          <w:rFonts w:eastAsia="Times New Roman"/>
          <w:sz w:val="21"/>
        </w:rPr>
        <w:t>of</w:t>
      </w:r>
      <w:r w:rsidR="00E20FA4">
        <w:rPr>
          <w:rFonts w:eastAsia="Times New Roman"/>
          <w:sz w:val="21"/>
        </w:rPr>
        <w:t xml:space="preserve"> collective governance and implementation arrangements</w:t>
      </w:r>
      <w:r w:rsidR="008B072F">
        <w:rPr>
          <w:rFonts w:eastAsia="Times New Roman"/>
          <w:sz w:val="21"/>
        </w:rPr>
        <w:t>,</w:t>
      </w:r>
      <w:r w:rsidR="00E82317">
        <w:rPr>
          <w:rFonts w:eastAsia="Times New Roman"/>
          <w:sz w:val="21"/>
        </w:rPr>
        <w:t xml:space="preserve"> </w:t>
      </w:r>
      <w:r w:rsidR="00E20FA4">
        <w:rPr>
          <w:rFonts w:eastAsia="Times New Roman"/>
          <w:sz w:val="21"/>
        </w:rPr>
        <w:t xml:space="preserve">is that the comparative advantage, </w:t>
      </w:r>
      <w:r w:rsidR="00F42876">
        <w:rPr>
          <w:rFonts w:eastAsia="Times New Roman"/>
          <w:sz w:val="21"/>
        </w:rPr>
        <w:t>expertise,</w:t>
      </w:r>
      <w:r w:rsidR="00E20FA4">
        <w:rPr>
          <w:rFonts w:eastAsia="Times New Roman"/>
          <w:sz w:val="21"/>
        </w:rPr>
        <w:t xml:space="preserve"> and experience of each ANGO and their local partners</w:t>
      </w:r>
      <w:r w:rsidR="00A27286">
        <w:rPr>
          <w:rFonts w:eastAsia="Times New Roman"/>
          <w:sz w:val="21"/>
        </w:rPr>
        <w:t xml:space="preserve"> </w:t>
      </w:r>
      <w:r w:rsidR="00E20FA4">
        <w:rPr>
          <w:rFonts w:eastAsia="Times New Roman"/>
          <w:sz w:val="21"/>
        </w:rPr>
        <w:t>is available to others</w:t>
      </w:r>
      <w:r w:rsidR="00375B00">
        <w:rPr>
          <w:rFonts w:eastAsia="Times New Roman"/>
          <w:sz w:val="21"/>
        </w:rPr>
        <w:t>.</w:t>
      </w:r>
      <w:r w:rsidR="00E20FA4">
        <w:rPr>
          <w:rFonts w:eastAsia="Times New Roman"/>
          <w:sz w:val="21"/>
        </w:rPr>
        <w:t xml:space="preserve"> </w:t>
      </w:r>
      <w:r w:rsidR="00E82317">
        <w:rPr>
          <w:rFonts w:eastAsia="Times New Roman"/>
          <w:sz w:val="21"/>
        </w:rPr>
        <w:t>This is particularly the case at county level for Disaster READY countries,</w:t>
      </w:r>
      <w:r w:rsidR="001C1256">
        <w:rPr>
          <w:rFonts w:eastAsia="Times New Roman"/>
          <w:sz w:val="21"/>
        </w:rPr>
        <w:t xml:space="preserve"> where ANGOs are funded for both preparedness and response. </w:t>
      </w:r>
      <w:r w:rsidR="00E82317">
        <w:rPr>
          <w:rFonts w:eastAsia="Times New Roman"/>
          <w:sz w:val="21"/>
        </w:rPr>
        <w:t xml:space="preserve"> </w:t>
      </w:r>
      <w:r w:rsidR="00375B00">
        <w:rPr>
          <w:rFonts w:eastAsia="Times New Roman"/>
          <w:sz w:val="21"/>
        </w:rPr>
        <w:t>Further, this EOPO recognises that this</w:t>
      </w:r>
      <w:r w:rsidR="00E20FA4">
        <w:rPr>
          <w:rFonts w:eastAsia="Times New Roman"/>
          <w:sz w:val="21"/>
        </w:rPr>
        <w:t xml:space="preserve"> investment complements </w:t>
      </w:r>
      <w:r w:rsidR="00375B00">
        <w:rPr>
          <w:rFonts w:eastAsia="Times New Roman"/>
          <w:sz w:val="21"/>
        </w:rPr>
        <w:t xml:space="preserve">Australia’s </w:t>
      </w:r>
      <w:r w:rsidR="00E20FA4">
        <w:rPr>
          <w:rFonts w:eastAsia="Times New Roman"/>
          <w:sz w:val="21"/>
        </w:rPr>
        <w:t>other investments with regional bodies, the UN system and partner governments</w:t>
      </w:r>
      <w:r w:rsidR="00375B00">
        <w:rPr>
          <w:rFonts w:eastAsia="Times New Roman"/>
          <w:sz w:val="21"/>
        </w:rPr>
        <w:t xml:space="preserve">. </w:t>
      </w:r>
      <w:r w:rsidR="00E20FA4">
        <w:rPr>
          <w:rFonts w:eastAsia="Times New Roman"/>
          <w:sz w:val="21"/>
        </w:rPr>
        <w:t xml:space="preserve">This EOPO provides an opportunity to analyse and understand the broader benefits of the </w:t>
      </w:r>
      <w:r w:rsidR="008C137F">
        <w:rPr>
          <w:rFonts w:eastAsia="Times New Roman"/>
          <w:sz w:val="21"/>
        </w:rPr>
        <w:t>P</w:t>
      </w:r>
      <w:r w:rsidR="00E20FA4">
        <w:rPr>
          <w:rFonts w:eastAsia="Times New Roman"/>
          <w:sz w:val="21"/>
        </w:rPr>
        <w:t xml:space="preserve">artnership, and to assess how it has influenced and supported </w:t>
      </w:r>
      <w:r w:rsidR="00C819E2">
        <w:rPr>
          <w:rFonts w:eastAsia="Times New Roman"/>
          <w:sz w:val="21"/>
        </w:rPr>
        <w:t xml:space="preserve">other DFAT investments and </w:t>
      </w:r>
      <w:r w:rsidR="00375B00">
        <w:rPr>
          <w:rFonts w:eastAsia="Times New Roman"/>
          <w:sz w:val="21"/>
        </w:rPr>
        <w:t xml:space="preserve">the </w:t>
      </w:r>
      <w:r w:rsidR="00E20FA4">
        <w:rPr>
          <w:rFonts w:eastAsia="Times New Roman"/>
          <w:sz w:val="21"/>
        </w:rPr>
        <w:t xml:space="preserve">broader humanitarian system at country and regional levels. </w:t>
      </w:r>
    </w:p>
    <w:p w14:paraId="08B4E380" w14:textId="4808FF9F" w:rsidR="00CB535A" w:rsidRDefault="00E20FA4" w:rsidP="003E2C60">
      <w:pPr>
        <w:pStyle w:val="ListParagraph"/>
        <w:tabs>
          <w:tab w:val="left" w:pos="284"/>
        </w:tabs>
        <w:suppressAutoHyphens w:val="0"/>
        <w:spacing w:before="200" w:after="0" w:line="280" w:lineRule="exact"/>
        <w:ind w:left="0"/>
        <w:contextualSpacing w:val="0"/>
        <w:rPr>
          <w:rFonts w:eastAsia="Times New Roman"/>
          <w:sz w:val="21"/>
        </w:rPr>
      </w:pPr>
      <w:r>
        <w:rPr>
          <w:rFonts w:eastAsia="Times New Roman"/>
          <w:sz w:val="21"/>
        </w:rPr>
        <w:t>The intermediate outcomes reflect the three key strategies and resources required to achieve these broader benefits: shared approaches to MEL which emphasise adaptation</w:t>
      </w:r>
      <w:r w:rsidR="001E3E09">
        <w:rPr>
          <w:rFonts w:eastAsia="Times New Roman"/>
          <w:sz w:val="21"/>
        </w:rPr>
        <w:t>,</w:t>
      </w:r>
      <w:r>
        <w:rPr>
          <w:rFonts w:eastAsia="Times New Roman"/>
          <w:sz w:val="21"/>
        </w:rPr>
        <w:t xml:space="preserve"> country specific and locally driven responses</w:t>
      </w:r>
      <w:r w:rsidR="00B821F5">
        <w:rPr>
          <w:rFonts w:eastAsia="Times New Roman"/>
          <w:sz w:val="21"/>
        </w:rPr>
        <w:t xml:space="preserve">; </w:t>
      </w:r>
      <w:r>
        <w:rPr>
          <w:rFonts w:eastAsia="Times New Roman"/>
          <w:sz w:val="21"/>
        </w:rPr>
        <w:t>joint activity in cross-cutting themes which</w:t>
      </w:r>
      <w:r w:rsidR="004F2A76">
        <w:rPr>
          <w:rFonts w:eastAsia="Times New Roman"/>
          <w:sz w:val="21"/>
        </w:rPr>
        <w:t xml:space="preserve"> are</w:t>
      </w:r>
      <w:r>
        <w:rPr>
          <w:rFonts w:eastAsia="Times New Roman"/>
          <w:sz w:val="21"/>
        </w:rPr>
        <w:t xml:space="preserve"> relevant to the quality of all ANGO </w:t>
      </w:r>
      <w:r w:rsidRPr="003E2C60">
        <w:rPr>
          <w:rFonts w:eastAsia="Times New Roman" w:cs="Times New Roman"/>
          <w:sz w:val="21"/>
          <w:szCs w:val="24"/>
          <w:lang w:val="en-AU"/>
        </w:rPr>
        <w:t>programs</w:t>
      </w:r>
      <w:r w:rsidR="00B821F5">
        <w:rPr>
          <w:rFonts w:eastAsia="Times New Roman"/>
          <w:sz w:val="21"/>
        </w:rPr>
        <w:t>;</w:t>
      </w:r>
      <w:r>
        <w:rPr>
          <w:rFonts w:eastAsia="Times New Roman"/>
          <w:sz w:val="21"/>
        </w:rPr>
        <w:t xml:space="preserve"> and effective external stakeholder engagement, including communications and public diplomacy. Detailed operational arrangements and budget allocation for these activities is included under Implementation Arrangements.</w:t>
      </w:r>
    </w:p>
    <w:p w14:paraId="6A8B0334" w14:textId="1D7374E8" w:rsidR="00B13AD6" w:rsidRDefault="00B13AD6" w:rsidP="005B092D">
      <w:pPr>
        <w:pStyle w:val="ListParagraph"/>
        <w:numPr>
          <w:ilvl w:val="0"/>
          <w:numId w:val="12"/>
        </w:numPr>
        <w:tabs>
          <w:tab w:val="left" w:pos="284"/>
        </w:tabs>
        <w:suppressAutoHyphens w:val="0"/>
        <w:spacing w:before="200" w:after="0" w:line="280" w:lineRule="exact"/>
        <w:ind w:left="0" w:firstLine="0"/>
        <w:contextualSpacing w:val="0"/>
        <w:rPr>
          <w:rFonts w:eastAsia="Times New Roman"/>
          <w:sz w:val="21"/>
        </w:rPr>
      </w:pPr>
      <w:r>
        <w:rPr>
          <w:rFonts w:eastAsia="Times New Roman"/>
          <w:sz w:val="21"/>
        </w:rPr>
        <w:t>Program-wide Outputs for each of the components are outlined in the Program Logic</w:t>
      </w:r>
      <w:r w:rsidR="00B821F5">
        <w:rPr>
          <w:rFonts w:eastAsia="Times New Roman"/>
          <w:sz w:val="21"/>
        </w:rPr>
        <w:t xml:space="preserve"> at Annex 1 and in Implementation </w:t>
      </w:r>
      <w:r w:rsidR="00F42876">
        <w:rPr>
          <w:rFonts w:eastAsia="Times New Roman"/>
          <w:sz w:val="21"/>
        </w:rPr>
        <w:t>Arrangements and</w:t>
      </w:r>
      <w:r>
        <w:rPr>
          <w:rFonts w:eastAsia="Times New Roman"/>
          <w:sz w:val="21"/>
        </w:rPr>
        <w:t xml:space="preserve"> reflect the key deliverables to be implemented by Partners, </w:t>
      </w:r>
      <w:r w:rsidR="00F42876">
        <w:rPr>
          <w:rFonts w:eastAsia="Times New Roman"/>
          <w:sz w:val="21"/>
        </w:rPr>
        <w:t>coordinated,</w:t>
      </w:r>
      <w:r>
        <w:rPr>
          <w:rFonts w:eastAsia="Times New Roman"/>
          <w:sz w:val="21"/>
        </w:rPr>
        <w:t xml:space="preserve"> and reported by the AHP Support Unit.</w:t>
      </w:r>
    </w:p>
    <w:p w14:paraId="7B057205" w14:textId="2B6286C4" w:rsidR="00EE71F5" w:rsidRPr="00851A62" w:rsidRDefault="00EE71F5" w:rsidP="00E93683">
      <w:pPr>
        <w:spacing w:before="200" w:after="0"/>
        <w:outlineLvl w:val="1"/>
        <w:rPr>
          <w:i/>
          <w:iCs/>
        </w:rPr>
      </w:pPr>
      <w:bookmarkStart w:id="26" w:name="_Toc101521653"/>
      <w:r w:rsidRPr="00851A62">
        <w:rPr>
          <w:i/>
          <w:iCs/>
        </w:rPr>
        <w:t>Delivery Approach</w:t>
      </w:r>
      <w:bookmarkEnd w:id="26"/>
    </w:p>
    <w:p w14:paraId="26398FC1" w14:textId="37141AA9" w:rsidR="00EE71F5" w:rsidRDefault="009140E8" w:rsidP="009140E8">
      <w:pPr>
        <w:pStyle w:val="ListParagraph"/>
        <w:numPr>
          <w:ilvl w:val="0"/>
          <w:numId w:val="12"/>
        </w:numPr>
        <w:tabs>
          <w:tab w:val="left" w:pos="284"/>
        </w:tabs>
        <w:suppressAutoHyphens w:val="0"/>
        <w:spacing w:before="200" w:after="0" w:line="280" w:lineRule="exact"/>
        <w:ind w:left="0" w:firstLine="0"/>
        <w:contextualSpacing w:val="0"/>
        <w:rPr>
          <w:rFonts w:eastAsia="Times New Roman" w:cs="Times New Roman"/>
          <w:sz w:val="21"/>
          <w:szCs w:val="24"/>
          <w:lang w:val="en-AU"/>
        </w:rPr>
      </w:pPr>
      <w:r>
        <w:rPr>
          <w:rFonts w:eastAsia="Times New Roman" w:cs="Times New Roman"/>
          <w:sz w:val="21"/>
          <w:szCs w:val="24"/>
          <w:lang w:val="en-AU"/>
        </w:rPr>
        <w:t xml:space="preserve">The program </w:t>
      </w:r>
      <w:r w:rsidR="001E3E09">
        <w:rPr>
          <w:rFonts w:eastAsia="Times New Roman" w:cs="Times New Roman"/>
          <w:sz w:val="21"/>
          <w:szCs w:val="24"/>
          <w:lang w:val="en-AU"/>
        </w:rPr>
        <w:t>has</w:t>
      </w:r>
      <w:r>
        <w:rPr>
          <w:rFonts w:eastAsia="Times New Roman" w:cs="Times New Roman"/>
          <w:sz w:val="21"/>
          <w:szCs w:val="24"/>
          <w:lang w:val="en-AU"/>
        </w:rPr>
        <w:t xml:space="preserve"> three </w:t>
      </w:r>
      <w:r w:rsidR="00712401">
        <w:rPr>
          <w:rFonts w:eastAsia="Times New Roman" w:cs="Times New Roman"/>
          <w:sz w:val="21"/>
          <w:szCs w:val="24"/>
          <w:lang w:val="en-AU"/>
        </w:rPr>
        <w:t>delivery mechanisms</w:t>
      </w:r>
      <w:r w:rsidR="001E3E09">
        <w:rPr>
          <w:rFonts w:eastAsia="Times New Roman" w:cs="Times New Roman"/>
          <w:sz w:val="21"/>
          <w:szCs w:val="24"/>
          <w:lang w:val="en-AU"/>
        </w:rPr>
        <w:t xml:space="preserve"> consistent with </w:t>
      </w:r>
      <w:r w:rsidR="00406F84">
        <w:rPr>
          <w:rFonts w:eastAsia="Times New Roman" w:cs="Times New Roman"/>
          <w:sz w:val="21"/>
          <w:szCs w:val="24"/>
          <w:lang w:val="en-AU"/>
        </w:rPr>
        <w:t>Phase I</w:t>
      </w:r>
      <w:r w:rsidR="008A5004">
        <w:rPr>
          <w:rFonts w:eastAsia="Times New Roman" w:cs="Times New Roman"/>
          <w:sz w:val="21"/>
          <w:szCs w:val="24"/>
          <w:lang w:val="en-AU"/>
        </w:rPr>
        <w:t>.</w:t>
      </w:r>
      <w:r w:rsidR="008A5004" w:rsidRPr="008A5004">
        <w:rPr>
          <w:rFonts w:eastAsia="Times New Roman" w:cs="Times New Roman"/>
          <w:sz w:val="21"/>
          <w:szCs w:val="24"/>
          <w:lang w:val="en-AU"/>
        </w:rPr>
        <w:t xml:space="preserve"> </w:t>
      </w:r>
      <w:r w:rsidR="008A5004">
        <w:rPr>
          <w:rFonts w:eastAsia="Times New Roman" w:cs="Times New Roman"/>
          <w:sz w:val="21"/>
          <w:szCs w:val="24"/>
          <w:lang w:val="en-AU"/>
        </w:rPr>
        <w:t xml:space="preserve">The MTE found these mechanisms </w:t>
      </w:r>
      <w:r w:rsidR="008A5004" w:rsidRPr="00840028">
        <w:rPr>
          <w:rFonts w:eastAsia="Times New Roman" w:cs="Times New Roman"/>
          <w:sz w:val="21"/>
          <w:szCs w:val="24"/>
          <w:lang w:val="en-AU"/>
        </w:rPr>
        <w:t>made relevant and effective use of Australian funding</w:t>
      </w:r>
      <w:r w:rsidR="008A5004">
        <w:rPr>
          <w:rFonts w:eastAsia="Times New Roman" w:cs="Times New Roman"/>
          <w:sz w:val="21"/>
          <w:szCs w:val="24"/>
          <w:lang w:val="en-AU"/>
        </w:rPr>
        <w:t>,</w:t>
      </w:r>
      <w:r w:rsidR="008A5004" w:rsidRPr="00840028">
        <w:rPr>
          <w:rFonts w:eastAsia="Times New Roman" w:cs="Times New Roman"/>
          <w:sz w:val="21"/>
          <w:szCs w:val="24"/>
          <w:lang w:val="en-AU"/>
        </w:rPr>
        <w:t xml:space="preserve"> </w:t>
      </w:r>
      <w:r w:rsidR="008A5004" w:rsidRPr="00091696">
        <w:rPr>
          <w:rFonts w:eastAsia="Times New Roman" w:cs="Times New Roman"/>
          <w:sz w:val="21"/>
          <w:szCs w:val="24"/>
          <w:lang w:val="en-AU"/>
        </w:rPr>
        <w:t>enable</w:t>
      </w:r>
      <w:r w:rsidR="008A5004">
        <w:rPr>
          <w:rFonts w:eastAsia="Times New Roman" w:cs="Times New Roman"/>
          <w:sz w:val="21"/>
          <w:szCs w:val="24"/>
          <w:lang w:val="en-AU"/>
        </w:rPr>
        <w:t>d</w:t>
      </w:r>
      <w:r w:rsidR="008A5004" w:rsidRPr="00091696">
        <w:rPr>
          <w:rFonts w:eastAsia="Times New Roman" w:cs="Times New Roman"/>
          <w:sz w:val="21"/>
          <w:szCs w:val="24"/>
          <w:lang w:val="en-AU"/>
        </w:rPr>
        <w:t xml:space="preserve"> Australia to address the needs of affected populations in rapid and slow onset disasters</w:t>
      </w:r>
      <w:r w:rsidR="008A5004">
        <w:rPr>
          <w:rFonts w:eastAsia="Times New Roman" w:cs="Times New Roman"/>
          <w:sz w:val="21"/>
          <w:szCs w:val="24"/>
          <w:lang w:val="en-AU"/>
        </w:rPr>
        <w:t xml:space="preserve">, and were </w:t>
      </w:r>
      <w:r w:rsidR="00EE5A52">
        <w:rPr>
          <w:rFonts w:eastAsia="Times New Roman" w:cs="Times New Roman"/>
          <w:sz w:val="21"/>
          <w:szCs w:val="24"/>
          <w:lang w:val="en-AU"/>
        </w:rPr>
        <w:t xml:space="preserve">generally </w:t>
      </w:r>
      <w:r w:rsidR="008A5004" w:rsidRPr="00840028">
        <w:rPr>
          <w:rFonts w:eastAsia="Times New Roman" w:cs="Times New Roman"/>
          <w:sz w:val="21"/>
          <w:szCs w:val="24"/>
          <w:lang w:val="en-AU"/>
        </w:rPr>
        <w:t>efficient</w:t>
      </w:r>
      <w:r w:rsidR="008A5004">
        <w:rPr>
          <w:rFonts w:eastAsia="Times New Roman" w:cs="Times New Roman"/>
          <w:sz w:val="21"/>
          <w:szCs w:val="24"/>
          <w:lang w:val="en-AU"/>
        </w:rPr>
        <w:t>.</w:t>
      </w:r>
    </w:p>
    <w:p w14:paraId="6598B819" w14:textId="1620CED8" w:rsidR="007D7CC1" w:rsidRPr="007E3CDC" w:rsidRDefault="00EE71F5" w:rsidP="003E2C60">
      <w:pPr>
        <w:pStyle w:val="ListParagraph"/>
        <w:tabs>
          <w:tab w:val="left" w:pos="0"/>
        </w:tabs>
        <w:suppressAutoHyphens w:val="0"/>
        <w:spacing w:before="200" w:after="0" w:line="280" w:lineRule="exact"/>
        <w:ind w:left="0"/>
        <w:contextualSpacing w:val="0"/>
        <w:rPr>
          <w:rFonts w:eastAsia="Times New Roman" w:cs="Times New Roman"/>
          <w:b/>
          <w:bCs/>
          <w:i/>
          <w:iCs/>
          <w:sz w:val="21"/>
          <w:szCs w:val="21"/>
          <w:lang w:val="en-AU"/>
        </w:rPr>
      </w:pPr>
      <w:r w:rsidRPr="00EE71F5">
        <w:rPr>
          <w:b/>
          <w:bCs/>
          <w:i/>
          <w:iCs/>
          <w:sz w:val="21"/>
          <w:szCs w:val="21"/>
          <w:lang w:val="en-AU"/>
        </w:rPr>
        <w:t>1. ANGOs and their local partners plan, implement and adapt humanitarian programs in accordance with international</w:t>
      </w:r>
      <w:r w:rsidR="001E3E09">
        <w:rPr>
          <w:b/>
          <w:bCs/>
          <w:i/>
          <w:iCs/>
          <w:sz w:val="21"/>
          <w:szCs w:val="21"/>
          <w:lang w:val="en-AU"/>
        </w:rPr>
        <w:t xml:space="preserve"> humanitarian standards, DFAT policy and agreed </w:t>
      </w:r>
      <w:r w:rsidR="00070348">
        <w:rPr>
          <w:b/>
          <w:bCs/>
          <w:i/>
          <w:iCs/>
          <w:sz w:val="21"/>
          <w:szCs w:val="21"/>
          <w:lang w:val="en-AU"/>
        </w:rPr>
        <w:t>MEL</w:t>
      </w:r>
      <w:r w:rsidRPr="00EE71F5">
        <w:rPr>
          <w:b/>
          <w:bCs/>
          <w:i/>
          <w:iCs/>
          <w:sz w:val="21"/>
          <w:szCs w:val="21"/>
          <w:lang w:val="en-AU"/>
        </w:rPr>
        <w:t xml:space="preserve"> standards</w:t>
      </w:r>
      <w:r w:rsidRPr="007E3CDC">
        <w:rPr>
          <w:b/>
          <w:bCs/>
          <w:i/>
          <w:iCs/>
          <w:sz w:val="21"/>
          <w:szCs w:val="21"/>
          <w:lang w:val="en-AU"/>
        </w:rPr>
        <w:t>.</w:t>
      </w:r>
    </w:p>
    <w:p w14:paraId="35B28E3A" w14:textId="3D57F5D8" w:rsidR="00FE7DB4" w:rsidRDefault="002A7842" w:rsidP="003E2C60">
      <w:pPr>
        <w:pStyle w:val="ListParagraph"/>
        <w:tabs>
          <w:tab w:val="left" w:pos="284"/>
        </w:tabs>
        <w:suppressAutoHyphens w:val="0"/>
        <w:spacing w:before="200" w:after="0" w:line="280" w:lineRule="exact"/>
        <w:ind w:left="0"/>
        <w:contextualSpacing w:val="0"/>
        <w:rPr>
          <w:rFonts w:eastAsia="Times New Roman" w:cs="Times New Roman"/>
          <w:sz w:val="21"/>
          <w:szCs w:val="24"/>
          <w:lang w:val="en-AU"/>
        </w:rPr>
      </w:pPr>
      <w:r>
        <w:rPr>
          <w:rFonts w:eastAsia="Times New Roman" w:cs="Times New Roman"/>
          <w:sz w:val="21"/>
          <w:szCs w:val="24"/>
          <w:lang w:val="en-AU"/>
        </w:rPr>
        <w:t>For Disaster READY, DFAT will allocate funding equally amongst the six ANGO</w:t>
      </w:r>
      <w:r w:rsidR="00B821F5">
        <w:rPr>
          <w:rFonts w:eastAsia="Times New Roman" w:cs="Times New Roman"/>
          <w:sz w:val="21"/>
          <w:szCs w:val="24"/>
          <w:lang w:val="en-AU"/>
        </w:rPr>
        <w:t>s</w:t>
      </w:r>
      <w:r>
        <w:rPr>
          <w:rFonts w:eastAsia="Times New Roman" w:cs="Times New Roman"/>
          <w:sz w:val="21"/>
          <w:szCs w:val="24"/>
          <w:lang w:val="en-AU"/>
        </w:rPr>
        <w:t xml:space="preserve">, and each ANGO will allocate funds to eligible countries </w:t>
      </w:r>
      <w:r w:rsidR="00F42876">
        <w:rPr>
          <w:rFonts w:eastAsia="Times New Roman" w:cs="Times New Roman"/>
          <w:sz w:val="21"/>
          <w:szCs w:val="24"/>
          <w:lang w:val="en-AU"/>
        </w:rPr>
        <w:t>based on</w:t>
      </w:r>
      <w:r>
        <w:rPr>
          <w:rFonts w:eastAsia="Times New Roman" w:cs="Times New Roman"/>
          <w:sz w:val="21"/>
          <w:szCs w:val="24"/>
          <w:lang w:val="en-AU"/>
        </w:rPr>
        <w:t xml:space="preserve"> their footprint, capacity of local partners and prioritised needs. For rapid onset and protracted crisis, ANGOs will receive funding for activities </w:t>
      </w:r>
      <w:r w:rsidR="00F42876">
        <w:rPr>
          <w:rFonts w:eastAsia="Times New Roman" w:cs="Times New Roman"/>
          <w:sz w:val="21"/>
          <w:szCs w:val="24"/>
          <w:lang w:val="en-AU"/>
        </w:rPr>
        <w:t>based on</w:t>
      </w:r>
      <w:r>
        <w:rPr>
          <w:rFonts w:eastAsia="Times New Roman" w:cs="Times New Roman"/>
          <w:sz w:val="21"/>
          <w:szCs w:val="24"/>
          <w:lang w:val="en-AU"/>
        </w:rPr>
        <w:t xml:space="preserve"> a collaborative or competitive selection process, </w:t>
      </w:r>
      <w:r w:rsidR="00C11975">
        <w:rPr>
          <w:rFonts w:eastAsia="Times New Roman" w:cs="Times New Roman"/>
          <w:sz w:val="21"/>
          <w:szCs w:val="24"/>
          <w:lang w:val="en-AU"/>
        </w:rPr>
        <w:t xml:space="preserve">as </w:t>
      </w:r>
      <w:r>
        <w:rPr>
          <w:rFonts w:eastAsia="Times New Roman" w:cs="Times New Roman"/>
          <w:sz w:val="21"/>
          <w:szCs w:val="24"/>
          <w:lang w:val="en-AU"/>
        </w:rPr>
        <w:t xml:space="preserve">described under Implementation </w:t>
      </w:r>
      <w:r w:rsidR="00A27286">
        <w:rPr>
          <w:rFonts w:eastAsia="Times New Roman" w:cs="Times New Roman"/>
          <w:sz w:val="21"/>
          <w:szCs w:val="24"/>
          <w:lang w:val="en-AU"/>
        </w:rPr>
        <w:t>A</w:t>
      </w:r>
      <w:r>
        <w:rPr>
          <w:rFonts w:eastAsia="Times New Roman" w:cs="Times New Roman"/>
          <w:sz w:val="21"/>
          <w:szCs w:val="24"/>
          <w:lang w:val="en-AU"/>
        </w:rPr>
        <w:t xml:space="preserve">rrangements. ANGOs will be responsible for planning, financial and contractual obligations, capacity </w:t>
      </w:r>
      <w:r w:rsidR="00C11975">
        <w:rPr>
          <w:rFonts w:eastAsia="Times New Roman" w:cs="Times New Roman"/>
          <w:sz w:val="21"/>
          <w:szCs w:val="24"/>
          <w:lang w:val="en-AU"/>
        </w:rPr>
        <w:t xml:space="preserve">enhancement </w:t>
      </w:r>
      <w:r>
        <w:rPr>
          <w:rFonts w:eastAsia="Times New Roman" w:cs="Times New Roman"/>
          <w:sz w:val="21"/>
          <w:szCs w:val="24"/>
          <w:lang w:val="en-AU"/>
        </w:rPr>
        <w:t xml:space="preserve">of local partners, </w:t>
      </w:r>
      <w:r w:rsidR="00EB3557">
        <w:rPr>
          <w:rFonts w:eastAsia="Times New Roman" w:cs="Times New Roman"/>
          <w:sz w:val="21"/>
          <w:szCs w:val="24"/>
          <w:lang w:val="en-AU"/>
        </w:rPr>
        <w:t>MEL</w:t>
      </w:r>
      <w:r w:rsidR="00712401">
        <w:rPr>
          <w:rFonts w:eastAsia="Times New Roman" w:cs="Times New Roman"/>
          <w:sz w:val="21"/>
          <w:szCs w:val="24"/>
          <w:lang w:val="en-AU"/>
        </w:rPr>
        <w:t xml:space="preserve">, </w:t>
      </w:r>
      <w:r w:rsidR="00F42876">
        <w:rPr>
          <w:rFonts w:eastAsia="Times New Roman" w:cs="Times New Roman"/>
          <w:sz w:val="21"/>
          <w:szCs w:val="24"/>
          <w:lang w:val="en-AU"/>
        </w:rPr>
        <w:t>reporting,</w:t>
      </w:r>
      <w:r>
        <w:rPr>
          <w:rFonts w:eastAsia="Times New Roman" w:cs="Times New Roman"/>
          <w:sz w:val="21"/>
          <w:szCs w:val="24"/>
          <w:lang w:val="en-AU"/>
        </w:rPr>
        <w:t xml:space="preserve"> and risk management related to their</w:t>
      </w:r>
      <w:r w:rsidR="00712401">
        <w:rPr>
          <w:rFonts w:eastAsia="Times New Roman" w:cs="Times New Roman"/>
          <w:sz w:val="21"/>
          <w:szCs w:val="24"/>
          <w:lang w:val="en-AU"/>
        </w:rPr>
        <w:t xml:space="preserve"> approved</w:t>
      </w:r>
      <w:r>
        <w:rPr>
          <w:rFonts w:eastAsia="Times New Roman" w:cs="Times New Roman"/>
          <w:sz w:val="21"/>
          <w:szCs w:val="24"/>
          <w:lang w:val="en-AU"/>
        </w:rPr>
        <w:t xml:space="preserve"> activities and funding. </w:t>
      </w:r>
    </w:p>
    <w:p w14:paraId="0C62F081" w14:textId="5247789E" w:rsidR="002A7842" w:rsidRDefault="002A7842" w:rsidP="003E2C60">
      <w:pPr>
        <w:pStyle w:val="ListParagraph"/>
        <w:tabs>
          <w:tab w:val="left" w:pos="0"/>
        </w:tabs>
        <w:suppressAutoHyphens w:val="0"/>
        <w:spacing w:before="200" w:after="0" w:line="280" w:lineRule="exact"/>
        <w:ind w:left="0"/>
        <w:contextualSpacing w:val="0"/>
        <w:rPr>
          <w:rFonts w:eastAsia="Times New Roman" w:cs="Times New Roman"/>
          <w:b/>
          <w:bCs/>
          <w:i/>
          <w:iCs/>
          <w:sz w:val="21"/>
          <w:szCs w:val="24"/>
          <w:lang w:val="en-AU"/>
        </w:rPr>
      </w:pPr>
      <w:r w:rsidRPr="002A7842">
        <w:rPr>
          <w:rFonts w:eastAsia="Times New Roman" w:cs="Times New Roman"/>
          <w:b/>
          <w:bCs/>
          <w:i/>
          <w:iCs/>
          <w:sz w:val="21"/>
          <w:szCs w:val="24"/>
          <w:lang w:val="en-AU"/>
        </w:rPr>
        <w:t xml:space="preserve">2. The </w:t>
      </w:r>
      <w:r w:rsidR="00DA034D" w:rsidRPr="003E2C60">
        <w:rPr>
          <w:b/>
          <w:bCs/>
          <w:i/>
          <w:iCs/>
          <w:sz w:val="21"/>
          <w:szCs w:val="21"/>
          <w:lang w:val="en-AU"/>
        </w:rPr>
        <w:t>AHPSU</w:t>
      </w:r>
      <w:r w:rsidRPr="002A7842">
        <w:rPr>
          <w:rFonts w:eastAsia="Times New Roman" w:cs="Times New Roman"/>
          <w:b/>
          <w:bCs/>
          <w:i/>
          <w:iCs/>
          <w:sz w:val="21"/>
          <w:szCs w:val="24"/>
          <w:lang w:val="en-AU"/>
        </w:rPr>
        <w:t xml:space="preserve"> facilitates coordination, communication and learning between DFAT, ANGOs and other stakeholders to promote overall program quality, </w:t>
      </w:r>
      <w:r w:rsidR="00F42876" w:rsidRPr="002A7842">
        <w:rPr>
          <w:rFonts w:eastAsia="Times New Roman" w:cs="Times New Roman"/>
          <w:b/>
          <w:bCs/>
          <w:i/>
          <w:iCs/>
          <w:sz w:val="21"/>
          <w:szCs w:val="24"/>
          <w:lang w:val="en-AU"/>
        </w:rPr>
        <w:t>compliance,</w:t>
      </w:r>
      <w:r w:rsidRPr="002A7842">
        <w:rPr>
          <w:rFonts w:eastAsia="Times New Roman" w:cs="Times New Roman"/>
          <w:b/>
          <w:bCs/>
          <w:i/>
          <w:iCs/>
          <w:sz w:val="21"/>
          <w:szCs w:val="24"/>
          <w:lang w:val="en-AU"/>
        </w:rPr>
        <w:t xml:space="preserve"> and collaboration. </w:t>
      </w:r>
    </w:p>
    <w:p w14:paraId="4E258795" w14:textId="7D8C6D2D" w:rsidR="00E10B35" w:rsidRDefault="003143DC" w:rsidP="00E10B35">
      <w:pPr>
        <w:pStyle w:val="ListParagraph"/>
        <w:tabs>
          <w:tab w:val="left" w:pos="284"/>
        </w:tabs>
        <w:suppressAutoHyphens w:val="0"/>
        <w:spacing w:before="200" w:after="0" w:line="280" w:lineRule="exact"/>
        <w:ind w:left="0"/>
        <w:contextualSpacing w:val="0"/>
        <w:rPr>
          <w:rFonts w:eastAsia="Times New Roman" w:cs="Times New Roman"/>
          <w:sz w:val="21"/>
          <w:szCs w:val="24"/>
          <w:lang w:val="en-AU"/>
        </w:rPr>
      </w:pPr>
      <w:r>
        <w:rPr>
          <w:rFonts w:eastAsia="Times New Roman" w:cs="Times New Roman"/>
          <w:sz w:val="21"/>
          <w:szCs w:val="24"/>
          <w:lang w:val="en-AU"/>
        </w:rPr>
        <w:t xml:space="preserve">The MTE </w:t>
      </w:r>
      <w:r w:rsidR="00EE5A52" w:rsidRPr="00952518">
        <w:rPr>
          <w:rFonts w:eastAsia="Times New Roman" w:cs="Times New Roman"/>
          <w:sz w:val="21"/>
          <w:szCs w:val="24"/>
          <w:lang w:val="en-AU"/>
        </w:rPr>
        <w:t xml:space="preserve">found that </w:t>
      </w:r>
      <w:r w:rsidR="00EE5A52">
        <w:rPr>
          <w:rFonts w:eastAsia="Times New Roman" w:cs="Times New Roman"/>
          <w:sz w:val="21"/>
          <w:szCs w:val="24"/>
          <w:lang w:val="en-AU"/>
        </w:rPr>
        <w:t xml:space="preserve">having a contracted AHPSU to act as a ‘facilitator’ and ‘enabler’ </w:t>
      </w:r>
      <w:r w:rsidR="00EE5A52" w:rsidRPr="005B092D">
        <w:rPr>
          <w:rFonts w:eastAsia="Times New Roman" w:cs="Times New Roman"/>
          <w:sz w:val="21"/>
          <w:szCs w:val="24"/>
          <w:lang w:val="en-AU"/>
        </w:rPr>
        <w:t>add</w:t>
      </w:r>
      <w:r w:rsidR="00EE5A52" w:rsidRPr="00952518">
        <w:rPr>
          <w:rFonts w:eastAsia="Times New Roman" w:cs="Times New Roman"/>
          <w:sz w:val="21"/>
          <w:szCs w:val="24"/>
          <w:lang w:val="en-AU"/>
        </w:rPr>
        <w:t>ed</w:t>
      </w:r>
      <w:r w:rsidR="00EE5A52" w:rsidRPr="005B092D">
        <w:rPr>
          <w:rFonts w:eastAsia="Times New Roman" w:cs="Times New Roman"/>
          <w:sz w:val="21"/>
          <w:szCs w:val="24"/>
          <w:lang w:val="en-AU"/>
        </w:rPr>
        <w:t xml:space="preserve"> value to the Partnership and increase</w:t>
      </w:r>
      <w:r w:rsidR="00EE5A52" w:rsidRPr="00952518">
        <w:rPr>
          <w:rFonts w:eastAsia="Times New Roman" w:cs="Times New Roman"/>
          <w:sz w:val="21"/>
          <w:szCs w:val="24"/>
          <w:lang w:val="en-AU"/>
        </w:rPr>
        <w:t>d</w:t>
      </w:r>
      <w:r w:rsidR="00EE5A52" w:rsidRPr="005B092D">
        <w:rPr>
          <w:rFonts w:eastAsia="Times New Roman" w:cs="Times New Roman"/>
          <w:sz w:val="21"/>
          <w:szCs w:val="24"/>
          <w:lang w:val="en-AU"/>
        </w:rPr>
        <w:t xml:space="preserve"> effectiveness and efficiency.</w:t>
      </w:r>
      <w:r w:rsidR="00EE5A52">
        <w:rPr>
          <w:rFonts w:eastAsia="Times New Roman" w:cs="Times New Roman"/>
          <w:sz w:val="21"/>
          <w:szCs w:val="24"/>
          <w:lang w:val="en-AU"/>
        </w:rPr>
        <w:t xml:space="preserve"> </w:t>
      </w:r>
      <w:r w:rsidR="00EE5A52" w:rsidRPr="00472609">
        <w:rPr>
          <w:rFonts w:eastAsia="Times New Roman" w:cs="Times New Roman"/>
          <w:sz w:val="21"/>
          <w:szCs w:val="24"/>
          <w:lang w:val="en-AU"/>
        </w:rPr>
        <w:t xml:space="preserve">The AHPSU assisted DFAT </w:t>
      </w:r>
      <w:r w:rsidR="00EE5A52">
        <w:rPr>
          <w:rFonts w:eastAsia="Times New Roman" w:cs="Times New Roman"/>
          <w:sz w:val="21"/>
          <w:szCs w:val="24"/>
          <w:lang w:val="en-AU"/>
        </w:rPr>
        <w:t xml:space="preserve">considerably </w:t>
      </w:r>
      <w:r w:rsidR="00EE5A52" w:rsidRPr="00472609">
        <w:rPr>
          <w:rFonts w:eastAsia="Times New Roman" w:cs="Times New Roman"/>
          <w:sz w:val="21"/>
          <w:szCs w:val="24"/>
          <w:lang w:val="en-AU"/>
        </w:rPr>
        <w:t xml:space="preserve">in its ability to manage the large-scale administration required by a global NGO funding program. It also provided value to all partners in areas such as </w:t>
      </w:r>
      <w:r w:rsidR="00070348">
        <w:rPr>
          <w:rFonts w:eastAsia="Times New Roman" w:cs="Times New Roman"/>
          <w:sz w:val="21"/>
          <w:szCs w:val="24"/>
          <w:lang w:val="en-AU"/>
        </w:rPr>
        <w:t>MEL</w:t>
      </w:r>
      <w:r w:rsidR="00EE5A52" w:rsidRPr="00472609">
        <w:rPr>
          <w:rFonts w:eastAsia="Times New Roman" w:cs="Times New Roman"/>
          <w:sz w:val="21"/>
          <w:szCs w:val="24"/>
          <w:lang w:val="en-AU"/>
        </w:rPr>
        <w:t>, learning and communications, and increasing the public visibility of the AHP.</w:t>
      </w:r>
      <w:r w:rsidR="00EE5A52">
        <w:rPr>
          <w:rFonts w:eastAsia="Times New Roman" w:cs="Times New Roman"/>
          <w:sz w:val="21"/>
          <w:szCs w:val="24"/>
          <w:lang w:val="en-AU"/>
        </w:rPr>
        <w:t xml:space="preserve"> </w:t>
      </w:r>
      <w:r w:rsidR="00CF5F7E">
        <w:rPr>
          <w:rFonts w:eastAsia="Times New Roman" w:cs="Times New Roman"/>
          <w:sz w:val="21"/>
          <w:szCs w:val="24"/>
          <w:lang w:val="en-AU"/>
        </w:rPr>
        <w:t xml:space="preserve">The AHPSU will continue this role into </w:t>
      </w:r>
      <w:r w:rsidR="005D4E00">
        <w:rPr>
          <w:rFonts w:eastAsia="Times New Roman" w:cs="Times New Roman"/>
          <w:sz w:val="21"/>
          <w:szCs w:val="24"/>
          <w:lang w:val="en-AU"/>
        </w:rPr>
        <w:t>Phase II</w:t>
      </w:r>
      <w:r w:rsidR="00CF5F7E">
        <w:rPr>
          <w:rFonts w:eastAsia="Times New Roman" w:cs="Times New Roman"/>
          <w:sz w:val="21"/>
          <w:szCs w:val="24"/>
          <w:lang w:val="en-AU"/>
        </w:rPr>
        <w:t xml:space="preserve"> and </w:t>
      </w:r>
      <w:r w:rsidR="00E415FA">
        <w:rPr>
          <w:rFonts w:eastAsia="Times New Roman" w:cs="Times New Roman"/>
          <w:sz w:val="21"/>
          <w:szCs w:val="24"/>
          <w:lang w:val="en-AU"/>
        </w:rPr>
        <w:t>its</w:t>
      </w:r>
      <w:r w:rsidR="00EB2A55">
        <w:rPr>
          <w:rFonts w:eastAsia="Times New Roman" w:cs="Times New Roman"/>
          <w:sz w:val="21"/>
          <w:szCs w:val="24"/>
          <w:lang w:val="en-AU"/>
        </w:rPr>
        <w:t xml:space="preserve"> detailed functions are outlined under </w:t>
      </w:r>
      <w:r w:rsidR="00B02762">
        <w:rPr>
          <w:rFonts w:eastAsia="Times New Roman" w:cs="Times New Roman"/>
          <w:sz w:val="21"/>
          <w:szCs w:val="24"/>
          <w:lang w:val="en-AU"/>
        </w:rPr>
        <w:t xml:space="preserve">Governance and </w:t>
      </w:r>
      <w:r w:rsidR="00EB2A55">
        <w:rPr>
          <w:rFonts w:eastAsia="Times New Roman" w:cs="Times New Roman"/>
          <w:sz w:val="21"/>
          <w:szCs w:val="24"/>
          <w:lang w:val="en-AU"/>
        </w:rPr>
        <w:t>Management Arrangements.</w:t>
      </w:r>
      <w:bookmarkStart w:id="27" w:name="_Hlk87006912"/>
      <w:r w:rsidR="00E10B35">
        <w:rPr>
          <w:rFonts w:eastAsia="Times New Roman" w:cs="Times New Roman"/>
          <w:sz w:val="21"/>
          <w:szCs w:val="24"/>
          <w:lang w:val="en-AU"/>
        </w:rPr>
        <w:t xml:space="preserve"> </w:t>
      </w:r>
      <w:r w:rsidR="005D4E00">
        <w:rPr>
          <w:rFonts w:eastAsia="Times New Roman" w:cs="Times New Roman"/>
          <w:sz w:val="21"/>
          <w:szCs w:val="24"/>
          <w:lang w:val="en-AU"/>
        </w:rPr>
        <w:t>The role of the Steering Committee has been strengthened for Phase II to reinforce the primary accountability of ANGOs for program performance</w:t>
      </w:r>
      <w:r w:rsidR="00E50C33">
        <w:rPr>
          <w:rFonts w:eastAsia="Times New Roman" w:cs="Times New Roman"/>
          <w:sz w:val="21"/>
          <w:szCs w:val="24"/>
          <w:lang w:val="en-AU"/>
        </w:rPr>
        <w:t xml:space="preserve">, allowing </w:t>
      </w:r>
      <w:r w:rsidR="005D4E00" w:rsidRPr="007C69DD">
        <w:rPr>
          <w:rFonts w:eastAsia="Times New Roman" w:cs="Times New Roman"/>
          <w:sz w:val="21"/>
          <w:szCs w:val="24"/>
          <w:lang w:val="en-AU"/>
        </w:rPr>
        <w:t>emerging issues to be raised and addressed without distorting the coordination and facilitation role of the AHPSU.</w:t>
      </w:r>
    </w:p>
    <w:p w14:paraId="07F12429" w14:textId="3149E319" w:rsidR="00EB2A55" w:rsidRPr="00EB2A55" w:rsidRDefault="00D1642C" w:rsidP="003E2C60">
      <w:pPr>
        <w:pStyle w:val="ListParagraph"/>
        <w:tabs>
          <w:tab w:val="left" w:pos="0"/>
        </w:tabs>
        <w:suppressAutoHyphens w:val="0"/>
        <w:spacing w:before="200" w:after="0" w:line="280" w:lineRule="exact"/>
        <w:ind w:left="0"/>
        <w:contextualSpacing w:val="0"/>
        <w:rPr>
          <w:rFonts w:eastAsia="Times New Roman" w:cs="Times New Roman"/>
          <w:b/>
          <w:bCs/>
          <w:i/>
          <w:iCs/>
          <w:sz w:val="21"/>
          <w:szCs w:val="24"/>
          <w:lang w:val="en-AU"/>
        </w:rPr>
      </w:pPr>
      <w:bookmarkStart w:id="28" w:name="_Hlk87006935"/>
      <w:bookmarkEnd w:id="27"/>
      <w:r>
        <w:rPr>
          <w:rFonts w:eastAsia="Times New Roman" w:cs="Times New Roman"/>
          <w:b/>
          <w:bCs/>
          <w:i/>
          <w:iCs/>
          <w:sz w:val="21"/>
          <w:szCs w:val="24"/>
          <w:lang w:val="en-AU"/>
        </w:rPr>
        <w:lastRenderedPageBreak/>
        <w:t xml:space="preserve"> </w:t>
      </w:r>
      <w:bookmarkEnd w:id="28"/>
      <w:r>
        <w:rPr>
          <w:rFonts w:eastAsia="Times New Roman" w:cs="Times New Roman"/>
          <w:b/>
          <w:bCs/>
          <w:i/>
          <w:iCs/>
          <w:sz w:val="21"/>
          <w:szCs w:val="24"/>
          <w:lang w:val="en-AU"/>
        </w:rPr>
        <w:t>3</w:t>
      </w:r>
      <w:r w:rsidR="00EB2A55" w:rsidRPr="00EB2A55">
        <w:rPr>
          <w:rFonts w:eastAsia="Times New Roman" w:cs="Times New Roman"/>
          <w:b/>
          <w:bCs/>
          <w:i/>
          <w:iCs/>
          <w:sz w:val="21"/>
          <w:szCs w:val="24"/>
          <w:lang w:val="en-AU"/>
        </w:rPr>
        <w:t xml:space="preserve">. DFAT Humanitarian Partnership Division (HPD) leads policy and program engagement with internal and </w:t>
      </w:r>
      <w:r w:rsidR="00EB2A55" w:rsidRPr="003E2C60">
        <w:rPr>
          <w:b/>
          <w:bCs/>
          <w:i/>
          <w:iCs/>
          <w:sz w:val="21"/>
          <w:szCs w:val="21"/>
          <w:lang w:val="en-AU"/>
        </w:rPr>
        <w:t>external</w:t>
      </w:r>
      <w:r w:rsidR="00EB2A55" w:rsidRPr="00EB2A55">
        <w:rPr>
          <w:rFonts w:eastAsia="Times New Roman" w:cs="Times New Roman"/>
          <w:b/>
          <w:bCs/>
          <w:i/>
          <w:iCs/>
          <w:sz w:val="21"/>
          <w:szCs w:val="24"/>
          <w:lang w:val="en-AU"/>
        </w:rPr>
        <w:t xml:space="preserve"> stakeholders to mobilise resources, ensure policy coherence and represent Australia's interests.</w:t>
      </w:r>
    </w:p>
    <w:p w14:paraId="4A82E0A4" w14:textId="4B1CC1AF" w:rsidR="00472609" w:rsidRDefault="008B3AB6" w:rsidP="00EE5A52">
      <w:pPr>
        <w:pStyle w:val="ListParagraph"/>
        <w:widowControl w:val="0"/>
        <w:tabs>
          <w:tab w:val="left" w:pos="284"/>
        </w:tabs>
        <w:suppressAutoHyphens w:val="0"/>
        <w:spacing w:before="200" w:after="0" w:line="280" w:lineRule="exact"/>
        <w:ind w:left="0"/>
        <w:contextualSpacing w:val="0"/>
        <w:rPr>
          <w:rFonts w:eastAsia="Times New Roman" w:cs="Times New Roman"/>
          <w:sz w:val="21"/>
          <w:szCs w:val="24"/>
          <w:lang w:val="en-AU"/>
        </w:rPr>
      </w:pPr>
      <w:r>
        <w:rPr>
          <w:rFonts w:eastAsia="Times New Roman" w:cs="Times New Roman"/>
          <w:sz w:val="21"/>
          <w:szCs w:val="24"/>
          <w:lang w:val="en-AU"/>
        </w:rPr>
        <w:t xml:space="preserve">DFAT has an active and strategically important role in delivering the program and contributing to </w:t>
      </w:r>
      <w:r w:rsidR="00B821F5">
        <w:rPr>
          <w:rFonts w:eastAsia="Times New Roman" w:cs="Times New Roman"/>
          <w:sz w:val="21"/>
          <w:szCs w:val="24"/>
          <w:lang w:val="en-AU"/>
        </w:rPr>
        <w:t xml:space="preserve">the </w:t>
      </w:r>
      <w:r w:rsidR="008C137F">
        <w:rPr>
          <w:rFonts w:eastAsia="Times New Roman" w:cs="Times New Roman"/>
          <w:sz w:val="21"/>
          <w:szCs w:val="24"/>
          <w:lang w:val="en-AU"/>
        </w:rPr>
        <w:t>EOPOs</w:t>
      </w:r>
      <w:r>
        <w:rPr>
          <w:rFonts w:eastAsia="Times New Roman" w:cs="Times New Roman"/>
          <w:sz w:val="21"/>
          <w:szCs w:val="24"/>
          <w:lang w:val="en-AU"/>
        </w:rPr>
        <w:t xml:space="preserve">. </w:t>
      </w:r>
      <w:r w:rsidR="00776998">
        <w:rPr>
          <w:rFonts w:eastAsia="Times New Roman" w:cs="Times New Roman"/>
          <w:sz w:val="21"/>
          <w:szCs w:val="24"/>
          <w:lang w:val="en-AU"/>
        </w:rPr>
        <w:t xml:space="preserve">Consistent with </w:t>
      </w:r>
      <w:r w:rsidR="00406F84">
        <w:rPr>
          <w:rFonts w:eastAsia="Times New Roman" w:cs="Times New Roman"/>
          <w:sz w:val="21"/>
          <w:szCs w:val="24"/>
          <w:lang w:val="en-AU"/>
        </w:rPr>
        <w:t>Phase I</w:t>
      </w:r>
      <w:r w:rsidR="00C11975">
        <w:rPr>
          <w:rFonts w:eastAsia="Times New Roman" w:cs="Times New Roman"/>
          <w:sz w:val="21"/>
          <w:szCs w:val="24"/>
          <w:lang w:val="en-AU"/>
        </w:rPr>
        <w:t xml:space="preserve">, </w:t>
      </w:r>
      <w:r>
        <w:rPr>
          <w:rFonts w:eastAsia="Times New Roman" w:cs="Times New Roman"/>
          <w:sz w:val="21"/>
          <w:szCs w:val="24"/>
          <w:lang w:val="en-AU"/>
        </w:rPr>
        <w:t xml:space="preserve">DFAT HPD </w:t>
      </w:r>
      <w:r w:rsidR="00776998">
        <w:rPr>
          <w:rFonts w:eastAsia="Times New Roman" w:cs="Times New Roman"/>
          <w:sz w:val="21"/>
          <w:szCs w:val="24"/>
          <w:lang w:val="en-AU"/>
        </w:rPr>
        <w:t xml:space="preserve">will remain </w:t>
      </w:r>
      <w:r>
        <w:rPr>
          <w:rFonts w:eastAsia="Times New Roman" w:cs="Times New Roman"/>
          <w:sz w:val="21"/>
          <w:szCs w:val="24"/>
          <w:lang w:val="en-AU"/>
        </w:rPr>
        <w:t xml:space="preserve">an active </w:t>
      </w:r>
      <w:r w:rsidR="00C11975">
        <w:rPr>
          <w:rFonts w:eastAsia="Times New Roman" w:cs="Times New Roman"/>
          <w:sz w:val="21"/>
          <w:szCs w:val="24"/>
          <w:lang w:val="en-AU"/>
        </w:rPr>
        <w:t xml:space="preserve">participant </w:t>
      </w:r>
      <w:r>
        <w:rPr>
          <w:rFonts w:eastAsia="Times New Roman" w:cs="Times New Roman"/>
          <w:sz w:val="21"/>
          <w:szCs w:val="24"/>
          <w:lang w:val="en-AU"/>
        </w:rPr>
        <w:t xml:space="preserve">in governance and decision </w:t>
      </w:r>
      <w:r w:rsidR="00F42876">
        <w:rPr>
          <w:rFonts w:eastAsia="Times New Roman" w:cs="Times New Roman"/>
          <w:sz w:val="21"/>
          <w:szCs w:val="24"/>
          <w:lang w:val="en-AU"/>
        </w:rPr>
        <w:t>making and</w:t>
      </w:r>
      <w:r w:rsidR="00231675">
        <w:rPr>
          <w:rFonts w:eastAsia="Times New Roman" w:cs="Times New Roman"/>
          <w:sz w:val="21"/>
          <w:szCs w:val="24"/>
          <w:lang w:val="en-AU"/>
        </w:rPr>
        <w:t xml:space="preserve"> is responsible for</w:t>
      </w:r>
      <w:r>
        <w:rPr>
          <w:rFonts w:eastAsia="Times New Roman" w:cs="Times New Roman"/>
          <w:sz w:val="21"/>
          <w:szCs w:val="24"/>
          <w:lang w:val="en-AU"/>
        </w:rPr>
        <w:t xml:space="preserve"> mobilis</w:t>
      </w:r>
      <w:r w:rsidR="00231675">
        <w:rPr>
          <w:rFonts w:eastAsia="Times New Roman" w:cs="Times New Roman"/>
          <w:sz w:val="21"/>
          <w:szCs w:val="24"/>
          <w:lang w:val="en-AU"/>
        </w:rPr>
        <w:t>ing</w:t>
      </w:r>
      <w:r>
        <w:rPr>
          <w:rFonts w:eastAsia="Times New Roman" w:cs="Times New Roman"/>
          <w:sz w:val="21"/>
          <w:szCs w:val="24"/>
          <w:lang w:val="en-AU"/>
        </w:rPr>
        <w:t xml:space="preserve"> resources and engagement with bilateral and regional programs in DFAT</w:t>
      </w:r>
      <w:r w:rsidR="00231675">
        <w:rPr>
          <w:rFonts w:eastAsia="Times New Roman" w:cs="Times New Roman"/>
          <w:sz w:val="21"/>
          <w:szCs w:val="24"/>
          <w:lang w:val="en-AU"/>
        </w:rPr>
        <w:t xml:space="preserve">. It is also responsible for </w:t>
      </w:r>
      <w:r>
        <w:rPr>
          <w:rFonts w:eastAsia="Times New Roman" w:cs="Times New Roman"/>
          <w:sz w:val="21"/>
          <w:szCs w:val="24"/>
          <w:lang w:val="en-AU"/>
        </w:rPr>
        <w:t>setting the policy direction and priorities for external engagement</w:t>
      </w:r>
      <w:r w:rsidR="007A6853">
        <w:rPr>
          <w:rFonts w:eastAsia="Times New Roman" w:cs="Times New Roman"/>
          <w:sz w:val="21"/>
          <w:szCs w:val="24"/>
          <w:lang w:val="en-AU"/>
        </w:rPr>
        <w:t>, managing the AHPSU</w:t>
      </w:r>
      <w:r w:rsidR="002A12E9">
        <w:rPr>
          <w:rFonts w:eastAsia="Times New Roman" w:cs="Times New Roman"/>
          <w:sz w:val="21"/>
          <w:szCs w:val="24"/>
          <w:lang w:val="en-AU"/>
        </w:rPr>
        <w:t xml:space="preserve"> contract and </w:t>
      </w:r>
      <w:r>
        <w:rPr>
          <w:rFonts w:eastAsia="Times New Roman" w:cs="Times New Roman"/>
          <w:sz w:val="21"/>
          <w:szCs w:val="24"/>
          <w:lang w:val="en-AU"/>
        </w:rPr>
        <w:t>provid</w:t>
      </w:r>
      <w:r w:rsidR="002A12E9">
        <w:rPr>
          <w:rFonts w:eastAsia="Times New Roman" w:cs="Times New Roman"/>
          <w:sz w:val="21"/>
          <w:szCs w:val="24"/>
          <w:lang w:val="en-AU"/>
        </w:rPr>
        <w:t>ing</w:t>
      </w:r>
      <w:r>
        <w:rPr>
          <w:rFonts w:eastAsia="Times New Roman" w:cs="Times New Roman"/>
          <w:sz w:val="21"/>
          <w:szCs w:val="24"/>
          <w:lang w:val="en-AU"/>
        </w:rPr>
        <w:t xml:space="preserve"> timely and strategic communications to all Partners about strategic and policy concerns</w:t>
      </w:r>
      <w:r w:rsidR="00231675">
        <w:rPr>
          <w:rFonts w:eastAsia="Times New Roman" w:cs="Times New Roman"/>
          <w:sz w:val="21"/>
          <w:szCs w:val="24"/>
          <w:lang w:val="en-AU"/>
        </w:rPr>
        <w:t xml:space="preserve">. </w:t>
      </w:r>
      <w:bookmarkStart w:id="29" w:name="_Hlk87006945"/>
      <w:r>
        <w:rPr>
          <w:rFonts w:eastAsia="Times New Roman" w:cs="Times New Roman"/>
          <w:sz w:val="21"/>
          <w:szCs w:val="24"/>
          <w:lang w:val="en-AU"/>
        </w:rPr>
        <w:t>Progress and performance in this output will be assessed as part of the annual Partnership Health Check, and through ongoing internal DFAT supervision</w:t>
      </w:r>
      <w:r w:rsidR="00231675">
        <w:rPr>
          <w:rFonts w:eastAsia="Times New Roman" w:cs="Times New Roman"/>
          <w:sz w:val="21"/>
          <w:szCs w:val="24"/>
          <w:lang w:val="en-AU"/>
        </w:rPr>
        <w:t>. It will be included in reporting through the Humanitarian Investment Monitoring Reports</w:t>
      </w:r>
      <w:r>
        <w:rPr>
          <w:rFonts w:eastAsia="Times New Roman" w:cs="Times New Roman"/>
          <w:sz w:val="21"/>
          <w:szCs w:val="24"/>
          <w:lang w:val="en-AU"/>
        </w:rPr>
        <w:t>.</w:t>
      </w:r>
    </w:p>
    <w:p w14:paraId="22085EA1" w14:textId="077D5FF4" w:rsidR="002E1CC9" w:rsidRDefault="002E1CC9" w:rsidP="00962AD7">
      <w:pPr>
        <w:pStyle w:val="ListParagraph"/>
        <w:widowControl w:val="0"/>
        <w:numPr>
          <w:ilvl w:val="0"/>
          <w:numId w:val="12"/>
        </w:numPr>
        <w:tabs>
          <w:tab w:val="left" w:pos="284"/>
        </w:tabs>
        <w:suppressAutoHyphens w:val="0"/>
        <w:spacing w:before="200" w:after="0" w:line="280" w:lineRule="exact"/>
        <w:ind w:left="0" w:firstLine="0"/>
        <w:contextualSpacing w:val="0"/>
        <w:rPr>
          <w:rFonts w:eastAsia="Times New Roman" w:cs="Times New Roman"/>
          <w:sz w:val="21"/>
          <w:szCs w:val="24"/>
          <w:lang w:val="en-AU"/>
        </w:rPr>
      </w:pPr>
      <w:r>
        <w:rPr>
          <w:rFonts w:eastAsia="Times New Roman" w:cs="Times New Roman"/>
          <w:sz w:val="21"/>
          <w:szCs w:val="24"/>
          <w:lang w:val="en-AU"/>
        </w:rPr>
        <w:t xml:space="preserve"> </w:t>
      </w:r>
      <w:r w:rsidR="00962AD7">
        <w:rPr>
          <w:rFonts w:eastAsia="Times New Roman" w:cs="Times New Roman"/>
          <w:sz w:val="21"/>
          <w:szCs w:val="24"/>
          <w:lang w:val="en-AU"/>
        </w:rPr>
        <w:t>Other</w:t>
      </w:r>
      <w:r w:rsidRPr="002E1CC9">
        <w:rPr>
          <w:rFonts w:eastAsia="Times New Roman" w:cs="Times New Roman"/>
          <w:sz w:val="21"/>
          <w:szCs w:val="24"/>
          <w:lang w:val="en-AU"/>
        </w:rPr>
        <w:t xml:space="preserve"> delivery arrangements </w:t>
      </w:r>
      <w:r>
        <w:rPr>
          <w:rFonts w:eastAsia="Times New Roman" w:cs="Times New Roman"/>
          <w:sz w:val="21"/>
          <w:szCs w:val="24"/>
          <w:lang w:val="en-AU"/>
        </w:rPr>
        <w:t xml:space="preserve">such as a more traditional managing contractor role for the AHPSU, or DFAT contracting the ANGOs </w:t>
      </w:r>
      <w:r w:rsidR="008B072F">
        <w:rPr>
          <w:rFonts w:eastAsia="Times New Roman" w:cs="Times New Roman"/>
          <w:sz w:val="21"/>
          <w:szCs w:val="24"/>
          <w:lang w:val="en-AU"/>
        </w:rPr>
        <w:t xml:space="preserve">directly, </w:t>
      </w:r>
      <w:r w:rsidR="00962AD7">
        <w:rPr>
          <w:rFonts w:eastAsia="Times New Roman" w:cs="Times New Roman"/>
          <w:sz w:val="21"/>
          <w:szCs w:val="24"/>
          <w:lang w:val="en-AU"/>
        </w:rPr>
        <w:t>were</w:t>
      </w:r>
      <w:r>
        <w:rPr>
          <w:rFonts w:eastAsia="Times New Roman" w:cs="Times New Roman"/>
          <w:sz w:val="21"/>
          <w:szCs w:val="24"/>
          <w:lang w:val="en-AU"/>
        </w:rPr>
        <w:t xml:space="preserve"> not considered better value-for-money alternatives</w:t>
      </w:r>
      <w:r w:rsidR="00962AD7">
        <w:rPr>
          <w:rFonts w:eastAsia="Times New Roman" w:cs="Times New Roman"/>
          <w:sz w:val="21"/>
          <w:szCs w:val="24"/>
          <w:lang w:val="en-AU"/>
        </w:rPr>
        <w:t xml:space="preserve"> for Phase II</w:t>
      </w:r>
      <w:r>
        <w:rPr>
          <w:rFonts w:eastAsia="Times New Roman" w:cs="Times New Roman"/>
          <w:sz w:val="21"/>
          <w:szCs w:val="24"/>
          <w:lang w:val="en-AU"/>
        </w:rPr>
        <w:t xml:space="preserve">. </w:t>
      </w:r>
      <w:r w:rsidR="00962AD7">
        <w:rPr>
          <w:rFonts w:eastAsia="Times New Roman" w:cs="Times New Roman"/>
          <w:sz w:val="21"/>
          <w:szCs w:val="24"/>
          <w:lang w:val="en-AU"/>
        </w:rPr>
        <w:t>T</w:t>
      </w:r>
      <w:r>
        <w:rPr>
          <w:rFonts w:eastAsia="Times New Roman" w:cs="Times New Roman"/>
          <w:sz w:val="21"/>
          <w:szCs w:val="24"/>
          <w:lang w:val="en-AU"/>
        </w:rPr>
        <w:t xml:space="preserve">he tri-partite partnership model has </w:t>
      </w:r>
      <w:r w:rsidR="00962AD7">
        <w:rPr>
          <w:rFonts w:eastAsia="Times New Roman" w:cs="Times New Roman"/>
          <w:sz w:val="21"/>
          <w:szCs w:val="24"/>
          <w:lang w:val="en-AU"/>
        </w:rPr>
        <w:t xml:space="preserve">its limitations (including </w:t>
      </w:r>
      <w:r w:rsidR="0074459D">
        <w:rPr>
          <w:rFonts w:eastAsia="Times New Roman" w:cs="Times New Roman"/>
          <w:sz w:val="21"/>
          <w:szCs w:val="24"/>
          <w:lang w:val="en-AU"/>
        </w:rPr>
        <w:t xml:space="preserve">the </w:t>
      </w:r>
      <w:r w:rsidR="008B072F">
        <w:rPr>
          <w:rFonts w:eastAsia="Times New Roman" w:cs="Times New Roman"/>
          <w:sz w:val="21"/>
          <w:szCs w:val="24"/>
          <w:lang w:val="en-AU"/>
        </w:rPr>
        <w:t>i</w:t>
      </w:r>
      <w:r w:rsidR="00962AD7" w:rsidRPr="00962AD7">
        <w:rPr>
          <w:rFonts w:eastAsia="Times New Roman" w:cs="Times New Roman"/>
          <w:sz w:val="21"/>
          <w:szCs w:val="24"/>
          <w:lang w:val="en-AU"/>
        </w:rPr>
        <w:t>ncreased time and other resources associated with sustaining trust-based effective</w:t>
      </w:r>
      <w:r w:rsidR="00962AD7">
        <w:rPr>
          <w:rFonts w:eastAsia="Times New Roman" w:cs="Times New Roman"/>
          <w:sz w:val="21"/>
          <w:szCs w:val="24"/>
          <w:lang w:val="en-AU"/>
        </w:rPr>
        <w:t xml:space="preserve"> </w:t>
      </w:r>
      <w:r w:rsidR="00962AD7" w:rsidRPr="00962AD7">
        <w:rPr>
          <w:rFonts w:eastAsia="Times New Roman" w:cs="Times New Roman"/>
          <w:sz w:val="21"/>
          <w:szCs w:val="24"/>
          <w:lang w:val="en-AU"/>
        </w:rPr>
        <w:t xml:space="preserve">communications </w:t>
      </w:r>
      <w:r w:rsidR="00962AD7">
        <w:rPr>
          <w:rFonts w:eastAsia="Times New Roman" w:cs="Times New Roman"/>
          <w:sz w:val="21"/>
          <w:szCs w:val="24"/>
          <w:lang w:val="en-AU"/>
        </w:rPr>
        <w:t xml:space="preserve">and clear accountabilities </w:t>
      </w:r>
      <w:r w:rsidR="00962AD7" w:rsidRPr="00962AD7">
        <w:rPr>
          <w:rFonts w:eastAsia="Times New Roman" w:cs="Times New Roman"/>
          <w:sz w:val="21"/>
          <w:szCs w:val="24"/>
          <w:lang w:val="en-AU"/>
        </w:rPr>
        <w:t>across all parties</w:t>
      </w:r>
      <w:r w:rsidR="00962AD7">
        <w:rPr>
          <w:rFonts w:eastAsia="Times New Roman" w:cs="Times New Roman"/>
          <w:sz w:val="21"/>
          <w:szCs w:val="24"/>
          <w:lang w:val="en-AU"/>
        </w:rPr>
        <w:t>). However, it has also proven through Phase I to improve DFAT’s capacity to focus effort at the strategic level, harness the benefits of collaborative/collective strategic direction-setting, and increase shared ownership of benefits and risks which would not be possible in other models.</w:t>
      </w:r>
    </w:p>
    <w:p w14:paraId="20703B3E" w14:textId="3BE8CFD7" w:rsidR="0074459D" w:rsidRPr="0074459D" w:rsidRDefault="0074459D" w:rsidP="0074459D">
      <w:pPr>
        <w:spacing w:before="200" w:after="0"/>
        <w:outlineLvl w:val="1"/>
        <w:rPr>
          <w:i/>
          <w:iCs/>
        </w:rPr>
      </w:pPr>
      <w:bookmarkStart w:id="30" w:name="_Toc101521654"/>
      <w:r>
        <w:rPr>
          <w:i/>
          <w:iCs/>
        </w:rPr>
        <w:t>Program Principles</w:t>
      </w:r>
      <w:bookmarkEnd w:id="30"/>
    </w:p>
    <w:bookmarkEnd w:id="29"/>
    <w:p w14:paraId="62FF9A33" w14:textId="39FE7748" w:rsidR="005C46D4" w:rsidRDefault="00511FDC" w:rsidP="005C46D4">
      <w:pPr>
        <w:pStyle w:val="ListParagraph"/>
        <w:widowControl w:val="0"/>
        <w:numPr>
          <w:ilvl w:val="0"/>
          <w:numId w:val="12"/>
        </w:numPr>
        <w:tabs>
          <w:tab w:val="left" w:pos="284"/>
        </w:tabs>
        <w:suppressAutoHyphens w:val="0"/>
        <w:spacing w:before="200" w:after="0" w:line="280" w:lineRule="exact"/>
        <w:ind w:left="0" w:firstLine="0"/>
        <w:contextualSpacing w:val="0"/>
        <w:rPr>
          <w:rFonts w:eastAsia="Times New Roman" w:cs="Times New Roman"/>
          <w:sz w:val="21"/>
          <w:szCs w:val="24"/>
          <w:lang w:val="en-AU"/>
        </w:rPr>
      </w:pPr>
      <w:r>
        <w:rPr>
          <w:rFonts w:eastAsia="Times New Roman" w:cs="Times New Roman"/>
          <w:sz w:val="21"/>
          <w:szCs w:val="24"/>
          <w:lang w:val="en-AU"/>
        </w:rPr>
        <w:t>I</w:t>
      </w:r>
      <w:r w:rsidR="00FE7DB4">
        <w:rPr>
          <w:rFonts w:eastAsia="Times New Roman" w:cs="Times New Roman"/>
          <w:sz w:val="21"/>
          <w:szCs w:val="24"/>
          <w:lang w:val="en-AU"/>
        </w:rPr>
        <w:t xml:space="preserve">mplementation of governance, management and delivery </w:t>
      </w:r>
      <w:r>
        <w:rPr>
          <w:rFonts w:eastAsia="Times New Roman" w:cs="Times New Roman"/>
          <w:sz w:val="21"/>
          <w:szCs w:val="24"/>
          <w:lang w:val="en-AU"/>
        </w:rPr>
        <w:t xml:space="preserve">by the whole Partnership in </w:t>
      </w:r>
      <w:r w:rsidR="00406F84">
        <w:rPr>
          <w:rFonts w:eastAsia="Times New Roman" w:cs="Times New Roman"/>
          <w:sz w:val="21"/>
          <w:szCs w:val="24"/>
          <w:lang w:val="en-AU"/>
        </w:rPr>
        <w:t>Phase II</w:t>
      </w:r>
      <w:r>
        <w:rPr>
          <w:rFonts w:eastAsia="Times New Roman" w:cs="Times New Roman"/>
          <w:sz w:val="21"/>
          <w:szCs w:val="24"/>
          <w:lang w:val="en-AU"/>
        </w:rPr>
        <w:t xml:space="preserve"> </w:t>
      </w:r>
      <w:r w:rsidR="00FE7DB4">
        <w:rPr>
          <w:rFonts w:eastAsia="Times New Roman" w:cs="Times New Roman"/>
          <w:sz w:val="21"/>
          <w:szCs w:val="24"/>
          <w:lang w:val="en-AU"/>
        </w:rPr>
        <w:t>will be guided by</w:t>
      </w:r>
      <w:r>
        <w:rPr>
          <w:rFonts w:eastAsia="Times New Roman" w:cs="Times New Roman"/>
          <w:sz w:val="21"/>
          <w:szCs w:val="24"/>
          <w:lang w:val="en-AU"/>
        </w:rPr>
        <w:t xml:space="preserve"> updated</w:t>
      </w:r>
      <w:r w:rsidR="00FE7DB4">
        <w:rPr>
          <w:rFonts w:eastAsia="Times New Roman" w:cs="Times New Roman"/>
          <w:sz w:val="21"/>
          <w:szCs w:val="24"/>
          <w:lang w:val="en-AU"/>
        </w:rPr>
        <w:t xml:space="preserve"> </w:t>
      </w:r>
      <w:r>
        <w:rPr>
          <w:rFonts w:eastAsia="Times New Roman" w:cs="Times New Roman"/>
          <w:sz w:val="21"/>
          <w:szCs w:val="24"/>
          <w:lang w:val="en-AU"/>
        </w:rPr>
        <w:t xml:space="preserve">AHP Program Principles. These Principles are preliminarily outlined in Fig 2 but </w:t>
      </w:r>
      <w:r w:rsidR="00FE7DB4">
        <w:rPr>
          <w:rFonts w:eastAsia="Times New Roman" w:cs="Times New Roman"/>
          <w:sz w:val="21"/>
          <w:szCs w:val="24"/>
          <w:lang w:val="en-AU"/>
        </w:rPr>
        <w:t xml:space="preserve">will be negotiated and agreed by all Partners through a Partnership Charter </w:t>
      </w:r>
      <w:r w:rsidR="00712401">
        <w:rPr>
          <w:rFonts w:eastAsia="Times New Roman" w:cs="Times New Roman"/>
          <w:sz w:val="21"/>
          <w:szCs w:val="24"/>
          <w:lang w:val="en-AU"/>
        </w:rPr>
        <w:t xml:space="preserve">prior to the start of </w:t>
      </w:r>
      <w:r w:rsidR="00406F84">
        <w:rPr>
          <w:rFonts w:eastAsia="Times New Roman" w:cs="Times New Roman"/>
          <w:sz w:val="21"/>
          <w:szCs w:val="24"/>
          <w:lang w:val="en-AU"/>
        </w:rPr>
        <w:t>Phase II</w:t>
      </w:r>
      <w:r w:rsidR="00712401">
        <w:rPr>
          <w:rFonts w:eastAsia="Times New Roman" w:cs="Times New Roman"/>
          <w:sz w:val="21"/>
          <w:szCs w:val="24"/>
          <w:lang w:val="en-AU"/>
        </w:rPr>
        <w:t xml:space="preserve"> (by July 2022)</w:t>
      </w:r>
      <w:r w:rsidR="00FE7DB4">
        <w:rPr>
          <w:rFonts w:eastAsia="Times New Roman" w:cs="Times New Roman"/>
          <w:sz w:val="21"/>
          <w:szCs w:val="24"/>
          <w:lang w:val="en-AU"/>
        </w:rPr>
        <w:t xml:space="preserve">. </w:t>
      </w:r>
    </w:p>
    <w:p w14:paraId="14AFB81C" w14:textId="761E6958" w:rsidR="005C46D4" w:rsidRDefault="005C46D4" w:rsidP="005C46D4">
      <w:pPr>
        <w:pStyle w:val="ListParagraph"/>
        <w:keepNext/>
        <w:pBdr>
          <w:top w:val="single" w:sz="4" w:space="1" w:color="auto"/>
          <w:left w:val="single" w:sz="4" w:space="4" w:color="auto"/>
          <w:bottom w:val="single" w:sz="4" w:space="1" w:color="auto"/>
          <w:right w:val="single" w:sz="4" w:space="4" w:color="auto"/>
        </w:pBdr>
        <w:shd w:val="clear" w:color="auto" w:fill="E0F3EF" w:themeFill="accent1" w:themeFillTint="33"/>
        <w:spacing w:after="120" w:line="240" w:lineRule="auto"/>
        <w:ind w:left="499"/>
        <w:contextualSpacing w:val="0"/>
        <w:rPr>
          <w:rFonts w:cstheme="minorHAnsi"/>
          <w:b/>
          <w:sz w:val="20"/>
          <w:szCs w:val="20"/>
        </w:rPr>
      </w:pPr>
      <w:r>
        <w:rPr>
          <w:rFonts w:cstheme="minorHAnsi"/>
          <w:b/>
          <w:sz w:val="20"/>
          <w:szCs w:val="20"/>
        </w:rPr>
        <w:t>Fig 2. AHP Program Principles</w:t>
      </w:r>
    </w:p>
    <w:p w14:paraId="717CFEAA" w14:textId="5D1F4BE7" w:rsidR="005C46D4" w:rsidRDefault="005C46D4" w:rsidP="005C46D4">
      <w:pPr>
        <w:pStyle w:val="ListParagraph"/>
        <w:keepNext/>
        <w:pBdr>
          <w:top w:val="single" w:sz="4" w:space="1" w:color="auto"/>
          <w:left w:val="single" w:sz="4" w:space="4" w:color="auto"/>
          <w:bottom w:val="single" w:sz="4" w:space="1" w:color="auto"/>
          <w:right w:val="single" w:sz="4" w:space="4" w:color="auto"/>
        </w:pBdr>
        <w:shd w:val="clear" w:color="auto" w:fill="E0F3EF" w:themeFill="accent1" w:themeFillTint="33"/>
        <w:spacing w:after="120" w:line="240" w:lineRule="auto"/>
        <w:ind w:left="499"/>
        <w:contextualSpacing w:val="0"/>
        <w:rPr>
          <w:rFonts w:cstheme="minorHAnsi"/>
          <w:sz w:val="20"/>
          <w:szCs w:val="20"/>
        </w:rPr>
      </w:pPr>
      <w:r w:rsidRPr="007F30EE">
        <w:rPr>
          <w:rFonts w:cstheme="minorHAnsi"/>
          <w:b/>
          <w:sz w:val="20"/>
          <w:szCs w:val="20"/>
        </w:rPr>
        <w:t>Resilient development:</w:t>
      </w:r>
      <w:r w:rsidRPr="007F30EE">
        <w:rPr>
          <w:rFonts w:cstheme="minorHAnsi"/>
          <w:bCs/>
          <w:sz w:val="20"/>
          <w:szCs w:val="20"/>
        </w:rPr>
        <w:t xml:space="preserve"> </w:t>
      </w:r>
      <w:r w:rsidRPr="007F30EE">
        <w:rPr>
          <w:rFonts w:cstheme="minorHAnsi"/>
          <w:sz w:val="20"/>
          <w:szCs w:val="20"/>
        </w:rPr>
        <w:t>AHP Partners will adopt a holistic approach that recognises that the continuum of preparedness, response, recovery to development, and integrates climate</w:t>
      </w:r>
      <w:r>
        <w:rPr>
          <w:rFonts w:cstheme="minorHAnsi"/>
          <w:sz w:val="20"/>
          <w:szCs w:val="20"/>
        </w:rPr>
        <w:t xml:space="preserve"> and disaster</w:t>
      </w:r>
      <w:r w:rsidRPr="007F30EE">
        <w:rPr>
          <w:rFonts w:cstheme="minorHAnsi"/>
          <w:sz w:val="20"/>
          <w:szCs w:val="20"/>
        </w:rPr>
        <w:t xml:space="preserve"> risk in</w:t>
      </w:r>
      <w:r>
        <w:rPr>
          <w:rFonts w:cstheme="minorHAnsi"/>
          <w:sz w:val="20"/>
          <w:szCs w:val="20"/>
        </w:rPr>
        <w:t>to all stages of the</w:t>
      </w:r>
      <w:r w:rsidRPr="007F30EE">
        <w:rPr>
          <w:rFonts w:cstheme="minorHAnsi"/>
          <w:sz w:val="20"/>
          <w:szCs w:val="20"/>
        </w:rPr>
        <w:t xml:space="preserve"> </w:t>
      </w:r>
      <w:r>
        <w:rPr>
          <w:rFonts w:cstheme="minorHAnsi"/>
          <w:sz w:val="20"/>
          <w:szCs w:val="20"/>
        </w:rPr>
        <w:t>humanitarian-development nexus</w:t>
      </w:r>
      <w:r w:rsidRPr="007F30EE">
        <w:rPr>
          <w:rFonts w:cstheme="minorHAnsi"/>
          <w:sz w:val="20"/>
          <w:szCs w:val="20"/>
        </w:rPr>
        <w:t>, in line with the Framework for Resilient Development</w:t>
      </w:r>
      <w:r>
        <w:rPr>
          <w:rFonts w:cstheme="minorHAnsi"/>
          <w:sz w:val="20"/>
          <w:szCs w:val="20"/>
        </w:rPr>
        <w:t xml:space="preserve"> and the Sendai Framework</w:t>
      </w:r>
      <w:r w:rsidRPr="007F30EE">
        <w:rPr>
          <w:rFonts w:cstheme="minorHAnsi"/>
          <w:sz w:val="20"/>
          <w:szCs w:val="20"/>
        </w:rPr>
        <w:t>.</w:t>
      </w:r>
    </w:p>
    <w:p w14:paraId="160FA26F" w14:textId="77777777" w:rsidR="005C46D4" w:rsidRDefault="005C46D4" w:rsidP="005C46D4">
      <w:pPr>
        <w:pStyle w:val="ListParagraph"/>
        <w:pBdr>
          <w:top w:val="single" w:sz="4" w:space="1" w:color="auto"/>
          <w:left w:val="single" w:sz="4" w:space="4" w:color="auto"/>
          <w:bottom w:val="single" w:sz="4" w:space="1" w:color="auto"/>
          <w:right w:val="single" w:sz="4" w:space="4" w:color="auto"/>
        </w:pBdr>
        <w:shd w:val="clear" w:color="auto" w:fill="E0F3EF" w:themeFill="accent1" w:themeFillTint="33"/>
        <w:spacing w:after="120" w:line="240" w:lineRule="auto"/>
        <w:ind w:left="499"/>
        <w:contextualSpacing w:val="0"/>
        <w:rPr>
          <w:rFonts w:cstheme="minorHAnsi"/>
          <w:sz w:val="20"/>
          <w:szCs w:val="20"/>
        </w:rPr>
      </w:pPr>
      <w:r w:rsidRPr="005C46D4">
        <w:rPr>
          <w:rFonts w:cstheme="minorHAnsi"/>
          <w:b/>
          <w:sz w:val="20"/>
          <w:szCs w:val="20"/>
        </w:rPr>
        <w:t>Localisation:</w:t>
      </w:r>
      <w:r w:rsidRPr="005C46D4">
        <w:rPr>
          <w:rFonts w:cstheme="minorHAnsi"/>
          <w:bCs/>
          <w:sz w:val="20"/>
          <w:szCs w:val="20"/>
        </w:rPr>
        <w:t xml:space="preserve"> </w:t>
      </w:r>
      <w:r w:rsidRPr="005C46D4">
        <w:rPr>
          <w:rFonts w:cstheme="minorHAnsi"/>
          <w:sz w:val="20"/>
          <w:szCs w:val="20"/>
        </w:rPr>
        <w:t>AHP Partners will work to progressively strengthen and transition the role and function of local communities and civil society organisations to better enable them to lead disaster preparedness, response recovery and climate change adaptation in collaboration with Partner Governments and other actors.</w:t>
      </w:r>
    </w:p>
    <w:p w14:paraId="5EF8D512" w14:textId="4D9691ED" w:rsidR="005C46D4" w:rsidRDefault="005C46D4" w:rsidP="005C46D4">
      <w:pPr>
        <w:pStyle w:val="ListParagraph"/>
        <w:pBdr>
          <w:top w:val="single" w:sz="4" w:space="1" w:color="auto"/>
          <w:left w:val="single" w:sz="4" w:space="4" w:color="auto"/>
          <w:bottom w:val="single" w:sz="4" w:space="1" w:color="auto"/>
          <w:right w:val="single" w:sz="4" w:space="4" w:color="auto"/>
        </w:pBdr>
        <w:shd w:val="clear" w:color="auto" w:fill="E0F3EF" w:themeFill="accent1" w:themeFillTint="33"/>
        <w:spacing w:after="120" w:line="240" w:lineRule="auto"/>
        <w:ind w:left="499"/>
        <w:contextualSpacing w:val="0"/>
        <w:rPr>
          <w:rFonts w:cstheme="minorHAnsi"/>
          <w:sz w:val="20"/>
          <w:szCs w:val="20"/>
        </w:rPr>
      </w:pPr>
      <w:r w:rsidRPr="005C46D4">
        <w:rPr>
          <w:rFonts w:cstheme="minorHAnsi"/>
          <w:b/>
          <w:sz w:val="20"/>
          <w:szCs w:val="20"/>
        </w:rPr>
        <w:t>Inclusion and diversity:</w:t>
      </w:r>
      <w:r w:rsidRPr="005C46D4">
        <w:rPr>
          <w:rFonts w:cstheme="minorHAnsi"/>
          <w:bCs/>
          <w:sz w:val="20"/>
          <w:szCs w:val="20"/>
        </w:rPr>
        <w:t xml:space="preserve">  </w:t>
      </w:r>
      <w:r w:rsidRPr="005C46D4">
        <w:rPr>
          <w:rFonts w:cstheme="minorHAnsi"/>
          <w:sz w:val="20"/>
          <w:szCs w:val="20"/>
        </w:rPr>
        <w:t xml:space="preserve">AHP will ensure that the rights of women and people </w:t>
      </w:r>
      <w:r w:rsidR="005B03A8">
        <w:rPr>
          <w:rFonts w:cstheme="minorHAnsi"/>
          <w:sz w:val="20"/>
          <w:szCs w:val="20"/>
        </w:rPr>
        <w:t xml:space="preserve">living </w:t>
      </w:r>
      <w:r w:rsidRPr="005C46D4">
        <w:rPr>
          <w:rFonts w:cstheme="minorHAnsi"/>
          <w:sz w:val="20"/>
          <w:szCs w:val="20"/>
        </w:rPr>
        <w:t xml:space="preserve">with disabilities, and other marginalised people, are protected with targeted strategies; that they are recognised, </w:t>
      </w:r>
      <w:r w:rsidR="00F42876" w:rsidRPr="005C46D4">
        <w:rPr>
          <w:rFonts w:cstheme="minorHAnsi"/>
          <w:sz w:val="20"/>
          <w:szCs w:val="20"/>
        </w:rPr>
        <w:t>engaged,</w:t>
      </w:r>
      <w:r w:rsidRPr="005C46D4">
        <w:rPr>
          <w:rFonts w:cstheme="minorHAnsi"/>
          <w:sz w:val="20"/>
          <w:szCs w:val="20"/>
        </w:rPr>
        <w:t xml:space="preserve"> and supported as decision makers and leaders; and that GEDSI is ‘mainstreamed;’ in all AHP activities. The clear intent for Phase 2 is to move towards a ‘transformational’ approach to gender-related programming.</w:t>
      </w:r>
    </w:p>
    <w:p w14:paraId="4639B340" w14:textId="77777777" w:rsidR="005C46D4" w:rsidRDefault="005C46D4" w:rsidP="005C46D4">
      <w:pPr>
        <w:pStyle w:val="ListParagraph"/>
        <w:pBdr>
          <w:top w:val="single" w:sz="4" w:space="1" w:color="auto"/>
          <w:left w:val="single" w:sz="4" w:space="4" w:color="auto"/>
          <w:bottom w:val="single" w:sz="4" w:space="1" w:color="auto"/>
          <w:right w:val="single" w:sz="4" w:space="4" w:color="auto"/>
        </w:pBdr>
        <w:shd w:val="clear" w:color="auto" w:fill="E0F3EF" w:themeFill="accent1" w:themeFillTint="33"/>
        <w:spacing w:after="120" w:line="240" w:lineRule="auto"/>
        <w:ind w:left="499"/>
        <w:contextualSpacing w:val="0"/>
        <w:rPr>
          <w:rFonts w:cstheme="minorHAnsi"/>
          <w:sz w:val="20"/>
          <w:szCs w:val="20"/>
        </w:rPr>
      </w:pPr>
      <w:r w:rsidRPr="005C46D4">
        <w:rPr>
          <w:rFonts w:cstheme="minorHAnsi"/>
          <w:b/>
          <w:sz w:val="20"/>
          <w:szCs w:val="20"/>
        </w:rPr>
        <w:t>Partnership and collaboration:</w:t>
      </w:r>
      <w:r w:rsidRPr="005C46D4">
        <w:rPr>
          <w:rFonts w:cstheme="minorHAnsi"/>
          <w:bCs/>
          <w:sz w:val="20"/>
          <w:szCs w:val="20"/>
        </w:rPr>
        <w:t xml:space="preserve"> </w:t>
      </w:r>
      <w:r w:rsidRPr="005C46D4">
        <w:rPr>
          <w:rFonts w:cstheme="minorHAnsi"/>
          <w:sz w:val="20"/>
          <w:szCs w:val="20"/>
        </w:rPr>
        <w:t>AHP Partners will work to achieve mutual benefit, recognising the comparative advantage and diverse contributions of different partners and actors. They will support learning and collective action to improve performance of the humanitarian system.</w:t>
      </w:r>
    </w:p>
    <w:p w14:paraId="6BB5C646" w14:textId="79A7B6E3" w:rsidR="005C46D4" w:rsidRPr="005C46D4" w:rsidRDefault="005C46D4" w:rsidP="005C46D4">
      <w:pPr>
        <w:pStyle w:val="ListParagraph"/>
        <w:pBdr>
          <w:top w:val="single" w:sz="4" w:space="1" w:color="auto"/>
          <w:left w:val="single" w:sz="4" w:space="4" w:color="auto"/>
          <w:bottom w:val="single" w:sz="4" w:space="1" w:color="auto"/>
          <w:right w:val="single" w:sz="4" w:space="4" w:color="auto"/>
        </w:pBdr>
        <w:shd w:val="clear" w:color="auto" w:fill="E0F3EF" w:themeFill="accent1" w:themeFillTint="33"/>
        <w:spacing w:after="120" w:line="240" w:lineRule="auto"/>
        <w:ind w:left="499"/>
        <w:contextualSpacing w:val="0"/>
        <w:rPr>
          <w:rFonts w:cstheme="minorHAnsi"/>
          <w:bCs/>
          <w:sz w:val="20"/>
          <w:szCs w:val="20"/>
        </w:rPr>
      </w:pPr>
      <w:r w:rsidRPr="005C46D4">
        <w:rPr>
          <w:rFonts w:cstheme="minorHAnsi"/>
          <w:b/>
          <w:sz w:val="20"/>
          <w:szCs w:val="20"/>
        </w:rPr>
        <w:t xml:space="preserve">Standards, </w:t>
      </w:r>
      <w:r w:rsidR="00D8748D" w:rsidRPr="005C46D4">
        <w:rPr>
          <w:rFonts w:cstheme="minorHAnsi"/>
          <w:b/>
          <w:sz w:val="20"/>
          <w:szCs w:val="20"/>
        </w:rPr>
        <w:t>quality,</w:t>
      </w:r>
      <w:r w:rsidRPr="005C46D4">
        <w:rPr>
          <w:rFonts w:cstheme="minorHAnsi"/>
          <w:b/>
          <w:sz w:val="20"/>
          <w:szCs w:val="20"/>
        </w:rPr>
        <w:t xml:space="preserve"> and safeguards:</w:t>
      </w:r>
      <w:r w:rsidRPr="005C46D4">
        <w:rPr>
          <w:rFonts w:cstheme="minorHAnsi"/>
          <w:bCs/>
          <w:sz w:val="20"/>
          <w:szCs w:val="20"/>
        </w:rPr>
        <w:t xml:space="preserve"> </w:t>
      </w:r>
      <w:r w:rsidRPr="005C46D4">
        <w:rPr>
          <w:rFonts w:cstheme="minorHAnsi"/>
          <w:sz w:val="20"/>
          <w:szCs w:val="20"/>
        </w:rPr>
        <w:t xml:space="preserve">AHP partners will be accountable to affected populations, as well as international humanitarian standards, </w:t>
      </w:r>
      <w:r w:rsidR="00D8748D" w:rsidRPr="005C46D4">
        <w:rPr>
          <w:rFonts w:cstheme="minorHAnsi"/>
          <w:sz w:val="20"/>
          <w:szCs w:val="20"/>
        </w:rPr>
        <w:t>principles,</w:t>
      </w:r>
      <w:r w:rsidRPr="005C46D4">
        <w:rPr>
          <w:rFonts w:cstheme="minorHAnsi"/>
          <w:sz w:val="20"/>
          <w:szCs w:val="20"/>
        </w:rPr>
        <w:t xml:space="preserve"> and agreements, including SHPERE, Core Humanitarian Standard, Sendai Framework, the Grand Bargain </w:t>
      </w:r>
      <w:r w:rsidR="00D8748D" w:rsidRPr="005C46D4">
        <w:rPr>
          <w:rFonts w:cstheme="minorHAnsi"/>
          <w:sz w:val="20"/>
          <w:szCs w:val="20"/>
        </w:rPr>
        <w:t>2.0,</w:t>
      </w:r>
      <w:r w:rsidRPr="005C46D4">
        <w:rPr>
          <w:rFonts w:cstheme="minorHAnsi"/>
          <w:sz w:val="20"/>
          <w:szCs w:val="20"/>
        </w:rPr>
        <w:t xml:space="preserve"> and Do No Harm.</w:t>
      </w:r>
    </w:p>
    <w:p w14:paraId="2EDB71F9" w14:textId="24FD5C15" w:rsidR="00A32858" w:rsidRPr="00851A62" w:rsidRDefault="00B02762" w:rsidP="0011591E">
      <w:pPr>
        <w:pStyle w:val="Heading1"/>
        <w:numPr>
          <w:ilvl w:val="0"/>
          <w:numId w:val="22"/>
        </w:numPr>
        <w:pBdr>
          <w:top w:val="single" w:sz="4" w:space="1" w:color="auto"/>
          <w:left w:val="single" w:sz="4" w:space="4" w:color="auto"/>
          <w:bottom w:val="single" w:sz="4" w:space="1" w:color="auto"/>
          <w:right w:val="single" w:sz="4" w:space="4" w:color="auto"/>
        </w:pBdr>
        <w:shd w:val="clear" w:color="auto" w:fill="E0F3EF" w:themeFill="accent1" w:themeFillTint="33"/>
        <w:spacing w:before="200" w:after="0"/>
        <w:contextualSpacing w:val="0"/>
        <w:rPr>
          <w:rFonts w:eastAsiaTheme="minorHAnsi" w:cstheme="minorBidi"/>
          <w:bCs w:val="0"/>
          <w:sz w:val="22"/>
          <w:szCs w:val="21"/>
        </w:rPr>
      </w:pPr>
      <w:bookmarkStart w:id="31" w:name="_Toc101521655"/>
      <w:r>
        <w:rPr>
          <w:rFonts w:eastAsiaTheme="minorHAnsi" w:cstheme="minorBidi"/>
          <w:bCs w:val="0"/>
          <w:sz w:val="22"/>
          <w:szCs w:val="21"/>
        </w:rPr>
        <w:lastRenderedPageBreak/>
        <w:t>GoVERNANCE AND MANAGEMENT</w:t>
      </w:r>
      <w:r w:rsidRPr="00851A62">
        <w:rPr>
          <w:rFonts w:eastAsiaTheme="minorHAnsi" w:cstheme="minorBidi"/>
          <w:bCs w:val="0"/>
          <w:sz w:val="22"/>
          <w:szCs w:val="21"/>
        </w:rPr>
        <w:t xml:space="preserve"> </w:t>
      </w:r>
      <w:r w:rsidR="00A32858" w:rsidRPr="00851A62">
        <w:rPr>
          <w:rFonts w:eastAsiaTheme="minorHAnsi" w:cstheme="minorBidi"/>
          <w:bCs w:val="0"/>
          <w:sz w:val="22"/>
          <w:szCs w:val="21"/>
        </w:rPr>
        <w:t>Arrangements</w:t>
      </w:r>
      <w:bookmarkEnd w:id="31"/>
      <w:r w:rsidR="00A32858" w:rsidRPr="00851A62">
        <w:rPr>
          <w:rFonts w:eastAsiaTheme="minorHAnsi" w:cstheme="minorBidi"/>
          <w:bCs w:val="0"/>
          <w:sz w:val="22"/>
          <w:szCs w:val="21"/>
        </w:rPr>
        <w:t xml:space="preserve"> </w:t>
      </w:r>
      <w:r>
        <w:rPr>
          <w:rFonts w:eastAsiaTheme="minorHAnsi" w:cstheme="minorBidi"/>
          <w:bCs w:val="0"/>
          <w:sz w:val="22"/>
          <w:szCs w:val="21"/>
        </w:rPr>
        <w:t xml:space="preserve"> </w:t>
      </w:r>
    </w:p>
    <w:p w14:paraId="0986764E" w14:textId="4EAB6229" w:rsidR="00952101" w:rsidRDefault="00952101" w:rsidP="00952101">
      <w:pPr>
        <w:pStyle w:val="ListParagraph"/>
        <w:numPr>
          <w:ilvl w:val="0"/>
          <w:numId w:val="12"/>
        </w:numPr>
        <w:tabs>
          <w:tab w:val="left" w:pos="284"/>
        </w:tabs>
        <w:suppressAutoHyphens w:val="0"/>
        <w:spacing w:before="200" w:after="120" w:line="280" w:lineRule="exact"/>
        <w:ind w:left="0" w:firstLine="0"/>
        <w:contextualSpacing w:val="0"/>
        <w:rPr>
          <w:iCs/>
          <w:sz w:val="21"/>
          <w:szCs w:val="21"/>
        </w:rPr>
      </w:pPr>
      <w:r w:rsidRPr="00836089">
        <w:rPr>
          <w:iCs/>
          <w:sz w:val="21"/>
          <w:szCs w:val="21"/>
        </w:rPr>
        <w:t xml:space="preserve">The AHP </w:t>
      </w:r>
      <w:r w:rsidR="008C137F">
        <w:rPr>
          <w:iCs/>
          <w:sz w:val="21"/>
          <w:szCs w:val="21"/>
        </w:rPr>
        <w:t>G</w:t>
      </w:r>
      <w:r w:rsidRPr="00836089">
        <w:rPr>
          <w:iCs/>
          <w:sz w:val="21"/>
          <w:szCs w:val="21"/>
        </w:rPr>
        <w:t>overnance</w:t>
      </w:r>
      <w:r>
        <w:rPr>
          <w:iCs/>
          <w:sz w:val="21"/>
          <w:szCs w:val="21"/>
        </w:rPr>
        <w:t xml:space="preserve"> and </w:t>
      </w:r>
      <w:r w:rsidR="008C137F">
        <w:rPr>
          <w:iCs/>
          <w:sz w:val="21"/>
          <w:szCs w:val="21"/>
        </w:rPr>
        <w:t>M</w:t>
      </w:r>
      <w:r>
        <w:rPr>
          <w:iCs/>
          <w:sz w:val="21"/>
          <w:szCs w:val="21"/>
        </w:rPr>
        <w:t>anagement</w:t>
      </w:r>
      <w:r w:rsidRPr="00836089">
        <w:rPr>
          <w:iCs/>
          <w:sz w:val="21"/>
          <w:szCs w:val="21"/>
        </w:rPr>
        <w:t xml:space="preserve"> </w:t>
      </w:r>
      <w:r w:rsidR="008C137F">
        <w:rPr>
          <w:iCs/>
          <w:sz w:val="21"/>
          <w:szCs w:val="21"/>
        </w:rPr>
        <w:t>A</w:t>
      </w:r>
      <w:r w:rsidRPr="00836089">
        <w:rPr>
          <w:iCs/>
          <w:sz w:val="21"/>
          <w:szCs w:val="21"/>
        </w:rPr>
        <w:t xml:space="preserve">rrangements have been updated to </w:t>
      </w:r>
      <w:r>
        <w:rPr>
          <w:iCs/>
          <w:sz w:val="21"/>
          <w:szCs w:val="21"/>
        </w:rPr>
        <w:t>ensure they are</w:t>
      </w:r>
      <w:r w:rsidRPr="00836089">
        <w:rPr>
          <w:iCs/>
          <w:sz w:val="21"/>
          <w:szCs w:val="21"/>
        </w:rPr>
        <w:t xml:space="preserve"> fit-for-purpose for </w:t>
      </w:r>
      <w:r w:rsidR="00406F84">
        <w:rPr>
          <w:iCs/>
          <w:sz w:val="21"/>
          <w:szCs w:val="21"/>
        </w:rPr>
        <w:t>Phase II</w:t>
      </w:r>
      <w:r w:rsidRPr="00836089">
        <w:rPr>
          <w:iCs/>
          <w:sz w:val="21"/>
          <w:szCs w:val="21"/>
        </w:rPr>
        <w:t>.</w:t>
      </w:r>
    </w:p>
    <w:p w14:paraId="33B01D99" w14:textId="182DC50C" w:rsidR="00A32858" w:rsidRPr="00851A62" w:rsidRDefault="00A32858" w:rsidP="00130515">
      <w:pPr>
        <w:keepNext/>
        <w:spacing w:before="200" w:after="0"/>
        <w:outlineLvl w:val="1"/>
        <w:rPr>
          <w:i/>
          <w:iCs/>
        </w:rPr>
      </w:pPr>
      <w:bookmarkStart w:id="32" w:name="_Toc101521656"/>
      <w:r w:rsidRPr="00851A62">
        <w:rPr>
          <w:i/>
          <w:iCs/>
        </w:rPr>
        <w:t>Governance Arrangements</w:t>
      </w:r>
      <w:bookmarkEnd w:id="32"/>
      <w:r w:rsidRPr="00851A62">
        <w:rPr>
          <w:i/>
          <w:iCs/>
        </w:rPr>
        <w:t xml:space="preserve"> </w:t>
      </w:r>
    </w:p>
    <w:p w14:paraId="149BB5C7" w14:textId="2DEABE05" w:rsidR="00672CEA" w:rsidRDefault="00EF412F" w:rsidP="00130515">
      <w:pPr>
        <w:pStyle w:val="ListParagraph"/>
        <w:keepNext/>
        <w:numPr>
          <w:ilvl w:val="0"/>
          <w:numId w:val="12"/>
        </w:numPr>
        <w:tabs>
          <w:tab w:val="left" w:pos="284"/>
        </w:tabs>
        <w:suppressAutoHyphens w:val="0"/>
        <w:spacing w:before="200" w:after="120" w:line="280" w:lineRule="exact"/>
        <w:ind w:left="0" w:firstLine="0"/>
        <w:contextualSpacing w:val="0"/>
        <w:rPr>
          <w:iCs/>
          <w:sz w:val="21"/>
          <w:szCs w:val="21"/>
        </w:rPr>
      </w:pPr>
      <w:r>
        <w:rPr>
          <w:iCs/>
          <w:sz w:val="21"/>
          <w:szCs w:val="21"/>
        </w:rPr>
        <w:t xml:space="preserve">Similar to </w:t>
      </w:r>
      <w:r w:rsidR="00406F84">
        <w:rPr>
          <w:iCs/>
          <w:sz w:val="21"/>
          <w:szCs w:val="21"/>
        </w:rPr>
        <w:t>Phase I</w:t>
      </w:r>
      <w:r>
        <w:rPr>
          <w:iCs/>
          <w:sz w:val="21"/>
          <w:szCs w:val="21"/>
        </w:rPr>
        <w:t>, a</w:t>
      </w:r>
      <w:r w:rsidR="000F6EFA" w:rsidRPr="00F148C8">
        <w:rPr>
          <w:iCs/>
          <w:sz w:val="21"/>
          <w:szCs w:val="21"/>
        </w:rPr>
        <w:t xml:space="preserve"> </w:t>
      </w:r>
      <w:r w:rsidR="000F6EFA" w:rsidRPr="00F148C8">
        <w:rPr>
          <w:b/>
          <w:bCs/>
          <w:iCs/>
          <w:sz w:val="21"/>
          <w:szCs w:val="21"/>
        </w:rPr>
        <w:t xml:space="preserve">Steering </w:t>
      </w:r>
      <w:r w:rsidR="007E33CF">
        <w:rPr>
          <w:b/>
          <w:bCs/>
          <w:iCs/>
          <w:sz w:val="21"/>
          <w:szCs w:val="21"/>
        </w:rPr>
        <w:t>Committee</w:t>
      </w:r>
      <w:r w:rsidR="007E33CF" w:rsidRPr="00F148C8">
        <w:rPr>
          <w:iCs/>
          <w:sz w:val="21"/>
          <w:szCs w:val="21"/>
        </w:rPr>
        <w:t xml:space="preserve"> </w:t>
      </w:r>
      <w:r w:rsidR="000F6EFA" w:rsidRPr="00F148C8">
        <w:rPr>
          <w:iCs/>
          <w:sz w:val="21"/>
          <w:szCs w:val="21"/>
        </w:rPr>
        <w:t xml:space="preserve">will be responsible </w:t>
      </w:r>
      <w:r w:rsidR="00175B83" w:rsidRPr="00F148C8">
        <w:rPr>
          <w:iCs/>
          <w:sz w:val="21"/>
          <w:szCs w:val="21"/>
        </w:rPr>
        <w:t xml:space="preserve">for </w:t>
      </w:r>
      <w:r w:rsidR="00E415FA">
        <w:rPr>
          <w:iCs/>
          <w:sz w:val="21"/>
          <w:szCs w:val="21"/>
        </w:rPr>
        <w:t xml:space="preserve">advising on </w:t>
      </w:r>
      <w:r w:rsidR="00175B83" w:rsidRPr="00F148C8">
        <w:rPr>
          <w:iCs/>
          <w:sz w:val="21"/>
          <w:szCs w:val="21"/>
        </w:rPr>
        <w:t xml:space="preserve">the strategic direction, oversight and decision-making of the </w:t>
      </w:r>
      <w:r w:rsidR="00F10562" w:rsidRPr="00F148C8">
        <w:rPr>
          <w:rFonts w:eastAsia="Times New Roman" w:cs="Times New Roman"/>
          <w:sz w:val="21"/>
          <w:szCs w:val="24"/>
          <w:lang w:val="en-AU"/>
        </w:rPr>
        <w:t>P</w:t>
      </w:r>
      <w:r w:rsidR="00175B83" w:rsidRPr="00F148C8">
        <w:rPr>
          <w:rFonts w:eastAsia="Times New Roman" w:cs="Times New Roman"/>
          <w:sz w:val="21"/>
          <w:szCs w:val="24"/>
          <w:lang w:val="en-AU"/>
        </w:rPr>
        <w:t>artnership</w:t>
      </w:r>
      <w:r w:rsidR="00175B83" w:rsidRPr="00F148C8">
        <w:rPr>
          <w:iCs/>
          <w:sz w:val="21"/>
          <w:szCs w:val="21"/>
        </w:rPr>
        <w:t xml:space="preserve"> </w:t>
      </w:r>
      <w:r w:rsidR="00E4248F">
        <w:rPr>
          <w:iCs/>
          <w:sz w:val="21"/>
          <w:szCs w:val="21"/>
        </w:rPr>
        <w:t>including</w:t>
      </w:r>
      <w:r w:rsidR="00175B83" w:rsidRPr="00F148C8">
        <w:rPr>
          <w:iCs/>
          <w:sz w:val="21"/>
          <w:szCs w:val="21"/>
        </w:rPr>
        <w:t xml:space="preserve"> Disaster READY</w:t>
      </w:r>
      <w:r w:rsidR="00F10562" w:rsidRPr="00F148C8">
        <w:rPr>
          <w:iCs/>
          <w:sz w:val="21"/>
          <w:szCs w:val="21"/>
        </w:rPr>
        <w:t>.</w:t>
      </w:r>
      <w:r w:rsidR="00F365EB" w:rsidRPr="00F148C8">
        <w:rPr>
          <w:iCs/>
          <w:sz w:val="21"/>
          <w:szCs w:val="21"/>
        </w:rPr>
        <w:t xml:space="preserve"> Meetings will be structured in separate sessions </w:t>
      </w:r>
      <w:r w:rsidR="00C06FF3">
        <w:rPr>
          <w:iCs/>
          <w:sz w:val="21"/>
          <w:szCs w:val="21"/>
        </w:rPr>
        <w:t>covering</w:t>
      </w:r>
      <w:r w:rsidR="00F365EB" w:rsidRPr="00F148C8">
        <w:rPr>
          <w:iCs/>
          <w:sz w:val="21"/>
          <w:szCs w:val="21"/>
        </w:rPr>
        <w:t xml:space="preserve"> AHP policy and strategic direction, </w:t>
      </w:r>
      <w:r w:rsidR="00E4248F">
        <w:rPr>
          <w:iCs/>
          <w:sz w:val="21"/>
          <w:szCs w:val="21"/>
        </w:rPr>
        <w:t>humanitarian response</w:t>
      </w:r>
      <w:r w:rsidR="00F365EB" w:rsidRPr="00F148C8">
        <w:rPr>
          <w:iCs/>
          <w:sz w:val="21"/>
          <w:szCs w:val="21"/>
        </w:rPr>
        <w:t xml:space="preserve"> and Disaster READY</w:t>
      </w:r>
      <w:r w:rsidR="000C4DA4">
        <w:rPr>
          <w:iCs/>
          <w:sz w:val="21"/>
          <w:szCs w:val="21"/>
        </w:rPr>
        <w:t xml:space="preserve"> to enable</w:t>
      </w:r>
      <w:r w:rsidR="00F365EB" w:rsidRPr="00F148C8">
        <w:rPr>
          <w:iCs/>
          <w:sz w:val="21"/>
          <w:szCs w:val="21"/>
        </w:rPr>
        <w:t xml:space="preserve"> participation of appropriate ANGO, local Partner and DFAT representatives related to the agenda items. </w:t>
      </w:r>
      <w:r w:rsidR="00F10562" w:rsidRPr="00F148C8">
        <w:rPr>
          <w:iCs/>
          <w:sz w:val="21"/>
          <w:szCs w:val="21"/>
        </w:rPr>
        <w:t xml:space="preserve"> The</w:t>
      </w:r>
      <w:r w:rsidR="00175B83" w:rsidRPr="00F148C8">
        <w:rPr>
          <w:iCs/>
          <w:sz w:val="21"/>
          <w:szCs w:val="21"/>
        </w:rPr>
        <w:t xml:space="preserve"> T</w:t>
      </w:r>
      <w:r w:rsidR="00F10562" w:rsidRPr="00F148C8">
        <w:rPr>
          <w:iCs/>
          <w:sz w:val="21"/>
          <w:szCs w:val="21"/>
        </w:rPr>
        <w:t xml:space="preserve">erms of Reference </w:t>
      </w:r>
      <w:r w:rsidR="00FD7B90" w:rsidRPr="00F148C8">
        <w:rPr>
          <w:iCs/>
          <w:sz w:val="21"/>
          <w:szCs w:val="21"/>
        </w:rPr>
        <w:t>are outlined in Fig 3.</w:t>
      </w:r>
    </w:p>
    <w:tbl>
      <w:tblPr>
        <w:tblStyle w:val="TableGrid"/>
        <w:tblW w:w="0" w:type="auto"/>
        <w:shd w:val="clear" w:color="auto" w:fill="EEF5E7" w:themeFill="accent2" w:themeFillTint="33"/>
        <w:tblLook w:val="04A0" w:firstRow="1" w:lastRow="0" w:firstColumn="1" w:lastColumn="0" w:noHBand="0" w:noVBand="1"/>
      </w:tblPr>
      <w:tblGrid>
        <w:gridCol w:w="9016"/>
      </w:tblGrid>
      <w:tr w:rsidR="00672CEA" w14:paraId="510FA985" w14:textId="77777777" w:rsidTr="005C46D4">
        <w:tc>
          <w:tcPr>
            <w:tcW w:w="9016" w:type="dxa"/>
            <w:shd w:val="clear" w:color="auto" w:fill="E0F3EF" w:themeFill="accent1" w:themeFillTint="33"/>
          </w:tcPr>
          <w:p w14:paraId="24FCCDF3" w14:textId="77777777" w:rsidR="00F148C8" w:rsidRPr="003E2C60" w:rsidRDefault="00F148C8" w:rsidP="00F148C8">
            <w:pPr>
              <w:pStyle w:val="Caption"/>
              <w:spacing w:before="0" w:after="0"/>
              <w:rPr>
                <w:bCs/>
                <w:i/>
                <w:szCs w:val="20"/>
              </w:rPr>
            </w:pPr>
            <w:r w:rsidRPr="00415502">
              <w:rPr>
                <w:szCs w:val="20"/>
              </w:rPr>
              <w:t>Fig 3. AHP Steering Committee Terms of Reference</w:t>
            </w:r>
            <w:r w:rsidRPr="00415502">
              <w:rPr>
                <w:szCs w:val="20"/>
              </w:rPr>
              <w:br/>
            </w:r>
          </w:p>
          <w:p w14:paraId="43A09EE2" w14:textId="16BB2811" w:rsidR="00F148C8" w:rsidRPr="003E2C60" w:rsidRDefault="00F148C8" w:rsidP="00F148C8">
            <w:pPr>
              <w:pStyle w:val="Caption"/>
              <w:spacing w:before="0" w:after="0"/>
              <w:rPr>
                <w:bCs/>
                <w:i/>
                <w:szCs w:val="20"/>
              </w:rPr>
            </w:pPr>
            <w:r w:rsidRPr="003E2C60">
              <w:rPr>
                <w:bCs/>
                <w:i/>
                <w:szCs w:val="20"/>
              </w:rPr>
              <w:t>Objective:</w:t>
            </w:r>
          </w:p>
          <w:p w14:paraId="03FC1434" w14:textId="776C3547" w:rsidR="00F148C8" w:rsidRPr="003E2C60" w:rsidRDefault="00F148C8" w:rsidP="00F148C8">
            <w:pPr>
              <w:rPr>
                <w:b/>
                <w:bCs/>
                <w:i/>
                <w:iCs/>
                <w:sz w:val="20"/>
                <w:szCs w:val="20"/>
              </w:rPr>
            </w:pPr>
            <w:r w:rsidRPr="003E2C60">
              <w:rPr>
                <w:sz w:val="20"/>
                <w:szCs w:val="20"/>
              </w:rPr>
              <w:t>The</w:t>
            </w:r>
            <w:r w:rsidRPr="003E2C60">
              <w:rPr>
                <w:b/>
                <w:bCs/>
                <w:sz w:val="20"/>
                <w:szCs w:val="20"/>
              </w:rPr>
              <w:t xml:space="preserve"> </w:t>
            </w:r>
            <w:r w:rsidRPr="003E2C60">
              <w:rPr>
                <w:sz w:val="20"/>
                <w:szCs w:val="20"/>
              </w:rPr>
              <w:t>Steering Committee</w:t>
            </w:r>
            <w:r w:rsidRPr="003E2C60">
              <w:rPr>
                <w:b/>
                <w:bCs/>
                <w:sz w:val="20"/>
                <w:szCs w:val="20"/>
              </w:rPr>
              <w:t xml:space="preserve"> </w:t>
            </w:r>
            <w:r w:rsidRPr="003E2C60">
              <w:rPr>
                <w:sz w:val="20"/>
                <w:szCs w:val="20"/>
              </w:rPr>
              <w:t xml:space="preserve">is responsible for </w:t>
            </w:r>
            <w:r w:rsidR="003E285E">
              <w:rPr>
                <w:sz w:val="20"/>
                <w:szCs w:val="20"/>
              </w:rPr>
              <w:t xml:space="preserve">making recommendations for </w:t>
            </w:r>
            <w:r w:rsidRPr="003E2C60">
              <w:rPr>
                <w:sz w:val="20"/>
                <w:szCs w:val="20"/>
              </w:rPr>
              <w:t xml:space="preserve">strategic direction and </w:t>
            </w:r>
            <w:r w:rsidR="00E4248F">
              <w:rPr>
                <w:sz w:val="20"/>
                <w:szCs w:val="20"/>
              </w:rPr>
              <w:t>assessing</w:t>
            </w:r>
            <w:r w:rsidRPr="003E2C60">
              <w:rPr>
                <w:sz w:val="20"/>
                <w:szCs w:val="20"/>
              </w:rPr>
              <w:t xml:space="preserve"> overall progress and relationships at the </w:t>
            </w:r>
            <w:r w:rsidR="00E4248F">
              <w:rPr>
                <w:sz w:val="20"/>
                <w:szCs w:val="20"/>
              </w:rPr>
              <w:t>P</w:t>
            </w:r>
            <w:r w:rsidR="00137867">
              <w:rPr>
                <w:sz w:val="20"/>
                <w:szCs w:val="20"/>
              </w:rPr>
              <w:t>artnership</w:t>
            </w:r>
            <w:r w:rsidRPr="003E2C60">
              <w:rPr>
                <w:sz w:val="20"/>
                <w:szCs w:val="20"/>
              </w:rPr>
              <w:t xml:space="preserve"> level. Meetings will </w:t>
            </w:r>
            <w:r w:rsidR="009136A1">
              <w:rPr>
                <w:sz w:val="20"/>
                <w:szCs w:val="20"/>
              </w:rPr>
              <w:t xml:space="preserve">predominantly </w:t>
            </w:r>
            <w:r w:rsidRPr="003E2C60">
              <w:rPr>
                <w:sz w:val="20"/>
                <w:szCs w:val="20"/>
              </w:rPr>
              <w:t>be held in Melbourne or Canberra, with teleconference facilities for participants in other locations</w:t>
            </w:r>
            <w:r w:rsidR="00575F4B" w:rsidRPr="003E2C60">
              <w:rPr>
                <w:sz w:val="20"/>
                <w:szCs w:val="20"/>
              </w:rPr>
              <w:t xml:space="preserve"> (should travel be prohibited</w:t>
            </w:r>
            <w:r w:rsidR="00092045">
              <w:rPr>
                <w:sz w:val="20"/>
                <w:szCs w:val="20"/>
              </w:rPr>
              <w:t xml:space="preserve"> or agencies wish to manage their carbon footprint</w:t>
            </w:r>
            <w:r w:rsidR="00575F4B" w:rsidRPr="003E2C60">
              <w:rPr>
                <w:sz w:val="20"/>
                <w:szCs w:val="20"/>
              </w:rPr>
              <w:t>)</w:t>
            </w:r>
            <w:r w:rsidRPr="003E2C60">
              <w:rPr>
                <w:sz w:val="20"/>
                <w:szCs w:val="20"/>
              </w:rPr>
              <w:t xml:space="preserve">.   </w:t>
            </w:r>
          </w:p>
          <w:p w14:paraId="789FC908" w14:textId="0D7A1F41" w:rsidR="00F148C8" w:rsidRDefault="00F148C8" w:rsidP="00F148C8">
            <w:pPr>
              <w:rPr>
                <w:b/>
                <w:bCs/>
                <w:i/>
                <w:iCs/>
                <w:sz w:val="20"/>
                <w:szCs w:val="20"/>
              </w:rPr>
            </w:pPr>
            <w:r w:rsidRPr="003E2C60">
              <w:rPr>
                <w:b/>
                <w:bCs/>
                <w:i/>
                <w:iCs/>
                <w:sz w:val="20"/>
                <w:szCs w:val="20"/>
              </w:rPr>
              <w:t>Membership</w:t>
            </w:r>
          </w:p>
          <w:p w14:paraId="210DBD88" w14:textId="4CC5D4C5" w:rsidR="009E3757" w:rsidRPr="009E3757" w:rsidRDefault="00DB66DE" w:rsidP="00F148C8">
            <w:pPr>
              <w:rPr>
                <w:sz w:val="20"/>
                <w:szCs w:val="20"/>
              </w:rPr>
            </w:pPr>
            <w:r>
              <w:rPr>
                <w:sz w:val="20"/>
                <w:szCs w:val="20"/>
              </w:rPr>
              <w:t xml:space="preserve">Given the </w:t>
            </w:r>
            <w:r w:rsidR="00B513D3">
              <w:rPr>
                <w:sz w:val="20"/>
                <w:szCs w:val="20"/>
              </w:rPr>
              <w:t>broad</w:t>
            </w:r>
            <w:r>
              <w:rPr>
                <w:sz w:val="20"/>
                <w:szCs w:val="20"/>
              </w:rPr>
              <w:t xml:space="preserve"> geographic and </w:t>
            </w:r>
            <w:r w:rsidR="00B513D3">
              <w:rPr>
                <w:sz w:val="20"/>
                <w:szCs w:val="20"/>
              </w:rPr>
              <w:t>thematic scope of the AHP, t</w:t>
            </w:r>
            <w:r w:rsidR="009E3757" w:rsidRPr="009E3757">
              <w:rPr>
                <w:sz w:val="20"/>
                <w:szCs w:val="20"/>
              </w:rPr>
              <w:t>he base membership of the Steering Committee will comprise:</w:t>
            </w:r>
          </w:p>
          <w:p w14:paraId="24F03650" w14:textId="5B0F5BC5" w:rsidR="00F148C8" w:rsidRPr="003E2C60" w:rsidRDefault="00F148C8" w:rsidP="0011591E">
            <w:pPr>
              <w:pStyle w:val="ListParagraph"/>
              <w:numPr>
                <w:ilvl w:val="0"/>
                <w:numId w:val="16"/>
              </w:numPr>
              <w:suppressAutoHyphens w:val="0"/>
              <w:spacing w:before="0" w:afterLines="60" w:after="144" w:line="280" w:lineRule="atLeast"/>
              <w:ind w:left="363"/>
              <w:rPr>
                <w:sz w:val="20"/>
                <w:szCs w:val="20"/>
              </w:rPr>
            </w:pPr>
            <w:r w:rsidRPr="003E2C60">
              <w:rPr>
                <w:sz w:val="20"/>
                <w:szCs w:val="20"/>
              </w:rPr>
              <w:t xml:space="preserve">Director of the DFAT Humanitarian </w:t>
            </w:r>
            <w:r w:rsidR="00575F4B" w:rsidRPr="003E2C60">
              <w:rPr>
                <w:sz w:val="20"/>
                <w:szCs w:val="20"/>
              </w:rPr>
              <w:t>and Developments Deployments</w:t>
            </w:r>
            <w:r w:rsidRPr="003E2C60">
              <w:rPr>
                <w:sz w:val="20"/>
                <w:szCs w:val="20"/>
              </w:rPr>
              <w:t xml:space="preserve"> Section (Chair)</w:t>
            </w:r>
          </w:p>
          <w:p w14:paraId="2E605F06" w14:textId="1CBC6A72" w:rsidR="00F148C8" w:rsidRPr="003E2C60" w:rsidRDefault="00F148C8" w:rsidP="0011591E">
            <w:pPr>
              <w:pStyle w:val="ListParagraph"/>
              <w:numPr>
                <w:ilvl w:val="0"/>
                <w:numId w:val="16"/>
              </w:numPr>
              <w:suppressAutoHyphens w:val="0"/>
              <w:spacing w:before="0" w:afterLines="60" w:after="144" w:line="280" w:lineRule="atLeast"/>
              <w:ind w:left="363"/>
              <w:rPr>
                <w:sz w:val="20"/>
                <w:szCs w:val="20"/>
              </w:rPr>
            </w:pPr>
            <w:r w:rsidRPr="003E2C60">
              <w:rPr>
                <w:sz w:val="20"/>
                <w:szCs w:val="20"/>
              </w:rPr>
              <w:t xml:space="preserve">One representative from each of the six AHP lead </w:t>
            </w:r>
            <w:r w:rsidR="00075107">
              <w:rPr>
                <w:sz w:val="20"/>
                <w:szCs w:val="20"/>
              </w:rPr>
              <w:t>A</w:t>
            </w:r>
            <w:r w:rsidRPr="003E2C60">
              <w:rPr>
                <w:sz w:val="20"/>
                <w:szCs w:val="20"/>
              </w:rPr>
              <w:t>NGOs</w:t>
            </w:r>
          </w:p>
          <w:p w14:paraId="422A395A" w14:textId="45243338" w:rsidR="00F148C8" w:rsidRPr="008C4FA3" w:rsidRDefault="00F148C8" w:rsidP="0011591E">
            <w:pPr>
              <w:pStyle w:val="ListParagraph"/>
              <w:numPr>
                <w:ilvl w:val="0"/>
                <w:numId w:val="16"/>
              </w:numPr>
              <w:suppressAutoHyphens w:val="0"/>
              <w:spacing w:before="0" w:afterLines="60" w:after="144" w:line="280" w:lineRule="atLeast"/>
              <w:ind w:left="363"/>
              <w:rPr>
                <w:sz w:val="20"/>
                <w:szCs w:val="20"/>
              </w:rPr>
            </w:pPr>
            <w:r w:rsidRPr="003E2C60">
              <w:rPr>
                <w:sz w:val="20"/>
                <w:szCs w:val="20"/>
              </w:rPr>
              <w:t xml:space="preserve">One </w:t>
            </w:r>
            <w:r w:rsidR="0077269F" w:rsidRPr="003E2C60">
              <w:rPr>
                <w:sz w:val="20"/>
                <w:szCs w:val="20"/>
              </w:rPr>
              <w:t xml:space="preserve">representative </w:t>
            </w:r>
            <w:r w:rsidR="0077269F">
              <w:rPr>
                <w:sz w:val="20"/>
                <w:szCs w:val="20"/>
              </w:rPr>
              <w:t xml:space="preserve">from </w:t>
            </w:r>
            <w:r w:rsidRPr="003E2C60">
              <w:rPr>
                <w:sz w:val="20"/>
                <w:szCs w:val="20"/>
              </w:rPr>
              <w:t xml:space="preserve">CBM </w:t>
            </w:r>
          </w:p>
          <w:p w14:paraId="29DF822E" w14:textId="64E30E15" w:rsidR="00F148C8" w:rsidRPr="003E2C60" w:rsidRDefault="00655C3C" w:rsidP="005B092D">
            <w:pPr>
              <w:rPr>
                <w:sz w:val="20"/>
                <w:szCs w:val="20"/>
              </w:rPr>
            </w:pPr>
            <w:r>
              <w:rPr>
                <w:sz w:val="20"/>
                <w:szCs w:val="20"/>
              </w:rPr>
              <w:t xml:space="preserve">AHP consortia partners, </w:t>
            </w:r>
            <w:r w:rsidR="00C84E45">
              <w:rPr>
                <w:sz w:val="20"/>
                <w:szCs w:val="20"/>
              </w:rPr>
              <w:t>DRCC</w:t>
            </w:r>
            <w:r w:rsidR="00F148C8" w:rsidRPr="005B092D">
              <w:rPr>
                <w:sz w:val="20"/>
                <w:szCs w:val="20"/>
              </w:rPr>
              <w:t xml:space="preserve"> coordinators,</w:t>
            </w:r>
            <w:r w:rsidR="005A121F">
              <w:rPr>
                <w:sz w:val="20"/>
                <w:szCs w:val="20"/>
              </w:rPr>
              <w:t xml:space="preserve"> ANGO</w:t>
            </w:r>
            <w:r w:rsidR="006D0C1A">
              <w:rPr>
                <w:sz w:val="20"/>
                <w:szCs w:val="20"/>
              </w:rPr>
              <w:t xml:space="preserve"> Australian and </w:t>
            </w:r>
            <w:r w:rsidR="005A121F">
              <w:rPr>
                <w:sz w:val="20"/>
                <w:szCs w:val="20"/>
              </w:rPr>
              <w:t>in-country office</w:t>
            </w:r>
            <w:r w:rsidR="006D0C1A">
              <w:rPr>
                <w:sz w:val="20"/>
                <w:szCs w:val="20"/>
              </w:rPr>
              <w:t xml:space="preserve"> representatives</w:t>
            </w:r>
            <w:r w:rsidR="005A121F">
              <w:rPr>
                <w:sz w:val="20"/>
                <w:szCs w:val="20"/>
              </w:rPr>
              <w:t>,</w:t>
            </w:r>
            <w:r>
              <w:rPr>
                <w:sz w:val="20"/>
                <w:szCs w:val="20"/>
              </w:rPr>
              <w:t xml:space="preserve"> local partners</w:t>
            </w:r>
            <w:r w:rsidR="00A4131A">
              <w:rPr>
                <w:sz w:val="20"/>
                <w:szCs w:val="20"/>
              </w:rPr>
              <w:t xml:space="preserve">, </w:t>
            </w:r>
            <w:r w:rsidR="00F148C8" w:rsidRPr="005B092D">
              <w:rPr>
                <w:sz w:val="20"/>
                <w:szCs w:val="20"/>
              </w:rPr>
              <w:t xml:space="preserve">other DFAT personnel </w:t>
            </w:r>
            <w:r w:rsidR="00C22614" w:rsidRPr="003E2C60">
              <w:rPr>
                <w:sz w:val="20"/>
                <w:szCs w:val="20"/>
              </w:rPr>
              <w:t>and</w:t>
            </w:r>
            <w:r w:rsidR="00C22614">
              <w:rPr>
                <w:sz w:val="20"/>
                <w:szCs w:val="20"/>
              </w:rPr>
              <w:t xml:space="preserve"> other stakeholders such</w:t>
            </w:r>
            <w:r w:rsidR="00C22614" w:rsidRPr="003E2C60">
              <w:rPr>
                <w:sz w:val="20"/>
                <w:szCs w:val="20"/>
              </w:rPr>
              <w:t xml:space="preserve"> </w:t>
            </w:r>
            <w:r w:rsidR="002C5465">
              <w:rPr>
                <w:sz w:val="20"/>
                <w:szCs w:val="20"/>
              </w:rPr>
              <w:t xml:space="preserve">as </w:t>
            </w:r>
            <w:r w:rsidR="00C22614" w:rsidRPr="003E2C60">
              <w:rPr>
                <w:sz w:val="20"/>
                <w:szCs w:val="20"/>
              </w:rPr>
              <w:t>the Pacific Disability Forum</w:t>
            </w:r>
            <w:r w:rsidR="00C22614" w:rsidRPr="003E2C60">
              <w:rPr>
                <w:rStyle w:val="FootnoteReference"/>
                <w:sz w:val="20"/>
                <w:szCs w:val="20"/>
              </w:rPr>
              <w:t xml:space="preserve"> </w:t>
            </w:r>
            <w:r w:rsidR="00F148C8" w:rsidRPr="005B092D">
              <w:rPr>
                <w:sz w:val="20"/>
                <w:szCs w:val="20"/>
              </w:rPr>
              <w:t xml:space="preserve">will be invited to attend </w:t>
            </w:r>
            <w:r w:rsidR="006402DD">
              <w:rPr>
                <w:sz w:val="20"/>
                <w:szCs w:val="20"/>
              </w:rPr>
              <w:t>humanitarian response</w:t>
            </w:r>
            <w:r w:rsidR="00F148C8" w:rsidRPr="005B092D">
              <w:rPr>
                <w:sz w:val="20"/>
                <w:szCs w:val="20"/>
              </w:rPr>
              <w:t xml:space="preserve"> and Disaster READY sessions as appropriate</w:t>
            </w:r>
            <w:r w:rsidR="00D81518">
              <w:rPr>
                <w:sz w:val="20"/>
                <w:szCs w:val="20"/>
              </w:rPr>
              <w:t xml:space="preserve"> and relevant</w:t>
            </w:r>
            <w:r w:rsidR="00DD1FCA">
              <w:rPr>
                <w:sz w:val="20"/>
                <w:szCs w:val="20"/>
              </w:rPr>
              <w:t xml:space="preserve">, with </w:t>
            </w:r>
            <w:r w:rsidR="00A34C3A">
              <w:rPr>
                <w:sz w:val="20"/>
                <w:szCs w:val="20"/>
              </w:rPr>
              <w:t xml:space="preserve">inclusive </w:t>
            </w:r>
            <w:r w:rsidR="00A6448E">
              <w:rPr>
                <w:sz w:val="20"/>
                <w:szCs w:val="20"/>
              </w:rPr>
              <w:t xml:space="preserve">participation and </w:t>
            </w:r>
            <w:r w:rsidR="00A34C3A">
              <w:rPr>
                <w:sz w:val="20"/>
                <w:szCs w:val="20"/>
              </w:rPr>
              <w:t xml:space="preserve">local </w:t>
            </w:r>
            <w:r w:rsidR="00A6448E">
              <w:rPr>
                <w:sz w:val="20"/>
                <w:szCs w:val="20"/>
              </w:rPr>
              <w:t>representation</w:t>
            </w:r>
            <w:r w:rsidR="00A34C3A">
              <w:rPr>
                <w:sz w:val="20"/>
                <w:szCs w:val="20"/>
              </w:rPr>
              <w:t xml:space="preserve"> the default preference.</w:t>
            </w:r>
            <w:r w:rsidR="00340186">
              <w:rPr>
                <w:sz w:val="20"/>
                <w:szCs w:val="20"/>
              </w:rPr>
              <w:t xml:space="preserve"> Due consideration will be given to translation and </w:t>
            </w:r>
            <w:r w:rsidR="00981BF7">
              <w:rPr>
                <w:sz w:val="20"/>
                <w:szCs w:val="20"/>
              </w:rPr>
              <w:t>compensation</w:t>
            </w:r>
            <w:r w:rsidR="006402DD">
              <w:rPr>
                <w:sz w:val="20"/>
                <w:szCs w:val="20"/>
              </w:rPr>
              <w:t xml:space="preserve"> for local </w:t>
            </w:r>
            <w:r w:rsidR="00817A65">
              <w:rPr>
                <w:sz w:val="20"/>
                <w:szCs w:val="20"/>
              </w:rPr>
              <w:t>pa</w:t>
            </w:r>
            <w:r w:rsidR="006402DD">
              <w:rPr>
                <w:sz w:val="20"/>
                <w:szCs w:val="20"/>
              </w:rPr>
              <w:t>rtners</w:t>
            </w:r>
            <w:r w:rsidR="00981BF7">
              <w:rPr>
                <w:sz w:val="20"/>
                <w:szCs w:val="20"/>
              </w:rPr>
              <w:t>, and t</w:t>
            </w:r>
            <w:r w:rsidR="00F148C8" w:rsidRPr="003E2C60">
              <w:rPr>
                <w:sz w:val="20"/>
                <w:szCs w:val="20"/>
              </w:rPr>
              <w:t>he Committee will aim to achieve gender balance.</w:t>
            </w:r>
          </w:p>
          <w:p w14:paraId="7E91F5D9" w14:textId="77777777" w:rsidR="00F148C8" w:rsidRPr="003E2C60" w:rsidRDefault="00F148C8" w:rsidP="00F148C8">
            <w:pPr>
              <w:spacing w:before="0" w:afterLines="60" w:after="144" w:line="280" w:lineRule="atLeast"/>
              <w:contextualSpacing/>
              <w:rPr>
                <w:b/>
                <w:bCs/>
                <w:i/>
                <w:iCs/>
                <w:sz w:val="20"/>
                <w:szCs w:val="20"/>
              </w:rPr>
            </w:pPr>
            <w:r w:rsidRPr="003E2C60">
              <w:rPr>
                <w:b/>
                <w:bCs/>
                <w:i/>
                <w:iCs/>
                <w:sz w:val="20"/>
                <w:szCs w:val="20"/>
              </w:rPr>
              <w:t xml:space="preserve">Scope </w:t>
            </w:r>
            <w:r w:rsidRPr="003E2C60">
              <w:rPr>
                <w:b/>
                <w:bCs/>
                <w:sz w:val="20"/>
                <w:szCs w:val="20"/>
              </w:rPr>
              <w:t>and</w:t>
            </w:r>
            <w:r w:rsidRPr="003E2C60">
              <w:rPr>
                <w:b/>
                <w:bCs/>
                <w:i/>
                <w:iCs/>
                <w:sz w:val="20"/>
                <w:szCs w:val="20"/>
              </w:rPr>
              <w:t xml:space="preserve"> functions:</w:t>
            </w:r>
          </w:p>
          <w:p w14:paraId="40918F8D" w14:textId="77777777" w:rsidR="00F148C8" w:rsidRPr="00415502" w:rsidRDefault="00F148C8" w:rsidP="0011591E">
            <w:pPr>
              <w:pStyle w:val="ListParagraph"/>
              <w:numPr>
                <w:ilvl w:val="0"/>
                <w:numId w:val="30"/>
              </w:numPr>
              <w:spacing w:before="0" w:afterLines="60" w:after="144" w:line="280" w:lineRule="atLeast"/>
              <w:ind w:left="360"/>
              <w:rPr>
                <w:sz w:val="20"/>
                <w:szCs w:val="20"/>
              </w:rPr>
            </w:pPr>
            <w:r w:rsidRPr="00415502">
              <w:rPr>
                <w:sz w:val="20"/>
                <w:szCs w:val="20"/>
              </w:rPr>
              <w:t>Establish and maintain a partnership approach to program delivery, identifying challenges and concerns for resolution by all Partners.</w:t>
            </w:r>
          </w:p>
          <w:p w14:paraId="2B3CE8AB" w14:textId="77777777" w:rsidR="00F148C8" w:rsidRPr="00415502" w:rsidRDefault="00F148C8" w:rsidP="0011591E">
            <w:pPr>
              <w:pStyle w:val="ListParagraph"/>
              <w:numPr>
                <w:ilvl w:val="0"/>
                <w:numId w:val="30"/>
              </w:numPr>
              <w:spacing w:before="0" w:afterLines="60" w:after="144" w:line="280" w:lineRule="atLeast"/>
              <w:ind w:left="360"/>
              <w:rPr>
                <w:sz w:val="20"/>
                <w:szCs w:val="20"/>
              </w:rPr>
            </w:pPr>
            <w:r w:rsidRPr="00415502">
              <w:rPr>
                <w:sz w:val="20"/>
                <w:szCs w:val="20"/>
              </w:rPr>
              <w:t>Monitor the policy and operational context, noting implications for AHP and Disaster READY strategic direction and implementation.</w:t>
            </w:r>
          </w:p>
          <w:p w14:paraId="5AB6B6CB" w14:textId="15E1ABAB" w:rsidR="00F148C8" w:rsidRPr="00415502" w:rsidRDefault="00F148C8" w:rsidP="0011591E">
            <w:pPr>
              <w:pStyle w:val="ListParagraph"/>
              <w:numPr>
                <w:ilvl w:val="0"/>
                <w:numId w:val="30"/>
              </w:numPr>
              <w:spacing w:before="0" w:afterLines="60" w:after="144" w:line="280" w:lineRule="atLeast"/>
              <w:ind w:left="360"/>
              <w:rPr>
                <w:sz w:val="20"/>
                <w:szCs w:val="20"/>
              </w:rPr>
            </w:pPr>
            <w:r w:rsidRPr="00415502">
              <w:rPr>
                <w:sz w:val="20"/>
                <w:szCs w:val="20"/>
              </w:rPr>
              <w:t xml:space="preserve">Reflect on the application of the </w:t>
            </w:r>
            <w:r w:rsidR="006402DD">
              <w:rPr>
                <w:sz w:val="20"/>
                <w:szCs w:val="20"/>
              </w:rPr>
              <w:t xml:space="preserve">Program </w:t>
            </w:r>
            <w:r w:rsidRPr="00415502">
              <w:rPr>
                <w:sz w:val="20"/>
                <w:szCs w:val="20"/>
              </w:rPr>
              <w:t xml:space="preserve">Principles in </w:t>
            </w:r>
            <w:r w:rsidR="00D8748D" w:rsidRPr="00415502">
              <w:rPr>
                <w:sz w:val="20"/>
                <w:szCs w:val="20"/>
              </w:rPr>
              <w:t>practice and</w:t>
            </w:r>
            <w:r w:rsidRPr="00415502">
              <w:rPr>
                <w:sz w:val="20"/>
                <w:szCs w:val="20"/>
              </w:rPr>
              <w:t xml:space="preserve"> provide recommendations for quality improvement and humanitarian reforms</w:t>
            </w:r>
            <w:r w:rsidR="009C7B29">
              <w:rPr>
                <w:sz w:val="20"/>
                <w:szCs w:val="20"/>
              </w:rPr>
              <w:t xml:space="preserve"> (including </w:t>
            </w:r>
            <w:r w:rsidR="00717068">
              <w:rPr>
                <w:sz w:val="20"/>
                <w:szCs w:val="20"/>
              </w:rPr>
              <w:t>for GEDSI</w:t>
            </w:r>
            <w:r w:rsidR="009C7B29">
              <w:rPr>
                <w:sz w:val="20"/>
                <w:szCs w:val="20"/>
              </w:rPr>
              <w:t>)</w:t>
            </w:r>
            <w:r w:rsidRPr="00415502">
              <w:rPr>
                <w:sz w:val="20"/>
                <w:szCs w:val="20"/>
              </w:rPr>
              <w:t>.</w:t>
            </w:r>
          </w:p>
          <w:p w14:paraId="41AC02F1" w14:textId="340440AC" w:rsidR="00054C6E" w:rsidRPr="00415502" w:rsidRDefault="00054C6E" w:rsidP="0011591E">
            <w:pPr>
              <w:pStyle w:val="ListParagraph"/>
              <w:numPr>
                <w:ilvl w:val="0"/>
                <w:numId w:val="30"/>
              </w:numPr>
              <w:spacing w:before="0" w:afterLines="60" w:after="144" w:line="280" w:lineRule="atLeast"/>
              <w:ind w:left="360"/>
              <w:rPr>
                <w:sz w:val="20"/>
                <w:szCs w:val="20"/>
              </w:rPr>
            </w:pPr>
            <w:r w:rsidRPr="00415502">
              <w:rPr>
                <w:sz w:val="20"/>
                <w:szCs w:val="20"/>
              </w:rPr>
              <w:t xml:space="preserve">Make recommendations on program strategy issues and emerging priorities, including </w:t>
            </w:r>
            <w:r w:rsidR="00D8748D" w:rsidRPr="00415502">
              <w:rPr>
                <w:sz w:val="20"/>
                <w:szCs w:val="20"/>
              </w:rPr>
              <w:t>coordination,</w:t>
            </w:r>
            <w:r w:rsidRPr="00415502">
              <w:rPr>
                <w:sz w:val="20"/>
                <w:szCs w:val="20"/>
              </w:rPr>
              <w:t xml:space="preserve"> and learning with regional programs such as </w:t>
            </w:r>
            <w:r w:rsidRPr="003E2C60">
              <w:rPr>
                <w:sz w:val="20"/>
                <w:szCs w:val="20"/>
              </w:rPr>
              <w:t xml:space="preserve">ANCP, </w:t>
            </w:r>
            <w:r w:rsidRPr="00415502">
              <w:rPr>
                <w:sz w:val="20"/>
                <w:szCs w:val="20"/>
              </w:rPr>
              <w:t xml:space="preserve">APCP, Pacific Women Lead, </w:t>
            </w:r>
            <w:r w:rsidR="00214C50" w:rsidRPr="0074459D">
              <w:rPr>
                <w:sz w:val="20"/>
                <w:szCs w:val="20"/>
              </w:rPr>
              <w:t>Pacific Media Assistance Scheme</w:t>
            </w:r>
            <w:r w:rsidR="00214C50">
              <w:rPr>
                <w:sz w:val="20"/>
                <w:szCs w:val="20"/>
              </w:rPr>
              <w:t xml:space="preserve"> (</w:t>
            </w:r>
            <w:r>
              <w:rPr>
                <w:sz w:val="20"/>
                <w:szCs w:val="20"/>
              </w:rPr>
              <w:t>PACMAS</w:t>
            </w:r>
            <w:r w:rsidR="00214C50">
              <w:rPr>
                <w:sz w:val="20"/>
                <w:szCs w:val="20"/>
              </w:rPr>
              <w:t>)</w:t>
            </w:r>
            <w:r>
              <w:rPr>
                <w:sz w:val="20"/>
                <w:szCs w:val="20"/>
              </w:rPr>
              <w:t xml:space="preserve">, </w:t>
            </w:r>
            <w:r w:rsidRPr="00415502">
              <w:rPr>
                <w:sz w:val="20"/>
                <w:szCs w:val="20"/>
              </w:rPr>
              <w:t>Gov4Res and others.</w:t>
            </w:r>
          </w:p>
          <w:p w14:paraId="2E8F7F4F" w14:textId="3A883E7F" w:rsidR="00F148C8" w:rsidRPr="00415502" w:rsidRDefault="00F148C8" w:rsidP="0011591E">
            <w:pPr>
              <w:pStyle w:val="ListParagraph"/>
              <w:numPr>
                <w:ilvl w:val="0"/>
                <w:numId w:val="30"/>
              </w:numPr>
              <w:spacing w:before="0" w:afterLines="60" w:after="144" w:line="280" w:lineRule="atLeast"/>
              <w:ind w:left="360"/>
              <w:rPr>
                <w:sz w:val="20"/>
                <w:szCs w:val="20"/>
              </w:rPr>
            </w:pPr>
            <w:r w:rsidRPr="00415502">
              <w:rPr>
                <w:sz w:val="20"/>
                <w:szCs w:val="20"/>
              </w:rPr>
              <w:t xml:space="preserve">Review performance against Disaster READY programs and </w:t>
            </w:r>
            <w:r w:rsidR="00B0354F">
              <w:rPr>
                <w:sz w:val="20"/>
                <w:szCs w:val="20"/>
              </w:rPr>
              <w:t>response objectives</w:t>
            </w:r>
            <w:r w:rsidR="00054C6E">
              <w:rPr>
                <w:sz w:val="20"/>
                <w:szCs w:val="20"/>
              </w:rPr>
              <w:t xml:space="preserve">, </w:t>
            </w:r>
            <w:r w:rsidRPr="00415502">
              <w:rPr>
                <w:sz w:val="20"/>
                <w:szCs w:val="20"/>
              </w:rPr>
              <w:t>make recommendations for ongoing improvement</w:t>
            </w:r>
            <w:r w:rsidR="00054C6E">
              <w:rPr>
                <w:sz w:val="20"/>
                <w:szCs w:val="20"/>
              </w:rPr>
              <w:t xml:space="preserve"> </w:t>
            </w:r>
            <w:r w:rsidR="004D531C">
              <w:rPr>
                <w:sz w:val="20"/>
                <w:szCs w:val="20"/>
              </w:rPr>
              <w:t>and respond to issues raised from Posts and DFAT program managers.</w:t>
            </w:r>
          </w:p>
          <w:p w14:paraId="5D9E8731" w14:textId="64D5775B" w:rsidR="00F148C8" w:rsidRPr="00415502" w:rsidRDefault="00F148C8" w:rsidP="0011591E">
            <w:pPr>
              <w:pStyle w:val="ListParagraph"/>
              <w:numPr>
                <w:ilvl w:val="0"/>
                <w:numId w:val="30"/>
              </w:numPr>
              <w:spacing w:before="0" w:afterLines="60" w:after="144" w:line="280" w:lineRule="atLeast"/>
              <w:ind w:left="360"/>
              <w:rPr>
                <w:sz w:val="20"/>
                <w:szCs w:val="20"/>
              </w:rPr>
            </w:pPr>
            <w:r w:rsidRPr="00415502">
              <w:rPr>
                <w:sz w:val="20"/>
                <w:szCs w:val="20"/>
              </w:rPr>
              <w:t xml:space="preserve">Identify priorities for thematic </w:t>
            </w:r>
            <w:r w:rsidR="009C3EF9">
              <w:rPr>
                <w:sz w:val="20"/>
                <w:szCs w:val="20"/>
              </w:rPr>
              <w:t xml:space="preserve">research, </w:t>
            </w:r>
            <w:r w:rsidR="00D8748D" w:rsidRPr="00415502">
              <w:rPr>
                <w:sz w:val="20"/>
                <w:szCs w:val="20"/>
              </w:rPr>
              <w:t>evaluations,</w:t>
            </w:r>
            <w:r w:rsidRPr="00415502">
              <w:rPr>
                <w:sz w:val="20"/>
                <w:szCs w:val="20"/>
              </w:rPr>
              <w:t xml:space="preserve"> and communications materials, taking the views of </w:t>
            </w:r>
            <w:r w:rsidR="00C84E45">
              <w:rPr>
                <w:sz w:val="20"/>
                <w:szCs w:val="20"/>
              </w:rPr>
              <w:t>DRCCs</w:t>
            </w:r>
            <w:r w:rsidRPr="00415502">
              <w:rPr>
                <w:sz w:val="20"/>
                <w:szCs w:val="20"/>
              </w:rPr>
              <w:t xml:space="preserve"> into account.</w:t>
            </w:r>
          </w:p>
          <w:p w14:paraId="25B5488E" w14:textId="2A86FF40" w:rsidR="00F148C8" w:rsidRPr="00415502" w:rsidRDefault="00F148C8" w:rsidP="0011591E">
            <w:pPr>
              <w:pStyle w:val="ListParagraph"/>
              <w:numPr>
                <w:ilvl w:val="0"/>
                <w:numId w:val="30"/>
              </w:numPr>
              <w:spacing w:before="0" w:afterLines="60" w:after="144" w:line="280" w:lineRule="atLeast"/>
              <w:ind w:left="360"/>
              <w:rPr>
                <w:sz w:val="20"/>
                <w:szCs w:val="20"/>
              </w:rPr>
            </w:pPr>
            <w:r w:rsidRPr="00415502">
              <w:rPr>
                <w:sz w:val="20"/>
                <w:szCs w:val="20"/>
              </w:rPr>
              <w:t>Identify challenges or issues requiring management responses, including monitoring risk related to the overall Partnership</w:t>
            </w:r>
            <w:r w:rsidR="001F1940">
              <w:rPr>
                <w:sz w:val="20"/>
                <w:szCs w:val="20"/>
              </w:rPr>
              <w:t xml:space="preserve"> (</w:t>
            </w:r>
            <w:r w:rsidR="00001595">
              <w:rPr>
                <w:sz w:val="20"/>
                <w:szCs w:val="20"/>
              </w:rPr>
              <w:t xml:space="preserve">including </w:t>
            </w:r>
            <w:r w:rsidR="001F1940">
              <w:rPr>
                <w:sz w:val="20"/>
                <w:szCs w:val="20"/>
              </w:rPr>
              <w:t>related to fraud, safeguards, or due diligence</w:t>
            </w:r>
            <w:r w:rsidR="00001595">
              <w:rPr>
                <w:sz w:val="20"/>
                <w:szCs w:val="20"/>
              </w:rPr>
              <w:t>)</w:t>
            </w:r>
            <w:r w:rsidRPr="00415502">
              <w:rPr>
                <w:sz w:val="20"/>
                <w:szCs w:val="20"/>
              </w:rPr>
              <w:t>.</w:t>
            </w:r>
          </w:p>
          <w:p w14:paraId="36AD3CB0" w14:textId="54BB96DE" w:rsidR="00F148C8" w:rsidRPr="00415502" w:rsidRDefault="00F148C8" w:rsidP="0011591E">
            <w:pPr>
              <w:pStyle w:val="ListParagraph"/>
              <w:numPr>
                <w:ilvl w:val="0"/>
                <w:numId w:val="30"/>
              </w:numPr>
              <w:spacing w:before="0" w:afterLines="60" w:after="144" w:line="280" w:lineRule="atLeast"/>
              <w:ind w:left="360"/>
              <w:rPr>
                <w:sz w:val="20"/>
                <w:szCs w:val="20"/>
              </w:rPr>
            </w:pPr>
            <w:r w:rsidRPr="00415502">
              <w:rPr>
                <w:sz w:val="20"/>
                <w:szCs w:val="20"/>
              </w:rPr>
              <w:t xml:space="preserve">Review and endorse Standard Operating Procedures, formats, </w:t>
            </w:r>
            <w:r w:rsidR="00D8748D" w:rsidRPr="00415502">
              <w:rPr>
                <w:sz w:val="20"/>
                <w:szCs w:val="20"/>
              </w:rPr>
              <w:t>templates,</w:t>
            </w:r>
            <w:r w:rsidRPr="00415502">
              <w:rPr>
                <w:sz w:val="20"/>
                <w:szCs w:val="20"/>
              </w:rPr>
              <w:t xml:space="preserve"> and methods as appropriate.</w:t>
            </w:r>
          </w:p>
          <w:p w14:paraId="6BC04BF3" w14:textId="79D4728C" w:rsidR="00F148C8" w:rsidRPr="003E2C60" w:rsidRDefault="009C3EF9" w:rsidP="0011591E">
            <w:pPr>
              <w:pStyle w:val="ListParagraph"/>
              <w:numPr>
                <w:ilvl w:val="0"/>
                <w:numId w:val="30"/>
              </w:numPr>
              <w:spacing w:before="0" w:afterLines="60" w:after="144" w:line="280" w:lineRule="atLeast"/>
              <w:ind w:left="360"/>
              <w:contextualSpacing w:val="0"/>
              <w:rPr>
                <w:sz w:val="20"/>
                <w:szCs w:val="20"/>
              </w:rPr>
            </w:pPr>
            <w:r>
              <w:rPr>
                <w:sz w:val="20"/>
                <w:szCs w:val="20"/>
              </w:rPr>
              <w:lastRenderedPageBreak/>
              <w:t>Commission and r</w:t>
            </w:r>
            <w:r w:rsidR="00F148C8" w:rsidRPr="00415502">
              <w:rPr>
                <w:sz w:val="20"/>
                <w:szCs w:val="20"/>
              </w:rPr>
              <w:t xml:space="preserve">eview </w:t>
            </w:r>
            <w:r w:rsidR="00EB3557">
              <w:rPr>
                <w:sz w:val="20"/>
                <w:szCs w:val="20"/>
              </w:rPr>
              <w:t>MEL</w:t>
            </w:r>
            <w:r w:rsidR="00F148C8" w:rsidRPr="00415502">
              <w:rPr>
                <w:sz w:val="20"/>
                <w:szCs w:val="20"/>
              </w:rPr>
              <w:t xml:space="preserve"> products, and make recommendations for program improvement</w:t>
            </w:r>
            <w:r w:rsidR="00F148C8" w:rsidRPr="003E2C60">
              <w:rPr>
                <w:sz w:val="20"/>
                <w:szCs w:val="20"/>
              </w:rPr>
              <w:t xml:space="preserve"> to ANGOs, AHPSU and DFAT.</w:t>
            </w:r>
          </w:p>
          <w:p w14:paraId="37649AB0" w14:textId="037D1D9D" w:rsidR="00F148C8" w:rsidRPr="003E2C60" w:rsidRDefault="00F148C8" w:rsidP="005C46D4">
            <w:pPr>
              <w:shd w:val="clear" w:color="auto" w:fill="E0F3EF" w:themeFill="accent1" w:themeFillTint="33"/>
              <w:spacing w:before="0" w:after="0" w:line="280" w:lineRule="atLeast"/>
              <w:rPr>
                <w:b/>
                <w:bCs/>
                <w:i/>
                <w:iCs/>
                <w:sz w:val="20"/>
                <w:szCs w:val="20"/>
              </w:rPr>
            </w:pPr>
            <w:r w:rsidRPr="003E2C60">
              <w:rPr>
                <w:b/>
                <w:bCs/>
                <w:i/>
                <w:iCs/>
                <w:sz w:val="20"/>
                <w:szCs w:val="20"/>
              </w:rPr>
              <w:t>Meetings</w:t>
            </w:r>
          </w:p>
          <w:p w14:paraId="077FE8B9" w14:textId="074F60F5" w:rsidR="00F148C8" w:rsidRPr="00F148C8" w:rsidRDefault="00F148C8" w:rsidP="005C46D4">
            <w:pPr>
              <w:shd w:val="clear" w:color="auto" w:fill="E0F3EF" w:themeFill="accent1" w:themeFillTint="33"/>
              <w:spacing w:before="0" w:after="0" w:line="280" w:lineRule="atLeast"/>
              <w:rPr>
                <w:b/>
                <w:bCs/>
                <w:i/>
                <w:iCs/>
                <w:color w:val="3B3838"/>
                <w:sz w:val="20"/>
                <w:szCs w:val="20"/>
              </w:rPr>
            </w:pPr>
            <w:r w:rsidRPr="003E2C60">
              <w:rPr>
                <w:sz w:val="20"/>
                <w:szCs w:val="20"/>
              </w:rPr>
              <w:t xml:space="preserve">Steering Committee meetings will be held </w:t>
            </w:r>
            <w:r w:rsidR="00D668AE">
              <w:rPr>
                <w:sz w:val="20"/>
                <w:szCs w:val="20"/>
              </w:rPr>
              <w:t>at minimum twice</w:t>
            </w:r>
            <w:r w:rsidR="00D668AE" w:rsidRPr="003E2C60">
              <w:rPr>
                <w:sz w:val="20"/>
                <w:szCs w:val="20"/>
              </w:rPr>
              <w:t xml:space="preserve"> </w:t>
            </w:r>
            <w:r w:rsidRPr="003E2C60">
              <w:rPr>
                <w:sz w:val="20"/>
                <w:szCs w:val="20"/>
              </w:rPr>
              <w:t>per year</w:t>
            </w:r>
            <w:r w:rsidR="00D668AE">
              <w:rPr>
                <w:sz w:val="20"/>
                <w:szCs w:val="20"/>
              </w:rPr>
              <w:t xml:space="preserve">, with </w:t>
            </w:r>
            <w:r w:rsidR="0048101D">
              <w:rPr>
                <w:sz w:val="20"/>
                <w:szCs w:val="20"/>
              </w:rPr>
              <w:t>additional meetings as necessary</w:t>
            </w:r>
            <w:r w:rsidRPr="003E2C60">
              <w:rPr>
                <w:sz w:val="20"/>
                <w:szCs w:val="20"/>
              </w:rPr>
              <w:t xml:space="preserve">.  The AHPSU will be </w:t>
            </w:r>
            <w:r w:rsidR="004706AF">
              <w:rPr>
                <w:sz w:val="20"/>
                <w:szCs w:val="20"/>
              </w:rPr>
              <w:t xml:space="preserve">the Committee Secretariat </w:t>
            </w:r>
            <w:r w:rsidRPr="003E2C60">
              <w:rPr>
                <w:sz w:val="20"/>
                <w:szCs w:val="20"/>
              </w:rPr>
              <w:t xml:space="preserve">responsible for calling meetings, preparing the agenda and minutes, and supporting the Committee Chair as required. Meeting Agenda and Minutes will be shared with </w:t>
            </w:r>
            <w:r w:rsidR="00C84E45">
              <w:rPr>
                <w:sz w:val="20"/>
                <w:szCs w:val="20"/>
              </w:rPr>
              <w:t>DRCCs</w:t>
            </w:r>
            <w:r w:rsidR="0048101D">
              <w:rPr>
                <w:sz w:val="20"/>
                <w:szCs w:val="20"/>
              </w:rPr>
              <w:t xml:space="preserve"> and Posts</w:t>
            </w:r>
            <w:r w:rsidRPr="003E2C60">
              <w:rPr>
                <w:sz w:val="20"/>
                <w:szCs w:val="20"/>
              </w:rPr>
              <w:t>. </w:t>
            </w:r>
          </w:p>
        </w:tc>
      </w:tr>
    </w:tbl>
    <w:p w14:paraId="27EFB146" w14:textId="648778E5" w:rsidR="00F10562" w:rsidRDefault="001D51DF" w:rsidP="00EA56EB">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Pr>
          <w:iCs/>
          <w:sz w:val="21"/>
          <w:szCs w:val="21"/>
        </w:rPr>
        <w:lastRenderedPageBreak/>
        <w:t>Other m</w:t>
      </w:r>
      <w:r w:rsidR="00F10562">
        <w:rPr>
          <w:iCs/>
          <w:sz w:val="21"/>
          <w:szCs w:val="21"/>
        </w:rPr>
        <w:t>echanisms for maintain</w:t>
      </w:r>
      <w:r w:rsidR="00183708">
        <w:rPr>
          <w:iCs/>
          <w:sz w:val="21"/>
          <w:szCs w:val="21"/>
        </w:rPr>
        <w:t>ing</w:t>
      </w:r>
      <w:r w:rsidR="00F10562">
        <w:rPr>
          <w:iCs/>
          <w:sz w:val="21"/>
          <w:szCs w:val="21"/>
        </w:rPr>
        <w:t xml:space="preserve"> partnership, strategic and policy engagement between DFAT</w:t>
      </w:r>
      <w:r w:rsidR="00101E60">
        <w:rPr>
          <w:iCs/>
          <w:sz w:val="21"/>
          <w:szCs w:val="21"/>
        </w:rPr>
        <w:t>, the AHPSU</w:t>
      </w:r>
      <w:r w:rsidR="00F10562">
        <w:rPr>
          <w:iCs/>
          <w:sz w:val="21"/>
          <w:szCs w:val="21"/>
        </w:rPr>
        <w:t xml:space="preserve"> and ANGOs</w:t>
      </w:r>
      <w:r w:rsidR="00B0354F">
        <w:rPr>
          <w:iCs/>
          <w:sz w:val="21"/>
          <w:szCs w:val="21"/>
        </w:rPr>
        <w:t xml:space="preserve"> (AHP Partners)</w:t>
      </w:r>
      <w:r w:rsidR="00DD4C75">
        <w:rPr>
          <w:iCs/>
          <w:sz w:val="21"/>
          <w:szCs w:val="21"/>
        </w:rPr>
        <w:t xml:space="preserve"> in </w:t>
      </w:r>
      <w:r w:rsidR="00406F84">
        <w:rPr>
          <w:iCs/>
          <w:sz w:val="21"/>
          <w:szCs w:val="21"/>
        </w:rPr>
        <w:t>Phase II</w:t>
      </w:r>
      <w:r w:rsidR="00F10562">
        <w:rPr>
          <w:iCs/>
          <w:sz w:val="21"/>
          <w:szCs w:val="21"/>
        </w:rPr>
        <w:t xml:space="preserve"> include:</w:t>
      </w:r>
    </w:p>
    <w:p w14:paraId="31709E5A" w14:textId="460BE1D3" w:rsidR="00F10562" w:rsidRPr="007E3CDC" w:rsidRDefault="00F10562" w:rsidP="000363A2">
      <w:pPr>
        <w:pStyle w:val="ListParagraph"/>
        <w:tabs>
          <w:tab w:val="left" w:pos="0"/>
        </w:tabs>
        <w:suppressAutoHyphens w:val="0"/>
        <w:spacing w:before="200" w:after="0" w:line="280" w:lineRule="exact"/>
        <w:ind w:left="0"/>
        <w:contextualSpacing w:val="0"/>
        <w:rPr>
          <w:b/>
          <w:bCs/>
          <w:iCs/>
          <w:sz w:val="21"/>
          <w:szCs w:val="21"/>
        </w:rPr>
      </w:pPr>
      <w:r>
        <w:rPr>
          <w:b/>
          <w:bCs/>
          <w:iCs/>
          <w:sz w:val="21"/>
          <w:szCs w:val="21"/>
        </w:rPr>
        <w:t>ACFID HRG</w:t>
      </w:r>
      <w:r w:rsidR="00F0774A">
        <w:rPr>
          <w:b/>
          <w:bCs/>
          <w:iCs/>
          <w:sz w:val="21"/>
          <w:szCs w:val="21"/>
        </w:rPr>
        <w:t>-DFAT</w:t>
      </w:r>
      <w:r w:rsidRPr="007E3CDC">
        <w:rPr>
          <w:b/>
          <w:bCs/>
          <w:iCs/>
          <w:sz w:val="21"/>
          <w:szCs w:val="21"/>
        </w:rPr>
        <w:t xml:space="preserve"> </w:t>
      </w:r>
      <w:r>
        <w:rPr>
          <w:b/>
          <w:bCs/>
          <w:iCs/>
          <w:sz w:val="21"/>
          <w:szCs w:val="21"/>
        </w:rPr>
        <w:t>Meetings</w:t>
      </w:r>
    </w:p>
    <w:p w14:paraId="4877A6F4" w14:textId="39765E34" w:rsidR="00F10562" w:rsidRDefault="00F0774A" w:rsidP="000363A2">
      <w:pPr>
        <w:pStyle w:val="ListParagraph"/>
        <w:tabs>
          <w:tab w:val="left" w:pos="0"/>
        </w:tabs>
        <w:suppressAutoHyphens w:val="0"/>
        <w:spacing w:before="200" w:after="0" w:line="280" w:lineRule="exact"/>
        <w:ind w:left="0"/>
        <w:contextualSpacing w:val="0"/>
        <w:rPr>
          <w:iCs/>
          <w:sz w:val="21"/>
          <w:szCs w:val="21"/>
        </w:rPr>
      </w:pPr>
      <w:r>
        <w:rPr>
          <w:iCs/>
          <w:sz w:val="21"/>
          <w:szCs w:val="21"/>
        </w:rPr>
        <w:t>T</w:t>
      </w:r>
      <w:r w:rsidR="00F10562">
        <w:rPr>
          <w:iCs/>
          <w:sz w:val="21"/>
          <w:szCs w:val="21"/>
        </w:rPr>
        <w:t xml:space="preserve">he ACFID Humanitarian Reference Group (HRG) </w:t>
      </w:r>
      <w:r w:rsidR="00DB3953">
        <w:rPr>
          <w:iCs/>
          <w:sz w:val="21"/>
          <w:szCs w:val="21"/>
        </w:rPr>
        <w:t>provides a forum for</w:t>
      </w:r>
      <w:r>
        <w:rPr>
          <w:iCs/>
          <w:sz w:val="21"/>
          <w:szCs w:val="21"/>
        </w:rPr>
        <w:t xml:space="preserve"> the broader ANGO humanitarian community for</w:t>
      </w:r>
      <w:r w:rsidR="00F10562">
        <w:rPr>
          <w:iCs/>
          <w:sz w:val="21"/>
          <w:szCs w:val="21"/>
        </w:rPr>
        <w:t xml:space="preserve"> substantive consultation and discussion </w:t>
      </w:r>
      <w:r>
        <w:rPr>
          <w:iCs/>
          <w:sz w:val="21"/>
          <w:szCs w:val="21"/>
        </w:rPr>
        <w:t>on</w:t>
      </w:r>
      <w:r w:rsidR="00F10562">
        <w:rPr>
          <w:iCs/>
          <w:sz w:val="21"/>
          <w:szCs w:val="21"/>
        </w:rPr>
        <w:t xml:space="preserve"> humanitarian policy interests and directions.  As participants in the HRG, the AHP ANGO Partners will help shape and inform the agenda and process for these consultations. DFAT </w:t>
      </w:r>
      <w:r>
        <w:rPr>
          <w:iCs/>
          <w:sz w:val="21"/>
          <w:szCs w:val="21"/>
        </w:rPr>
        <w:t>are</w:t>
      </w:r>
      <w:r w:rsidR="00F10562">
        <w:rPr>
          <w:iCs/>
          <w:sz w:val="21"/>
          <w:szCs w:val="21"/>
        </w:rPr>
        <w:t xml:space="preserve"> invited to HRG meetings </w:t>
      </w:r>
      <w:r>
        <w:rPr>
          <w:iCs/>
          <w:sz w:val="21"/>
          <w:szCs w:val="21"/>
        </w:rPr>
        <w:t>three times per year.</w:t>
      </w:r>
    </w:p>
    <w:p w14:paraId="314CCAB0" w14:textId="77777777" w:rsidR="00F10562" w:rsidRPr="00BD5AC8" w:rsidRDefault="00F10562" w:rsidP="000363A2">
      <w:pPr>
        <w:pStyle w:val="ListParagraph"/>
        <w:tabs>
          <w:tab w:val="left" w:pos="0"/>
        </w:tabs>
        <w:suppressAutoHyphens w:val="0"/>
        <w:spacing w:before="200" w:after="0" w:line="280" w:lineRule="exact"/>
        <w:ind w:left="0"/>
        <w:contextualSpacing w:val="0"/>
        <w:rPr>
          <w:b/>
          <w:bCs/>
          <w:iCs/>
          <w:sz w:val="21"/>
          <w:szCs w:val="21"/>
        </w:rPr>
      </w:pPr>
      <w:r w:rsidRPr="00BD5AC8">
        <w:rPr>
          <w:b/>
          <w:bCs/>
          <w:iCs/>
          <w:sz w:val="21"/>
          <w:szCs w:val="21"/>
        </w:rPr>
        <w:t>DFAT-AHP ANGOs Annual Strategic and Policy Consultation</w:t>
      </w:r>
    </w:p>
    <w:p w14:paraId="3DCEBDD8" w14:textId="65087661" w:rsidR="000363A2" w:rsidRDefault="00F10562" w:rsidP="000363A2">
      <w:pPr>
        <w:pStyle w:val="ListParagraph"/>
        <w:tabs>
          <w:tab w:val="left" w:pos="0"/>
        </w:tabs>
        <w:suppressAutoHyphens w:val="0"/>
        <w:spacing w:before="200" w:after="0" w:line="280" w:lineRule="exact"/>
        <w:ind w:left="0"/>
        <w:contextualSpacing w:val="0"/>
        <w:rPr>
          <w:iCs/>
          <w:sz w:val="21"/>
          <w:szCs w:val="21"/>
        </w:rPr>
      </w:pPr>
      <w:r>
        <w:rPr>
          <w:iCs/>
          <w:sz w:val="21"/>
          <w:szCs w:val="21"/>
        </w:rPr>
        <w:t>The CEOs of</w:t>
      </w:r>
      <w:r w:rsidR="00F0774A">
        <w:rPr>
          <w:iCs/>
          <w:sz w:val="21"/>
          <w:szCs w:val="21"/>
        </w:rPr>
        <w:t xml:space="preserve"> ANGOs participat</w:t>
      </w:r>
      <w:r w:rsidR="00183708">
        <w:rPr>
          <w:iCs/>
          <w:sz w:val="21"/>
          <w:szCs w:val="21"/>
        </w:rPr>
        <w:t>e</w:t>
      </w:r>
      <w:r w:rsidR="00F0774A">
        <w:rPr>
          <w:iCs/>
          <w:sz w:val="21"/>
          <w:szCs w:val="21"/>
        </w:rPr>
        <w:t xml:space="preserve"> in</w:t>
      </w:r>
      <w:r>
        <w:rPr>
          <w:iCs/>
          <w:sz w:val="21"/>
          <w:szCs w:val="21"/>
        </w:rPr>
        <w:t xml:space="preserve"> </w:t>
      </w:r>
      <w:r w:rsidR="00183708">
        <w:rPr>
          <w:iCs/>
          <w:sz w:val="21"/>
          <w:szCs w:val="21"/>
        </w:rPr>
        <w:t xml:space="preserve">annual </w:t>
      </w:r>
      <w:r w:rsidR="00B646EF">
        <w:rPr>
          <w:iCs/>
          <w:sz w:val="21"/>
          <w:szCs w:val="21"/>
        </w:rPr>
        <w:t xml:space="preserve">HRG </w:t>
      </w:r>
      <w:r>
        <w:rPr>
          <w:iCs/>
          <w:sz w:val="21"/>
          <w:szCs w:val="21"/>
        </w:rPr>
        <w:t>meet</w:t>
      </w:r>
      <w:r w:rsidR="00183708">
        <w:rPr>
          <w:iCs/>
          <w:sz w:val="21"/>
          <w:szCs w:val="21"/>
        </w:rPr>
        <w:t>ing</w:t>
      </w:r>
      <w:r w:rsidR="00BD6E32">
        <w:rPr>
          <w:iCs/>
          <w:sz w:val="21"/>
          <w:szCs w:val="21"/>
        </w:rPr>
        <w:t>s</w:t>
      </w:r>
      <w:r w:rsidR="00183708">
        <w:rPr>
          <w:iCs/>
          <w:sz w:val="21"/>
          <w:szCs w:val="21"/>
        </w:rPr>
        <w:t xml:space="preserve"> </w:t>
      </w:r>
      <w:r>
        <w:rPr>
          <w:iCs/>
          <w:sz w:val="21"/>
          <w:szCs w:val="21"/>
        </w:rPr>
        <w:t>with the First Assistant Secretary of DFAT HPD</w:t>
      </w:r>
      <w:r w:rsidR="00F0774A">
        <w:rPr>
          <w:iCs/>
          <w:sz w:val="21"/>
          <w:szCs w:val="21"/>
        </w:rPr>
        <w:t xml:space="preserve">. This is also an opportunity for </w:t>
      </w:r>
      <w:r w:rsidR="00AB3744">
        <w:rPr>
          <w:iCs/>
          <w:sz w:val="21"/>
          <w:szCs w:val="21"/>
        </w:rPr>
        <w:t>ANGOs</w:t>
      </w:r>
      <w:r>
        <w:rPr>
          <w:iCs/>
          <w:sz w:val="21"/>
          <w:szCs w:val="21"/>
        </w:rPr>
        <w:t xml:space="preserve"> to </w:t>
      </w:r>
      <w:r w:rsidR="00F0774A">
        <w:rPr>
          <w:iCs/>
          <w:sz w:val="21"/>
          <w:szCs w:val="21"/>
        </w:rPr>
        <w:t xml:space="preserve">raise and </w:t>
      </w:r>
      <w:r>
        <w:rPr>
          <w:iCs/>
          <w:sz w:val="21"/>
          <w:szCs w:val="21"/>
        </w:rPr>
        <w:t xml:space="preserve">discuss strategic and policy </w:t>
      </w:r>
      <w:r w:rsidR="00F0774A">
        <w:rPr>
          <w:iCs/>
          <w:sz w:val="21"/>
          <w:szCs w:val="21"/>
        </w:rPr>
        <w:t xml:space="preserve">issues related to </w:t>
      </w:r>
      <w:r>
        <w:rPr>
          <w:iCs/>
          <w:sz w:val="21"/>
          <w:szCs w:val="21"/>
        </w:rPr>
        <w:t>the AHP and Disaster READY</w:t>
      </w:r>
      <w:r w:rsidR="00F0774A">
        <w:rPr>
          <w:iCs/>
          <w:sz w:val="21"/>
          <w:szCs w:val="21"/>
        </w:rPr>
        <w:t xml:space="preserve"> with DFAT</w:t>
      </w:r>
      <w:r>
        <w:rPr>
          <w:iCs/>
          <w:sz w:val="21"/>
          <w:szCs w:val="21"/>
        </w:rPr>
        <w:t>.</w:t>
      </w:r>
    </w:p>
    <w:p w14:paraId="47CA3B73" w14:textId="00A52D2B" w:rsidR="000363A2" w:rsidRPr="00E93683" w:rsidRDefault="0015798F" w:rsidP="000363A2">
      <w:pPr>
        <w:pStyle w:val="ListParagraph"/>
        <w:tabs>
          <w:tab w:val="left" w:pos="0"/>
        </w:tabs>
        <w:suppressAutoHyphens w:val="0"/>
        <w:spacing w:before="200" w:after="0" w:line="280" w:lineRule="exact"/>
        <w:ind w:left="0"/>
        <w:contextualSpacing w:val="0"/>
        <w:rPr>
          <w:b/>
          <w:bCs/>
          <w:iCs/>
          <w:sz w:val="21"/>
          <w:szCs w:val="21"/>
        </w:rPr>
      </w:pPr>
      <w:r w:rsidRPr="00E93683">
        <w:rPr>
          <w:b/>
          <w:bCs/>
          <w:iCs/>
          <w:sz w:val="21"/>
          <w:szCs w:val="21"/>
        </w:rPr>
        <w:t>Partnership Health Checks</w:t>
      </w:r>
    </w:p>
    <w:p w14:paraId="0E4ADDE4" w14:textId="5C321A87" w:rsidR="0015798F" w:rsidRDefault="0015798F" w:rsidP="000363A2">
      <w:pPr>
        <w:pStyle w:val="ListParagraph"/>
        <w:tabs>
          <w:tab w:val="left" w:pos="0"/>
        </w:tabs>
        <w:suppressAutoHyphens w:val="0"/>
        <w:spacing w:before="200" w:after="0" w:line="280" w:lineRule="exact"/>
        <w:ind w:left="0"/>
        <w:contextualSpacing w:val="0"/>
        <w:rPr>
          <w:iCs/>
          <w:sz w:val="21"/>
          <w:szCs w:val="21"/>
        </w:rPr>
      </w:pPr>
      <w:r>
        <w:rPr>
          <w:iCs/>
          <w:sz w:val="21"/>
          <w:szCs w:val="21"/>
        </w:rPr>
        <w:t>The AHPSU will coordinate a</w:t>
      </w:r>
      <w:r w:rsidR="00602C58">
        <w:rPr>
          <w:iCs/>
          <w:sz w:val="21"/>
          <w:szCs w:val="21"/>
        </w:rPr>
        <w:t>n annual</w:t>
      </w:r>
      <w:r>
        <w:rPr>
          <w:iCs/>
          <w:sz w:val="21"/>
          <w:szCs w:val="21"/>
        </w:rPr>
        <w:t xml:space="preserve"> Partnership Health Check led by an external </w:t>
      </w:r>
      <w:r w:rsidR="00092045">
        <w:rPr>
          <w:iCs/>
          <w:sz w:val="21"/>
          <w:szCs w:val="21"/>
        </w:rPr>
        <w:t>partnership broker</w:t>
      </w:r>
      <w:r>
        <w:rPr>
          <w:iCs/>
          <w:sz w:val="21"/>
          <w:szCs w:val="21"/>
        </w:rPr>
        <w:t xml:space="preserve">. This provides an opportunity for AHP Partners to reflect on the principles of the Partnership, key achievements, </w:t>
      </w:r>
      <w:r w:rsidR="00D8748D">
        <w:rPr>
          <w:iCs/>
          <w:sz w:val="21"/>
          <w:szCs w:val="21"/>
        </w:rPr>
        <w:t>challenges,</w:t>
      </w:r>
      <w:r>
        <w:rPr>
          <w:iCs/>
          <w:sz w:val="21"/>
          <w:szCs w:val="21"/>
        </w:rPr>
        <w:t xml:space="preserve"> and issues emerging, and to reflect on roles and responsibilities through implementation and lessons learnt. An initial </w:t>
      </w:r>
      <w:r w:rsidR="002B390D">
        <w:rPr>
          <w:iCs/>
          <w:sz w:val="21"/>
          <w:szCs w:val="21"/>
        </w:rPr>
        <w:t>p</w:t>
      </w:r>
      <w:r>
        <w:rPr>
          <w:iCs/>
          <w:sz w:val="21"/>
          <w:szCs w:val="21"/>
        </w:rPr>
        <w:t xml:space="preserve">artnership brokering session will be convened </w:t>
      </w:r>
      <w:r w:rsidR="00B646EF">
        <w:rPr>
          <w:iCs/>
          <w:sz w:val="21"/>
          <w:szCs w:val="21"/>
        </w:rPr>
        <w:t>in the lead up to</w:t>
      </w:r>
      <w:r>
        <w:rPr>
          <w:iCs/>
          <w:sz w:val="21"/>
          <w:szCs w:val="21"/>
        </w:rPr>
        <w:t xml:space="preserve"> </w:t>
      </w:r>
      <w:r w:rsidR="00406F84">
        <w:rPr>
          <w:iCs/>
          <w:sz w:val="21"/>
          <w:szCs w:val="21"/>
        </w:rPr>
        <w:t>Phase II</w:t>
      </w:r>
      <w:r w:rsidR="002B390D">
        <w:rPr>
          <w:iCs/>
          <w:sz w:val="21"/>
          <w:szCs w:val="21"/>
        </w:rPr>
        <w:t>. This will</w:t>
      </w:r>
      <w:r>
        <w:rPr>
          <w:iCs/>
          <w:sz w:val="21"/>
          <w:szCs w:val="21"/>
        </w:rPr>
        <w:t xml:space="preserve"> </w:t>
      </w:r>
      <w:r w:rsidR="002B390D">
        <w:rPr>
          <w:iCs/>
          <w:sz w:val="21"/>
          <w:szCs w:val="21"/>
        </w:rPr>
        <w:t>negotiate</w:t>
      </w:r>
      <w:r>
        <w:rPr>
          <w:iCs/>
          <w:sz w:val="21"/>
          <w:szCs w:val="21"/>
        </w:rPr>
        <w:t xml:space="preserve"> and agree the </w:t>
      </w:r>
      <w:r w:rsidR="002B390D">
        <w:rPr>
          <w:iCs/>
          <w:sz w:val="21"/>
          <w:szCs w:val="21"/>
        </w:rPr>
        <w:t xml:space="preserve">nature and principles </w:t>
      </w:r>
      <w:r>
        <w:rPr>
          <w:iCs/>
          <w:sz w:val="21"/>
          <w:szCs w:val="21"/>
        </w:rPr>
        <w:t xml:space="preserve">of the </w:t>
      </w:r>
      <w:r w:rsidR="00602C58">
        <w:rPr>
          <w:iCs/>
          <w:sz w:val="21"/>
          <w:szCs w:val="21"/>
        </w:rPr>
        <w:t>P</w:t>
      </w:r>
      <w:r>
        <w:rPr>
          <w:iCs/>
          <w:sz w:val="21"/>
          <w:szCs w:val="21"/>
        </w:rPr>
        <w:t>artnership</w:t>
      </w:r>
      <w:r w:rsidR="002B390D">
        <w:rPr>
          <w:iCs/>
          <w:sz w:val="21"/>
          <w:szCs w:val="21"/>
        </w:rPr>
        <w:t xml:space="preserve"> </w:t>
      </w:r>
      <w:r w:rsidR="00D8748D">
        <w:rPr>
          <w:iCs/>
          <w:sz w:val="21"/>
          <w:szCs w:val="21"/>
        </w:rPr>
        <w:t>Charter and</w:t>
      </w:r>
      <w:r w:rsidR="002B390D">
        <w:rPr>
          <w:iCs/>
          <w:sz w:val="21"/>
          <w:szCs w:val="21"/>
        </w:rPr>
        <w:t xml:space="preserve"> determine the</w:t>
      </w:r>
      <w:r>
        <w:rPr>
          <w:iCs/>
          <w:sz w:val="21"/>
          <w:szCs w:val="21"/>
        </w:rPr>
        <w:t xml:space="preserve"> participation and process for the annual </w:t>
      </w:r>
      <w:r w:rsidR="00EA56EB">
        <w:rPr>
          <w:iCs/>
          <w:sz w:val="21"/>
          <w:szCs w:val="21"/>
        </w:rPr>
        <w:t>H</w:t>
      </w:r>
      <w:r>
        <w:rPr>
          <w:iCs/>
          <w:sz w:val="21"/>
          <w:szCs w:val="21"/>
        </w:rPr>
        <w:t xml:space="preserve">ealth </w:t>
      </w:r>
      <w:r w:rsidR="00EA56EB">
        <w:rPr>
          <w:iCs/>
          <w:sz w:val="21"/>
          <w:szCs w:val="21"/>
        </w:rPr>
        <w:t>C</w:t>
      </w:r>
      <w:r>
        <w:rPr>
          <w:iCs/>
          <w:sz w:val="21"/>
          <w:szCs w:val="21"/>
        </w:rPr>
        <w:t>heck.</w:t>
      </w:r>
    </w:p>
    <w:p w14:paraId="78022585" w14:textId="347E9783" w:rsidR="002A7C72" w:rsidRDefault="002A7C72" w:rsidP="003E2C60">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Pr>
          <w:iCs/>
          <w:sz w:val="21"/>
          <w:szCs w:val="21"/>
        </w:rPr>
        <w:t xml:space="preserve"> </w:t>
      </w:r>
      <w:r w:rsidR="00410CBD">
        <w:rPr>
          <w:iCs/>
          <w:sz w:val="21"/>
          <w:szCs w:val="21"/>
        </w:rPr>
        <w:t>There is also a separate c</w:t>
      </w:r>
      <w:r>
        <w:rPr>
          <w:iCs/>
          <w:sz w:val="21"/>
          <w:szCs w:val="21"/>
        </w:rPr>
        <w:t xml:space="preserve">ountry-level governance </w:t>
      </w:r>
      <w:r w:rsidR="00410CBD">
        <w:rPr>
          <w:iCs/>
          <w:sz w:val="21"/>
          <w:szCs w:val="21"/>
        </w:rPr>
        <w:t xml:space="preserve">structure for </w:t>
      </w:r>
      <w:r>
        <w:rPr>
          <w:iCs/>
          <w:sz w:val="21"/>
          <w:szCs w:val="21"/>
        </w:rPr>
        <w:t>Disaster READY</w:t>
      </w:r>
      <w:r w:rsidR="00410CBD">
        <w:rPr>
          <w:iCs/>
          <w:sz w:val="21"/>
          <w:szCs w:val="21"/>
        </w:rPr>
        <w:t>, which</w:t>
      </w:r>
      <w:r>
        <w:rPr>
          <w:iCs/>
          <w:sz w:val="21"/>
          <w:szCs w:val="21"/>
        </w:rPr>
        <w:t xml:space="preserve"> </w:t>
      </w:r>
      <w:r w:rsidR="00410CBD">
        <w:rPr>
          <w:iCs/>
          <w:sz w:val="21"/>
          <w:szCs w:val="21"/>
        </w:rPr>
        <w:t>is set out in Implementation Arrangements.</w:t>
      </w:r>
    </w:p>
    <w:p w14:paraId="26404557" w14:textId="77777777" w:rsidR="002B2605" w:rsidRPr="00A92894" w:rsidRDefault="002B2605" w:rsidP="00A92894">
      <w:pPr>
        <w:spacing w:before="200" w:after="0"/>
        <w:outlineLvl w:val="1"/>
        <w:rPr>
          <w:i/>
          <w:iCs/>
        </w:rPr>
      </w:pPr>
      <w:bookmarkStart w:id="33" w:name="_Toc101521657"/>
      <w:r w:rsidRPr="00A92894">
        <w:rPr>
          <w:i/>
          <w:iCs/>
        </w:rPr>
        <w:t>Roles and Responsibilities</w:t>
      </w:r>
      <w:bookmarkEnd w:id="33"/>
    </w:p>
    <w:p w14:paraId="0AB0E1CA" w14:textId="78FA53DF" w:rsidR="002B2605" w:rsidRPr="00944E37" w:rsidRDefault="002B2605" w:rsidP="002B2605">
      <w:pPr>
        <w:pStyle w:val="ListParagraph"/>
        <w:numPr>
          <w:ilvl w:val="0"/>
          <w:numId w:val="12"/>
        </w:numPr>
        <w:tabs>
          <w:tab w:val="left" w:pos="284"/>
        </w:tabs>
        <w:suppressAutoHyphens w:val="0"/>
        <w:spacing w:before="200" w:after="0" w:line="280" w:lineRule="exact"/>
        <w:ind w:left="0" w:firstLine="0"/>
        <w:contextualSpacing w:val="0"/>
        <w:rPr>
          <w:iCs/>
        </w:rPr>
      </w:pPr>
      <w:r>
        <w:rPr>
          <w:iCs/>
        </w:rPr>
        <w:t xml:space="preserve"> </w:t>
      </w:r>
      <w:r w:rsidR="00101E60">
        <w:rPr>
          <w:iCs/>
        </w:rPr>
        <w:t xml:space="preserve">The roles and responsibilities of the key AHP </w:t>
      </w:r>
      <w:r w:rsidR="00B0354F">
        <w:rPr>
          <w:iCs/>
        </w:rPr>
        <w:t>s</w:t>
      </w:r>
      <w:r w:rsidR="00101E60">
        <w:rPr>
          <w:iCs/>
        </w:rPr>
        <w:t xml:space="preserve">takeholders in </w:t>
      </w:r>
      <w:r w:rsidR="00406F84">
        <w:rPr>
          <w:iCs/>
        </w:rPr>
        <w:t>Phase II</w:t>
      </w:r>
      <w:r w:rsidR="00101E60">
        <w:rPr>
          <w:iCs/>
        </w:rPr>
        <w:t xml:space="preserve"> will be as follows.</w:t>
      </w:r>
      <w:r>
        <w:rPr>
          <w:iCs/>
        </w:rPr>
        <w:t xml:space="preserve"> </w:t>
      </w:r>
    </w:p>
    <w:p w14:paraId="3ED2CB4A" w14:textId="2C4CC640" w:rsidR="002B2605" w:rsidRPr="003E2C60" w:rsidRDefault="002B2605" w:rsidP="003E2C60">
      <w:pPr>
        <w:widowControl w:val="0"/>
        <w:autoSpaceDE w:val="0"/>
        <w:autoSpaceDN w:val="0"/>
        <w:adjustRightInd w:val="0"/>
        <w:spacing w:before="0" w:after="120" w:line="360" w:lineRule="atLeast"/>
        <w:rPr>
          <w:b/>
          <w:lang w:val="en-AU"/>
        </w:rPr>
      </w:pPr>
      <w:r w:rsidRPr="003E2C60">
        <w:rPr>
          <w:b/>
          <w:lang w:val="en-AU"/>
        </w:rPr>
        <w:t xml:space="preserve">AHP </w:t>
      </w:r>
      <w:r w:rsidR="002F2928" w:rsidRPr="003E2C60">
        <w:rPr>
          <w:b/>
          <w:lang w:val="en-AU"/>
        </w:rPr>
        <w:t>A</w:t>
      </w:r>
      <w:r w:rsidRPr="003E2C60">
        <w:rPr>
          <w:b/>
          <w:lang w:val="en-AU"/>
        </w:rPr>
        <w:t>NGOs</w:t>
      </w:r>
    </w:p>
    <w:p w14:paraId="37CDA59B" w14:textId="77777777" w:rsidR="002B2605" w:rsidRPr="003E2C60" w:rsidRDefault="002B2605" w:rsidP="003E2C60">
      <w:pPr>
        <w:pStyle w:val="ListParagraph"/>
        <w:tabs>
          <w:tab w:val="left" w:pos="0"/>
        </w:tabs>
        <w:suppressAutoHyphens w:val="0"/>
        <w:spacing w:after="0" w:line="280" w:lineRule="exact"/>
        <w:ind w:left="0"/>
        <w:contextualSpacing w:val="0"/>
        <w:rPr>
          <w:iCs/>
          <w:sz w:val="21"/>
          <w:szCs w:val="21"/>
        </w:rPr>
      </w:pPr>
      <w:r w:rsidRPr="003E2C60">
        <w:rPr>
          <w:iCs/>
          <w:sz w:val="21"/>
          <w:szCs w:val="21"/>
        </w:rPr>
        <w:t xml:space="preserve">AHP lead NGOs are the contract leads for their consortia. They are responsible for: </w:t>
      </w:r>
    </w:p>
    <w:p w14:paraId="67570F56" w14:textId="75B2D58C" w:rsidR="002B2605" w:rsidRPr="003E2C60" w:rsidRDefault="002B2605" w:rsidP="0011591E">
      <w:pPr>
        <w:pStyle w:val="ListParagraph"/>
        <w:numPr>
          <w:ilvl w:val="0"/>
          <w:numId w:val="36"/>
        </w:numPr>
        <w:suppressAutoHyphens w:val="0"/>
        <w:spacing w:before="60" w:line="280" w:lineRule="exact"/>
        <w:ind w:left="714" w:hanging="357"/>
        <w:contextualSpacing w:val="0"/>
        <w:rPr>
          <w:sz w:val="21"/>
          <w:szCs w:val="21"/>
        </w:rPr>
      </w:pPr>
      <w:r w:rsidRPr="003E2C60">
        <w:rPr>
          <w:sz w:val="21"/>
          <w:szCs w:val="21"/>
        </w:rPr>
        <w:t xml:space="preserve">having a representative at </w:t>
      </w:r>
      <w:r w:rsidR="004F7714">
        <w:rPr>
          <w:sz w:val="21"/>
          <w:szCs w:val="21"/>
        </w:rPr>
        <w:t xml:space="preserve">AHP </w:t>
      </w:r>
      <w:r w:rsidRPr="003E2C60">
        <w:rPr>
          <w:sz w:val="21"/>
          <w:szCs w:val="21"/>
        </w:rPr>
        <w:t xml:space="preserve">Steering Committee </w:t>
      </w:r>
      <w:r w:rsidR="00A54E03">
        <w:rPr>
          <w:sz w:val="21"/>
          <w:szCs w:val="21"/>
        </w:rPr>
        <w:t xml:space="preserve">and </w:t>
      </w:r>
      <w:r w:rsidR="00C84E45">
        <w:rPr>
          <w:sz w:val="21"/>
          <w:szCs w:val="21"/>
        </w:rPr>
        <w:t>DRCC</w:t>
      </w:r>
      <w:r w:rsidR="00A54E03">
        <w:rPr>
          <w:sz w:val="21"/>
          <w:szCs w:val="21"/>
        </w:rPr>
        <w:t xml:space="preserve"> </w:t>
      </w:r>
      <w:r w:rsidRPr="003E2C60">
        <w:rPr>
          <w:sz w:val="21"/>
          <w:szCs w:val="21"/>
        </w:rPr>
        <w:t xml:space="preserve">meetings and </w:t>
      </w:r>
      <w:r w:rsidR="00D5043B">
        <w:rPr>
          <w:sz w:val="21"/>
          <w:szCs w:val="21"/>
        </w:rPr>
        <w:t>facilitating</w:t>
      </w:r>
      <w:r w:rsidR="00D5043B" w:rsidRPr="003E2C60">
        <w:rPr>
          <w:sz w:val="21"/>
          <w:szCs w:val="21"/>
        </w:rPr>
        <w:t xml:space="preserve"> </w:t>
      </w:r>
      <w:r w:rsidRPr="003E2C60">
        <w:rPr>
          <w:sz w:val="21"/>
          <w:szCs w:val="21"/>
        </w:rPr>
        <w:t xml:space="preserve">the </w:t>
      </w:r>
      <w:r w:rsidR="004E629B">
        <w:rPr>
          <w:sz w:val="21"/>
          <w:szCs w:val="21"/>
        </w:rPr>
        <w:t>voices</w:t>
      </w:r>
      <w:r w:rsidR="004E629B" w:rsidRPr="003E2C60">
        <w:rPr>
          <w:sz w:val="21"/>
          <w:szCs w:val="21"/>
        </w:rPr>
        <w:t xml:space="preserve"> </w:t>
      </w:r>
      <w:r w:rsidRPr="003E2C60">
        <w:rPr>
          <w:sz w:val="21"/>
          <w:szCs w:val="21"/>
        </w:rPr>
        <w:t>of their country-based teams</w:t>
      </w:r>
      <w:r w:rsidR="00A54E03">
        <w:rPr>
          <w:sz w:val="21"/>
          <w:szCs w:val="21"/>
        </w:rPr>
        <w:t xml:space="preserve">, </w:t>
      </w:r>
      <w:r w:rsidRPr="003E2C60">
        <w:rPr>
          <w:sz w:val="21"/>
          <w:szCs w:val="21"/>
        </w:rPr>
        <w:t>consortium members</w:t>
      </w:r>
      <w:r w:rsidR="00A54E03">
        <w:rPr>
          <w:sz w:val="21"/>
          <w:szCs w:val="21"/>
        </w:rPr>
        <w:t xml:space="preserve"> and local partners </w:t>
      </w:r>
      <w:r w:rsidR="00D5043B">
        <w:rPr>
          <w:sz w:val="21"/>
          <w:szCs w:val="21"/>
        </w:rPr>
        <w:t xml:space="preserve">to be </w:t>
      </w:r>
      <w:r w:rsidR="004E629B">
        <w:rPr>
          <w:sz w:val="21"/>
          <w:szCs w:val="21"/>
        </w:rPr>
        <w:t xml:space="preserve">heard </w:t>
      </w:r>
      <w:r w:rsidR="00026114">
        <w:rPr>
          <w:sz w:val="21"/>
          <w:szCs w:val="21"/>
        </w:rPr>
        <w:t>in the appropriate fora</w:t>
      </w:r>
      <w:r w:rsidRPr="003E2C60">
        <w:rPr>
          <w:sz w:val="21"/>
          <w:szCs w:val="21"/>
        </w:rPr>
        <w:t>;</w:t>
      </w:r>
    </w:p>
    <w:p w14:paraId="656354A1" w14:textId="63034877" w:rsidR="008E2AA2" w:rsidRPr="004F7714" w:rsidRDefault="008E2AA2" w:rsidP="0011591E">
      <w:pPr>
        <w:pStyle w:val="ListParagraph"/>
        <w:numPr>
          <w:ilvl w:val="0"/>
          <w:numId w:val="36"/>
        </w:numPr>
        <w:suppressAutoHyphens w:val="0"/>
        <w:spacing w:before="60" w:line="280" w:lineRule="exact"/>
        <w:ind w:left="714" w:hanging="357"/>
        <w:contextualSpacing w:val="0"/>
        <w:rPr>
          <w:sz w:val="21"/>
          <w:szCs w:val="21"/>
        </w:rPr>
      </w:pPr>
      <w:r>
        <w:rPr>
          <w:sz w:val="21"/>
          <w:szCs w:val="21"/>
        </w:rPr>
        <w:t>u</w:t>
      </w:r>
      <w:r w:rsidRPr="004F7714">
        <w:rPr>
          <w:sz w:val="21"/>
          <w:szCs w:val="21"/>
        </w:rPr>
        <w:t>ndertaking ongoing strategic and context analysis</w:t>
      </w:r>
      <w:r w:rsidR="00E07B98">
        <w:rPr>
          <w:sz w:val="21"/>
          <w:szCs w:val="21"/>
        </w:rPr>
        <w:t>, provid</w:t>
      </w:r>
      <w:r w:rsidR="005159EC">
        <w:rPr>
          <w:sz w:val="21"/>
          <w:szCs w:val="21"/>
        </w:rPr>
        <w:t>ing</w:t>
      </w:r>
      <w:r w:rsidR="00E07B98">
        <w:rPr>
          <w:sz w:val="21"/>
          <w:szCs w:val="21"/>
        </w:rPr>
        <w:t xml:space="preserve"> </w:t>
      </w:r>
      <w:r w:rsidR="00D8748D">
        <w:rPr>
          <w:sz w:val="21"/>
          <w:szCs w:val="21"/>
        </w:rPr>
        <w:t>advice,</w:t>
      </w:r>
      <w:r w:rsidR="00E07B98">
        <w:rPr>
          <w:sz w:val="21"/>
          <w:szCs w:val="21"/>
        </w:rPr>
        <w:t xml:space="preserve"> and work</w:t>
      </w:r>
      <w:r w:rsidR="005159EC">
        <w:rPr>
          <w:sz w:val="21"/>
          <w:szCs w:val="21"/>
        </w:rPr>
        <w:t>ing</w:t>
      </w:r>
      <w:r w:rsidR="00E07B98">
        <w:rPr>
          <w:sz w:val="21"/>
          <w:szCs w:val="21"/>
        </w:rPr>
        <w:t xml:space="preserve"> in partnership</w:t>
      </w:r>
      <w:r w:rsidRPr="004F7714">
        <w:rPr>
          <w:sz w:val="21"/>
          <w:szCs w:val="21"/>
        </w:rPr>
        <w:t xml:space="preserve"> to </w:t>
      </w:r>
      <w:r w:rsidR="00D72A3C">
        <w:rPr>
          <w:sz w:val="21"/>
          <w:szCs w:val="21"/>
        </w:rPr>
        <w:t>support the</w:t>
      </w:r>
      <w:r>
        <w:rPr>
          <w:sz w:val="21"/>
          <w:szCs w:val="21"/>
        </w:rPr>
        <w:t xml:space="preserve"> </w:t>
      </w:r>
      <w:r w:rsidRPr="004F7714">
        <w:rPr>
          <w:sz w:val="21"/>
          <w:szCs w:val="21"/>
        </w:rPr>
        <w:t xml:space="preserve">Steering </w:t>
      </w:r>
      <w:r w:rsidR="00B0354F">
        <w:rPr>
          <w:sz w:val="21"/>
          <w:szCs w:val="21"/>
        </w:rPr>
        <w:t xml:space="preserve">Committee </w:t>
      </w:r>
      <w:r>
        <w:rPr>
          <w:sz w:val="21"/>
          <w:szCs w:val="21"/>
        </w:rPr>
        <w:t xml:space="preserve">and </w:t>
      </w:r>
      <w:r w:rsidR="00C84E45">
        <w:rPr>
          <w:sz w:val="21"/>
          <w:szCs w:val="21"/>
        </w:rPr>
        <w:t>DRCCs</w:t>
      </w:r>
      <w:r w:rsidR="00D72A3C">
        <w:rPr>
          <w:sz w:val="21"/>
          <w:szCs w:val="21"/>
        </w:rPr>
        <w:t xml:space="preserve"> to achieve the EOPOs</w:t>
      </w:r>
      <w:r>
        <w:rPr>
          <w:sz w:val="21"/>
          <w:szCs w:val="21"/>
        </w:rPr>
        <w:t>;</w:t>
      </w:r>
      <w:r w:rsidRPr="004F7714">
        <w:rPr>
          <w:sz w:val="21"/>
          <w:szCs w:val="21"/>
        </w:rPr>
        <w:t xml:space="preserve"> </w:t>
      </w:r>
    </w:p>
    <w:p w14:paraId="11F442E4" w14:textId="6152AAB6" w:rsidR="002B2605" w:rsidRPr="003E2C60" w:rsidRDefault="002B2605" w:rsidP="0011591E">
      <w:pPr>
        <w:pStyle w:val="ListParagraph"/>
        <w:numPr>
          <w:ilvl w:val="0"/>
          <w:numId w:val="36"/>
        </w:numPr>
        <w:suppressAutoHyphens w:val="0"/>
        <w:spacing w:before="60" w:line="280" w:lineRule="exact"/>
        <w:ind w:left="714" w:hanging="357"/>
        <w:contextualSpacing w:val="0"/>
        <w:rPr>
          <w:sz w:val="21"/>
          <w:szCs w:val="21"/>
        </w:rPr>
      </w:pPr>
      <w:r w:rsidRPr="003E2C60">
        <w:rPr>
          <w:sz w:val="21"/>
          <w:szCs w:val="21"/>
        </w:rPr>
        <w:t>communicating in a timely way with their country and consortium members</w:t>
      </w:r>
      <w:r w:rsidR="00026114">
        <w:rPr>
          <w:sz w:val="21"/>
          <w:szCs w:val="21"/>
        </w:rPr>
        <w:t xml:space="preserve"> and local partners</w:t>
      </w:r>
      <w:r w:rsidRPr="003E2C60">
        <w:rPr>
          <w:sz w:val="21"/>
          <w:szCs w:val="21"/>
        </w:rPr>
        <w:t xml:space="preserve"> about the strategic directions, </w:t>
      </w:r>
      <w:r w:rsidR="00D8748D" w:rsidRPr="003E2C60">
        <w:rPr>
          <w:sz w:val="21"/>
          <w:szCs w:val="21"/>
        </w:rPr>
        <w:t>recommendations,</w:t>
      </w:r>
      <w:r w:rsidRPr="003E2C60">
        <w:rPr>
          <w:sz w:val="21"/>
          <w:szCs w:val="21"/>
        </w:rPr>
        <w:t xml:space="preserve"> and decisions of the Steering </w:t>
      </w:r>
      <w:r w:rsidR="00026114">
        <w:rPr>
          <w:sz w:val="21"/>
          <w:szCs w:val="21"/>
        </w:rPr>
        <w:t xml:space="preserve">and </w:t>
      </w:r>
      <w:r w:rsidR="00C84E45">
        <w:rPr>
          <w:sz w:val="21"/>
          <w:szCs w:val="21"/>
        </w:rPr>
        <w:t>DRCCs</w:t>
      </w:r>
      <w:r w:rsidRPr="003E2C60">
        <w:rPr>
          <w:sz w:val="21"/>
          <w:szCs w:val="21"/>
        </w:rPr>
        <w:t xml:space="preserve">; </w:t>
      </w:r>
    </w:p>
    <w:p w14:paraId="16DDD2CD" w14:textId="769CADB7" w:rsidR="00A5661C" w:rsidRDefault="00952518" w:rsidP="0011591E">
      <w:pPr>
        <w:pStyle w:val="ListParagraph"/>
        <w:numPr>
          <w:ilvl w:val="0"/>
          <w:numId w:val="36"/>
        </w:numPr>
        <w:suppressAutoHyphens w:val="0"/>
        <w:spacing w:before="60" w:line="280" w:lineRule="exact"/>
        <w:ind w:left="714" w:hanging="357"/>
        <w:contextualSpacing w:val="0"/>
        <w:rPr>
          <w:sz w:val="21"/>
          <w:szCs w:val="21"/>
        </w:rPr>
      </w:pPr>
      <w:r>
        <w:rPr>
          <w:sz w:val="21"/>
          <w:szCs w:val="21"/>
        </w:rPr>
        <w:t xml:space="preserve">ensuring </w:t>
      </w:r>
      <w:r w:rsidR="00A5661C">
        <w:rPr>
          <w:sz w:val="21"/>
          <w:szCs w:val="21"/>
        </w:rPr>
        <w:t>approved response proposals</w:t>
      </w:r>
      <w:r>
        <w:rPr>
          <w:sz w:val="21"/>
          <w:szCs w:val="21"/>
        </w:rPr>
        <w:t xml:space="preserve">, </w:t>
      </w:r>
      <w:r w:rsidR="00A5661C">
        <w:rPr>
          <w:sz w:val="21"/>
          <w:szCs w:val="21"/>
        </w:rPr>
        <w:t>Disaster READY Activity Plans</w:t>
      </w:r>
      <w:r w:rsidR="00E76FD5">
        <w:rPr>
          <w:sz w:val="21"/>
          <w:szCs w:val="21"/>
        </w:rPr>
        <w:t xml:space="preserve">, </w:t>
      </w:r>
      <w:r w:rsidR="007C4B76">
        <w:rPr>
          <w:sz w:val="21"/>
          <w:szCs w:val="21"/>
        </w:rPr>
        <w:t xml:space="preserve">GEDSI and </w:t>
      </w:r>
      <w:r w:rsidR="00141F5A">
        <w:rPr>
          <w:sz w:val="21"/>
          <w:szCs w:val="21"/>
        </w:rPr>
        <w:t>Localisation Strategies</w:t>
      </w:r>
      <w:r w:rsidR="007C4B76">
        <w:rPr>
          <w:sz w:val="21"/>
          <w:szCs w:val="21"/>
        </w:rPr>
        <w:t xml:space="preserve">, </w:t>
      </w:r>
      <w:r w:rsidR="00141F5A">
        <w:rPr>
          <w:sz w:val="21"/>
          <w:szCs w:val="21"/>
        </w:rPr>
        <w:t xml:space="preserve">Learning </w:t>
      </w:r>
      <w:r w:rsidR="007C4B76">
        <w:rPr>
          <w:sz w:val="21"/>
          <w:szCs w:val="21"/>
        </w:rPr>
        <w:t xml:space="preserve">Action </w:t>
      </w:r>
      <w:r w:rsidR="00141F5A">
        <w:rPr>
          <w:sz w:val="21"/>
          <w:szCs w:val="21"/>
        </w:rPr>
        <w:t xml:space="preserve">Agendas, </w:t>
      </w:r>
      <w:r>
        <w:rPr>
          <w:sz w:val="21"/>
          <w:szCs w:val="21"/>
        </w:rPr>
        <w:t xml:space="preserve">and agreed in-country collaboration and coordination </w:t>
      </w:r>
      <w:r>
        <w:rPr>
          <w:sz w:val="21"/>
          <w:szCs w:val="21"/>
        </w:rPr>
        <w:lastRenderedPageBreak/>
        <w:t>arrangements are implemented</w:t>
      </w:r>
      <w:r w:rsidR="00A5661C">
        <w:rPr>
          <w:sz w:val="21"/>
          <w:szCs w:val="21"/>
        </w:rPr>
        <w:t xml:space="preserve"> to a high standard, in accordance with </w:t>
      </w:r>
      <w:r w:rsidR="00C83617">
        <w:rPr>
          <w:sz w:val="21"/>
          <w:szCs w:val="21"/>
        </w:rPr>
        <w:t xml:space="preserve">the Program Principles and </w:t>
      </w:r>
      <w:r w:rsidR="00A5661C">
        <w:rPr>
          <w:sz w:val="21"/>
          <w:szCs w:val="21"/>
        </w:rPr>
        <w:t xml:space="preserve">applicable humanitarian </w:t>
      </w:r>
      <w:r w:rsidR="00B0354F">
        <w:rPr>
          <w:sz w:val="21"/>
          <w:szCs w:val="21"/>
        </w:rPr>
        <w:t>and DFAT</w:t>
      </w:r>
      <w:r w:rsidR="00A5661C">
        <w:rPr>
          <w:sz w:val="21"/>
          <w:szCs w:val="21"/>
        </w:rPr>
        <w:t xml:space="preserve"> standards;</w:t>
      </w:r>
    </w:p>
    <w:p w14:paraId="2C3F62F9" w14:textId="2C79D712" w:rsidR="00CF542D" w:rsidRPr="004F7714" w:rsidRDefault="00CF542D" w:rsidP="0011591E">
      <w:pPr>
        <w:pStyle w:val="ListParagraph"/>
        <w:numPr>
          <w:ilvl w:val="0"/>
          <w:numId w:val="36"/>
        </w:numPr>
        <w:suppressAutoHyphens w:val="0"/>
        <w:spacing w:before="60" w:line="280" w:lineRule="exact"/>
        <w:ind w:left="714" w:hanging="357"/>
        <w:contextualSpacing w:val="0"/>
        <w:rPr>
          <w:sz w:val="21"/>
          <w:szCs w:val="21"/>
        </w:rPr>
      </w:pPr>
      <w:r>
        <w:rPr>
          <w:sz w:val="21"/>
          <w:szCs w:val="21"/>
        </w:rPr>
        <w:t>e</w:t>
      </w:r>
      <w:r w:rsidRPr="004F7714">
        <w:rPr>
          <w:sz w:val="21"/>
          <w:szCs w:val="21"/>
        </w:rPr>
        <w:t>nsuring that agreed approaches</w:t>
      </w:r>
      <w:r w:rsidR="00EB16F1">
        <w:rPr>
          <w:sz w:val="21"/>
          <w:szCs w:val="21"/>
        </w:rPr>
        <w:t xml:space="preserve">, </w:t>
      </w:r>
      <w:r w:rsidRPr="004F7714">
        <w:rPr>
          <w:sz w:val="21"/>
          <w:szCs w:val="21"/>
        </w:rPr>
        <w:t xml:space="preserve">strategies </w:t>
      </w:r>
      <w:r w:rsidR="00EB16F1">
        <w:rPr>
          <w:sz w:val="21"/>
          <w:szCs w:val="21"/>
        </w:rPr>
        <w:t xml:space="preserve">and plans </w:t>
      </w:r>
      <w:r w:rsidRPr="004F7714">
        <w:rPr>
          <w:sz w:val="21"/>
          <w:szCs w:val="21"/>
        </w:rPr>
        <w:t>for MEL</w:t>
      </w:r>
      <w:r w:rsidR="005160FE">
        <w:rPr>
          <w:sz w:val="21"/>
          <w:szCs w:val="21"/>
        </w:rPr>
        <w:t xml:space="preserve"> </w:t>
      </w:r>
      <w:r w:rsidRPr="004F7714">
        <w:rPr>
          <w:sz w:val="21"/>
          <w:szCs w:val="21"/>
        </w:rPr>
        <w:t xml:space="preserve">are </w:t>
      </w:r>
      <w:r w:rsidR="00EB16F1">
        <w:rPr>
          <w:sz w:val="21"/>
          <w:szCs w:val="21"/>
        </w:rPr>
        <w:t>implemented</w:t>
      </w:r>
      <w:r w:rsidRPr="004F7714">
        <w:rPr>
          <w:sz w:val="21"/>
          <w:szCs w:val="21"/>
        </w:rPr>
        <w:t xml:space="preserve"> </w:t>
      </w:r>
      <w:r>
        <w:rPr>
          <w:sz w:val="21"/>
          <w:szCs w:val="21"/>
        </w:rPr>
        <w:t xml:space="preserve">as part of </w:t>
      </w:r>
      <w:r w:rsidR="00680372">
        <w:rPr>
          <w:sz w:val="21"/>
          <w:szCs w:val="21"/>
        </w:rPr>
        <w:t>all activities</w:t>
      </w:r>
      <w:r w:rsidRPr="004F7714">
        <w:rPr>
          <w:sz w:val="21"/>
          <w:szCs w:val="21"/>
        </w:rPr>
        <w:t xml:space="preserve">, </w:t>
      </w:r>
      <w:r w:rsidR="008E2AA2">
        <w:rPr>
          <w:sz w:val="21"/>
          <w:szCs w:val="21"/>
        </w:rPr>
        <w:t>including</w:t>
      </w:r>
      <w:r w:rsidRPr="004F7714">
        <w:rPr>
          <w:sz w:val="21"/>
          <w:szCs w:val="21"/>
        </w:rPr>
        <w:t xml:space="preserve"> seeking feedback</w:t>
      </w:r>
      <w:r w:rsidR="00680372">
        <w:rPr>
          <w:sz w:val="21"/>
          <w:szCs w:val="21"/>
        </w:rPr>
        <w:t xml:space="preserve"> </w:t>
      </w:r>
      <w:r w:rsidRPr="004F7714">
        <w:rPr>
          <w:sz w:val="21"/>
          <w:szCs w:val="21"/>
        </w:rPr>
        <w:t>from local communities</w:t>
      </w:r>
      <w:r w:rsidR="005159EC" w:rsidRPr="005159EC">
        <w:rPr>
          <w:sz w:val="21"/>
          <w:szCs w:val="21"/>
        </w:rPr>
        <w:t xml:space="preserve"> </w:t>
      </w:r>
      <w:r w:rsidR="005159EC">
        <w:rPr>
          <w:sz w:val="21"/>
          <w:szCs w:val="21"/>
        </w:rPr>
        <w:t>and ensuring high quality</w:t>
      </w:r>
      <w:r w:rsidR="005159EC" w:rsidRPr="005F3E20">
        <w:rPr>
          <w:sz w:val="21"/>
          <w:szCs w:val="21"/>
        </w:rPr>
        <w:t xml:space="preserve"> activity</w:t>
      </w:r>
      <w:r w:rsidR="005159EC">
        <w:rPr>
          <w:sz w:val="21"/>
          <w:szCs w:val="21"/>
        </w:rPr>
        <w:t xml:space="preserve"> and budget </w:t>
      </w:r>
      <w:r w:rsidR="006B3C0C">
        <w:rPr>
          <w:sz w:val="21"/>
          <w:szCs w:val="21"/>
        </w:rPr>
        <w:t>monitoring and reporting in accordance with the MEL Framework (MELF)</w:t>
      </w:r>
      <w:r w:rsidR="008E2AA2">
        <w:rPr>
          <w:sz w:val="21"/>
          <w:szCs w:val="21"/>
        </w:rPr>
        <w:t>;</w:t>
      </w:r>
    </w:p>
    <w:p w14:paraId="7B76FF19" w14:textId="288BCA14" w:rsidR="008E2AA2" w:rsidRPr="004F7714" w:rsidRDefault="002B2605" w:rsidP="0011591E">
      <w:pPr>
        <w:pStyle w:val="ListParagraph"/>
        <w:numPr>
          <w:ilvl w:val="0"/>
          <w:numId w:val="36"/>
        </w:numPr>
        <w:suppressAutoHyphens w:val="0"/>
        <w:spacing w:before="60" w:line="280" w:lineRule="exact"/>
        <w:ind w:left="714" w:hanging="357"/>
        <w:contextualSpacing w:val="0"/>
        <w:rPr>
          <w:sz w:val="21"/>
          <w:szCs w:val="21"/>
        </w:rPr>
      </w:pPr>
      <w:r w:rsidRPr="003E2C60">
        <w:rPr>
          <w:sz w:val="21"/>
          <w:szCs w:val="21"/>
        </w:rPr>
        <w:t>engaging in program review and planning processes and sharing lessons learnt across their countries of operation</w:t>
      </w:r>
      <w:r w:rsidR="008E2AA2">
        <w:rPr>
          <w:sz w:val="21"/>
          <w:szCs w:val="21"/>
        </w:rPr>
        <w:t>, including c</w:t>
      </w:r>
      <w:r w:rsidR="008E2AA2" w:rsidRPr="004F7714">
        <w:rPr>
          <w:sz w:val="21"/>
          <w:szCs w:val="21"/>
        </w:rPr>
        <w:t xml:space="preserve">ontributing to the analysis, sharing of lessons, and performance review of the </w:t>
      </w:r>
      <w:r w:rsidR="008E2AA2">
        <w:rPr>
          <w:sz w:val="21"/>
          <w:szCs w:val="21"/>
        </w:rPr>
        <w:t xml:space="preserve">Disaster READY </w:t>
      </w:r>
      <w:r w:rsidR="008E2AA2" w:rsidRPr="004F7714">
        <w:rPr>
          <w:sz w:val="21"/>
          <w:szCs w:val="21"/>
        </w:rPr>
        <w:t>Country Plans</w:t>
      </w:r>
      <w:r w:rsidR="008E2AA2">
        <w:rPr>
          <w:sz w:val="21"/>
          <w:szCs w:val="21"/>
        </w:rPr>
        <w:t>;</w:t>
      </w:r>
    </w:p>
    <w:p w14:paraId="4AD29E1E" w14:textId="1A2E5E25" w:rsidR="001F1940" w:rsidRDefault="00C36E67" w:rsidP="0011591E">
      <w:pPr>
        <w:pStyle w:val="ListParagraph"/>
        <w:numPr>
          <w:ilvl w:val="0"/>
          <w:numId w:val="36"/>
        </w:numPr>
        <w:suppressAutoHyphens w:val="0"/>
        <w:spacing w:before="60" w:line="280" w:lineRule="exact"/>
        <w:ind w:left="714" w:hanging="357"/>
        <w:contextualSpacing w:val="0"/>
        <w:rPr>
          <w:sz w:val="21"/>
          <w:szCs w:val="21"/>
        </w:rPr>
      </w:pPr>
      <w:r>
        <w:rPr>
          <w:sz w:val="21"/>
          <w:szCs w:val="21"/>
        </w:rPr>
        <w:t xml:space="preserve">complying, and </w:t>
      </w:r>
      <w:r w:rsidR="00717068">
        <w:rPr>
          <w:sz w:val="21"/>
          <w:szCs w:val="21"/>
        </w:rPr>
        <w:t>building the</w:t>
      </w:r>
      <w:r w:rsidR="005160FE">
        <w:rPr>
          <w:sz w:val="21"/>
          <w:szCs w:val="21"/>
        </w:rPr>
        <w:t xml:space="preserve"> capacity of </w:t>
      </w:r>
      <w:r w:rsidR="0066614E">
        <w:rPr>
          <w:sz w:val="21"/>
          <w:szCs w:val="21"/>
        </w:rPr>
        <w:t xml:space="preserve">downstream </w:t>
      </w:r>
      <w:r w:rsidR="005160FE">
        <w:rPr>
          <w:sz w:val="21"/>
          <w:szCs w:val="21"/>
        </w:rPr>
        <w:t xml:space="preserve">partners </w:t>
      </w:r>
      <w:r>
        <w:rPr>
          <w:sz w:val="21"/>
          <w:szCs w:val="21"/>
        </w:rPr>
        <w:t>so they comply, with</w:t>
      </w:r>
      <w:r w:rsidR="008E2AA2" w:rsidRPr="004F7714">
        <w:rPr>
          <w:sz w:val="21"/>
          <w:szCs w:val="21"/>
        </w:rPr>
        <w:t xml:space="preserve"> </w:t>
      </w:r>
      <w:r>
        <w:rPr>
          <w:sz w:val="21"/>
          <w:szCs w:val="21"/>
        </w:rPr>
        <w:t xml:space="preserve">all </w:t>
      </w:r>
      <w:r w:rsidR="008E2AA2" w:rsidRPr="004F7714">
        <w:rPr>
          <w:sz w:val="21"/>
          <w:szCs w:val="21"/>
        </w:rPr>
        <w:t xml:space="preserve">contractual and compliance obligations of the Head Contracts and </w:t>
      </w:r>
      <w:r w:rsidR="000C1BD3">
        <w:rPr>
          <w:sz w:val="21"/>
          <w:szCs w:val="21"/>
        </w:rPr>
        <w:t>Grant</w:t>
      </w:r>
      <w:r w:rsidR="000C1BD3" w:rsidRPr="004F7714">
        <w:rPr>
          <w:sz w:val="21"/>
          <w:szCs w:val="21"/>
        </w:rPr>
        <w:t xml:space="preserve"> </w:t>
      </w:r>
      <w:r w:rsidR="008E2AA2" w:rsidRPr="004F7714">
        <w:rPr>
          <w:sz w:val="21"/>
          <w:szCs w:val="21"/>
        </w:rPr>
        <w:t>Orders (including safeguards, risk management and fraud)</w:t>
      </w:r>
      <w:r w:rsidR="008E2AA2">
        <w:rPr>
          <w:sz w:val="21"/>
          <w:szCs w:val="21"/>
        </w:rPr>
        <w:t xml:space="preserve">; </w:t>
      </w:r>
    </w:p>
    <w:p w14:paraId="6DC21FE4" w14:textId="30F5DB29" w:rsidR="008E2AA2" w:rsidRPr="001F1940" w:rsidRDefault="001F1940" w:rsidP="0011591E">
      <w:pPr>
        <w:pStyle w:val="ListParagraph"/>
        <w:numPr>
          <w:ilvl w:val="0"/>
          <w:numId w:val="36"/>
        </w:numPr>
        <w:suppressAutoHyphens w:val="0"/>
        <w:spacing w:before="60" w:line="280" w:lineRule="exact"/>
        <w:ind w:left="714" w:hanging="357"/>
        <w:contextualSpacing w:val="0"/>
        <w:rPr>
          <w:sz w:val="21"/>
          <w:szCs w:val="21"/>
        </w:rPr>
      </w:pPr>
      <w:r>
        <w:rPr>
          <w:sz w:val="21"/>
          <w:szCs w:val="21"/>
        </w:rPr>
        <w:t xml:space="preserve">ensuring that </w:t>
      </w:r>
      <w:r w:rsidR="00C36E67">
        <w:rPr>
          <w:sz w:val="21"/>
          <w:szCs w:val="21"/>
        </w:rPr>
        <w:t xml:space="preserve">cascading </w:t>
      </w:r>
      <w:r>
        <w:rPr>
          <w:sz w:val="21"/>
          <w:szCs w:val="21"/>
        </w:rPr>
        <w:t xml:space="preserve">systems for </w:t>
      </w:r>
      <w:r w:rsidR="00C36E67">
        <w:rPr>
          <w:sz w:val="21"/>
          <w:szCs w:val="21"/>
        </w:rPr>
        <w:t xml:space="preserve">prevention, </w:t>
      </w:r>
      <w:r>
        <w:rPr>
          <w:sz w:val="21"/>
          <w:szCs w:val="21"/>
        </w:rPr>
        <w:t xml:space="preserve">identification and notification of fraud, safeguards or due diligence and other risks are </w:t>
      </w:r>
      <w:r w:rsidR="001E07C5">
        <w:rPr>
          <w:sz w:val="21"/>
          <w:szCs w:val="21"/>
        </w:rPr>
        <w:t>functioning, and timely and responsive communication to the AHPSU and DFAT is provided as necessary</w:t>
      </w:r>
      <w:r w:rsidR="00717068">
        <w:rPr>
          <w:sz w:val="21"/>
          <w:szCs w:val="21"/>
        </w:rPr>
        <w:t>;</w:t>
      </w:r>
      <w:r>
        <w:rPr>
          <w:sz w:val="21"/>
          <w:szCs w:val="21"/>
        </w:rPr>
        <w:t xml:space="preserve"> </w:t>
      </w:r>
      <w:r w:rsidR="008E2AA2" w:rsidRPr="001F1940">
        <w:rPr>
          <w:sz w:val="21"/>
          <w:szCs w:val="21"/>
        </w:rPr>
        <w:t>and</w:t>
      </w:r>
    </w:p>
    <w:p w14:paraId="4EA436E7" w14:textId="733BECD5" w:rsidR="002B2605" w:rsidRDefault="002B2605" w:rsidP="0011591E">
      <w:pPr>
        <w:pStyle w:val="ListParagraph"/>
        <w:numPr>
          <w:ilvl w:val="0"/>
          <w:numId w:val="36"/>
        </w:numPr>
        <w:suppressAutoHyphens w:val="0"/>
        <w:spacing w:before="60" w:line="280" w:lineRule="exact"/>
        <w:ind w:left="714" w:hanging="357"/>
        <w:contextualSpacing w:val="0"/>
        <w:rPr>
          <w:sz w:val="21"/>
          <w:szCs w:val="21"/>
        </w:rPr>
      </w:pPr>
      <w:r w:rsidRPr="003E2C60">
        <w:rPr>
          <w:sz w:val="21"/>
          <w:szCs w:val="21"/>
        </w:rPr>
        <w:t xml:space="preserve">providing communications </w:t>
      </w:r>
      <w:r w:rsidR="00922112">
        <w:rPr>
          <w:sz w:val="21"/>
          <w:szCs w:val="21"/>
        </w:rPr>
        <w:t xml:space="preserve">materials and </w:t>
      </w:r>
      <w:r w:rsidRPr="003E2C60">
        <w:rPr>
          <w:sz w:val="21"/>
          <w:szCs w:val="21"/>
        </w:rPr>
        <w:t>products</w:t>
      </w:r>
      <w:r w:rsidR="008E2AA2">
        <w:rPr>
          <w:sz w:val="21"/>
          <w:szCs w:val="21"/>
        </w:rPr>
        <w:t xml:space="preserve"> </w:t>
      </w:r>
      <w:r w:rsidR="00922112">
        <w:rPr>
          <w:sz w:val="21"/>
          <w:szCs w:val="21"/>
        </w:rPr>
        <w:t xml:space="preserve">(including photos and video, social media, field stories etc) </w:t>
      </w:r>
      <w:r w:rsidR="008E2AA2">
        <w:rPr>
          <w:sz w:val="21"/>
          <w:szCs w:val="21"/>
        </w:rPr>
        <w:t xml:space="preserve">to the </w:t>
      </w:r>
      <w:r w:rsidR="00C84E45">
        <w:rPr>
          <w:sz w:val="21"/>
          <w:szCs w:val="21"/>
        </w:rPr>
        <w:t>DRCC</w:t>
      </w:r>
      <w:r w:rsidR="008E2AA2">
        <w:rPr>
          <w:sz w:val="21"/>
          <w:szCs w:val="21"/>
        </w:rPr>
        <w:t xml:space="preserve"> or AHPSU as required.</w:t>
      </w:r>
    </w:p>
    <w:p w14:paraId="4F457DF6" w14:textId="7AAA8BD5" w:rsidR="002B2605" w:rsidRPr="003E2C60" w:rsidRDefault="002B2605" w:rsidP="003E2C60">
      <w:pPr>
        <w:widowControl w:val="0"/>
        <w:autoSpaceDE w:val="0"/>
        <w:autoSpaceDN w:val="0"/>
        <w:adjustRightInd w:val="0"/>
        <w:spacing w:before="0" w:after="120" w:line="360" w:lineRule="atLeast"/>
        <w:rPr>
          <w:b/>
          <w:lang w:val="en-AU"/>
        </w:rPr>
      </w:pPr>
      <w:r w:rsidRPr="003E2C60">
        <w:rPr>
          <w:b/>
          <w:lang w:val="en-AU"/>
        </w:rPr>
        <w:t xml:space="preserve">DFAT Humanitarian </w:t>
      </w:r>
      <w:r w:rsidR="009D3400">
        <w:rPr>
          <w:b/>
          <w:lang w:val="en-AU"/>
        </w:rPr>
        <w:t>and Partnerships Division</w:t>
      </w:r>
      <w:r w:rsidR="000C4D0A">
        <w:rPr>
          <w:b/>
          <w:lang w:val="en-AU"/>
        </w:rPr>
        <w:t xml:space="preserve"> (HPD)</w:t>
      </w:r>
      <w:r w:rsidRPr="003E2C60">
        <w:rPr>
          <w:b/>
          <w:lang w:val="en-AU"/>
        </w:rPr>
        <w:t xml:space="preserve"> </w:t>
      </w:r>
    </w:p>
    <w:p w14:paraId="37FE3111" w14:textId="5B3628DC" w:rsidR="002B2605" w:rsidRPr="003E2C60" w:rsidRDefault="000C4D0A" w:rsidP="003E2C60">
      <w:pPr>
        <w:pStyle w:val="ListParagraph"/>
        <w:tabs>
          <w:tab w:val="left" w:pos="0"/>
        </w:tabs>
        <w:suppressAutoHyphens w:val="0"/>
        <w:spacing w:after="0" w:line="280" w:lineRule="exact"/>
        <w:ind w:left="0"/>
        <w:contextualSpacing w:val="0"/>
        <w:rPr>
          <w:iCs/>
          <w:sz w:val="21"/>
          <w:szCs w:val="21"/>
        </w:rPr>
      </w:pPr>
      <w:r>
        <w:rPr>
          <w:iCs/>
          <w:sz w:val="21"/>
          <w:szCs w:val="21"/>
        </w:rPr>
        <w:t xml:space="preserve">The </w:t>
      </w:r>
      <w:r w:rsidR="002B2605" w:rsidRPr="003E2C60">
        <w:rPr>
          <w:iCs/>
          <w:sz w:val="21"/>
          <w:szCs w:val="21"/>
        </w:rPr>
        <w:t xml:space="preserve">Humanitarian </w:t>
      </w:r>
      <w:r w:rsidR="009D3400">
        <w:rPr>
          <w:iCs/>
          <w:sz w:val="21"/>
          <w:szCs w:val="21"/>
        </w:rPr>
        <w:t xml:space="preserve">and Development Deployments </w:t>
      </w:r>
      <w:r w:rsidR="008E2AA2">
        <w:rPr>
          <w:iCs/>
          <w:sz w:val="21"/>
          <w:szCs w:val="21"/>
        </w:rPr>
        <w:t xml:space="preserve">Section </w:t>
      </w:r>
      <w:r w:rsidR="009D3400">
        <w:rPr>
          <w:iCs/>
          <w:sz w:val="21"/>
          <w:szCs w:val="21"/>
        </w:rPr>
        <w:t>(HDS)</w:t>
      </w:r>
      <w:r>
        <w:rPr>
          <w:iCs/>
          <w:sz w:val="21"/>
          <w:szCs w:val="21"/>
        </w:rPr>
        <w:t xml:space="preserve"> in HPD</w:t>
      </w:r>
      <w:r w:rsidR="002B2605" w:rsidRPr="003E2C60">
        <w:rPr>
          <w:iCs/>
          <w:sz w:val="21"/>
          <w:szCs w:val="21"/>
        </w:rPr>
        <w:t xml:space="preserve"> is responsible for:</w:t>
      </w:r>
    </w:p>
    <w:p w14:paraId="2DAD25D4" w14:textId="236605DF" w:rsidR="002B2605" w:rsidRPr="003E2C60" w:rsidRDefault="00922112" w:rsidP="0011591E">
      <w:pPr>
        <w:pStyle w:val="ListParagraph"/>
        <w:numPr>
          <w:ilvl w:val="0"/>
          <w:numId w:val="36"/>
        </w:numPr>
        <w:suppressAutoHyphens w:val="0"/>
        <w:spacing w:before="60" w:line="280" w:lineRule="exact"/>
        <w:ind w:left="714" w:hanging="357"/>
        <w:contextualSpacing w:val="0"/>
        <w:rPr>
          <w:sz w:val="21"/>
          <w:szCs w:val="21"/>
        </w:rPr>
      </w:pPr>
      <w:r>
        <w:rPr>
          <w:sz w:val="21"/>
          <w:szCs w:val="21"/>
        </w:rPr>
        <w:t>c</w:t>
      </w:r>
      <w:r w:rsidR="00274303" w:rsidRPr="00F75DAC">
        <w:rPr>
          <w:sz w:val="21"/>
          <w:szCs w:val="21"/>
        </w:rPr>
        <w:t>hairing the AHP Steering Committee</w:t>
      </w:r>
      <w:r w:rsidR="00BF52FC">
        <w:rPr>
          <w:sz w:val="21"/>
          <w:szCs w:val="21"/>
        </w:rPr>
        <w:t>, approving its recommendations</w:t>
      </w:r>
      <w:r w:rsidR="00274303" w:rsidRPr="00F75DAC">
        <w:rPr>
          <w:sz w:val="21"/>
          <w:szCs w:val="21"/>
        </w:rPr>
        <w:t xml:space="preserve"> </w:t>
      </w:r>
      <w:r w:rsidR="00274303" w:rsidRPr="0039370E">
        <w:rPr>
          <w:sz w:val="21"/>
          <w:szCs w:val="21"/>
        </w:rPr>
        <w:t xml:space="preserve">and </w:t>
      </w:r>
      <w:r w:rsidR="002B2605" w:rsidRPr="003E2C60">
        <w:rPr>
          <w:sz w:val="21"/>
          <w:szCs w:val="21"/>
        </w:rPr>
        <w:t xml:space="preserve">ensuring that the strategic direction of the </w:t>
      </w:r>
      <w:r w:rsidR="008E2AA2" w:rsidRPr="00F75DAC">
        <w:rPr>
          <w:sz w:val="21"/>
          <w:szCs w:val="21"/>
        </w:rPr>
        <w:t xml:space="preserve">AHP </w:t>
      </w:r>
      <w:r w:rsidR="002B2605" w:rsidRPr="003E2C60">
        <w:rPr>
          <w:sz w:val="21"/>
          <w:szCs w:val="21"/>
        </w:rPr>
        <w:t>aligns with DFAT policy priorities</w:t>
      </w:r>
      <w:r w:rsidR="00E12575" w:rsidRPr="00F75DAC">
        <w:rPr>
          <w:sz w:val="21"/>
          <w:szCs w:val="21"/>
        </w:rPr>
        <w:t>, and the program is linked with relevant DFAT</w:t>
      </w:r>
      <w:r w:rsidR="00E12575" w:rsidRPr="0039370E">
        <w:rPr>
          <w:sz w:val="21"/>
          <w:szCs w:val="21"/>
        </w:rPr>
        <w:t xml:space="preserve"> staff and programs</w:t>
      </w:r>
      <w:r w:rsidR="00D370F1" w:rsidRPr="00274303">
        <w:rPr>
          <w:sz w:val="21"/>
          <w:szCs w:val="21"/>
        </w:rPr>
        <w:t xml:space="preserve"> where required</w:t>
      </w:r>
      <w:r w:rsidR="002B2605" w:rsidRPr="003E2C60">
        <w:rPr>
          <w:sz w:val="21"/>
          <w:szCs w:val="21"/>
        </w:rPr>
        <w:t>;</w:t>
      </w:r>
    </w:p>
    <w:p w14:paraId="61AB1CD4" w14:textId="01536B27" w:rsidR="009F1039" w:rsidRPr="00100BB1" w:rsidRDefault="009F1039" w:rsidP="0011591E">
      <w:pPr>
        <w:pStyle w:val="ListParagraph"/>
        <w:numPr>
          <w:ilvl w:val="0"/>
          <w:numId w:val="36"/>
        </w:numPr>
        <w:suppressAutoHyphens w:val="0"/>
        <w:spacing w:before="60" w:line="280" w:lineRule="exact"/>
        <w:ind w:left="714" w:hanging="357"/>
        <w:contextualSpacing w:val="0"/>
        <w:rPr>
          <w:sz w:val="21"/>
          <w:szCs w:val="21"/>
        </w:rPr>
      </w:pPr>
      <w:r w:rsidRPr="00100BB1">
        <w:rPr>
          <w:sz w:val="21"/>
          <w:szCs w:val="21"/>
        </w:rPr>
        <w:t xml:space="preserve">communicating with </w:t>
      </w:r>
      <w:r w:rsidR="006211EF" w:rsidRPr="006211EF">
        <w:rPr>
          <w:sz w:val="21"/>
          <w:szCs w:val="21"/>
        </w:rPr>
        <w:t xml:space="preserve">different DFAT Divisions/Sections </w:t>
      </w:r>
      <w:r w:rsidR="00AB1FFB">
        <w:rPr>
          <w:sz w:val="21"/>
          <w:szCs w:val="21"/>
        </w:rPr>
        <w:t xml:space="preserve">and Posts </w:t>
      </w:r>
      <w:r w:rsidR="006211EF" w:rsidRPr="006211EF">
        <w:rPr>
          <w:sz w:val="21"/>
          <w:szCs w:val="21"/>
        </w:rPr>
        <w:t xml:space="preserve">about the AHP, </w:t>
      </w:r>
      <w:r w:rsidR="00132F2F">
        <w:rPr>
          <w:sz w:val="21"/>
          <w:szCs w:val="21"/>
        </w:rPr>
        <w:t xml:space="preserve">including </w:t>
      </w:r>
      <w:r w:rsidR="006211EF" w:rsidRPr="006211EF">
        <w:rPr>
          <w:sz w:val="21"/>
          <w:szCs w:val="21"/>
        </w:rPr>
        <w:t>the Office of the Pacific (OTP)</w:t>
      </w:r>
      <w:r w:rsidR="00132F2F">
        <w:rPr>
          <w:sz w:val="21"/>
          <w:szCs w:val="21"/>
        </w:rPr>
        <w:t>,</w:t>
      </w:r>
      <w:r w:rsidR="006211EF" w:rsidRPr="006211EF">
        <w:rPr>
          <w:sz w:val="21"/>
          <w:szCs w:val="21"/>
        </w:rPr>
        <w:t xml:space="preserve"> </w:t>
      </w:r>
      <w:r w:rsidR="00AB1FFB">
        <w:rPr>
          <w:sz w:val="21"/>
          <w:szCs w:val="21"/>
        </w:rPr>
        <w:t xml:space="preserve">to </w:t>
      </w:r>
      <w:r w:rsidR="006211EF" w:rsidRPr="006211EF">
        <w:rPr>
          <w:sz w:val="21"/>
          <w:szCs w:val="21"/>
        </w:rPr>
        <w:t xml:space="preserve">strengthen program alignments </w:t>
      </w:r>
      <w:r w:rsidRPr="00100BB1">
        <w:rPr>
          <w:sz w:val="21"/>
          <w:szCs w:val="21"/>
        </w:rPr>
        <w:t>and represent</w:t>
      </w:r>
      <w:r w:rsidR="00B84693">
        <w:rPr>
          <w:sz w:val="21"/>
          <w:szCs w:val="21"/>
        </w:rPr>
        <w:t xml:space="preserve"> </w:t>
      </w:r>
      <w:r w:rsidRPr="00100BB1">
        <w:rPr>
          <w:sz w:val="21"/>
          <w:szCs w:val="21"/>
        </w:rPr>
        <w:t>Post views in the Steering Committee;</w:t>
      </w:r>
    </w:p>
    <w:p w14:paraId="0B814383" w14:textId="14BF9B53" w:rsidR="00355D46" w:rsidRDefault="00BB5407" w:rsidP="0011591E">
      <w:pPr>
        <w:pStyle w:val="ListParagraph"/>
        <w:numPr>
          <w:ilvl w:val="0"/>
          <w:numId w:val="36"/>
        </w:numPr>
        <w:suppressAutoHyphens w:val="0"/>
        <w:spacing w:before="60" w:line="280" w:lineRule="exact"/>
        <w:ind w:left="714" w:hanging="357"/>
        <w:contextualSpacing w:val="0"/>
        <w:rPr>
          <w:sz w:val="21"/>
          <w:szCs w:val="21"/>
        </w:rPr>
      </w:pPr>
      <w:r w:rsidRPr="002B3DD3">
        <w:rPr>
          <w:sz w:val="21"/>
          <w:szCs w:val="21"/>
        </w:rPr>
        <w:t>overseeing the work of the AHPSU</w:t>
      </w:r>
      <w:r w:rsidR="00274303">
        <w:rPr>
          <w:sz w:val="21"/>
          <w:szCs w:val="21"/>
        </w:rPr>
        <w:t>,</w:t>
      </w:r>
      <w:r w:rsidRPr="002B3DD3">
        <w:rPr>
          <w:sz w:val="21"/>
          <w:szCs w:val="21"/>
        </w:rPr>
        <w:t xml:space="preserve"> </w:t>
      </w:r>
      <w:r w:rsidR="00355D46">
        <w:rPr>
          <w:sz w:val="21"/>
          <w:szCs w:val="21"/>
        </w:rPr>
        <w:t xml:space="preserve">including contract </w:t>
      </w:r>
      <w:r w:rsidR="001F1373">
        <w:rPr>
          <w:sz w:val="21"/>
          <w:szCs w:val="21"/>
        </w:rPr>
        <w:t>management,</w:t>
      </w:r>
      <w:r w:rsidR="00274303">
        <w:rPr>
          <w:sz w:val="21"/>
          <w:szCs w:val="21"/>
        </w:rPr>
        <w:t xml:space="preserve"> and conducting a Partner Performance Assessment</w:t>
      </w:r>
      <w:r w:rsidR="00355D46">
        <w:rPr>
          <w:sz w:val="21"/>
          <w:szCs w:val="21"/>
        </w:rPr>
        <w:t>;</w:t>
      </w:r>
    </w:p>
    <w:p w14:paraId="2F9B2090" w14:textId="5E8A763F" w:rsidR="00415502" w:rsidRDefault="00922112" w:rsidP="0011591E">
      <w:pPr>
        <w:pStyle w:val="ListParagraph"/>
        <w:numPr>
          <w:ilvl w:val="0"/>
          <w:numId w:val="36"/>
        </w:numPr>
        <w:suppressAutoHyphens w:val="0"/>
        <w:spacing w:before="60" w:line="280" w:lineRule="exact"/>
        <w:ind w:left="714" w:hanging="357"/>
        <w:contextualSpacing w:val="0"/>
        <w:rPr>
          <w:sz w:val="21"/>
          <w:szCs w:val="21"/>
        </w:rPr>
      </w:pPr>
      <w:r>
        <w:rPr>
          <w:sz w:val="21"/>
          <w:szCs w:val="21"/>
        </w:rPr>
        <w:t>overseeing</w:t>
      </w:r>
      <w:r w:rsidR="008E6E37">
        <w:rPr>
          <w:sz w:val="21"/>
          <w:szCs w:val="21"/>
        </w:rPr>
        <w:t xml:space="preserve"> the Disaster READY program, including</w:t>
      </w:r>
      <w:r w:rsidR="00DE3E4A">
        <w:rPr>
          <w:sz w:val="21"/>
          <w:szCs w:val="21"/>
        </w:rPr>
        <w:t xml:space="preserve"> </w:t>
      </w:r>
      <w:r w:rsidR="00415502">
        <w:rPr>
          <w:sz w:val="21"/>
          <w:szCs w:val="21"/>
        </w:rPr>
        <w:t xml:space="preserve">providing financial approvals, </w:t>
      </w:r>
      <w:r w:rsidR="00D370F1" w:rsidRPr="003E2C60">
        <w:rPr>
          <w:sz w:val="21"/>
          <w:szCs w:val="21"/>
        </w:rPr>
        <w:t xml:space="preserve">approving </w:t>
      </w:r>
      <w:r w:rsidR="00DE3E4A">
        <w:rPr>
          <w:sz w:val="21"/>
          <w:szCs w:val="21"/>
        </w:rPr>
        <w:t>Country and Activity</w:t>
      </w:r>
      <w:r w:rsidR="00D370F1" w:rsidRPr="003E2C60">
        <w:rPr>
          <w:sz w:val="21"/>
          <w:szCs w:val="21"/>
        </w:rPr>
        <w:t xml:space="preserve"> </w:t>
      </w:r>
      <w:r w:rsidR="00DE3E4A">
        <w:rPr>
          <w:sz w:val="21"/>
          <w:szCs w:val="21"/>
        </w:rPr>
        <w:t>P</w:t>
      </w:r>
      <w:r w:rsidR="00D370F1" w:rsidRPr="003E2C60">
        <w:rPr>
          <w:sz w:val="21"/>
          <w:szCs w:val="21"/>
        </w:rPr>
        <w:t>lans</w:t>
      </w:r>
      <w:r w:rsidR="00442971">
        <w:rPr>
          <w:sz w:val="21"/>
          <w:szCs w:val="21"/>
        </w:rPr>
        <w:t xml:space="preserve"> including amendments</w:t>
      </w:r>
      <w:r w:rsidR="00EA43AF">
        <w:rPr>
          <w:sz w:val="21"/>
          <w:szCs w:val="21"/>
        </w:rPr>
        <w:t>, and</w:t>
      </w:r>
      <w:r w:rsidR="00EA43AF" w:rsidRPr="00EA43AF">
        <w:rPr>
          <w:sz w:val="21"/>
          <w:szCs w:val="21"/>
        </w:rPr>
        <w:t xml:space="preserve"> </w:t>
      </w:r>
      <w:r w:rsidR="00EA43AF" w:rsidRPr="00D14B30">
        <w:rPr>
          <w:sz w:val="21"/>
          <w:szCs w:val="21"/>
        </w:rPr>
        <w:t>reviewing ANGO annual reports and</w:t>
      </w:r>
      <w:r w:rsidR="00EA43AF" w:rsidRPr="00EA43AF">
        <w:rPr>
          <w:sz w:val="21"/>
          <w:szCs w:val="21"/>
        </w:rPr>
        <w:t xml:space="preserve"> </w:t>
      </w:r>
      <w:r w:rsidR="00EA43AF" w:rsidRPr="000D00BC">
        <w:rPr>
          <w:sz w:val="21"/>
          <w:szCs w:val="21"/>
        </w:rPr>
        <w:t>providing timely feedback on ANGO performance</w:t>
      </w:r>
      <w:r w:rsidR="00EA43AF">
        <w:rPr>
          <w:sz w:val="21"/>
          <w:szCs w:val="21"/>
        </w:rPr>
        <w:t>,</w:t>
      </w:r>
      <w:r w:rsidR="00D370F1" w:rsidRPr="003E2C60">
        <w:rPr>
          <w:sz w:val="21"/>
          <w:szCs w:val="21"/>
        </w:rPr>
        <w:t xml:space="preserve"> </w:t>
      </w:r>
      <w:r w:rsidR="00DE3E4A" w:rsidRPr="00D14B30">
        <w:rPr>
          <w:sz w:val="21"/>
          <w:szCs w:val="21"/>
        </w:rPr>
        <w:t>with the support of the AHPSU and in consultation with</w:t>
      </w:r>
      <w:r w:rsidR="00442971">
        <w:rPr>
          <w:sz w:val="21"/>
          <w:szCs w:val="21"/>
        </w:rPr>
        <w:t xml:space="preserve"> DFAT </w:t>
      </w:r>
      <w:r>
        <w:rPr>
          <w:sz w:val="21"/>
          <w:szCs w:val="21"/>
        </w:rPr>
        <w:t>P</w:t>
      </w:r>
      <w:r w:rsidR="00442971">
        <w:rPr>
          <w:sz w:val="21"/>
          <w:szCs w:val="21"/>
        </w:rPr>
        <w:t>osts</w:t>
      </w:r>
      <w:r w:rsidR="00415502">
        <w:rPr>
          <w:sz w:val="21"/>
          <w:szCs w:val="21"/>
        </w:rPr>
        <w:t>;</w:t>
      </w:r>
      <w:r w:rsidR="00EA43AF" w:rsidRPr="00EA43AF">
        <w:rPr>
          <w:sz w:val="21"/>
          <w:szCs w:val="21"/>
        </w:rPr>
        <w:t xml:space="preserve"> </w:t>
      </w:r>
    </w:p>
    <w:p w14:paraId="6B166152" w14:textId="57613883" w:rsidR="00B531D7" w:rsidRPr="007D5D60" w:rsidRDefault="00415502" w:rsidP="0011591E">
      <w:pPr>
        <w:pStyle w:val="ListParagraph"/>
        <w:numPr>
          <w:ilvl w:val="0"/>
          <w:numId w:val="36"/>
        </w:numPr>
        <w:suppressAutoHyphens w:val="0"/>
        <w:spacing w:before="60" w:line="280" w:lineRule="exact"/>
        <w:ind w:left="714" w:hanging="357"/>
        <w:contextualSpacing w:val="0"/>
        <w:rPr>
          <w:sz w:val="21"/>
          <w:szCs w:val="21"/>
        </w:rPr>
      </w:pPr>
      <w:r w:rsidRPr="007D5D60">
        <w:rPr>
          <w:sz w:val="21"/>
          <w:szCs w:val="21"/>
        </w:rPr>
        <w:t>s</w:t>
      </w:r>
      <w:r w:rsidR="00B531D7" w:rsidRPr="007D5D60">
        <w:rPr>
          <w:sz w:val="21"/>
          <w:szCs w:val="21"/>
        </w:rPr>
        <w:t xml:space="preserve">upporting </w:t>
      </w:r>
      <w:r w:rsidR="00F669B0" w:rsidRPr="007D5D60">
        <w:rPr>
          <w:sz w:val="21"/>
          <w:szCs w:val="21"/>
        </w:rPr>
        <w:t xml:space="preserve">DFAT Posts and program areas to use the AHP </w:t>
      </w:r>
      <w:r w:rsidR="00FD3E54" w:rsidRPr="007D5D60">
        <w:rPr>
          <w:sz w:val="21"/>
          <w:szCs w:val="21"/>
        </w:rPr>
        <w:t xml:space="preserve">rapid and protracted crisis </w:t>
      </w:r>
      <w:r w:rsidR="00F669B0" w:rsidRPr="007D5D60">
        <w:rPr>
          <w:sz w:val="21"/>
          <w:szCs w:val="21"/>
        </w:rPr>
        <w:t>response mechanism, including</w:t>
      </w:r>
      <w:r w:rsidR="00545928" w:rsidRPr="007D5D60">
        <w:rPr>
          <w:sz w:val="21"/>
          <w:szCs w:val="21"/>
        </w:rPr>
        <w:t xml:space="preserve"> by:</w:t>
      </w:r>
    </w:p>
    <w:p w14:paraId="0DC56AE7" w14:textId="5A992D99" w:rsidR="00545928" w:rsidRDefault="00545928" w:rsidP="0011591E">
      <w:pPr>
        <w:pStyle w:val="ListParagraph"/>
        <w:numPr>
          <w:ilvl w:val="1"/>
          <w:numId w:val="36"/>
        </w:numPr>
        <w:suppressAutoHyphens w:val="0"/>
        <w:spacing w:before="60" w:line="280" w:lineRule="exact"/>
        <w:contextualSpacing w:val="0"/>
        <w:rPr>
          <w:sz w:val="21"/>
          <w:szCs w:val="21"/>
        </w:rPr>
      </w:pPr>
      <w:r>
        <w:rPr>
          <w:sz w:val="21"/>
          <w:szCs w:val="21"/>
        </w:rPr>
        <w:t>tasking the AHPSU</w:t>
      </w:r>
      <w:r w:rsidR="00A80810">
        <w:rPr>
          <w:sz w:val="21"/>
          <w:szCs w:val="21"/>
        </w:rPr>
        <w:t xml:space="preserve"> and notifying ANGOs</w:t>
      </w:r>
      <w:r w:rsidR="00AC6855">
        <w:rPr>
          <w:sz w:val="21"/>
          <w:szCs w:val="21"/>
        </w:rPr>
        <w:t>;</w:t>
      </w:r>
    </w:p>
    <w:p w14:paraId="017A7788" w14:textId="47C1D933" w:rsidR="00AC6855" w:rsidRDefault="00FA6DAF" w:rsidP="0011591E">
      <w:pPr>
        <w:pStyle w:val="ListParagraph"/>
        <w:numPr>
          <w:ilvl w:val="1"/>
          <w:numId w:val="36"/>
        </w:numPr>
        <w:suppressAutoHyphens w:val="0"/>
        <w:spacing w:before="60" w:line="280" w:lineRule="exact"/>
        <w:contextualSpacing w:val="0"/>
        <w:rPr>
          <w:sz w:val="21"/>
          <w:szCs w:val="21"/>
        </w:rPr>
      </w:pPr>
      <w:r>
        <w:rPr>
          <w:sz w:val="21"/>
          <w:szCs w:val="21"/>
        </w:rPr>
        <w:t>chairing</w:t>
      </w:r>
      <w:r w:rsidR="00AC6855">
        <w:rPr>
          <w:sz w:val="21"/>
          <w:szCs w:val="21"/>
        </w:rPr>
        <w:t xml:space="preserve"> the activation process</w:t>
      </w:r>
      <w:r>
        <w:rPr>
          <w:sz w:val="21"/>
          <w:szCs w:val="21"/>
        </w:rPr>
        <w:t>;</w:t>
      </w:r>
    </w:p>
    <w:p w14:paraId="50064E31" w14:textId="565B9DD2" w:rsidR="00FA6DAF" w:rsidRDefault="00A839FB" w:rsidP="0011591E">
      <w:pPr>
        <w:pStyle w:val="ListParagraph"/>
        <w:numPr>
          <w:ilvl w:val="1"/>
          <w:numId w:val="36"/>
        </w:numPr>
        <w:suppressAutoHyphens w:val="0"/>
        <w:spacing w:before="60" w:line="280" w:lineRule="exact"/>
        <w:contextualSpacing w:val="0"/>
        <w:rPr>
          <w:sz w:val="21"/>
          <w:szCs w:val="21"/>
        </w:rPr>
      </w:pPr>
      <w:r>
        <w:rPr>
          <w:sz w:val="21"/>
          <w:szCs w:val="21"/>
        </w:rPr>
        <w:t xml:space="preserve">facilitating/drafting appropriate agreements and approvals; </w:t>
      </w:r>
    </w:p>
    <w:p w14:paraId="4D5CE536" w14:textId="17184698" w:rsidR="00A839FB" w:rsidRDefault="00FD3E54" w:rsidP="0011591E">
      <w:pPr>
        <w:pStyle w:val="ListParagraph"/>
        <w:numPr>
          <w:ilvl w:val="1"/>
          <w:numId w:val="36"/>
        </w:numPr>
        <w:suppressAutoHyphens w:val="0"/>
        <w:spacing w:before="60" w:line="280" w:lineRule="exact"/>
        <w:contextualSpacing w:val="0"/>
        <w:rPr>
          <w:sz w:val="21"/>
          <w:szCs w:val="21"/>
        </w:rPr>
      </w:pPr>
      <w:r>
        <w:rPr>
          <w:sz w:val="21"/>
          <w:szCs w:val="21"/>
        </w:rPr>
        <w:t>providing contract administration services including facilitating payment of invoices; and</w:t>
      </w:r>
    </w:p>
    <w:p w14:paraId="1958EFAA" w14:textId="4918A464" w:rsidR="00FD3E54" w:rsidRPr="002B3DD3" w:rsidRDefault="00315358" w:rsidP="0011591E">
      <w:pPr>
        <w:pStyle w:val="ListParagraph"/>
        <w:numPr>
          <w:ilvl w:val="1"/>
          <w:numId w:val="36"/>
        </w:numPr>
        <w:suppressAutoHyphens w:val="0"/>
        <w:spacing w:before="60" w:line="280" w:lineRule="exact"/>
        <w:contextualSpacing w:val="0"/>
        <w:rPr>
          <w:sz w:val="21"/>
          <w:szCs w:val="21"/>
        </w:rPr>
      </w:pPr>
      <w:r>
        <w:rPr>
          <w:sz w:val="21"/>
          <w:szCs w:val="21"/>
        </w:rPr>
        <w:t>sharing plans</w:t>
      </w:r>
      <w:r w:rsidR="009F1039">
        <w:rPr>
          <w:sz w:val="21"/>
          <w:szCs w:val="21"/>
        </w:rPr>
        <w:t xml:space="preserve"> and</w:t>
      </w:r>
      <w:r>
        <w:rPr>
          <w:sz w:val="21"/>
          <w:szCs w:val="21"/>
        </w:rPr>
        <w:t xml:space="preserve"> </w:t>
      </w:r>
      <w:r w:rsidR="001F1373">
        <w:rPr>
          <w:sz w:val="21"/>
          <w:szCs w:val="21"/>
        </w:rPr>
        <w:t>reports and</w:t>
      </w:r>
      <w:r w:rsidR="00274303">
        <w:rPr>
          <w:sz w:val="21"/>
          <w:szCs w:val="21"/>
        </w:rPr>
        <w:t xml:space="preserve"> working collaboratively with Posts </w:t>
      </w:r>
      <w:r w:rsidR="002A7C72">
        <w:rPr>
          <w:sz w:val="21"/>
          <w:szCs w:val="21"/>
        </w:rPr>
        <w:t>to</w:t>
      </w:r>
      <w:r w:rsidR="00274303">
        <w:rPr>
          <w:sz w:val="21"/>
          <w:szCs w:val="21"/>
        </w:rPr>
        <w:t xml:space="preserve"> address </w:t>
      </w:r>
      <w:r w:rsidR="002A7C72">
        <w:rPr>
          <w:sz w:val="21"/>
          <w:szCs w:val="21"/>
        </w:rPr>
        <w:t>performance issues.</w:t>
      </w:r>
    </w:p>
    <w:p w14:paraId="35B14C2D" w14:textId="361B5328" w:rsidR="00E10B35" w:rsidRDefault="00E10B35" w:rsidP="0011591E">
      <w:pPr>
        <w:pStyle w:val="ListParagraph"/>
        <w:numPr>
          <w:ilvl w:val="0"/>
          <w:numId w:val="36"/>
        </w:numPr>
        <w:suppressAutoHyphens w:val="0"/>
        <w:spacing w:before="60" w:line="280" w:lineRule="exact"/>
        <w:ind w:left="714" w:hanging="357"/>
        <w:contextualSpacing w:val="0"/>
        <w:rPr>
          <w:sz w:val="21"/>
          <w:szCs w:val="21"/>
        </w:rPr>
      </w:pPr>
      <w:r>
        <w:rPr>
          <w:sz w:val="21"/>
          <w:szCs w:val="21"/>
        </w:rPr>
        <w:t>monitoring and identifying emerging program and partner performance issues, and bringing them to the attention of the Steering Committee (in consultation with Posts and AHPSU)</w:t>
      </w:r>
      <w:r w:rsidR="00717068">
        <w:rPr>
          <w:sz w:val="21"/>
          <w:szCs w:val="21"/>
        </w:rPr>
        <w:t>;</w:t>
      </w:r>
    </w:p>
    <w:p w14:paraId="7A3DBCB4" w14:textId="44E516E7" w:rsidR="001E07C5" w:rsidRDefault="00366FB9" w:rsidP="0011591E">
      <w:pPr>
        <w:pStyle w:val="ListParagraph"/>
        <w:numPr>
          <w:ilvl w:val="0"/>
          <w:numId w:val="36"/>
        </w:numPr>
        <w:suppressAutoHyphens w:val="0"/>
        <w:spacing w:before="60" w:line="280" w:lineRule="exact"/>
        <w:ind w:left="714" w:hanging="357"/>
        <w:contextualSpacing w:val="0"/>
        <w:rPr>
          <w:sz w:val="21"/>
          <w:szCs w:val="21"/>
        </w:rPr>
      </w:pPr>
      <w:r>
        <w:rPr>
          <w:sz w:val="21"/>
          <w:szCs w:val="21"/>
        </w:rPr>
        <w:t>managing identified</w:t>
      </w:r>
      <w:r w:rsidR="00805A65">
        <w:rPr>
          <w:sz w:val="21"/>
          <w:szCs w:val="21"/>
        </w:rPr>
        <w:t xml:space="preserve"> </w:t>
      </w:r>
      <w:r w:rsidR="001E07C5">
        <w:rPr>
          <w:sz w:val="21"/>
          <w:szCs w:val="21"/>
        </w:rPr>
        <w:t xml:space="preserve">risk events, </w:t>
      </w:r>
      <w:r w:rsidR="00717068">
        <w:rPr>
          <w:sz w:val="21"/>
          <w:szCs w:val="21"/>
        </w:rPr>
        <w:t>including</w:t>
      </w:r>
      <w:r w:rsidR="001E07C5">
        <w:rPr>
          <w:sz w:val="21"/>
          <w:szCs w:val="21"/>
        </w:rPr>
        <w:t xml:space="preserve"> incidents of fraud or breaches of safeguards or due diligence or other compliance obligations of partners when reported</w:t>
      </w:r>
      <w:r>
        <w:rPr>
          <w:sz w:val="21"/>
          <w:szCs w:val="21"/>
        </w:rPr>
        <w:t>, and ensuring AHP partners deliver on their relevant obligations</w:t>
      </w:r>
      <w:r w:rsidR="00717068">
        <w:rPr>
          <w:sz w:val="21"/>
          <w:szCs w:val="21"/>
        </w:rPr>
        <w:t>;</w:t>
      </w:r>
    </w:p>
    <w:p w14:paraId="14558293" w14:textId="54D1544B" w:rsidR="002B2605" w:rsidRPr="00BF52FC" w:rsidRDefault="002B2605" w:rsidP="0011591E">
      <w:pPr>
        <w:pStyle w:val="ListParagraph"/>
        <w:numPr>
          <w:ilvl w:val="0"/>
          <w:numId w:val="36"/>
        </w:numPr>
        <w:suppressAutoHyphens w:val="0"/>
        <w:spacing w:before="60" w:line="280" w:lineRule="exact"/>
        <w:ind w:left="714" w:hanging="357"/>
        <w:contextualSpacing w:val="0"/>
        <w:rPr>
          <w:sz w:val="21"/>
          <w:szCs w:val="21"/>
        </w:rPr>
      </w:pPr>
      <w:r w:rsidRPr="003E2C60">
        <w:rPr>
          <w:sz w:val="21"/>
          <w:szCs w:val="21"/>
        </w:rPr>
        <w:t>participating in regional forums</w:t>
      </w:r>
      <w:r w:rsidR="00BF52FC">
        <w:rPr>
          <w:sz w:val="21"/>
          <w:szCs w:val="21"/>
        </w:rPr>
        <w:t xml:space="preserve">, </w:t>
      </w:r>
      <w:r w:rsidRPr="003E2C60">
        <w:rPr>
          <w:sz w:val="21"/>
          <w:szCs w:val="21"/>
        </w:rPr>
        <w:t>annual reviews at country level</w:t>
      </w:r>
      <w:r w:rsidR="00BF52FC">
        <w:rPr>
          <w:sz w:val="21"/>
          <w:szCs w:val="21"/>
        </w:rPr>
        <w:t xml:space="preserve"> and </w:t>
      </w:r>
      <w:r w:rsidRPr="00BF52FC">
        <w:rPr>
          <w:sz w:val="21"/>
          <w:szCs w:val="21"/>
        </w:rPr>
        <w:t>program evaluations (as required);</w:t>
      </w:r>
    </w:p>
    <w:p w14:paraId="2F7EFA93" w14:textId="56301C6A" w:rsidR="002B2605" w:rsidRPr="003E2C60" w:rsidRDefault="00A77635" w:rsidP="0011591E">
      <w:pPr>
        <w:pStyle w:val="ListParagraph"/>
        <w:numPr>
          <w:ilvl w:val="0"/>
          <w:numId w:val="36"/>
        </w:numPr>
        <w:suppressAutoHyphens w:val="0"/>
        <w:spacing w:before="60" w:line="280" w:lineRule="exact"/>
        <w:ind w:left="714" w:hanging="357"/>
        <w:contextualSpacing w:val="0"/>
        <w:rPr>
          <w:sz w:val="21"/>
          <w:szCs w:val="21"/>
        </w:rPr>
      </w:pPr>
      <w:r>
        <w:rPr>
          <w:sz w:val="21"/>
          <w:szCs w:val="21"/>
        </w:rPr>
        <w:lastRenderedPageBreak/>
        <w:t>reviewing and sharing</w:t>
      </w:r>
      <w:r w:rsidRPr="003E2C60">
        <w:rPr>
          <w:sz w:val="21"/>
          <w:szCs w:val="21"/>
        </w:rPr>
        <w:t xml:space="preserve"> </w:t>
      </w:r>
      <w:r w:rsidR="002B2605" w:rsidRPr="003E2C60">
        <w:rPr>
          <w:sz w:val="21"/>
          <w:szCs w:val="21"/>
        </w:rPr>
        <w:t>internal communications and media products (including government press releases; Twitter feeds and other social media; government reports and assessments); and</w:t>
      </w:r>
    </w:p>
    <w:p w14:paraId="355FA395" w14:textId="0EBEFEE7" w:rsidR="002B2605" w:rsidRPr="003E2C60" w:rsidRDefault="002B2605" w:rsidP="0011591E">
      <w:pPr>
        <w:pStyle w:val="ListParagraph"/>
        <w:numPr>
          <w:ilvl w:val="0"/>
          <w:numId w:val="36"/>
        </w:numPr>
        <w:suppressAutoHyphens w:val="0"/>
        <w:spacing w:before="60" w:line="280" w:lineRule="exact"/>
        <w:ind w:left="714" w:hanging="357"/>
        <w:contextualSpacing w:val="0"/>
        <w:rPr>
          <w:sz w:val="21"/>
          <w:szCs w:val="21"/>
        </w:rPr>
      </w:pPr>
      <w:r w:rsidRPr="003E2C60">
        <w:rPr>
          <w:sz w:val="21"/>
          <w:szCs w:val="21"/>
        </w:rPr>
        <w:t>commissioning the independent evaluation of the program.</w:t>
      </w:r>
    </w:p>
    <w:p w14:paraId="31135E3A" w14:textId="5C8B64F9" w:rsidR="002B2605" w:rsidRPr="003E2C60" w:rsidRDefault="002B2605" w:rsidP="00130515">
      <w:pPr>
        <w:keepNext/>
        <w:widowControl w:val="0"/>
        <w:autoSpaceDE w:val="0"/>
        <w:autoSpaceDN w:val="0"/>
        <w:adjustRightInd w:val="0"/>
        <w:spacing w:before="0" w:after="120" w:line="360" w:lineRule="atLeast"/>
        <w:rPr>
          <w:b/>
          <w:lang w:val="en-AU"/>
        </w:rPr>
      </w:pPr>
      <w:r w:rsidRPr="003E2C60">
        <w:rPr>
          <w:b/>
          <w:lang w:val="en-AU"/>
        </w:rPr>
        <w:t>DFAT Posts</w:t>
      </w:r>
    </w:p>
    <w:p w14:paraId="17E0B170" w14:textId="6309CAFA" w:rsidR="002B2605" w:rsidRPr="003E2C60" w:rsidRDefault="002B2605" w:rsidP="00130515">
      <w:pPr>
        <w:pStyle w:val="ListParagraph"/>
        <w:keepNext/>
        <w:tabs>
          <w:tab w:val="left" w:pos="0"/>
        </w:tabs>
        <w:suppressAutoHyphens w:val="0"/>
        <w:spacing w:after="0" w:line="280" w:lineRule="exact"/>
        <w:ind w:left="0"/>
        <w:contextualSpacing w:val="0"/>
        <w:rPr>
          <w:iCs/>
          <w:sz w:val="21"/>
          <w:szCs w:val="21"/>
        </w:rPr>
      </w:pPr>
      <w:r w:rsidRPr="003E2C60">
        <w:rPr>
          <w:iCs/>
          <w:sz w:val="21"/>
          <w:szCs w:val="21"/>
        </w:rPr>
        <w:t xml:space="preserve">DFAT Posts are a key partner and stakeholder for the </w:t>
      </w:r>
      <w:r w:rsidR="00442971">
        <w:rPr>
          <w:iCs/>
          <w:sz w:val="21"/>
          <w:szCs w:val="21"/>
        </w:rPr>
        <w:t>AHP</w:t>
      </w:r>
      <w:r w:rsidR="00BB4796">
        <w:rPr>
          <w:iCs/>
          <w:sz w:val="21"/>
          <w:szCs w:val="21"/>
        </w:rPr>
        <w:t xml:space="preserve"> including Disaster READY</w:t>
      </w:r>
      <w:r w:rsidRPr="003E2C60">
        <w:rPr>
          <w:iCs/>
          <w:sz w:val="21"/>
          <w:szCs w:val="21"/>
        </w:rPr>
        <w:t xml:space="preserve">. Engagement by the Post is necessary to ensure that AHP is well linked to other bilateral and regional investments, particularly in </w:t>
      </w:r>
      <w:r w:rsidR="00BD31C3">
        <w:rPr>
          <w:iCs/>
          <w:sz w:val="21"/>
          <w:szCs w:val="21"/>
        </w:rPr>
        <w:t>disaster and climate</w:t>
      </w:r>
      <w:r w:rsidRPr="003E2C60">
        <w:rPr>
          <w:iCs/>
          <w:sz w:val="21"/>
          <w:szCs w:val="21"/>
        </w:rPr>
        <w:t xml:space="preserve"> resilience</w:t>
      </w:r>
      <w:r w:rsidR="00BB4796">
        <w:rPr>
          <w:iCs/>
          <w:sz w:val="21"/>
          <w:szCs w:val="21"/>
        </w:rPr>
        <w:t xml:space="preserve"> in the Pacific</w:t>
      </w:r>
      <w:r w:rsidRPr="003E2C60">
        <w:rPr>
          <w:iCs/>
          <w:sz w:val="21"/>
          <w:szCs w:val="21"/>
        </w:rPr>
        <w:t xml:space="preserve">. </w:t>
      </w:r>
    </w:p>
    <w:p w14:paraId="2203C232" w14:textId="4ECC5395" w:rsidR="002B2605" w:rsidRPr="003E2C60" w:rsidRDefault="002B2605" w:rsidP="003E2C60">
      <w:pPr>
        <w:pStyle w:val="ListParagraph"/>
        <w:tabs>
          <w:tab w:val="left" w:pos="0"/>
        </w:tabs>
        <w:suppressAutoHyphens w:val="0"/>
        <w:spacing w:after="0" w:line="280" w:lineRule="exact"/>
        <w:ind w:left="0"/>
        <w:contextualSpacing w:val="0"/>
        <w:rPr>
          <w:iCs/>
          <w:sz w:val="21"/>
          <w:szCs w:val="21"/>
        </w:rPr>
      </w:pPr>
      <w:r w:rsidRPr="003E2C60">
        <w:rPr>
          <w:iCs/>
          <w:sz w:val="21"/>
          <w:szCs w:val="21"/>
        </w:rPr>
        <w:t>The role of DFAT Post</w:t>
      </w:r>
      <w:r w:rsidR="00BB4796">
        <w:rPr>
          <w:iCs/>
          <w:sz w:val="21"/>
          <w:szCs w:val="21"/>
        </w:rPr>
        <w:t>s</w:t>
      </w:r>
      <w:r w:rsidRPr="003E2C60">
        <w:rPr>
          <w:iCs/>
          <w:sz w:val="21"/>
          <w:szCs w:val="21"/>
        </w:rPr>
        <w:t xml:space="preserve"> is to: </w:t>
      </w:r>
    </w:p>
    <w:p w14:paraId="381EB28C" w14:textId="66356FFA" w:rsidR="00784BA1" w:rsidRDefault="00784BA1" w:rsidP="0011591E">
      <w:pPr>
        <w:pStyle w:val="ListParagraph"/>
        <w:numPr>
          <w:ilvl w:val="0"/>
          <w:numId w:val="36"/>
        </w:numPr>
        <w:suppressAutoHyphens w:val="0"/>
        <w:spacing w:before="60" w:line="280" w:lineRule="exact"/>
        <w:ind w:left="714" w:hanging="357"/>
        <w:contextualSpacing w:val="0"/>
        <w:rPr>
          <w:sz w:val="21"/>
          <w:szCs w:val="21"/>
        </w:rPr>
      </w:pPr>
      <w:r>
        <w:rPr>
          <w:sz w:val="21"/>
          <w:szCs w:val="21"/>
        </w:rPr>
        <w:t>engage with the Disaster READY program (for relevant Posts) by:</w:t>
      </w:r>
    </w:p>
    <w:p w14:paraId="4D62F5E2" w14:textId="2644059E" w:rsidR="00784BA1" w:rsidRPr="003E2C60" w:rsidRDefault="002B2605" w:rsidP="0011591E">
      <w:pPr>
        <w:pStyle w:val="ListParagraph"/>
        <w:numPr>
          <w:ilvl w:val="1"/>
          <w:numId w:val="36"/>
        </w:numPr>
        <w:suppressAutoHyphens w:val="0"/>
        <w:spacing w:before="60" w:line="280" w:lineRule="exact"/>
        <w:contextualSpacing w:val="0"/>
        <w:rPr>
          <w:sz w:val="21"/>
          <w:szCs w:val="21"/>
        </w:rPr>
      </w:pPr>
      <w:r w:rsidRPr="003E2C60">
        <w:rPr>
          <w:sz w:val="21"/>
          <w:szCs w:val="21"/>
        </w:rPr>
        <w:t>maintain</w:t>
      </w:r>
      <w:r w:rsidR="00784BA1">
        <w:rPr>
          <w:sz w:val="21"/>
          <w:szCs w:val="21"/>
        </w:rPr>
        <w:t>ing</w:t>
      </w:r>
      <w:r w:rsidRPr="003E2C60">
        <w:rPr>
          <w:sz w:val="21"/>
          <w:szCs w:val="21"/>
        </w:rPr>
        <w:t xml:space="preserve"> regular communication with the </w:t>
      </w:r>
      <w:r w:rsidR="00C84E45">
        <w:rPr>
          <w:sz w:val="21"/>
          <w:szCs w:val="21"/>
        </w:rPr>
        <w:t>DRCC</w:t>
      </w:r>
      <w:r w:rsidRPr="003E2C60">
        <w:rPr>
          <w:sz w:val="21"/>
          <w:szCs w:val="21"/>
        </w:rPr>
        <w:t>, including through attendance at committee meetings on invitation;</w:t>
      </w:r>
    </w:p>
    <w:p w14:paraId="4A8DD894" w14:textId="69B5550D" w:rsidR="00A77635" w:rsidRDefault="00A77635" w:rsidP="0011591E">
      <w:pPr>
        <w:pStyle w:val="ListParagraph"/>
        <w:numPr>
          <w:ilvl w:val="1"/>
          <w:numId w:val="36"/>
        </w:numPr>
        <w:suppressAutoHyphens w:val="0"/>
        <w:spacing w:before="60" w:line="280" w:lineRule="exact"/>
        <w:contextualSpacing w:val="0"/>
        <w:rPr>
          <w:sz w:val="21"/>
          <w:szCs w:val="21"/>
        </w:rPr>
      </w:pPr>
      <w:r w:rsidRPr="00516C4E">
        <w:rPr>
          <w:sz w:val="21"/>
          <w:szCs w:val="21"/>
        </w:rPr>
        <w:t>review</w:t>
      </w:r>
      <w:r>
        <w:rPr>
          <w:sz w:val="21"/>
          <w:szCs w:val="21"/>
        </w:rPr>
        <w:t>ing</w:t>
      </w:r>
      <w:r w:rsidRPr="00516C4E">
        <w:rPr>
          <w:sz w:val="21"/>
          <w:szCs w:val="21"/>
        </w:rPr>
        <w:t xml:space="preserve"> </w:t>
      </w:r>
      <w:r>
        <w:rPr>
          <w:sz w:val="21"/>
          <w:szCs w:val="21"/>
        </w:rPr>
        <w:t>Disaster READY Country and Activity Plans</w:t>
      </w:r>
      <w:r w:rsidR="001D0307">
        <w:rPr>
          <w:sz w:val="21"/>
          <w:szCs w:val="21"/>
        </w:rPr>
        <w:t xml:space="preserve">, </w:t>
      </w:r>
      <w:r w:rsidR="001F1373">
        <w:rPr>
          <w:sz w:val="21"/>
          <w:szCs w:val="21"/>
        </w:rPr>
        <w:t>strategies,</w:t>
      </w:r>
      <w:r w:rsidR="001D0307">
        <w:rPr>
          <w:sz w:val="21"/>
          <w:szCs w:val="21"/>
        </w:rPr>
        <w:t xml:space="preserve"> and reports, and</w:t>
      </w:r>
      <w:r>
        <w:rPr>
          <w:sz w:val="21"/>
          <w:szCs w:val="21"/>
        </w:rPr>
        <w:t xml:space="preserve"> advis</w:t>
      </w:r>
      <w:r w:rsidR="00BF52FC">
        <w:rPr>
          <w:sz w:val="21"/>
          <w:szCs w:val="21"/>
        </w:rPr>
        <w:t>ing</w:t>
      </w:r>
      <w:r>
        <w:rPr>
          <w:sz w:val="21"/>
          <w:szCs w:val="21"/>
        </w:rPr>
        <w:t xml:space="preserve"> on</w:t>
      </w:r>
      <w:r w:rsidRPr="00A167B4">
        <w:rPr>
          <w:sz w:val="21"/>
          <w:szCs w:val="21"/>
        </w:rPr>
        <w:t xml:space="preserve"> the</w:t>
      </w:r>
      <w:r>
        <w:rPr>
          <w:sz w:val="21"/>
          <w:szCs w:val="21"/>
        </w:rPr>
        <w:t>ir</w:t>
      </w:r>
      <w:r w:rsidRPr="00A167B4">
        <w:rPr>
          <w:sz w:val="21"/>
          <w:szCs w:val="21"/>
        </w:rPr>
        <w:t xml:space="preserve"> implementation and continued relevance to bilateral </w:t>
      </w:r>
      <w:r w:rsidR="002A3C41">
        <w:rPr>
          <w:sz w:val="21"/>
          <w:szCs w:val="21"/>
        </w:rPr>
        <w:t xml:space="preserve">and Partner Government </w:t>
      </w:r>
      <w:r w:rsidRPr="00A167B4">
        <w:rPr>
          <w:sz w:val="21"/>
          <w:szCs w:val="21"/>
        </w:rPr>
        <w:t>priorities</w:t>
      </w:r>
      <w:r>
        <w:rPr>
          <w:sz w:val="21"/>
          <w:szCs w:val="21"/>
        </w:rPr>
        <w:t>;</w:t>
      </w:r>
    </w:p>
    <w:p w14:paraId="49777B35" w14:textId="75C6C9F3" w:rsidR="00115882" w:rsidRDefault="00115882" w:rsidP="0011591E">
      <w:pPr>
        <w:pStyle w:val="ListParagraph"/>
        <w:numPr>
          <w:ilvl w:val="1"/>
          <w:numId w:val="36"/>
        </w:numPr>
        <w:suppressAutoHyphens w:val="0"/>
        <w:spacing w:before="60" w:line="280" w:lineRule="exact"/>
        <w:contextualSpacing w:val="0"/>
        <w:rPr>
          <w:sz w:val="21"/>
          <w:szCs w:val="21"/>
        </w:rPr>
      </w:pPr>
      <w:r>
        <w:rPr>
          <w:sz w:val="21"/>
          <w:szCs w:val="21"/>
        </w:rPr>
        <w:t xml:space="preserve">facilitating </w:t>
      </w:r>
      <w:r w:rsidR="007E39C3">
        <w:rPr>
          <w:sz w:val="21"/>
          <w:szCs w:val="21"/>
        </w:rPr>
        <w:t>engagement with complementary bilateral or other initiatives, such as Australia Assists, where relevant; and</w:t>
      </w:r>
    </w:p>
    <w:p w14:paraId="77D0A686" w14:textId="6125EE28" w:rsidR="00784BA1" w:rsidRPr="003E2C60" w:rsidRDefault="002B2605" w:rsidP="0011591E">
      <w:pPr>
        <w:pStyle w:val="ListParagraph"/>
        <w:numPr>
          <w:ilvl w:val="1"/>
          <w:numId w:val="36"/>
        </w:numPr>
        <w:suppressAutoHyphens w:val="0"/>
        <w:spacing w:before="60" w:line="280" w:lineRule="exact"/>
        <w:contextualSpacing w:val="0"/>
        <w:rPr>
          <w:sz w:val="21"/>
          <w:szCs w:val="21"/>
        </w:rPr>
      </w:pPr>
      <w:r w:rsidRPr="003E2C60">
        <w:rPr>
          <w:sz w:val="21"/>
          <w:szCs w:val="21"/>
        </w:rPr>
        <w:t>participat</w:t>
      </w:r>
      <w:r w:rsidR="00784BA1">
        <w:rPr>
          <w:sz w:val="21"/>
          <w:szCs w:val="21"/>
        </w:rPr>
        <w:t>ing</w:t>
      </w:r>
      <w:r w:rsidRPr="003E2C60">
        <w:rPr>
          <w:sz w:val="21"/>
          <w:szCs w:val="21"/>
        </w:rPr>
        <w:t xml:space="preserve"> in the annual review and planning workshops</w:t>
      </w:r>
      <w:r w:rsidR="00E62748">
        <w:rPr>
          <w:sz w:val="21"/>
          <w:szCs w:val="21"/>
        </w:rPr>
        <w:t>, and field visits where possible</w:t>
      </w:r>
      <w:r w:rsidRPr="003E2C60">
        <w:rPr>
          <w:sz w:val="21"/>
          <w:szCs w:val="21"/>
        </w:rPr>
        <w:t>;</w:t>
      </w:r>
    </w:p>
    <w:p w14:paraId="62C7D122" w14:textId="5EEEA252" w:rsidR="009F34CF" w:rsidRDefault="00CC6BF6" w:rsidP="0011591E">
      <w:pPr>
        <w:pStyle w:val="ListParagraph"/>
        <w:numPr>
          <w:ilvl w:val="0"/>
          <w:numId w:val="36"/>
        </w:numPr>
        <w:suppressAutoHyphens w:val="0"/>
        <w:spacing w:before="60" w:line="280" w:lineRule="exact"/>
        <w:ind w:left="714" w:hanging="357"/>
        <w:contextualSpacing w:val="0"/>
        <w:rPr>
          <w:sz w:val="21"/>
          <w:szCs w:val="21"/>
        </w:rPr>
      </w:pPr>
      <w:r>
        <w:rPr>
          <w:sz w:val="21"/>
          <w:szCs w:val="21"/>
        </w:rPr>
        <w:t xml:space="preserve">manage AHP rapid and protracted crisis response activities </w:t>
      </w:r>
      <w:r w:rsidR="00863AD1">
        <w:rPr>
          <w:sz w:val="21"/>
          <w:szCs w:val="21"/>
        </w:rPr>
        <w:t xml:space="preserve">in country </w:t>
      </w:r>
      <w:r w:rsidR="009F34CF">
        <w:rPr>
          <w:sz w:val="21"/>
          <w:szCs w:val="21"/>
        </w:rPr>
        <w:t xml:space="preserve">(for relevant Posts) </w:t>
      </w:r>
      <w:r>
        <w:rPr>
          <w:sz w:val="21"/>
          <w:szCs w:val="21"/>
        </w:rPr>
        <w:t>with support from HDS</w:t>
      </w:r>
      <w:r w:rsidR="004D5E12">
        <w:rPr>
          <w:sz w:val="21"/>
          <w:szCs w:val="21"/>
        </w:rPr>
        <w:t xml:space="preserve">, </w:t>
      </w:r>
      <w:r w:rsidR="003718E2">
        <w:rPr>
          <w:sz w:val="21"/>
          <w:szCs w:val="21"/>
        </w:rPr>
        <w:t xml:space="preserve">the </w:t>
      </w:r>
      <w:r w:rsidR="004D5E12">
        <w:rPr>
          <w:sz w:val="21"/>
          <w:szCs w:val="21"/>
        </w:rPr>
        <w:t xml:space="preserve">Protracted Crisis Section and </w:t>
      </w:r>
      <w:r w:rsidR="003718E2">
        <w:rPr>
          <w:sz w:val="21"/>
          <w:szCs w:val="21"/>
        </w:rPr>
        <w:t xml:space="preserve">desks as </w:t>
      </w:r>
      <w:r w:rsidR="004D5E12">
        <w:rPr>
          <w:sz w:val="21"/>
          <w:szCs w:val="21"/>
        </w:rPr>
        <w:t>relevant</w:t>
      </w:r>
      <w:r w:rsidR="009F34CF">
        <w:rPr>
          <w:sz w:val="21"/>
          <w:szCs w:val="21"/>
        </w:rPr>
        <w:t>, including:</w:t>
      </w:r>
    </w:p>
    <w:p w14:paraId="6DDC871D" w14:textId="197DD4A0" w:rsidR="00033C0A" w:rsidRDefault="00033C0A" w:rsidP="0011591E">
      <w:pPr>
        <w:pStyle w:val="ListParagraph"/>
        <w:numPr>
          <w:ilvl w:val="1"/>
          <w:numId w:val="36"/>
        </w:numPr>
        <w:suppressAutoHyphens w:val="0"/>
        <w:spacing w:before="60" w:line="280" w:lineRule="exact"/>
        <w:contextualSpacing w:val="0"/>
        <w:rPr>
          <w:sz w:val="21"/>
          <w:szCs w:val="21"/>
        </w:rPr>
      </w:pPr>
      <w:r>
        <w:rPr>
          <w:sz w:val="21"/>
          <w:szCs w:val="21"/>
        </w:rPr>
        <w:t>providing financial approvals as appropriate in consultation with HDS</w:t>
      </w:r>
      <w:r w:rsidR="003449DE">
        <w:rPr>
          <w:sz w:val="21"/>
          <w:szCs w:val="21"/>
        </w:rPr>
        <w:t>, including for any pivoting of funds</w:t>
      </w:r>
      <w:r>
        <w:rPr>
          <w:sz w:val="21"/>
          <w:szCs w:val="21"/>
        </w:rPr>
        <w:t>;</w:t>
      </w:r>
    </w:p>
    <w:p w14:paraId="5EABA0BA" w14:textId="5FF7F927" w:rsidR="00E62748" w:rsidRDefault="00B12E88" w:rsidP="0011591E">
      <w:pPr>
        <w:pStyle w:val="ListParagraph"/>
        <w:numPr>
          <w:ilvl w:val="1"/>
          <w:numId w:val="36"/>
        </w:numPr>
        <w:suppressAutoHyphens w:val="0"/>
        <w:spacing w:before="60" w:line="280" w:lineRule="exact"/>
        <w:contextualSpacing w:val="0"/>
        <w:rPr>
          <w:sz w:val="21"/>
          <w:szCs w:val="21"/>
        </w:rPr>
      </w:pPr>
      <w:r>
        <w:rPr>
          <w:sz w:val="21"/>
          <w:szCs w:val="21"/>
        </w:rPr>
        <w:t>reviewing and endorsing</w:t>
      </w:r>
      <w:r w:rsidR="00E62748">
        <w:rPr>
          <w:sz w:val="21"/>
          <w:szCs w:val="21"/>
        </w:rPr>
        <w:t xml:space="preserve"> </w:t>
      </w:r>
      <w:r>
        <w:rPr>
          <w:sz w:val="21"/>
          <w:szCs w:val="21"/>
        </w:rPr>
        <w:t xml:space="preserve">proposals, plans, </w:t>
      </w:r>
      <w:r w:rsidR="001F1373">
        <w:rPr>
          <w:sz w:val="21"/>
          <w:szCs w:val="21"/>
        </w:rPr>
        <w:t>reports,</w:t>
      </w:r>
      <w:r>
        <w:rPr>
          <w:sz w:val="21"/>
          <w:szCs w:val="21"/>
        </w:rPr>
        <w:t xml:space="preserve"> and any amendments; </w:t>
      </w:r>
    </w:p>
    <w:p w14:paraId="3C4351B1" w14:textId="0A1BE69B" w:rsidR="009F34CF" w:rsidRDefault="00E62748" w:rsidP="0011591E">
      <w:pPr>
        <w:pStyle w:val="ListParagraph"/>
        <w:numPr>
          <w:ilvl w:val="1"/>
          <w:numId w:val="36"/>
        </w:numPr>
        <w:suppressAutoHyphens w:val="0"/>
        <w:spacing w:before="60" w:line="280" w:lineRule="exact"/>
        <w:contextualSpacing w:val="0"/>
        <w:rPr>
          <w:sz w:val="21"/>
          <w:szCs w:val="21"/>
        </w:rPr>
      </w:pPr>
      <w:r w:rsidRPr="00E62748">
        <w:rPr>
          <w:sz w:val="21"/>
          <w:szCs w:val="21"/>
        </w:rPr>
        <w:t>monitoring program performance, including field visits</w:t>
      </w:r>
      <w:r>
        <w:rPr>
          <w:sz w:val="21"/>
          <w:szCs w:val="21"/>
        </w:rPr>
        <w:t xml:space="preserve"> where possible</w:t>
      </w:r>
      <w:r w:rsidR="00A53804">
        <w:rPr>
          <w:sz w:val="21"/>
          <w:szCs w:val="21"/>
        </w:rPr>
        <w:t>, and working collaboratively with H</w:t>
      </w:r>
      <w:r w:rsidR="00E10B35">
        <w:rPr>
          <w:sz w:val="21"/>
          <w:szCs w:val="21"/>
        </w:rPr>
        <w:t>PD</w:t>
      </w:r>
      <w:r w:rsidR="00A53804">
        <w:rPr>
          <w:sz w:val="21"/>
          <w:szCs w:val="21"/>
        </w:rPr>
        <w:t xml:space="preserve"> to address</w:t>
      </w:r>
      <w:r w:rsidR="00274303">
        <w:rPr>
          <w:sz w:val="21"/>
          <w:szCs w:val="21"/>
        </w:rPr>
        <w:t xml:space="preserve"> performance</w:t>
      </w:r>
      <w:r w:rsidR="00A53804">
        <w:rPr>
          <w:sz w:val="21"/>
          <w:szCs w:val="21"/>
        </w:rPr>
        <w:t xml:space="preserve"> issues;</w:t>
      </w:r>
      <w:r w:rsidR="00274303">
        <w:rPr>
          <w:sz w:val="21"/>
          <w:szCs w:val="21"/>
        </w:rPr>
        <w:t xml:space="preserve"> and</w:t>
      </w:r>
    </w:p>
    <w:p w14:paraId="18063E84" w14:textId="3ADA970C" w:rsidR="00A77635" w:rsidRPr="00C31A79" w:rsidRDefault="00A53804" w:rsidP="0011591E">
      <w:pPr>
        <w:pStyle w:val="ListParagraph"/>
        <w:numPr>
          <w:ilvl w:val="1"/>
          <w:numId w:val="36"/>
        </w:numPr>
        <w:suppressAutoHyphens w:val="0"/>
        <w:spacing w:before="60" w:line="280" w:lineRule="exact"/>
        <w:contextualSpacing w:val="0"/>
        <w:rPr>
          <w:sz w:val="21"/>
          <w:szCs w:val="21"/>
        </w:rPr>
      </w:pPr>
      <w:r>
        <w:rPr>
          <w:sz w:val="21"/>
          <w:szCs w:val="21"/>
        </w:rPr>
        <w:t xml:space="preserve">ensuring </w:t>
      </w:r>
      <w:r w:rsidR="00A77635" w:rsidRPr="00C31A79">
        <w:rPr>
          <w:sz w:val="21"/>
          <w:szCs w:val="21"/>
        </w:rPr>
        <w:t xml:space="preserve">AHP </w:t>
      </w:r>
      <w:r>
        <w:rPr>
          <w:sz w:val="21"/>
          <w:szCs w:val="21"/>
        </w:rPr>
        <w:t>response activities are</w:t>
      </w:r>
      <w:r w:rsidR="00A77635" w:rsidRPr="00C31A79">
        <w:rPr>
          <w:sz w:val="21"/>
          <w:szCs w:val="21"/>
        </w:rPr>
        <w:t xml:space="preserve"> well linked to current or new bilateral and regional work; </w:t>
      </w:r>
    </w:p>
    <w:p w14:paraId="55EBFEFB" w14:textId="334D34AF" w:rsidR="002B2605" w:rsidRDefault="002B2605" w:rsidP="0011591E">
      <w:pPr>
        <w:pStyle w:val="ListParagraph"/>
        <w:numPr>
          <w:ilvl w:val="0"/>
          <w:numId w:val="36"/>
        </w:numPr>
        <w:suppressAutoHyphens w:val="0"/>
        <w:spacing w:before="60" w:line="280" w:lineRule="exact"/>
        <w:ind w:left="714" w:hanging="357"/>
        <w:contextualSpacing w:val="0"/>
        <w:rPr>
          <w:sz w:val="21"/>
          <w:szCs w:val="21"/>
        </w:rPr>
      </w:pPr>
      <w:r w:rsidRPr="003E2C60">
        <w:rPr>
          <w:sz w:val="21"/>
          <w:szCs w:val="21"/>
        </w:rPr>
        <w:t>identify and support public diplomacy opportunities</w:t>
      </w:r>
      <w:r w:rsidR="00274303">
        <w:rPr>
          <w:sz w:val="21"/>
          <w:szCs w:val="21"/>
        </w:rPr>
        <w:t xml:space="preserve"> for AHP activities</w:t>
      </w:r>
      <w:r w:rsidR="000C4D0A">
        <w:rPr>
          <w:sz w:val="21"/>
          <w:szCs w:val="21"/>
        </w:rPr>
        <w:t>; and</w:t>
      </w:r>
    </w:p>
    <w:p w14:paraId="7AEF6CDD" w14:textId="3CA2947B" w:rsidR="000C4D0A" w:rsidRDefault="000C4D0A" w:rsidP="0011591E">
      <w:pPr>
        <w:pStyle w:val="ListParagraph"/>
        <w:numPr>
          <w:ilvl w:val="0"/>
          <w:numId w:val="36"/>
        </w:numPr>
        <w:suppressAutoHyphens w:val="0"/>
        <w:spacing w:before="60" w:line="280" w:lineRule="exact"/>
        <w:ind w:left="714" w:hanging="357"/>
        <w:contextualSpacing w:val="0"/>
        <w:rPr>
          <w:sz w:val="21"/>
          <w:szCs w:val="21"/>
        </w:rPr>
      </w:pPr>
      <w:r>
        <w:rPr>
          <w:sz w:val="21"/>
          <w:szCs w:val="21"/>
        </w:rPr>
        <w:t xml:space="preserve">participate in </w:t>
      </w:r>
      <w:r w:rsidRPr="00D14B30">
        <w:rPr>
          <w:sz w:val="21"/>
          <w:szCs w:val="21"/>
        </w:rPr>
        <w:t>program evaluations (as required)</w:t>
      </w:r>
      <w:r w:rsidR="00274303">
        <w:rPr>
          <w:sz w:val="21"/>
          <w:szCs w:val="21"/>
        </w:rPr>
        <w:t>.</w:t>
      </w:r>
    </w:p>
    <w:p w14:paraId="4426FBAA" w14:textId="691B94BC" w:rsidR="00391728" w:rsidRPr="005B092D" w:rsidRDefault="00391728" w:rsidP="005B092D">
      <w:pPr>
        <w:pStyle w:val="ListParagraph"/>
        <w:tabs>
          <w:tab w:val="left" w:pos="0"/>
        </w:tabs>
        <w:suppressAutoHyphens w:val="0"/>
        <w:spacing w:after="0" w:line="280" w:lineRule="exact"/>
        <w:ind w:left="0"/>
        <w:contextualSpacing w:val="0"/>
        <w:rPr>
          <w:iCs/>
          <w:sz w:val="21"/>
          <w:szCs w:val="21"/>
        </w:rPr>
      </w:pPr>
      <w:r w:rsidRPr="0026576A">
        <w:rPr>
          <w:iCs/>
          <w:sz w:val="21"/>
          <w:szCs w:val="21"/>
        </w:rPr>
        <w:t xml:space="preserve">Other DFAT stakeholders </w:t>
      </w:r>
      <w:r w:rsidR="002B4942">
        <w:rPr>
          <w:iCs/>
          <w:sz w:val="21"/>
          <w:szCs w:val="21"/>
        </w:rPr>
        <w:t xml:space="preserve">also </w:t>
      </w:r>
      <w:r w:rsidRPr="0026576A">
        <w:rPr>
          <w:iCs/>
          <w:sz w:val="21"/>
          <w:szCs w:val="21"/>
        </w:rPr>
        <w:t xml:space="preserve">have important roles to play in the AHP including the </w:t>
      </w:r>
      <w:r w:rsidR="00B706E1" w:rsidRPr="005B092D">
        <w:rPr>
          <w:iCs/>
          <w:sz w:val="21"/>
          <w:szCs w:val="21"/>
        </w:rPr>
        <w:t>HPD Humanitarian, Refugee and NGO Branch (HUB</w:t>
      </w:r>
      <w:r w:rsidR="002B4942">
        <w:rPr>
          <w:iCs/>
          <w:sz w:val="21"/>
          <w:szCs w:val="21"/>
        </w:rPr>
        <w:t>)</w:t>
      </w:r>
      <w:r w:rsidR="00A65283">
        <w:rPr>
          <w:iCs/>
          <w:sz w:val="21"/>
          <w:szCs w:val="21"/>
        </w:rPr>
        <w:t xml:space="preserve"> and its</w:t>
      </w:r>
      <w:r w:rsidR="00B706E1" w:rsidRPr="0026576A">
        <w:rPr>
          <w:iCs/>
          <w:sz w:val="21"/>
          <w:szCs w:val="21"/>
        </w:rPr>
        <w:t xml:space="preserve"> Protracted Crisis Section (PRS)</w:t>
      </w:r>
      <w:r w:rsidR="00A65283">
        <w:rPr>
          <w:iCs/>
          <w:sz w:val="21"/>
          <w:szCs w:val="21"/>
        </w:rPr>
        <w:t>,</w:t>
      </w:r>
      <w:r w:rsidR="002B4942" w:rsidRPr="0026576A">
        <w:rPr>
          <w:iCs/>
          <w:sz w:val="21"/>
          <w:szCs w:val="21"/>
        </w:rPr>
        <w:t xml:space="preserve"> and geographic desks. </w:t>
      </w:r>
      <w:r w:rsidR="002B4942">
        <w:rPr>
          <w:iCs/>
          <w:sz w:val="21"/>
          <w:szCs w:val="21"/>
        </w:rPr>
        <w:t xml:space="preserve">A </w:t>
      </w:r>
      <w:r w:rsidR="00870A9C">
        <w:rPr>
          <w:iCs/>
          <w:sz w:val="21"/>
          <w:szCs w:val="21"/>
        </w:rPr>
        <w:t xml:space="preserve">summary of </w:t>
      </w:r>
      <w:r w:rsidR="00462430">
        <w:rPr>
          <w:iCs/>
          <w:sz w:val="21"/>
          <w:szCs w:val="21"/>
        </w:rPr>
        <w:t xml:space="preserve">all </w:t>
      </w:r>
      <w:r w:rsidR="00870A9C">
        <w:rPr>
          <w:iCs/>
          <w:sz w:val="21"/>
          <w:szCs w:val="21"/>
        </w:rPr>
        <w:t xml:space="preserve">internal DFAT roles will be developed in early implementation by HDS and shared with </w:t>
      </w:r>
      <w:r w:rsidR="00462430">
        <w:rPr>
          <w:iCs/>
          <w:sz w:val="21"/>
          <w:szCs w:val="21"/>
        </w:rPr>
        <w:t xml:space="preserve">relevant </w:t>
      </w:r>
      <w:r w:rsidR="00870A9C">
        <w:rPr>
          <w:iCs/>
          <w:sz w:val="21"/>
          <w:szCs w:val="21"/>
        </w:rPr>
        <w:t>stakeholders</w:t>
      </w:r>
      <w:r w:rsidR="000D29AF">
        <w:rPr>
          <w:iCs/>
          <w:sz w:val="21"/>
          <w:szCs w:val="21"/>
        </w:rPr>
        <w:t>.</w:t>
      </w:r>
    </w:p>
    <w:p w14:paraId="3D52F920" w14:textId="7E231858" w:rsidR="000C4D0A" w:rsidRPr="00A92894" w:rsidRDefault="000C4D0A" w:rsidP="00A92894">
      <w:pPr>
        <w:rPr>
          <w:b/>
          <w:bCs/>
        </w:rPr>
      </w:pPr>
      <w:r w:rsidRPr="00A92894">
        <w:rPr>
          <w:b/>
          <w:bCs/>
        </w:rPr>
        <w:t>The AHPSU</w:t>
      </w:r>
    </w:p>
    <w:p w14:paraId="76E2C950" w14:textId="575102CF" w:rsidR="00B2677E" w:rsidRDefault="00665E67" w:rsidP="003E2C60">
      <w:pPr>
        <w:pStyle w:val="ListParagraph"/>
        <w:tabs>
          <w:tab w:val="left" w:pos="284"/>
        </w:tabs>
        <w:suppressAutoHyphens w:val="0"/>
        <w:spacing w:before="200" w:after="240" w:line="280" w:lineRule="exact"/>
        <w:ind w:left="0"/>
        <w:contextualSpacing w:val="0"/>
        <w:rPr>
          <w:rFonts w:eastAsia="Times New Roman" w:cs="Times New Roman"/>
          <w:sz w:val="21"/>
          <w:szCs w:val="24"/>
          <w:lang w:val="en-AU"/>
        </w:rPr>
      </w:pPr>
      <w:bookmarkStart w:id="34" w:name="_Hlk86924817"/>
      <w:r>
        <w:rPr>
          <w:rFonts w:eastAsia="Times New Roman" w:cs="Times New Roman"/>
          <w:sz w:val="21"/>
          <w:szCs w:val="24"/>
          <w:lang w:val="en-AU"/>
        </w:rPr>
        <w:t xml:space="preserve">The </w:t>
      </w:r>
      <w:r w:rsidR="003E00D9">
        <w:rPr>
          <w:rFonts w:eastAsia="Times New Roman" w:cs="Times New Roman"/>
          <w:sz w:val="21"/>
          <w:szCs w:val="24"/>
          <w:lang w:val="en-AU"/>
        </w:rPr>
        <w:t>AHPSU</w:t>
      </w:r>
      <w:r>
        <w:rPr>
          <w:rFonts w:eastAsia="Times New Roman" w:cs="Times New Roman"/>
          <w:sz w:val="21"/>
          <w:szCs w:val="24"/>
          <w:lang w:val="en-AU"/>
        </w:rPr>
        <w:t xml:space="preserve"> </w:t>
      </w:r>
      <w:r w:rsidR="000C4D0A">
        <w:rPr>
          <w:rFonts w:eastAsia="Times New Roman" w:cs="Times New Roman"/>
          <w:sz w:val="21"/>
          <w:szCs w:val="24"/>
          <w:lang w:val="en-AU"/>
        </w:rPr>
        <w:t>will support the delivery of the AHP</w:t>
      </w:r>
      <w:r w:rsidR="00033C0A">
        <w:rPr>
          <w:rFonts w:eastAsia="Times New Roman" w:cs="Times New Roman"/>
          <w:sz w:val="21"/>
          <w:szCs w:val="24"/>
          <w:lang w:val="en-AU"/>
        </w:rPr>
        <w:t xml:space="preserve"> </w:t>
      </w:r>
      <w:r>
        <w:rPr>
          <w:rFonts w:eastAsia="Times New Roman" w:cs="Times New Roman"/>
          <w:sz w:val="21"/>
          <w:szCs w:val="24"/>
          <w:lang w:val="en-AU"/>
        </w:rPr>
        <w:t xml:space="preserve">with the following </w:t>
      </w:r>
      <w:r w:rsidR="00433468">
        <w:rPr>
          <w:rFonts w:eastAsia="Times New Roman" w:cs="Times New Roman"/>
          <w:sz w:val="21"/>
          <w:szCs w:val="24"/>
          <w:lang w:val="en-AU"/>
        </w:rPr>
        <w:t>roles and responsibilities</w:t>
      </w:r>
      <w:r w:rsidR="00602C58">
        <w:rPr>
          <w:rFonts w:eastAsia="Times New Roman" w:cs="Times New Roman"/>
          <w:sz w:val="21"/>
          <w:szCs w:val="24"/>
          <w:lang w:val="en-AU"/>
        </w:rPr>
        <w:t>.</w:t>
      </w:r>
      <w:r w:rsidR="00433468" w:rsidRPr="00433468">
        <w:rPr>
          <w:rFonts w:eastAsia="Times New Roman" w:cs="Times New Roman"/>
          <w:sz w:val="21"/>
          <w:szCs w:val="24"/>
          <w:lang w:val="en-AU"/>
        </w:rPr>
        <w:t xml:space="preserve"> The full proposed TORs for the AHPSU are included at Annex 7.</w:t>
      </w:r>
    </w:p>
    <w:tbl>
      <w:tblPr>
        <w:tblStyle w:val="TableGrid"/>
        <w:tblW w:w="0" w:type="auto"/>
        <w:shd w:val="clear" w:color="auto" w:fill="E0F3EF" w:themeFill="accent1" w:themeFillTint="33"/>
        <w:tblLook w:val="04A0" w:firstRow="1" w:lastRow="0" w:firstColumn="1" w:lastColumn="0" w:noHBand="0" w:noVBand="1"/>
      </w:tblPr>
      <w:tblGrid>
        <w:gridCol w:w="9016"/>
      </w:tblGrid>
      <w:tr w:rsidR="00EA56EB" w14:paraId="658452BA" w14:textId="77777777" w:rsidTr="005C46D4">
        <w:trPr>
          <w:trHeight w:val="1125"/>
        </w:trPr>
        <w:tc>
          <w:tcPr>
            <w:tcW w:w="9016" w:type="dxa"/>
            <w:shd w:val="clear" w:color="auto" w:fill="E0F3EF" w:themeFill="accent1" w:themeFillTint="33"/>
          </w:tcPr>
          <w:p w14:paraId="5DFDF1C1" w14:textId="063B35A1" w:rsidR="002A25C4" w:rsidRPr="007F30EE" w:rsidRDefault="00602C58" w:rsidP="00673397">
            <w:pPr>
              <w:pStyle w:val="Caption"/>
              <w:spacing w:before="0" w:after="120"/>
              <w:contextualSpacing w:val="0"/>
            </w:pPr>
            <w:r w:rsidRPr="007F30EE">
              <w:t xml:space="preserve">Fig 4. </w:t>
            </w:r>
            <w:r w:rsidR="002A25C4" w:rsidRPr="007F30EE">
              <w:t xml:space="preserve">  AHP Support Unit Terms of Reference</w:t>
            </w:r>
          </w:p>
          <w:p w14:paraId="233E9294" w14:textId="75CD111A" w:rsidR="00EA56EB" w:rsidRPr="007F30EE" w:rsidRDefault="00EA56EB" w:rsidP="00EA56EB">
            <w:pPr>
              <w:pStyle w:val="ListParagraph"/>
              <w:tabs>
                <w:tab w:val="left" w:pos="284"/>
              </w:tabs>
              <w:suppressAutoHyphens w:val="0"/>
              <w:spacing w:before="0" w:line="280" w:lineRule="exact"/>
              <w:ind w:left="0"/>
              <w:rPr>
                <w:rFonts w:eastAsia="Times New Roman" w:cs="Times New Roman"/>
                <w:sz w:val="20"/>
                <w:szCs w:val="20"/>
                <w:lang w:val="en-AU"/>
              </w:rPr>
            </w:pPr>
            <w:r w:rsidRPr="007F30EE">
              <w:rPr>
                <w:rFonts w:eastAsia="Times New Roman" w:cs="Times New Roman"/>
                <w:sz w:val="20"/>
                <w:szCs w:val="20"/>
                <w:lang w:val="en-AU"/>
              </w:rPr>
              <w:t>The role of the AHPSU is:</w:t>
            </w:r>
          </w:p>
          <w:p w14:paraId="3289ECAB" w14:textId="77777777" w:rsidR="00EA56EB" w:rsidRPr="007F30EE" w:rsidRDefault="00EA56EB" w:rsidP="0011591E">
            <w:pPr>
              <w:pStyle w:val="ListParagraph"/>
              <w:numPr>
                <w:ilvl w:val="0"/>
                <w:numId w:val="31"/>
              </w:numPr>
              <w:tabs>
                <w:tab w:val="left" w:pos="284"/>
              </w:tabs>
              <w:suppressAutoHyphens w:val="0"/>
              <w:spacing w:before="0" w:line="280" w:lineRule="exact"/>
              <w:ind w:left="360"/>
              <w:rPr>
                <w:rFonts w:eastAsia="Times New Roman" w:cs="Times New Roman"/>
                <w:sz w:val="20"/>
                <w:szCs w:val="20"/>
                <w:lang w:val="en-AU"/>
              </w:rPr>
            </w:pPr>
            <w:r w:rsidRPr="007F30EE">
              <w:rPr>
                <w:rFonts w:eastAsia="Times New Roman" w:cs="Times New Roman"/>
                <w:sz w:val="20"/>
                <w:szCs w:val="20"/>
                <w:lang w:val="en-AU"/>
              </w:rPr>
              <w:t>To facilitate a partnership approach and a whole-of-program perspective in implementation</w:t>
            </w:r>
          </w:p>
          <w:p w14:paraId="704918BC" w14:textId="5F0FB50D" w:rsidR="00EA56EB" w:rsidRPr="007F30EE" w:rsidRDefault="00EA56EB" w:rsidP="0011591E">
            <w:pPr>
              <w:pStyle w:val="ListParagraph"/>
              <w:numPr>
                <w:ilvl w:val="0"/>
                <w:numId w:val="31"/>
              </w:numPr>
              <w:tabs>
                <w:tab w:val="left" w:pos="284"/>
              </w:tabs>
              <w:suppressAutoHyphens w:val="0"/>
              <w:spacing w:before="0" w:line="280" w:lineRule="exact"/>
              <w:ind w:left="360"/>
              <w:rPr>
                <w:rFonts w:eastAsia="Times New Roman" w:cs="Times New Roman"/>
                <w:sz w:val="20"/>
                <w:szCs w:val="20"/>
                <w:lang w:val="en-AU"/>
              </w:rPr>
            </w:pPr>
            <w:r w:rsidRPr="007F30EE">
              <w:rPr>
                <w:rFonts w:eastAsia="Times New Roman" w:cs="Times New Roman"/>
                <w:sz w:val="20"/>
                <w:szCs w:val="20"/>
                <w:lang w:val="en-AU"/>
              </w:rPr>
              <w:t xml:space="preserve">To strengthen </w:t>
            </w:r>
            <w:r w:rsidR="00462430">
              <w:rPr>
                <w:rFonts w:eastAsia="Times New Roman" w:cs="Times New Roman"/>
                <w:sz w:val="20"/>
                <w:szCs w:val="20"/>
                <w:lang w:val="en-AU"/>
              </w:rPr>
              <w:t>the EOPOs</w:t>
            </w:r>
            <w:r w:rsidRPr="007F30EE">
              <w:rPr>
                <w:rFonts w:eastAsia="Times New Roman" w:cs="Times New Roman"/>
                <w:sz w:val="20"/>
                <w:szCs w:val="20"/>
                <w:lang w:val="en-AU"/>
              </w:rPr>
              <w:t xml:space="preserve">, by supporting </w:t>
            </w:r>
            <w:r w:rsidR="00EB3557">
              <w:rPr>
                <w:rFonts w:eastAsia="Times New Roman" w:cs="Times New Roman"/>
                <w:sz w:val="20"/>
                <w:szCs w:val="20"/>
                <w:lang w:val="en-AU"/>
              </w:rPr>
              <w:t>MEL</w:t>
            </w:r>
            <w:r w:rsidRPr="007F30EE">
              <w:rPr>
                <w:rFonts w:eastAsia="Times New Roman" w:cs="Times New Roman"/>
                <w:sz w:val="20"/>
                <w:szCs w:val="20"/>
                <w:lang w:val="en-AU"/>
              </w:rPr>
              <w:t>, and promoting innovation and continuous improvement</w:t>
            </w:r>
          </w:p>
          <w:p w14:paraId="3F46E27A" w14:textId="77777777" w:rsidR="00EA56EB" w:rsidRPr="007F30EE" w:rsidRDefault="00EA56EB" w:rsidP="0011591E">
            <w:pPr>
              <w:pStyle w:val="ListParagraph"/>
              <w:numPr>
                <w:ilvl w:val="0"/>
                <w:numId w:val="31"/>
              </w:numPr>
              <w:tabs>
                <w:tab w:val="left" w:pos="284"/>
              </w:tabs>
              <w:suppressAutoHyphens w:val="0"/>
              <w:spacing w:before="0" w:line="280" w:lineRule="exact"/>
              <w:ind w:left="360"/>
              <w:rPr>
                <w:rFonts w:eastAsia="Times New Roman" w:cs="Times New Roman"/>
                <w:sz w:val="20"/>
                <w:szCs w:val="20"/>
                <w:lang w:val="en-AU"/>
              </w:rPr>
            </w:pPr>
            <w:r w:rsidRPr="007F30EE">
              <w:rPr>
                <w:rFonts w:eastAsia="Times New Roman" w:cs="Times New Roman"/>
                <w:sz w:val="20"/>
                <w:szCs w:val="20"/>
                <w:lang w:val="en-AU"/>
              </w:rPr>
              <w:t>To coordinate engagement with other stakeholders and DFAT partners to work towards common objectives</w:t>
            </w:r>
          </w:p>
          <w:p w14:paraId="1D6B37AB" w14:textId="77777777" w:rsidR="00EA56EB" w:rsidRPr="007F30EE" w:rsidRDefault="00EA56EB" w:rsidP="0011591E">
            <w:pPr>
              <w:pStyle w:val="ListParagraph"/>
              <w:numPr>
                <w:ilvl w:val="0"/>
                <w:numId w:val="31"/>
              </w:numPr>
              <w:tabs>
                <w:tab w:val="left" w:pos="284"/>
              </w:tabs>
              <w:suppressAutoHyphens w:val="0"/>
              <w:spacing w:before="0" w:line="280" w:lineRule="exact"/>
              <w:ind w:left="360"/>
              <w:rPr>
                <w:rFonts w:eastAsia="Times New Roman" w:cs="Times New Roman"/>
                <w:sz w:val="20"/>
                <w:szCs w:val="20"/>
                <w:lang w:val="en-AU"/>
              </w:rPr>
            </w:pPr>
            <w:r w:rsidRPr="007F30EE">
              <w:rPr>
                <w:rFonts w:eastAsia="Times New Roman" w:cs="Times New Roman"/>
                <w:sz w:val="20"/>
                <w:szCs w:val="20"/>
                <w:lang w:val="en-AU"/>
              </w:rPr>
              <w:t>To provide financial and grant administrative support for DFAT and minimise transaction costs.</w:t>
            </w:r>
          </w:p>
          <w:p w14:paraId="35434A54" w14:textId="661DD430" w:rsidR="00EA56EB" w:rsidRPr="007F30EE" w:rsidRDefault="00EA56EB" w:rsidP="00EA56EB">
            <w:pPr>
              <w:pStyle w:val="ListParagraph"/>
              <w:tabs>
                <w:tab w:val="left" w:pos="284"/>
              </w:tabs>
              <w:suppressAutoHyphens w:val="0"/>
              <w:spacing w:before="0" w:line="280" w:lineRule="exact"/>
              <w:ind w:left="0"/>
              <w:rPr>
                <w:rFonts w:eastAsia="Times New Roman" w:cs="Times New Roman"/>
                <w:sz w:val="20"/>
                <w:szCs w:val="20"/>
                <w:lang w:val="en-AU"/>
              </w:rPr>
            </w:pPr>
            <w:r w:rsidRPr="007F30EE">
              <w:rPr>
                <w:rFonts w:eastAsia="Times New Roman" w:cs="Times New Roman"/>
                <w:sz w:val="20"/>
                <w:szCs w:val="20"/>
                <w:lang w:val="en-AU"/>
              </w:rPr>
              <w:lastRenderedPageBreak/>
              <w:t>The functions of the Support Unit are to:</w:t>
            </w:r>
          </w:p>
          <w:p w14:paraId="71873C9F" w14:textId="1D08C13A" w:rsidR="00EA56EB" w:rsidRPr="007F30EE" w:rsidRDefault="00602C58" w:rsidP="0011591E">
            <w:pPr>
              <w:pStyle w:val="ListParagraph"/>
              <w:numPr>
                <w:ilvl w:val="0"/>
                <w:numId w:val="32"/>
              </w:numPr>
              <w:tabs>
                <w:tab w:val="left" w:pos="284"/>
              </w:tabs>
              <w:suppressAutoHyphens w:val="0"/>
              <w:spacing w:before="0" w:line="280" w:lineRule="exact"/>
              <w:ind w:left="360"/>
              <w:rPr>
                <w:rFonts w:eastAsia="Times New Roman" w:cs="Times New Roman"/>
                <w:sz w:val="20"/>
                <w:szCs w:val="20"/>
                <w:lang w:val="en-AU"/>
              </w:rPr>
            </w:pPr>
            <w:r w:rsidRPr="007F30EE">
              <w:rPr>
                <w:rFonts w:eastAsia="Times New Roman" w:cs="Times New Roman"/>
                <w:sz w:val="20"/>
                <w:szCs w:val="20"/>
                <w:lang w:val="en-AU"/>
              </w:rPr>
              <w:t>F</w:t>
            </w:r>
            <w:r w:rsidR="00EA56EB" w:rsidRPr="007F30EE">
              <w:rPr>
                <w:rFonts w:eastAsia="Times New Roman" w:cs="Times New Roman"/>
                <w:sz w:val="20"/>
                <w:szCs w:val="20"/>
                <w:lang w:val="en-AU"/>
              </w:rPr>
              <w:t>acilitate partnerships between DFAT, ANGOs and other stakeholders through development and maintenance of strong and enduring formal and informal working relationships</w:t>
            </w:r>
          </w:p>
          <w:p w14:paraId="6C2DA43C" w14:textId="6E9C9D6D" w:rsidR="00EA56EB" w:rsidRPr="007F30EE" w:rsidRDefault="00602C58" w:rsidP="0011591E">
            <w:pPr>
              <w:pStyle w:val="ListParagraph"/>
              <w:numPr>
                <w:ilvl w:val="0"/>
                <w:numId w:val="32"/>
              </w:numPr>
              <w:tabs>
                <w:tab w:val="left" w:pos="284"/>
              </w:tabs>
              <w:suppressAutoHyphens w:val="0"/>
              <w:spacing w:before="0" w:line="280" w:lineRule="exact"/>
              <w:ind w:left="360"/>
              <w:rPr>
                <w:rFonts w:eastAsia="Times New Roman" w:cs="Times New Roman"/>
                <w:sz w:val="20"/>
                <w:szCs w:val="20"/>
                <w:lang w:val="en-AU"/>
              </w:rPr>
            </w:pPr>
            <w:r w:rsidRPr="007F30EE">
              <w:rPr>
                <w:rFonts w:eastAsia="Times New Roman" w:cs="Times New Roman"/>
                <w:sz w:val="20"/>
                <w:szCs w:val="20"/>
                <w:lang w:val="en-AU"/>
              </w:rPr>
              <w:t>M</w:t>
            </w:r>
            <w:r w:rsidR="00EA56EB" w:rsidRPr="007F30EE">
              <w:rPr>
                <w:rFonts w:eastAsia="Times New Roman" w:cs="Times New Roman"/>
                <w:sz w:val="20"/>
                <w:szCs w:val="20"/>
                <w:lang w:val="en-AU"/>
              </w:rPr>
              <w:t xml:space="preserve">aintain </w:t>
            </w:r>
            <w:r w:rsidR="00E46435">
              <w:rPr>
                <w:rFonts w:eastAsia="Times New Roman" w:cs="Times New Roman"/>
                <w:sz w:val="20"/>
                <w:szCs w:val="20"/>
                <w:lang w:val="en-AU"/>
              </w:rPr>
              <w:t xml:space="preserve">an </w:t>
            </w:r>
            <w:r w:rsidR="00EA56EB" w:rsidRPr="007F30EE">
              <w:rPr>
                <w:rFonts w:eastAsia="Times New Roman" w:cs="Times New Roman"/>
                <w:sz w:val="20"/>
                <w:szCs w:val="20"/>
                <w:lang w:val="en-AU"/>
              </w:rPr>
              <w:t xml:space="preserve">understanding of the humanitarian system and operating context </w:t>
            </w:r>
            <w:r w:rsidR="001F1373" w:rsidRPr="007F30EE">
              <w:rPr>
                <w:rFonts w:eastAsia="Times New Roman" w:cs="Times New Roman"/>
                <w:sz w:val="20"/>
                <w:szCs w:val="20"/>
                <w:lang w:val="en-AU"/>
              </w:rPr>
              <w:t>to</w:t>
            </w:r>
            <w:r w:rsidR="00EA56EB" w:rsidRPr="007F30EE">
              <w:rPr>
                <w:rFonts w:eastAsia="Times New Roman" w:cs="Times New Roman"/>
                <w:sz w:val="20"/>
                <w:szCs w:val="20"/>
                <w:lang w:val="en-AU"/>
              </w:rPr>
              <w:t xml:space="preserve"> provide technical and operational analysis </w:t>
            </w:r>
            <w:r w:rsidR="00E46435">
              <w:rPr>
                <w:rFonts w:eastAsia="Times New Roman" w:cs="Times New Roman"/>
                <w:sz w:val="20"/>
                <w:szCs w:val="20"/>
                <w:lang w:val="en-AU"/>
              </w:rPr>
              <w:t xml:space="preserve">and advice </w:t>
            </w:r>
            <w:r w:rsidR="00EA56EB" w:rsidRPr="007F30EE">
              <w:rPr>
                <w:rFonts w:eastAsia="Times New Roman" w:cs="Times New Roman"/>
                <w:sz w:val="20"/>
                <w:szCs w:val="20"/>
                <w:lang w:val="en-AU"/>
              </w:rPr>
              <w:t>to DFAT HPD as requested</w:t>
            </w:r>
          </w:p>
          <w:p w14:paraId="2E027108" w14:textId="17809487" w:rsidR="00EA56EB" w:rsidRPr="007F30EE" w:rsidRDefault="00602C58" w:rsidP="0011591E">
            <w:pPr>
              <w:pStyle w:val="ListParagraph"/>
              <w:numPr>
                <w:ilvl w:val="0"/>
                <w:numId w:val="32"/>
              </w:numPr>
              <w:tabs>
                <w:tab w:val="left" w:pos="284"/>
              </w:tabs>
              <w:suppressAutoHyphens w:val="0"/>
              <w:spacing w:before="0" w:line="280" w:lineRule="exact"/>
              <w:ind w:left="360"/>
              <w:rPr>
                <w:rFonts w:eastAsia="Times New Roman" w:cs="Times New Roman"/>
                <w:sz w:val="20"/>
                <w:szCs w:val="20"/>
                <w:lang w:val="en-AU"/>
              </w:rPr>
            </w:pPr>
            <w:r w:rsidRPr="007F30EE">
              <w:rPr>
                <w:rFonts w:eastAsia="Times New Roman" w:cs="Times New Roman"/>
                <w:sz w:val="20"/>
                <w:szCs w:val="20"/>
                <w:lang w:val="en-AU"/>
              </w:rPr>
              <w:t>P</w:t>
            </w:r>
            <w:r w:rsidR="00EA56EB" w:rsidRPr="007F30EE">
              <w:rPr>
                <w:rFonts w:eastAsia="Times New Roman" w:cs="Times New Roman"/>
                <w:sz w:val="20"/>
                <w:szCs w:val="20"/>
                <w:lang w:val="en-AU"/>
              </w:rPr>
              <w:t xml:space="preserve">rovide secretariat services for governance and decision-making processes, including the Steering Committee, and </w:t>
            </w:r>
            <w:r w:rsidR="00ED1BC4">
              <w:rPr>
                <w:rFonts w:eastAsia="Times New Roman" w:cs="Times New Roman"/>
                <w:sz w:val="20"/>
                <w:szCs w:val="20"/>
                <w:lang w:val="en-AU"/>
              </w:rPr>
              <w:t xml:space="preserve">supporting the </w:t>
            </w:r>
            <w:r w:rsidR="00C84E45">
              <w:rPr>
                <w:rFonts w:eastAsia="Times New Roman" w:cs="Times New Roman"/>
                <w:sz w:val="20"/>
                <w:szCs w:val="20"/>
                <w:lang w:val="en-AU"/>
              </w:rPr>
              <w:t>DRCCs</w:t>
            </w:r>
          </w:p>
          <w:p w14:paraId="2EB714A7" w14:textId="2096BCE2" w:rsidR="00EA56EB" w:rsidRPr="007F30EE" w:rsidRDefault="00602C58" w:rsidP="0011591E">
            <w:pPr>
              <w:pStyle w:val="ListParagraph"/>
              <w:numPr>
                <w:ilvl w:val="0"/>
                <w:numId w:val="32"/>
              </w:numPr>
              <w:tabs>
                <w:tab w:val="left" w:pos="284"/>
              </w:tabs>
              <w:suppressAutoHyphens w:val="0"/>
              <w:spacing w:before="0" w:line="280" w:lineRule="exact"/>
              <w:ind w:left="360"/>
              <w:rPr>
                <w:rFonts w:eastAsia="Times New Roman" w:cs="Times New Roman"/>
                <w:sz w:val="20"/>
                <w:szCs w:val="20"/>
                <w:lang w:val="en-AU"/>
              </w:rPr>
            </w:pPr>
            <w:r w:rsidRPr="007F30EE">
              <w:rPr>
                <w:rFonts w:eastAsia="Times New Roman" w:cs="Times New Roman"/>
                <w:sz w:val="20"/>
                <w:szCs w:val="20"/>
                <w:lang w:val="en-AU"/>
              </w:rPr>
              <w:t>E</w:t>
            </w:r>
            <w:r w:rsidR="00EA56EB" w:rsidRPr="007F30EE">
              <w:rPr>
                <w:rFonts w:eastAsia="Times New Roman" w:cs="Times New Roman"/>
                <w:sz w:val="20"/>
                <w:szCs w:val="20"/>
                <w:lang w:val="en-AU"/>
              </w:rPr>
              <w:t>stablish and support country-level planning processes for Disaster READY, and partner selection and funding allocation processes for response activations</w:t>
            </w:r>
          </w:p>
          <w:p w14:paraId="40A00EDA" w14:textId="261783B5" w:rsidR="00EA56EB" w:rsidRPr="007F30EE" w:rsidRDefault="004978AA" w:rsidP="0011591E">
            <w:pPr>
              <w:pStyle w:val="ListParagraph"/>
              <w:numPr>
                <w:ilvl w:val="0"/>
                <w:numId w:val="32"/>
              </w:numPr>
              <w:tabs>
                <w:tab w:val="left" w:pos="284"/>
              </w:tabs>
              <w:suppressAutoHyphens w:val="0"/>
              <w:spacing w:before="0" w:line="280" w:lineRule="exact"/>
              <w:ind w:left="360"/>
              <w:rPr>
                <w:rFonts w:eastAsia="Times New Roman" w:cs="Times New Roman"/>
                <w:sz w:val="20"/>
                <w:szCs w:val="20"/>
                <w:lang w:val="en-AU"/>
              </w:rPr>
            </w:pPr>
            <w:r w:rsidRPr="007F30EE">
              <w:rPr>
                <w:rFonts w:eastAsia="Times New Roman" w:cs="Times New Roman"/>
                <w:sz w:val="20"/>
                <w:szCs w:val="20"/>
                <w:lang w:val="en-AU"/>
              </w:rPr>
              <w:t>U</w:t>
            </w:r>
            <w:r w:rsidR="00EA56EB" w:rsidRPr="007F30EE">
              <w:rPr>
                <w:rFonts w:eastAsia="Times New Roman" w:cs="Times New Roman"/>
                <w:sz w:val="20"/>
                <w:szCs w:val="20"/>
                <w:lang w:val="en-AU"/>
              </w:rPr>
              <w:t>ndertake financial management and administration of grants for Disaster READY and Activations</w:t>
            </w:r>
          </w:p>
          <w:p w14:paraId="645B60A0" w14:textId="77777777" w:rsidR="0071180E" w:rsidRPr="007F30EE" w:rsidRDefault="0071180E" w:rsidP="0011591E">
            <w:pPr>
              <w:pStyle w:val="ListParagraph"/>
              <w:numPr>
                <w:ilvl w:val="0"/>
                <w:numId w:val="32"/>
              </w:numPr>
              <w:tabs>
                <w:tab w:val="left" w:pos="284"/>
              </w:tabs>
              <w:suppressAutoHyphens w:val="0"/>
              <w:spacing w:before="0" w:line="280" w:lineRule="exact"/>
              <w:ind w:left="360"/>
              <w:rPr>
                <w:rFonts w:eastAsia="Times New Roman" w:cs="Times New Roman"/>
                <w:sz w:val="20"/>
                <w:szCs w:val="20"/>
                <w:lang w:val="en-AU"/>
              </w:rPr>
            </w:pPr>
            <w:r w:rsidRPr="007F30EE">
              <w:rPr>
                <w:rFonts w:eastAsia="Times New Roman" w:cs="Times New Roman"/>
                <w:sz w:val="20"/>
                <w:szCs w:val="20"/>
                <w:lang w:val="en-AU"/>
              </w:rPr>
              <w:t>Support effective DFAT management of the AHP including Disaster READY and response activations by providing technical review of ANGO reports and bringing to DFAT attention any key issues and risks</w:t>
            </w:r>
          </w:p>
          <w:p w14:paraId="5B2F5658" w14:textId="606A98EB" w:rsidR="0071180E" w:rsidRDefault="0071180E" w:rsidP="0011591E">
            <w:pPr>
              <w:pStyle w:val="ListParagraph"/>
              <w:numPr>
                <w:ilvl w:val="0"/>
                <w:numId w:val="32"/>
              </w:numPr>
              <w:tabs>
                <w:tab w:val="left" w:pos="306"/>
              </w:tabs>
              <w:suppressAutoHyphens w:val="0"/>
              <w:spacing w:before="0" w:line="280" w:lineRule="exact"/>
              <w:ind w:left="360"/>
              <w:rPr>
                <w:rFonts w:eastAsia="Times New Roman" w:cs="Times New Roman"/>
                <w:sz w:val="20"/>
                <w:szCs w:val="20"/>
                <w:lang w:val="en-AU"/>
              </w:rPr>
            </w:pPr>
            <w:r w:rsidRPr="007F30EE">
              <w:rPr>
                <w:rFonts w:eastAsia="Times New Roman" w:cs="Times New Roman"/>
                <w:sz w:val="20"/>
                <w:szCs w:val="20"/>
                <w:lang w:val="en-AU"/>
              </w:rPr>
              <w:t xml:space="preserve">Coordinate and support </w:t>
            </w:r>
            <w:r w:rsidR="00945E0E">
              <w:rPr>
                <w:rFonts w:eastAsia="Times New Roman" w:cs="Times New Roman"/>
                <w:sz w:val="20"/>
                <w:szCs w:val="20"/>
                <w:lang w:val="en-AU"/>
              </w:rPr>
              <w:t xml:space="preserve">effective </w:t>
            </w:r>
            <w:r w:rsidR="005429D7">
              <w:rPr>
                <w:rFonts w:eastAsia="Times New Roman" w:cs="Times New Roman"/>
                <w:sz w:val="20"/>
                <w:szCs w:val="20"/>
                <w:lang w:val="en-AU"/>
              </w:rPr>
              <w:t>MEL</w:t>
            </w:r>
            <w:r w:rsidRPr="007F30EE">
              <w:rPr>
                <w:rFonts w:eastAsia="Times New Roman" w:cs="Times New Roman"/>
                <w:sz w:val="20"/>
                <w:szCs w:val="20"/>
                <w:lang w:val="en-AU"/>
              </w:rPr>
              <w:t xml:space="preserve"> through </w:t>
            </w:r>
            <w:r w:rsidR="00157879">
              <w:rPr>
                <w:rFonts w:eastAsia="Times New Roman" w:cs="Times New Roman"/>
                <w:sz w:val="20"/>
                <w:szCs w:val="20"/>
                <w:lang w:val="en-AU"/>
              </w:rPr>
              <w:t xml:space="preserve">facilitating the development of the AHP and Disaster READY program-wide </w:t>
            </w:r>
            <w:r w:rsidR="00EB3557">
              <w:rPr>
                <w:rFonts w:eastAsia="Times New Roman" w:cs="Times New Roman"/>
                <w:sz w:val="20"/>
                <w:szCs w:val="20"/>
                <w:lang w:val="en-AU"/>
              </w:rPr>
              <w:t>MELF</w:t>
            </w:r>
            <w:r w:rsidR="00157879">
              <w:rPr>
                <w:rFonts w:eastAsia="Times New Roman" w:cs="Times New Roman"/>
                <w:sz w:val="20"/>
                <w:szCs w:val="20"/>
                <w:lang w:val="en-AU"/>
              </w:rPr>
              <w:t xml:space="preserve">, </w:t>
            </w:r>
            <w:r w:rsidRPr="007F30EE">
              <w:rPr>
                <w:rFonts w:eastAsia="Times New Roman" w:cs="Times New Roman"/>
                <w:sz w:val="20"/>
                <w:szCs w:val="20"/>
                <w:lang w:val="en-AU"/>
              </w:rPr>
              <w:t>systems and methods, analysis and reporting and commissioning evaluations</w:t>
            </w:r>
            <w:r>
              <w:rPr>
                <w:rFonts w:eastAsia="Times New Roman" w:cs="Times New Roman"/>
                <w:sz w:val="20"/>
                <w:szCs w:val="20"/>
                <w:lang w:val="en-AU"/>
              </w:rPr>
              <w:t>, research,</w:t>
            </w:r>
            <w:r w:rsidRPr="007F30EE">
              <w:rPr>
                <w:rFonts w:eastAsia="Times New Roman" w:cs="Times New Roman"/>
                <w:sz w:val="20"/>
                <w:szCs w:val="20"/>
                <w:lang w:val="en-AU"/>
              </w:rPr>
              <w:t xml:space="preserve"> and </w:t>
            </w:r>
            <w:r w:rsidR="00846911">
              <w:rPr>
                <w:rFonts w:eastAsia="Times New Roman" w:cs="Times New Roman"/>
                <w:sz w:val="20"/>
                <w:szCs w:val="20"/>
                <w:lang w:val="en-AU"/>
              </w:rPr>
              <w:t xml:space="preserve">multi-country or </w:t>
            </w:r>
            <w:r w:rsidR="00DB686A">
              <w:rPr>
                <w:rFonts w:eastAsia="Times New Roman" w:cs="Times New Roman"/>
                <w:sz w:val="20"/>
                <w:szCs w:val="20"/>
                <w:lang w:val="en-AU"/>
              </w:rPr>
              <w:t xml:space="preserve">partnership-level </w:t>
            </w:r>
            <w:r w:rsidRPr="007F30EE">
              <w:rPr>
                <w:rFonts w:eastAsia="Times New Roman" w:cs="Times New Roman"/>
                <w:sz w:val="20"/>
                <w:szCs w:val="20"/>
                <w:lang w:val="en-AU"/>
              </w:rPr>
              <w:t>reflection/ learning events</w:t>
            </w:r>
          </w:p>
          <w:p w14:paraId="5316E9AE" w14:textId="683E13A7" w:rsidR="0052196D" w:rsidRPr="007F30EE" w:rsidRDefault="0052196D" w:rsidP="0011591E">
            <w:pPr>
              <w:pStyle w:val="ListParagraph"/>
              <w:numPr>
                <w:ilvl w:val="0"/>
                <w:numId w:val="32"/>
              </w:numPr>
              <w:tabs>
                <w:tab w:val="left" w:pos="306"/>
              </w:tabs>
              <w:suppressAutoHyphens w:val="0"/>
              <w:spacing w:before="0" w:line="280" w:lineRule="exact"/>
              <w:ind w:left="360"/>
              <w:rPr>
                <w:rFonts w:eastAsia="Times New Roman" w:cs="Times New Roman"/>
                <w:sz w:val="20"/>
                <w:szCs w:val="20"/>
                <w:lang w:val="en-AU"/>
              </w:rPr>
            </w:pPr>
            <w:r>
              <w:rPr>
                <w:rFonts w:eastAsia="Times New Roman" w:cs="Times New Roman"/>
                <w:sz w:val="20"/>
                <w:szCs w:val="20"/>
                <w:lang w:val="en-AU"/>
              </w:rPr>
              <w:t xml:space="preserve">Establish and maintain a panel of specialists in </w:t>
            </w:r>
            <w:r w:rsidR="0032060E">
              <w:rPr>
                <w:rFonts w:eastAsia="Times New Roman" w:cs="Times New Roman"/>
                <w:sz w:val="20"/>
                <w:szCs w:val="20"/>
                <w:lang w:val="en-AU"/>
              </w:rPr>
              <w:t>GEDSI</w:t>
            </w:r>
            <w:r>
              <w:rPr>
                <w:rFonts w:eastAsia="Times New Roman" w:cs="Times New Roman"/>
                <w:sz w:val="20"/>
                <w:szCs w:val="20"/>
                <w:lang w:val="en-AU"/>
              </w:rPr>
              <w:t xml:space="preserve"> and other technical and thematic </w:t>
            </w:r>
            <w:r w:rsidR="001F1373">
              <w:rPr>
                <w:rFonts w:eastAsia="Times New Roman" w:cs="Times New Roman"/>
                <w:sz w:val="20"/>
                <w:szCs w:val="20"/>
                <w:lang w:val="en-AU"/>
              </w:rPr>
              <w:t>areas and</w:t>
            </w:r>
            <w:r>
              <w:rPr>
                <w:rFonts w:eastAsia="Times New Roman" w:cs="Times New Roman"/>
                <w:sz w:val="20"/>
                <w:szCs w:val="20"/>
                <w:lang w:val="en-AU"/>
              </w:rPr>
              <w:t xml:space="preserve"> make them available to </w:t>
            </w:r>
            <w:r w:rsidR="00462430">
              <w:rPr>
                <w:rFonts w:eastAsia="Times New Roman" w:cs="Times New Roman"/>
                <w:sz w:val="20"/>
                <w:szCs w:val="20"/>
                <w:lang w:val="en-AU"/>
              </w:rPr>
              <w:t>the Partnership</w:t>
            </w:r>
            <w:r>
              <w:rPr>
                <w:rFonts w:eastAsia="Times New Roman" w:cs="Times New Roman"/>
                <w:sz w:val="20"/>
                <w:szCs w:val="20"/>
                <w:lang w:val="en-AU"/>
              </w:rPr>
              <w:t xml:space="preserve"> as appropriate.</w:t>
            </w:r>
          </w:p>
          <w:p w14:paraId="0258F97D" w14:textId="745BFC28" w:rsidR="0071180E" w:rsidRPr="007F30EE" w:rsidRDefault="0071180E" w:rsidP="0011591E">
            <w:pPr>
              <w:pStyle w:val="ListParagraph"/>
              <w:numPr>
                <w:ilvl w:val="0"/>
                <w:numId w:val="32"/>
              </w:numPr>
              <w:tabs>
                <w:tab w:val="left" w:pos="306"/>
              </w:tabs>
              <w:suppressAutoHyphens w:val="0"/>
              <w:spacing w:before="0" w:line="280" w:lineRule="exact"/>
              <w:ind w:left="360"/>
              <w:rPr>
                <w:rFonts w:eastAsia="Times New Roman" w:cs="Times New Roman"/>
                <w:sz w:val="20"/>
                <w:szCs w:val="20"/>
                <w:lang w:val="en-AU"/>
              </w:rPr>
            </w:pPr>
            <w:r w:rsidRPr="007F30EE">
              <w:rPr>
                <w:rFonts w:eastAsia="Times New Roman" w:cs="Times New Roman"/>
                <w:sz w:val="20"/>
                <w:szCs w:val="20"/>
                <w:lang w:val="en-AU"/>
              </w:rPr>
              <w:t>Seek and administer opportunities for innovation</w:t>
            </w:r>
            <w:r>
              <w:rPr>
                <w:rFonts w:eastAsia="Times New Roman" w:cs="Times New Roman"/>
                <w:sz w:val="20"/>
                <w:szCs w:val="20"/>
                <w:lang w:val="en-AU"/>
              </w:rPr>
              <w:t xml:space="preserve">, </w:t>
            </w:r>
            <w:r w:rsidRPr="007F30EE">
              <w:rPr>
                <w:rFonts w:eastAsia="Times New Roman" w:cs="Times New Roman"/>
                <w:sz w:val="20"/>
                <w:szCs w:val="20"/>
                <w:lang w:val="en-AU"/>
              </w:rPr>
              <w:t xml:space="preserve">cross-sectoral </w:t>
            </w:r>
            <w:r w:rsidR="001F1373" w:rsidRPr="007F30EE">
              <w:rPr>
                <w:rFonts w:eastAsia="Times New Roman" w:cs="Times New Roman"/>
                <w:sz w:val="20"/>
                <w:szCs w:val="20"/>
                <w:lang w:val="en-AU"/>
              </w:rPr>
              <w:t>learning,</w:t>
            </w:r>
            <w:r w:rsidRPr="007F30EE">
              <w:rPr>
                <w:rFonts w:eastAsia="Times New Roman" w:cs="Times New Roman"/>
                <w:sz w:val="20"/>
                <w:szCs w:val="20"/>
                <w:lang w:val="en-AU"/>
              </w:rPr>
              <w:t xml:space="preserve"> </w:t>
            </w:r>
            <w:r>
              <w:rPr>
                <w:rFonts w:eastAsia="Times New Roman" w:cs="Times New Roman"/>
                <w:sz w:val="20"/>
                <w:szCs w:val="20"/>
                <w:lang w:val="en-AU"/>
              </w:rPr>
              <w:t xml:space="preserve">and </w:t>
            </w:r>
            <w:r w:rsidR="00945E0E">
              <w:rPr>
                <w:rFonts w:eastAsia="Times New Roman" w:cs="Times New Roman"/>
                <w:sz w:val="20"/>
                <w:szCs w:val="20"/>
                <w:lang w:val="en-AU"/>
              </w:rPr>
              <w:t xml:space="preserve">synergies with complementary aid investments </w:t>
            </w:r>
            <w:r w:rsidRPr="007F30EE">
              <w:rPr>
                <w:rFonts w:eastAsia="Times New Roman" w:cs="Times New Roman"/>
                <w:sz w:val="20"/>
                <w:szCs w:val="20"/>
                <w:lang w:val="en-AU"/>
              </w:rPr>
              <w:t>to stimulate quality improvement and performance in humanitarian systems</w:t>
            </w:r>
            <w:r>
              <w:rPr>
                <w:rFonts w:eastAsia="Times New Roman" w:cs="Times New Roman"/>
                <w:sz w:val="20"/>
                <w:szCs w:val="20"/>
                <w:lang w:val="en-AU"/>
              </w:rPr>
              <w:t xml:space="preserve">, including by identifying any </w:t>
            </w:r>
            <w:r w:rsidRPr="0071180E">
              <w:rPr>
                <w:rFonts w:eastAsia="Times New Roman" w:cs="Times New Roman"/>
                <w:sz w:val="20"/>
                <w:szCs w:val="20"/>
                <w:lang w:val="en-AU"/>
              </w:rPr>
              <w:t xml:space="preserve">significant </w:t>
            </w:r>
            <w:r>
              <w:rPr>
                <w:rFonts w:eastAsia="Times New Roman" w:cs="Times New Roman"/>
                <w:sz w:val="20"/>
                <w:szCs w:val="20"/>
                <w:lang w:val="en-AU"/>
              </w:rPr>
              <w:t xml:space="preserve">external </w:t>
            </w:r>
            <w:r w:rsidRPr="0071180E">
              <w:rPr>
                <w:rFonts w:eastAsia="Times New Roman" w:cs="Times New Roman"/>
                <w:sz w:val="20"/>
                <w:szCs w:val="20"/>
                <w:lang w:val="en-AU"/>
              </w:rPr>
              <w:t>stakeholder engagement opportunities</w:t>
            </w:r>
          </w:p>
          <w:p w14:paraId="5766A646" w14:textId="51D8ED03" w:rsidR="00EA56EB" w:rsidRPr="007F30EE" w:rsidRDefault="00CC5FBB" w:rsidP="0011591E">
            <w:pPr>
              <w:pStyle w:val="ListParagraph"/>
              <w:numPr>
                <w:ilvl w:val="0"/>
                <w:numId w:val="32"/>
              </w:numPr>
              <w:tabs>
                <w:tab w:val="left" w:pos="306"/>
              </w:tabs>
              <w:suppressAutoHyphens w:val="0"/>
              <w:spacing w:before="0" w:line="280" w:lineRule="exact"/>
              <w:ind w:left="360"/>
              <w:rPr>
                <w:rFonts w:eastAsia="Times New Roman" w:cs="Times New Roman"/>
                <w:sz w:val="20"/>
                <w:szCs w:val="20"/>
                <w:lang w:val="en-AU"/>
              </w:rPr>
            </w:pPr>
            <w:r w:rsidRPr="007F30EE">
              <w:rPr>
                <w:rFonts w:eastAsia="Times New Roman" w:cs="Times New Roman"/>
                <w:sz w:val="20"/>
                <w:szCs w:val="20"/>
                <w:lang w:val="en-AU"/>
              </w:rPr>
              <w:t>P</w:t>
            </w:r>
            <w:r w:rsidR="00EA56EB" w:rsidRPr="007F30EE">
              <w:rPr>
                <w:rFonts w:eastAsia="Times New Roman" w:cs="Times New Roman"/>
                <w:sz w:val="20"/>
                <w:szCs w:val="20"/>
                <w:lang w:val="en-AU"/>
              </w:rPr>
              <w:t>repare and coordinate communications materials and support public diplomacy, including visibility and branding</w:t>
            </w:r>
          </w:p>
          <w:p w14:paraId="62506CD9" w14:textId="77777777" w:rsidR="0071180E" w:rsidRDefault="0071180E" w:rsidP="0011591E">
            <w:pPr>
              <w:pStyle w:val="ListParagraph"/>
              <w:numPr>
                <w:ilvl w:val="0"/>
                <w:numId w:val="32"/>
              </w:numPr>
              <w:tabs>
                <w:tab w:val="left" w:pos="284"/>
              </w:tabs>
              <w:suppressAutoHyphens w:val="0"/>
              <w:spacing w:before="0" w:line="280" w:lineRule="exact"/>
              <w:ind w:left="360"/>
              <w:rPr>
                <w:rFonts w:eastAsia="Times New Roman" w:cs="Times New Roman"/>
                <w:sz w:val="20"/>
                <w:szCs w:val="20"/>
                <w:lang w:val="en-AU"/>
              </w:rPr>
            </w:pPr>
            <w:r>
              <w:rPr>
                <w:rFonts w:eastAsia="Times New Roman" w:cs="Times New Roman"/>
                <w:sz w:val="20"/>
                <w:szCs w:val="20"/>
                <w:lang w:val="en-AU"/>
              </w:rPr>
              <w:t xml:space="preserve">Undertake </w:t>
            </w:r>
            <w:r w:rsidRPr="0071180E">
              <w:rPr>
                <w:rFonts w:eastAsia="Times New Roman" w:cs="Times New Roman"/>
                <w:sz w:val="20"/>
                <w:szCs w:val="20"/>
                <w:lang w:val="en-AU"/>
              </w:rPr>
              <w:t>program-wide risk monitoring, analysis and reporting at the Partnership level</w:t>
            </w:r>
          </w:p>
          <w:p w14:paraId="1FAA5B7B" w14:textId="045DD03D" w:rsidR="00BD30E4" w:rsidRPr="00433468" w:rsidRDefault="00CB14F7" w:rsidP="0011591E">
            <w:pPr>
              <w:pStyle w:val="ListParagraph"/>
              <w:numPr>
                <w:ilvl w:val="0"/>
                <w:numId w:val="32"/>
              </w:numPr>
              <w:tabs>
                <w:tab w:val="left" w:pos="284"/>
              </w:tabs>
              <w:suppressAutoHyphens w:val="0"/>
              <w:spacing w:before="0" w:line="280" w:lineRule="exact"/>
              <w:ind w:left="360"/>
              <w:rPr>
                <w:rFonts w:eastAsia="Times New Roman" w:cs="Times New Roman"/>
                <w:sz w:val="21"/>
                <w:szCs w:val="24"/>
                <w:lang w:val="en-AU"/>
              </w:rPr>
            </w:pPr>
            <w:r w:rsidRPr="007F30EE">
              <w:rPr>
                <w:rFonts w:eastAsia="Times New Roman" w:cs="Times New Roman"/>
                <w:sz w:val="20"/>
                <w:szCs w:val="20"/>
                <w:lang w:val="en-AU"/>
              </w:rPr>
              <w:t>D</w:t>
            </w:r>
            <w:r w:rsidR="00EA56EB" w:rsidRPr="007F30EE">
              <w:rPr>
                <w:rFonts w:eastAsia="Times New Roman" w:cs="Times New Roman"/>
                <w:sz w:val="20"/>
                <w:szCs w:val="20"/>
                <w:lang w:val="en-AU"/>
              </w:rPr>
              <w:t xml:space="preserve">evelop and </w:t>
            </w:r>
            <w:r w:rsidR="00C36E67">
              <w:rPr>
                <w:rFonts w:eastAsia="Times New Roman" w:cs="Times New Roman"/>
                <w:sz w:val="20"/>
                <w:szCs w:val="20"/>
                <w:lang w:val="en-AU"/>
              </w:rPr>
              <w:t>implement</w:t>
            </w:r>
            <w:r w:rsidR="00EA56EB" w:rsidRPr="007F30EE">
              <w:rPr>
                <w:rFonts w:eastAsia="Times New Roman" w:cs="Times New Roman"/>
                <w:sz w:val="20"/>
                <w:szCs w:val="20"/>
                <w:lang w:val="en-AU"/>
              </w:rPr>
              <w:t xml:space="preserve"> an Administrative Control Framework to </w:t>
            </w:r>
            <w:r w:rsidR="00945E0E">
              <w:rPr>
                <w:rFonts w:eastAsia="Times New Roman" w:cs="Times New Roman"/>
                <w:sz w:val="20"/>
                <w:szCs w:val="20"/>
                <w:lang w:val="en-AU"/>
              </w:rPr>
              <w:t>monitor the</w:t>
            </w:r>
            <w:r w:rsidR="00EA56EB" w:rsidRPr="007F30EE">
              <w:rPr>
                <w:rFonts w:eastAsia="Times New Roman" w:cs="Times New Roman"/>
                <w:sz w:val="20"/>
                <w:szCs w:val="20"/>
                <w:lang w:val="en-AU"/>
              </w:rPr>
              <w:t xml:space="preserve"> </w:t>
            </w:r>
            <w:r w:rsidR="00945E0E">
              <w:rPr>
                <w:rFonts w:eastAsia="Times New Roman" w:cs="Times New Roman"/>
                <w:sz w:val="20"/>
                <w:szCs w:val="20"/>
                <w:lang w:val="en-AU"/>
              </w:rPr>
              <w:t>compliance of ANGOs</w:t>
            </w:r>
            <w:r w:rsidR="00C36E67">
              <w:rPr>
                <w:rFonts w:eastAsia="Times New Roman" w:cs="Times New Roman"/>
                <w:sz w:val="20"/>
                <w:szCs w:val="20"/>
                <w:lang w:val="en-AU"/>
              </w:rPr>
              <w:t xml:space="preserve"> with their contractual obligations, including for</w:t>
            </w:r>
            <w:r w:rsidR="00C36E67">
              <w:t xml:space="preserve"> </w:t>
            </w:r>
            <w:r w:rsidR="00C36E67" w:rsidRPr="00C36E67">
              <w:rPr>
                <w:rFonts w:eastAsia="Times New Roman" w:cs="Times New Roman"/>
                <w:sz w:val="20"/>
                <w:szCs w:val="20"/>
                <w:lang w:val="en-AU"/>
              </w:rPr>
              <w:t>safeguards, risk management and fraud</w:t>
            </w:r>
            <w:r w:rsidR="00C36E67">
              <w:rPr>
                <w:rFonts w:eastAsia="Times New Roman" w:cs="Times New Roman"/>
                <w:sz w:val="20"/>
                <w:szCs w:val="20"/>
                <w:lang w:val="en-AU"/>
              </w:rPr>
              <w:t>.</w:t>
            </w:r>
          </w:p>
        </w:tc>
      </w:tr>
    </w:tbl>
    <w:p w14:paraId="561C884A" w14:textId="1911449E" w:rsidR="00E71C64" w:rsidRPr="00C84E45" w:rsidRDefault="00EA56EB" w:rsidP="0026576A">
      <w:pPr>
        <w:pStyle w:val="ListParagraph"/>
        <w:numPr>
          <w:ilvl w:val="0"/>
          <w:numId w:val="12"/>
        </w:numPr>
        <w:tabs>
          <w:tab w:val="left" w:pos="284"/>
        </w:tabs>
        <w:suppressAutoHyphens w:val="0"/>
        <w:spacing w:after="0" w:line="280" w:lineRule="exact"/>
        <w:ind w:left="0" w:firstLine="0"/>
        <w:contextualSpacing w:val="0"/>
        <w:rPr>
          <w:iCs/>
          <w:sz w:val="21"/>
          <w:szCs w:val="21"/>
        </w:rPr>
      </w:pPr>
      <w:r w:rsidRPr="0026576A">
        <w:rPr>
          <w:iCs/>
          <w:sz w:val="21"/>
          <w:szCs w:val="21"/>
        </w:rPr>
        <w:lastRenderedPageBreak/>
        <w:t xml:space="preserve"> </w:t>
      </w:r>
      <w:r w:rsidR="00BB5252" w:rsidRPr="0026576A">
        <w:rPr>
          <w:iCs/>
          <w:sz w:val="21"/>
          <w:szCs w:val="21"/>
        </w:rPr>
        <w:t>The MTE found that the AHPSU resources were stretched</w:t>
      </w:r>
      <w:r w:rsidR="008A0220" w:rsidRPr="0026576A">
        <w:rPr>
          <w:iCs/>
          <w:sz w:val="21"/>
          <w:szCs w:val="21"/>
        </w:rPr>
        <w:t xml:space="preserve"> </w:t>
      </w:r>
      <w:r w:rsidR="00BB5252" w:rsidRPr="0026576A">
        <w:rPr>
          <w:iCs/>
          <w:sz w:val="21"/>
          <w:szCs w:val="21"/>
        </w:rPr>
        <w:t xml:space="preserve">in the first phase </w:t>
      </w:r>
      <w:r w:rsidR="00AF627E">
        <w:rPr>
          <w:iCs/>
          <w:sz w:val="21"/>
          <w:szCs w:val="21"/>
        </w:rPr>
        <w:t xml:space="preserve">by the unforeseen demand on the AHP mechanism (which managed </w:t>
      </w:r>
      <w:r w:rsidR="00E71C64" w:rsidRPr="0026576A">
        <w:rPr>
          <w:iCs/>
          <w:sz w:val="21"/>
          <w:szCs w:val="21"/>
        </w:rPr>
        <w:t xml:space="preserve">over </w:t>
      </w:r>
      <w:r w:rsidR="00AF627E">
        <w:rPr>
          <w:iCs/>
          <w:sz w:val="21"/>
          <w:szCs w:val="21"/>
        </w:rPr>
        <w:t>$</w:t>
      </w:r>
      <w:r w:rsidR="00E71C64" w:rsidRPr="0026576A">
        <w:rPr>
          <w:iCs/>
          <w:sz w:val="21"/>
          <w:szCs w:val="21"/>
        </w:rPr>
        <w:t>2</w:t>
      </w:r>
      <w:r w:rsidR="00C703F3">
        <w:rPr>
          <w:iCs/>
          <w:sz w:val="21"/>
          <w:szCs w:val="21"/>
        </w:rPr>
        <w:t>4</w:t>
      </w:r>
      <w:r w:rsidR="00E71C64" w:rsidRPr="0026576A">
        <w:rPr>
          <w:iCs/>
          <w:sz w:val="21"/>
          <w:szCs w:val="21"/>
        </w:rPr>
        <w:t xml:space="preserve">0 million in Phase </w:t>
      </w:r>
      <w:r w:rsidR="00AF627E">
        <w:rPr>
          <w:iCs/>
          <w:sz w:val="21"/>
          <w:szCs w:val="21"/>
        </w:rPr>
        <w:t>I</w:t>
      </w:r>
      <w:r w:rsidR="00BB5252" w:rsidRPr="0026576A">
        <w:rPr>
          <w:iCs/>
          <w:sz w:val="21"/>
          <w:szCs w:val="21"/>
        </w:rPr>
        <w:t>)</w:t>
      </w:r>
      <w:r w:rsidR="004C49D7">
        <w:rPr>
          <w:iCs/>
          <w:sz w:val="21"/>
          <w:szCs w:val="21"/>
        </w:rPr>
        <w:t xml:space="preserve">. </w:t>
      </w:r>
      <w:r w:rsidR="00C84E45">
        <w:rPr>
          <w:iCs/>
          <w:sz w:val="21"/>
          <w:szCs w:val="21"/>
        </w:rPr>
        <w:t>DRCCs</w:t>
      </w:r>
      <w:r w:rsidR="00BB5252" w:rsidRPr="00C84E45">
        <w:rPr>
          <w:iCs/>
          <w:sz w:val="21"/>
          <w:szCs w:val="21"/>
        </w:rPr>
        <w:t xml:space="preserve"> sought greater access to its resources and support</w:t>
      </w:r>
      <w:r w:rsidR="002661AB" w:rsidRPr="00C84E45">
        <w:rPr>
          <w:iCs/>
          <w:sz w:val="21"/>
          <w:szCs w:val="21"/>
        </w:rPr>
        <w:t xml:space="preserve">, and </w:t>
      </w:r>
      <w:r w:rsidR="00961DDC" w:rsidRPr="00C84E45">
        <w:rPr>
          <w:iCs/>
          <w:sz w:val="21"/>
          <w:szCs w:val="21"/>
        </w:rPr>
        <w:t xml:space="preserve">Posts requested more in-depth analysis of </w:t>
      </w:r>
      <w:r w:rsidR="003827CF" w:rsidRPr="00C84E45">
        <w:rPr>
          <w:iCs/>
          <w:sz w:val="21"/>
          <w:szCs w:val="21"/>
        </w:rPr>
        <w:t>plans and reports to support decision-making</w:t>
      </w:r>
      <w:r w:rsidR="00BB5252" w:rsidRPr="00C84E45">
        <w:rPr>
          <w:iCs/>
          <w:sz w:val="21"/>
          <w:szCs w:val="21"/>
        </w:rPr>
        <w:t>. An increase in resources is therefore proposed for the AHPSU</w:t>
      </w:r>
      <w:r w:rsidR="008A0220" w:rsidRPr="00C84E45">
        <w:rPr>
          <w:iCs/>
          <w:sz w:val="21"/>
          <w:szCs w:val="21"/>
        </w:rPr>
        <w:t xml:space="preserve"> Contractor</w:t>
      </w:r>
      <w:r w:rsidR="00BB5252" w:rsidRPr="00C84E45">
        <w:rPr>
          <w:iCs/>
          <w:sz w:val="21"/>
          <w:szCs w:val="21"/>
        </w:rPr>
        <w:t xml:space="preserve"> in </w:t>
      </w:r>
      <w:r w:rsidR="00406F84">
        <w:rPr>
          <w:iCs/>
          <w:sz w:val="21"/>
          <w:szCs w:val="21"/>
        </w:rPr>
        <w:t>Phase II</w:t>
      </w:r>
      <w:r w:rsidR="003827CF" w:rsidRPr="00C84E45">
        <w:rPr>
          <w:iCs/>
          <w:sz w:val="21"/>
          <w:szCs w:val="21"/>
        </w:rPr>
        <w:t xml:space="preserve"> </w:t>
      </w:r>
      <w:r w:rsidR="002F2BA3" w:rsidRPr="00C84E45">
        <w:rPr>
          <w:iCs/>
          <w:sz w:val="21"/>
          <w:szCs w:val="21"/>
        </w:rPr>
        <w:t>commensurate with the TORs and demand from stakeholders</w:t>
      </w:r>
      <w:r w:rsidR="00BB5252" w:rsidRPr="00C84E45">
        <w:rPr>
          <w:iCs/>
          <w:sz w:val="21"/>
          <w:szCs w:val="21"/>
        </w:rPr>
        <w:t>.</w:t>
      </w:r>
    </w:p>
    <w:p w14:paraId="5F48B897" w14:textId="2726961A" w:rsidR="00BB5252" w:rsidRPr="0026576A" w:rsidRDefault="00BB5252" w:rsidP="0026576A">
      <w:pPr>
        <w:pStyle w:val="ListParagraph"/>
        <w:numPr>
          <w:ilvl w:val="0"/>
          <w:numId w:val="12"/>
        </w:numPr>
        <w:tabs>
          <w:tab w:val="left" w:pos="284"/>
        </w:tabs>
        <w:suppressAutoHyphens w:val="0"/>
        <w:spacing w:after="0" w:line="280" w:lineRule="exact"/>
        <w:ind w:left="0" w:firstLine="0"/>
        <w:contextualSpacing w:val="0"/>
        <w:rPr>
          <w:iCs/>
          <w:sz w:val="21"/>
          <w:szCs w:val="21"/>
        </w:rPr>
      </w:pPr>
      <w:r w:rsidRPr="00C84E45">
        <w:rPr>
          <w:iCs/>
          <w:sz w:val="21"/>
          <w:szCs w:val="21"/>
        </w:rPr>
        <w:t xml:space="preserve"> </w:t>
      </w:r>
      <w:r w:rsidR="00E71C64" w:rsidRPr="00C84E45">
        <w:rPr>
          <w:iCs/>
          <w:sz w:val="21"/>
          <w:szCs w:val="21"/>
        </w:rPr>
        <w:t>In addition to the</w:t>
      </w:r>
      <w:r w:rsidR="008A0220" w:rsidRPr="00C84E45">
        <w:rPr>
          <w:iCs/>
          <w:sz w:val="21"/>
          <w:szCs w:val="21"/>
        </w:rPr>
        <w:t xml:space="preserve"> core team of personnel, including a </w:t>
      </w:r>
      <w:r w:rsidR="003E60EB" w:rsidRPr="00C84E45">
        <w:rPr>
          <w:iCs/>
          <w:sz w:val="21"/>
          <w:szCs w:val="21"/>
        </w:rPr>
        <w:t xml:space="preserve">Partnership </w:t>
      </w:r>
      <w:r w:rsidR="008A0220" w:rsidRPr="00C84E45">
        <w:rPr>
          <w:iCs/>
          <w:sz w:val="21"/>
          <w:szCs w:val="21"/>
        </w:rPr>
        <w:t xml:space="preserve">Director with experience and expertise in humanitarian policy and programming; and staff with specialist expertise in </w:t>
      </w:r>
      <w:r w:rsidR="00E71C64" w:rsidRPr="00C84E45">
        <w:rPr>
          <w:iCs/>
          <w:sz w:val="21"/>
          <w:szCs w:val="21"/>
        </w:rPr>
        <w:t xml:space="preserve">operations, </w:t>
      </w:r>
      <w:r w:rsidR="008A0220" w:rsidRPr="00C84E45">
        <w:rPr>
          <w:iCs/>
          <w:sz w:val="21"/>
          <w:szCs w:val="21"/>
        </w:rPr>
        <w:t xml:space="preserve">grant management and administration, </w:t>
      </w:r>
      <w:r w:rsidR="00DD01C3">
        <w:rPr>
          <w:iCs/>
          <w:sz w:val="21"/>
          <w:szCs w:val="21"/>
        </w:rPr>
        <w:t>MEL</w:t>
      </w:r>
      <w:r w:rsidR="008A0220" w:rsidRPr="00C84E45">
        <w:rPr>
          <w:iCs/>
          <w:sz w:val="21"/>
          <w:szCs w:val="21"/>
        </w:rPr>
        <w:t xml:space="preserve">, public </w:t>
      </w:r>
      <w:r w:rsidR="001F1373" w:rsidRPr="00C84E45">
        <w:rPr>
          <w:iCs/>
          <w:sz w:val="21"/>
          <w:szCs w:val="21"/>
        </w:rPr>
        <w:t>diplomacy,</w:t>
      </w:r>
      <w:r w:rsidR="008A0220" w:rsidRPr="00C84E45">
        <w:rPr>
          <w:iCs/>
          <w:sz w:val="21"/>
          <w:szCs w:val="21"/>
        </w:rPr>
        <w:t xml:space="preserve"> and communications</w:t>
      </w:r>
      <w:r w:rsidR="00E71C64" w:rsidRPr="00C84E45">
        <w:rPr>
          <w:iCs/>
          <w:sz w:val="21"/>
          <w:szCs w:val="21"/>
        </w:rPr>
        <w:t xml:space="preserve">; two new positions are proposed. A Disaster READY Coordinator (Australia-based) and a Disaster READY MEL Coordinator (Pacific-based) are </w:t>
      </w:r>
      <w:r w:rsidR="00157879" w:rsidRPr="00C84E45">
        <w:rPr>
          <w:iCs/>
          <w:sz w:val="21"/>
          <w:szCs w:val="21"/>
        </w:rPr>
        <w:t>recommended</w:t>
      </w:r>
      <w:r w:rsidR="00E71C64" w:rsidRPr="00C84E45">
        <w:rPr>
          <w:iCs/>
          <w:sz w:val="21"/>
          <w:szCs w:val="21"/>
        </w:rPr>
        <w:t xml:space="preserve"> to strengthen AHPSU support to DFAT and ANGOs for achievement of EOPO 1 and 3</w:t>
      </w:r>
      <w:r w:rsidR="00157879" w:rsidRPr="00C84E45">
        <w:rPr>
          <w:iCs/>
          <w:sz w:val="21"/>
          <w:szCs w:val="21"/>
        </w:rPr>
        <w:t xml:space="preserve">. </w:t>
      </w:r>
      <w:r w:rsidR="00914EAF">
        <w:rPr>
          <w:iCs/>
          <w:sz w:val="21"/>
          <w:szCs w:val="21"/>
        </w:rPr>
        <w:t>The AHPSU will also e</w:t>
      </w:r>
      <w:r w:rsidR="00914EAF" w:rsidRPr="00914EAF">
        <w:rPr>
          <w:iCs/>
          <w:sz w:val="21"/>
          <w:szCs w:val="21"/>
        </w:rPr>
        <w:t xml:space="preserve">stablish and maintain a panel of specialists in </w:t>
      </w:r>
      <w:r w:rsidR="0032060E">
        <w:rPr>
          <w:iCs/>
          <w:sz w:val="21"/>
          <w:szCs w:val="21"/>
        </w:rPr>
        <w:t>GEDSI</w:t>
      </w:r>
      <w:r w:rsidR="00914EAF" w:rsidRPr="00914EAF">
        <w:rPr>
          <w:iCs/>
          <w:sz w:val="21"/>
          <w:szCs w:val="21"/>
        </w:rPr>
        <w:t xml:space="preserve"> and other technical and thematic areas</w:t>
      </w:r>
      <w:r w:rsidR="001D3382">
        <w:rPr>
          <w:iCs/>
          <w:sz w:val="21"/>
          <w:szCs w:val="21"/>
        </w:rPr>
        <w:t xml:space="preserve"> to support the Partnership</w:t>
      </w:r>
      <w:r w:rsidR="00C703F3">
        <w:rPr>
          <w:iCs/>
          <w:sz w:val="21"/>
          <w:szCs w:val="21"/>
        </w:rPr>
        <w:t xml:space="preserve"> across the three EOPOs</w:t>
      </w:r>
      <w:r w:rsidR="001D3382">
        <w:rPr>
          <w:iCs/>
          <w:sz w:val="21"/>
          <w:szCs w:val="21"/>
        </w:rPr>
        <w:t>.</w:t>
      </w:r>
    </w:p>
    <w:p w14:paraId="2EC84018" w14:textId="333AB48B" w:rsidR="00F10562" w:rsidRPr="0026576A" w:rsidRDefault="00376CC2" w:rsidP="0026576A">
      <w:pPr>
        <w:pStyle w:val="ListParagraph"/>
        <w:numPr>
          <w:ilvl w:val="0"/>
          <w:numId w:val="12"/>
        </w:numPr>
        <w:tabs>
          <w:tab w:val="left" w:pos="284"/>
        </w:tabs>
        <w:suppressAutoHyphens w:val="0"/>
        <w:spacing w:after="0" w:line="280" w:lineRule="exact"/>
        <w:ind w:left="0" w:firstLine="0"/>
        <w:contextualSpacing w:val="0"/>
        <w:rPr>
          <w:iCs/>
          <w:sz w:val="21"/>
          <w:szCs w:val="21"/>
        </w:rPr>
      </w:pPr>
      <w:r w:rsidRPr="0026576A">
        <w:rPr>
          <w:iCs/>
          <w:sz w:val="21"/>
          <w:szCs w:val="21"/>
        </w:rPr>
        <w:t>DFAT will conduct an annual Partner Performance Assessment</w:t>
      </w:r>
      <w:r w:rsidR="00157879" w:rsidRPr="0026576A">
        <w:rPr>
          <w:iCs/>
          <w:sz w:val="21"/>
          <w:szCs w:val="21"/>
        </w:rPr>
        <w:t xml:space="preserve"> </w:t>
      </w:r>
      <w:r w:rsidR="00A04319">
        <w:rPr>
          <w:iCs/>
          <w:sz w:val="21"/>
          <w:szCs w:val="21"/>
        </w:rPr>
        <w:t xml:space="preserve">(PPA) </w:t>
      </w:r>
      <w:r w:rsidR="00157879" w:rsidRPr="0026576A">
        <w:rPr>
          <w:iCs/>
          <w:sz w:val="21"/>
          <w:szCs w:val="21"/>
        </w:rPr>
        <w:t>of the AHPSU</w:t>
      </w:r>
      <w:r w:rsidRPr="0026576A">
        <w:rPr>
          <w:iCs/>
          <w:sz w:val="21"/>
          <w:szCs w:val="21"/>
        </w:rPr>
        <w:t>, taking into account the feedback from the Partnership Health Check and feedback from stakeholders.</w:t>
      </w:r>
      <w:r w:rsidR="0053258F">
        <w:rPr>
          <w:iCs/>
          <w:sz w:val="21"/>
          <w:szCs w:val="21"/>
        </w:rPr>
        <w:t xml:space="preserve"> The performance of ANGOs </w:t>
      </w:r>
      <w:r w:rsidR="0034000C">
        <w:rPr>
          <w:iCs/>
          <w:sz w:val="21"/>
          <w:szCs w:val="21"/>
        </w:rPr>
        <w:t>will be</w:t>
      </w:r>
      <w:r w:rsidR="0053258F">
        <w:rPr>
          <w:iCs/>
          <w:sz w:val="21"/>
          <w:szCs w:val="21"/>
        </w:rPr>
        <w:t xml:space="preserve"> assessed </w:t>
      </w:r>
      <w:r w:rsidR="0034000C">
        <w:rPr>
          <w:iCs/>
          <w:sz w:val="21"/>
          <w:szCs w:val="21"/>
        </w:rPr>
        <w:t xml:space="preserve">through the MELF including via </w:t>
      </w:r>
      <w:r w:rsidR="00A04319">
        <w:rPr>
          <w:iCs/>
          <w:sz w:val="21"/>
          <w:szCs w:val="21"/>
        </w:rPr>
        <w:t>evaluations and reporting. DFAT may choose to conduct a PPA on ANGOs</w:t>
      </w:r>
      <w:r w:rsidR="007A4706">
        <w:rPr>
          <w:iCs/>
          <w:sz w:val="21"/>
          <w:szCs w:val="21"/>
        </w:rPr>
        <w:t xml:space="preserve"> </w:t>
      </w:r>
      <w:r w:rsidR="005A6B3F">
        <w:rPr>
          <w:iCs/>
          <w:sz w:val="21"/>
          <w:szCs w:val="21"/>
        </w:rPr>
        <w:t xml:space="preserve">in exceptional circumstances where </w:t>
      </w:r>
      <w:r w:rsidR="0010026A">
        <w:rPr>
          <w:iCs/>
          <w:sz w:val="21"/>
          <w:szCs w:val="21"/>
        </w:rPr>
        <w:t>additional performance oversight is required</w:t>
      </w:r>
      <w:r w:rsidR="005A6B3F">
        <w:rPr>
          <w:iCs/>
          <w:sz w:val="21"/>
          <w:szCs w:val="21"/>
        </w:rPr>
        <w:t>.</w:t>
      </w:r>
      <w:r w:rsidR="00A04319">
        <w:rPr>
          <w:iCs/>
          <w:sz w:val="21"/>
          <w:szCs w:val="21"/>
        </w:rPr>
        <w:t xml:space="preserve">  </w:t>
      </w:r>
    </w:p>
    <w:p w14:paraId="57023165" w14:textId="34B1D192" w:rsidR="00B02762" w:rsidRPr="00851A62" w:rsidRDefault="00B02762" w:rsidP="007B5AA1">
      <w:pPr>
        <w:pStyle w:val="Heading1"/>
        <w:numPr>
          <w:ilvl w:val="0"/>
          <w:numId w:val="22"/>
        </w:numPr>
        <w:pBdr>
          <w:top w:val="single" w:sz="4" w:space="1" w:color="auto"/>
          <w:left w:val="single" w:sz="4" w:space="4" w:color="auto"/>
          <w:bottom w:val="single" w:sz="4" w:space="1" w:color="auto"/>
          <w:right w:val="single" w:sz="4" w:space="4" w:color="auto"/>
        </w:pBdr>
        <w:shd w:val="clear" w:color="auto" w:fill="E0F3EF" w:themeFill="accent1" w:themeFillTint="33"/>
        <w:spacing w:before="200" w:after="0"/>
        <w:contextualSpacing w:val="0"/>
        <w:rPr>
          <w:rFonts w:eastAsiaTheme="minorHAnsi" w:cstheme="minorBidi"/>
          <w:bCs w:val="0"/>
          <w:sz w:val="22"/>
          <w:szCs w:val="21"/>
        </w:rPr>
      </w:pPr>
      <w:bookmarkStart w:id="35" w:name="_Toc90551071"/>
      <w:bookmarkStart w:id="36" w:name="_Toc101521658"/>
      <w:bookmarkEnd w:id="35"/>
      <w:r>
        <w:rPr>
          <w:rFonts w:eastAsiaTheme="minorHAnsi" w:cstheme="minorBidi"/>
          <w:bCs w:val="0"/>
          <w:sz w:val="22"/>
          <w:szCs w:val="21"/>
        </w:rPr>
        <w:lastRenderedPageBreak/>
        <w:t>IMPLEMENTATION ARRANGEMENTS</w:t>
      </w:r>
      <w:bookmarkEnd w:id="36"/>
    </w:p>
    <w:p w14:paraId="1A05FCA5" w14:textId="3718BAB4" w:rsidR="00943FB1" w:rsidRDefault="00943FB1" w:rsidP="007B5AA1">
      <w:pPr>
        <w:keepNext/>
        <w:pBdr>
          <w:bottom w:val="single" w:sz="4" w:space="1" w:color="auto"/>
        </w:pBdr>
        <w:spacing w:before="200" w:after="0"/>
        <w:outlineLvl w:val="0"/>
        <w:rPr>
          <w:b/>
          <w:bCs/>
        </w:rPr>
      </w:pPr>
      <w:bookmarkStart w:id="37" w:name="_Toc101521659"/>
      <w:r w:rsidRPr="00EA37D5">
        <w:rPr>
          <w:b/>
          <w:bCs/>
        </w:rPr>
        <w:t>EOPO</w:t>
      </w:r>
      <w:r w:rsidR="00ED1BC4">
        <w:rPr>
          <w:b/>
          <w:bCs/>
        </w:rPr>
        <w:t xml:space="preserve"> </w:t>
      </w:r>
      <w:r w:rsidRPr="00EA37D5">
        <w:rPr>
          <w:b/>
          <w:bCs/>
        </w:rPr>
        <w:t>1: Disaster READY</w:t>
      </w:r>
      <w:bookmarkEnd w:id="37"/>
    </w:p>
    <w:p w14:paraId="1542689A" w14:textId="27A4D4EB" w:rsidR="00B971EE" w:rsidRDefault="00843E43" w:rsidP="007B5AA1">
      <w:pPr>
        <w:pStyle w:val="ListParagraph"/>
        <w:keepNext/>
        <w:numPr>
          <w:ilvl w:val="0"/>
          <w:numId w:val="12"/>
        </w:numPr>
        <w:tabs>
          <w:tab w:val="left" w:pos="284"/>
        </w:tabs>
        <w:suppressAutoHyphens w:val="0"/>
        <w:spacing w:before="200" w:after="0" w:line="280" w:lineRule="exact"/>
        <w:ind w:left="0" w:firstLine="0"/>
        <w:contextualSpacing w:val="0"/>
        <w:rPr>
          <w:b/>
          <w:bCs/>
        </w:rPr>
      </w:pPr>
      <w:r>
        <w:rPr>
          <w:iCs/>
          <w:sz w:val="21"/>
          <w:szCs w:val="21"/>
        </w:rPr>
        <w:t xml:space="preserve"> </w:t>
      </w:r>
      <w:r w:rsidR="00B971EE" w:rsidRPr="001A6FA9">
        <w:rPr>
          <w:iCs/>
          <w:sz w:val="21"/>
          <w:szCs w:val="21"/>
        </w:rPr>
        <w:t xml:space="preserve">Phase </w:t>
      </w:r>
      <w:r w:rsidR="0010026A">
        <w:rPr>
          <w:iCs/>
          <w:sz w:val="21"/>
          <w:szCs w:val="21"/>
        </w:rPr>
        <w:t>II</w:t>
      </w:r>
      <w:r w:rsidR="00B971EE" w:rsidRPr="001A6FA9">
        <w:rPr>
          <w:iCs/>
          <w:sz w:val="21"/>
          <w:szCs w:val="21"/>
        </w:rPr>
        <w:t xml:space="preserve"> of Disaster READY will build on the strengths and lessons of </w:t>
      </w:r>
      <w:r w:rsidR="00B971EE">
        <w:rPr>
          <w:iCs/>
          <w:sz w:val="21"/>
          <w:szCs w:val="21"/>
        </w:rPr>
        <w:t>P</w:t>
      </w:r>
      <w:r w:rsidR="00B971EE" w:rsidRPr="001A6FA9">
        <w:rPr>
          <w:iCs/>
          <w:sz w:val="21"/>
          <w:szCs w:val="21"/>
        </w:rPr>
        <w:t xml:space="preserve">hase </w:t>
      </w:r>
      <w:r w:rsidR="0010026A">
        <w:rPr>
          <w:iCs/>
          <w:sz w:val="21"/>
          <w:szCs w:val="21"/>
        </w:rPr>
        <w:t xml:space="preserve">I </w:t>
      </w:r>
      <w:r w:rsidR="00B971EE" w:rsidRPr="001A6FA9">
        <w:rPr>
          <w:iCs/>
          <w:sz w:val="21"/>
          <w:szCs w:val="21"/>
        </w:rPr>
        <w:t>(201</w:t>
      </w:r>
      <w:r w:rsidR="00B971EE">
        <w:rPr>
          <w:iCs/>
          <w:sz w:val="21"/>
          <w:szCs w:val="21"/>
        </w:rPr>
        <w:t>7</w:t>
      </w:r>
      <w:r w:rsidR="00B971EE" w:rsidRPr="001A6FA9">
        <w:rPr>
          <w:iCs/>
          <w:sz w:val="21"/>
          <w:szCs w:val="21"/>
        </w:rPr>
        <w:t>-2</w:t>
      </w:r>
      <w:r w:rsidR="00B971EE">
        <w:rPr>
          <w:iCs/>
          <w:sz w:val="21"/>
          <w:szCs w:val="21"/>
        </w:rPr>
        <w:t>2</w:t>
      </w:r>
      <w:r w:rsidR="00B971EE" w:rsidRPr="001A6FA9">
        <w:rPr>
          <w:iCs/>
          <w:sz w:val="21"/>
          <w:szCs w:val="21"/>
        </w:rPr>
        <w:t>)</w:t>
      </w:r>
      <w:r w:rsidR="00B971EE">
        <w:rPr>
          <w:iCs/>
          <w:sz w:val="21"/>
          <w:szCs w:val="21"/>
        </w:rPr>
        <w:t xml:space="preserve"> </w:t>
      </w:r>
      <w:r w:rsidR="003832F5">
        <w:rPr>
          <w:iCs/>
          <w:sz w:val="21"/>
          <w:szCs w:val="21"/>
        </w:rPr>
        <w:t xml:space="preserve">to </w:t>
      </w:r>
      <w:r w:rsidR="00DD436D" w:rsidRPr="00DD436D">
        <w:rPr>
          <w:iCs/>
          <w:sz w:val="21"/>
          <w:szCs w:val="21"/>
        </w:rPr>
        <w:t xml:space="preserve">help Pacific </w:t>
      </w:r>
      <w:r w:rsidR="00ED1BC4">
        <w:rPr>
          <w:iCs/>
          <w:sz w:val="21"/>
          <w:szCs w:val="21"/>
        </w:rPr>
        <w:t>I</w:t>
      </w:r>
      <w:r w:rsidR="00DD436D" w:rsidRPr="00DD436D">
        <w:rPr>
          <w:iCs/>
          <w:sz w:val="21"/>
          <w:szCs w:val="21"/>
        </w:rPr>
        <w:t xml:space="preserve">sland communities </w:t>
      </w:r>
      <w:r w:rsidR="00DD436D">
        <w:rPr>
          <w:iCs/>
          <w:sz w:val="21"/>
          <w:szCs w:val="21"/>
        </w:rPr>
        <w:t xml:space="preserve">prevent, </w:t>
      </w:r>
      <w:r w:rsidR="00DD436D" w:rsidRPr="00DD436D">
        <w:rPr>
          <w:iCs/>
          <w:sz w:val="21"/>
          <w:szCs w:val="21"/>
        </w:rPr>
        <w:t xml:space="preserve">prepare </w:t>
      </w:r>
      <w:r w:rsidR="001F1373" w:rsidRPr="00DD436D">
        <w:rPr>
          <w:iCs/>
          <w:sz w:val="21"/>
          <w:szCs w:val="21"/>
        </w:rPr>
        <w:t>for,</w:t>
      </w:r>
      <w:r w:rsidR="00DD436D" w:rsidRPr="00DD436D">
        <w:rPr>
          <w:iCs/>
          <w:sz w:val="21"/>
          <w:szCs w:val="21"/>
        </w:rPr>
        <w:t xml:space="preserve"> and build resilience to disasters. </w:t>
      </w:r>
      <w:r w:rsidR="00F069EF">
        <w:rPr>
          <w:iCs/>
          <w:sz w:val="21"/>
          <w:szCs w:val="21"/>
        </w:rPr>
        <w:t xml:space="preserve">As outlined in the revised Program Logic, the intended outcome of </w:t>
      </w:r>
      <w:r w:rsidR="0097146C">
        <w:rPr>
          <w:iCs/>
          <w:sz w:val="21"/>
          <w:szCs w:val="21"/>
        </w:rPr>
        <w:t xml:space="preserve">Disaster READY </w:t>
      </w:r>
      <w:r w:rsidR="00F069EF">
        <w:rPr>
          <w:iCs/>
          <w:sz w:val="21"/>
          <w:szCs w:val="21"/>
        </w:rPr>
        <w:t xml:space="preserve">in </w:t>
      </w:r>
      <w:r w:rsidR="00406F84">
        <w:rPr>
          <w:iCs/>
          <w:sz w:val="21"/>
          <w:szCs w:val="21"/>
        </w:rPr>
        <w:t>Phase II</w:t>
      </w:r>
      <w:r w:rsidR="00F069EF">
        <w:rPr>
          <w:iCs/>
          <w:sz w:val="21"/>
          <w:szCs w:val="21"/>
        </w:rPr>
        <w:t xml:space="preserve"> is that </w:t>
      </w:r>
      <w:r w:rsidR="00C36E67">
        <w:rPr>
          <w:i/>
          <w:sz w:val="21"/>
          <w:szCs w:val="21"/>
        </w:rPr>
        <w:t>w</w:t>
      </w:r>
      <w:r w:rsidR="00C36E67" w:rsidRPr="00C36E67">
        <w:rPr>
          <w:i/>
          <w:sz w:val="21"/>
          <w:szCs w:val="21"/>
        </w:rPr>
        <w:t xml:space="preserve">omen, men, youth, children, people </w:t>
      </w:r>
      <w:r w:rsidR="005B03A8">
        <w:rPr>
          <w:i/>
          <w:sz w:val="21"/>
          <w:szCs w:val="21"/>
        </w:rPr>
        <w:t xml:space="preserve">living </w:t>
      </w:r>
      <w:r w:rsidR="00C36E67" w:rsidRPr="00C36E67">
        <w:rPr>
          <w:i/>
          <w:sz w:val="21"/>
          <w:szCs w:val="21"/>
        </w:rPr>
        <w:t xml:space="preserve">with disabilities and other at-risk </w:t>
      </w:r>
      <w:r w:rsidR="00FE4477" w:rsidRPr="00C36E67">
        <w:rPr>
          <w:i/>
          <w:sz w:val="21"/>
          <w:szCs w:val="21"/>
        </w:rPr>
        <w:t>groups, are</w:t>
      </w:r>
      <w:r w:rsidR="00C36E67" w:rsidRPr="00C36E67">
        <w:rPr>
          <w:i/>
          <w:sz w:val="21"/>
          <w:szCs w:val="21"/>
        </w:rPr>
        <w:t xml:space="preserve"> better prepared for and more resilient to disasters and climate change, in selected Pacific countries and Timor-</w:t>
      </w:r>
      <w:r w:rsidR="00FE4477" w:rsidRPr="00C36E67">
        <w:rPr>
          <w:i/>
          <w:sz w:val="21"/>
          <w:szCs w:val="21"/>
        </w:rPr>
        <w:t>Leste.</w:t>
      </w:r>
    </w:p>
    <w:p w14:paraId="132F291C" w14:textId="17B6394F" w:rsidR="002507C9" w:rsidRPr="0026576A" w:rsidRDefault="00DB6AF4" w:rsidP="0026576A">
      <w:pPr>
        <w:pStyle w:val="ListParagraph"/>
        <w:tabs>
          <w:tab w:val="left" w:pos="284"/>
        </w:tabs>
        <w:suppressAutoHyphens w:val="0"/>
        <w:spacing w:before="200" w:after="0" w:line="280" w:lineRule="exact"/>
        <w:ind w:left="0"/>
        <w:contextualSpacing w:val="0"/>
        <w:rPr>
          <w:b/>
          <w:bCs/>
          <w:i/>
          <w:sz w:val="21"/>
          <w:szCs w:val="21"/>
        </w:rPr>
      </w:pPr>
      <w:r w:rsidRPr="0026576A">
        <w:rPr>
          <w:b/>
          <w:bCs/>
          <w:i/>
          <w:sz w:val="21"/>
          <w:szCs w:val="21"/>
        </w:rPr>
        <w:t xml:space="preserve">Overall </w:t>
      </w:r>
      <w:r w:rsidR="002507C9" w:rsidRPr="0026576A">
        <w:rPr>
          <w:b/>
          <w:bCs/>
          <w:i/>
          <w:sz w:val="21"/>
          <w:szCs w:val="21"/>
        </w:rPr>
        <w:t>Budget and Term</w:t>
      </w:r>
    </w:p>
    <w:p w14:paraId="759C211D" w14:textId="552705DC" w:rsidR="00023D91" w:rsidRDefault="00F069EF" w:rsidP="00E93683">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Pr>
          <w:iCs/>
          <w:sz w:val="21"/>
          <w:szCs w:val="21"/>
        </w:rPr>
        <w:t xml:space="preserve">The </w:t>
      </w:r>
      <w:r w:rsidR="00006001">
        <w:rPr>
          <w:iCs/>
          <w:sz w:val="21"/>
          <w:szCs w:val="21"/>
        </w:rPr>
        <w:t xml:space="preserve">initial </w:t>
      </w:r>
      <w:r>
        <w:rPr>
          <w:iCs/>
          <w:sz w:val="21"/>
          <w:szCs w:val="21"/>
        </w:rPr>
        <w:t xml:space="preserve">value of the Disaster READY program in </w:t>
      </w:r>
      <w:r w:rsidR="00406F84">
        <w:rPr>
          <w:iCs/>
          <w:sz w:val="21"/>
          <w:szCs w:val="21"/>
        </w:rPr>
        <w:t>Phase II</w:t>
      </w:r>
      <w:r>
        <w:rPr>
          <w:iCs/>
          <w:sz w:val="21"/>
          <w:szCs w:val="21"/>
        </w:rPr>
        <w:t xml:space="preserve"> will be</w:t>
      </w:r>
      <w:r w:rsidR="003251FF">
        <w:rPr>
          <w:iCs/>
          <w:sz w:val="21"/>
          <w:szCs w:val="21"/>
        </w:rPr>
        <w:t xml:space="preserve"> </w:t>
      </w:r>
      <w:r w:rsidR="00805E14">
        <w:rPr>
          <w:iCs/>
          <w:sz w:val="21"/>
          <w:szCs w:val="21"/>
        </w:rPr>
        <w:t>$</w:t>
      </w:r>
      <w:r w:rsidR="00023D91" w:rsidRPr="00023D91">
        <w:rPr>
          <w:iCs/>
          <w:sz w:val="21"/>
          <w:szCs w:val="21"/>
        </w:rPr>
        <w:t>4</w:t>
      </w:r>
      <w:r w:rsidR="00C36E67">
        <w:rPr>
          <w:iCs/>
          <w:sz w:val="21"/>
          <w:szCs w:val="21"/>
        </w:rPr>
        <w:t>0.5</w:t>
      </w:r>
      <w:r>
        <w:rPr>
          <w:iCs/>
          <w:sz w:val="21"/>
          <w:szCs w:val="21"/>
        </w:rPr>
        <w:t xml:space="preserve"> million</w:t>
      </w:r>
      <w:r w:rsidR="00023D91">
        <w:rPr>
          <w:iCs/>
          <w:sz w:val="21"/>
          <w:szCs w:val="21"/>
        </w:rPr>
        <w:t xml:space="preserve"> over 4.5 years from July 2022 to January 2027.</w:t>
      </w:r>
      <w:r w:rsidR="00D72E3F">
        <w:rPr>
          <w:iCs/>
          <w:sz w:val="21"/>
          <w:szCs w:val="21"/>
        </w:rPr>
        <w:t xml:space="preserve"> </w:t>
      </w:r>
    </w:p>
    <w:p w14:paraId="78070573" w14:textId="77777777" w:rsidR="00596C76" w:rsidRDefault="00596C76" w:rsidP="00E93683">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Pr>
          <w:iCs/>
          <w:sz w:val="21"/>
          <w:szCs w:val="21"/>
        </w:rPr>
        <w:t>This budget will provide for:</w:t>
      </w:r>
    </w:p>
    <w:p w14:paraId="513D8B41" w14:textId="1A905055" w:rsidR="00FA1A6C" w:rsidRDefault="00F454ED" w:rsidP="0011591E">
      <w:pPr>
        <w:pStyle w:val="ListParagraph"/>
        <w:numPr>
          <w:ilvl w:val="0"/>
          <w:numId w:val="34"/>
        </w:numPr>
        <w:suppressAutoHyphens w:val="0"/>
        <w:spacing w:before="60" w:line="280" w:lineRule="exact"/>
        <w:contextualSpacing w:val="0"/>
        <w:rPr>
          <w:iCs/>
          <w:sz w:val="21"/>
          <w:szCs w:val="21"/>
        </w:rPr>
      </w:pPr>
      <w:r>
        <w:rPr>
          <w:iCs/>
          <w:sz w:val="21"/>
          <w:szCs w:val="21"/>
        </w:rPr>
        <w:t xml:space="preserve">Core </w:t>
      </w:r>
      <w:r w:rsidR="00F4027C">
        <w:rPr>
          <w:iCs/>
          <w:sz w:val="21"/>
          <w:szCs w:val="21"/>
        </w:rPr>
        <w:t xml:space="preserve">ANGO </w:t>
      </w:r>
      <w:r>
        <w:rPr>
          <w:iCs/>
          <w:sz w:val="21"/>
          <w:szCs w:val="21"/>
        </w:rPr>
        <w:t xml:space="preserve">program funds </w:t>
      </w:r>
      <w:r w:rsidR="00FA1A6C" w:rsidRPr="00FA1A6C">
        <w:rPr>
          <w:iCs/>
          <w:sz w:val="21"/>
          <w:szCs w:val="21"/>
        </w:rPr>
        <w:t>of $</w:t>
      </w:r>
      <w:r w:rsidR="005D42D5">
        <w:rPr>
          <w:iCs/>
          <w:sz w:val="21"/>
          <w:szCs w:val="21"/>
        </w:rPr>
        <w:t>33</w:t>
      </w:r>
      <w:r>
        <w:rPr>
          <w:iCs/>
          <w:sz w:val="21"/>
          <w:szCs w:val="21"/>
        </w:rPr>
        <w:t>.75</w:t>
      </w:r>
      <w:r w:rsidR="00FA1A6C" w:rsidRPr="00FA1A6C">
        <w:rPr>
          <w:iCs/>
          <w:sz w:val="21"/>
          <w:szCs w:val="21"/>
        </w:rPr>
        <w:t xml:space="preserve"> million</w:t>
      </w:r>
      <w:r>
        <w:rPr>
          <w:iCs/>
          <w:sz w:val="21"/>
          <w:szCs w:val="21"/>
        </w:rPr>
        <w:t xml:space="preserve"> </w:t>
      </w:r>
      <w:r w:rsidR="00F4027C">
        <w:rPr>
          <w:iCs/>
          <w:sz w:val="21"/>
          <w:szCs w:val="21"/>
        </w:rPr>
        <w:t>over</w:t>
      </w:r>
      <w:r w:rsidR="00F4027C" w:rsidRPr="00FA1A6C">
        <w:rPr>
          <w:iCs/>
          <w:sz w:val="21"/>
          <w:szCs w:val="21"/>
        </w:rPr>
        <w:t xml:space="preserve"> 4.5 yea</w:t>
      </w:r>
      <w:r w:rsidR="00F4027C">
        <w:rPr>
          <w:iCs/>
          <w:sz w:val="21"/>
          <w:szCs w:val="21"/>
        </w:rPr>
        <w:t>rs</w:t>
      </w:r>
    </w:p>
    <w:p w14:paraId="2EA270C9" w14:textId="67FE1F02" w:rsidR="00596C76" w:rsidRPr="00596C76" w:rsidRDefault="00F75ACD" w:rsidP="0011591E">
      <w:pPr>
        <w:pStyle w:val="ListParagraph"/>
        <w:numPr>
          <w:ilvl w:val="1"/>
          <w:numId w:val="24"/>
        </w:numPr>
        <w:spacing w:before="60" w:line="280" w:lineRule="atLeast"/>
        <w:ind w:hanging="357"/>
        <w:contextualSpacing w:val="0"/>
        <w:rPr>
          <w:iCs/>
          <w:sz w:val="21"/>
          <w:szCs w:val="21"/>
        </w:rPr>
      </w:pPr>
      <w:r>
        <w:rPr>
          <w:iCs/>
          <w:sz w:val="21"/>
          <w:szCs w:val="21"/>
        </w:rPr>
        <w:t xml:space="preserve">This will provide for </w:t>
      </w:r>
      <w:r w:rsidRPr="00FA1A6C">
        <w:rPr>
          <w:iCs/>
          <w:sz w:val="21"/>
          <w:szCs w:val="21"/>
        </w:rPr>
        <w:t>$1.2</w:t>
      </w:r>
      <w:r>
        <w:rPr>
          <w:iCs/>
          <w:sz w:val="21"/>
          <w:szCs w:val="21"/>
        </w:rPr>
        <w:t>5</w:t>
      </w:r>
      <w:r w:rsidRPr="00FA1A6C">
        <w:rPr>
          <w:iCs/>
          <w:sz w:val="21"/>
          <w:szCs w:val="21"/>
        </w:rPr>
        <w:t xml:space="preserve"> million </w:t>
      </w:r>
      <w:r>
        <w:rPr>
          <w:iCs/>
          <w:sz w:val="21"/>
          <w:szCs w:val="21"/>
        </w:rPr>
        <w:t xml:space="preserve">per </w:t>
      </w:r>
      <w:r w:rsidR="00BF7AA1">
        <w:rPr>
          <w:iCs/>
          <w:sz w:val="21"/>
          <w:szCs w:val="21"/>
        </w:rPr>
        <w:t xml:space="preserve">lead ANGO and </w:t>
      </w:r>
      <w:r>
        <w:rPr>
          <w:iCs/>
          <w:sz w:val="21"/>
          <w:szCs w:val="21"/>
        </w:rPr>
        <w:t xml:space="preserve">consortia </w:t>
      </w:r>
      <w:r w:rsidR="00FE4477">
        <w:rPr>
          <w:iCs/>
          <w:sz w:val="21"/>
          <w:szCs w:val="21"/>
        </w:rPr>
        <w:t>annually and</w:t>
      </w:r>
      <w:r w:rsidR="00F4027C">
        <w:rPr>
          <w:iCs/>
          <w:sz w:val="21"/>
          <w:szCs w:val="21"/>
        </w:rPr>
        <w:t xml:space="preserve"> equate to an average of </w:t>
      </w:r>
      <w:r w:rsidR="00596C76" w:rsidRPr="00596C76">
        <w:rPr>
          <w:iCs/>
          <w:sz w:val="21"/>
          <w:szCs w:val="21"/>
        </w:rPr>
        <w:t>$1</w:t>
      </w:r>
      <w:r w:rsidR="008A3D36">
        <w:rPr>
          <w:iCs/>
          <w:sz w:val="21"/>
          <w:szCs w:val="21"/>
        </w:rPr>
        <w:t>.5 million</w:t>
      </w:r>
      <w:r w:rsidR="00596C76" w:rsidRPr="00596C76">
        <w:rPr>
          <w:iCs/>
          <w:sz w:val="21"/>
          <w:szCs w:val="21"/>
        </w:rPr>
        <w:t xml:space="preserve"> per country</w:t>
      </w:r>
      <w:r w:rsidR="00702B4A">
        <w:rPr>
          <w:iCs/>
          <w:sz w:val="21"/>
          <w:szCs w:val="21"/>
        </w:rPr>
        <w:t xml:space="preserve"> per year</w:t>
      </w:r>
      <w:r w:rsidR="00596C76" w:rsidRPr="00596C76">
        <w:rPr>
          <w:iCs/>
          <w:sz w:val="21"/>
          <w:szCs w:val="21"/>
        </w:rPr>
        <w:t xml:space="preserve">, subject to ANGO and country level planning.  </w:t>
      </w:r>
    </w:p>
    <w:p w14:paraId="28CD9933" w14:textId="621D9ED6" w:rsidR="00596C76" w:rsidRPr="00596C76" w:rsidRDefault="00ED1BC4" w:rsidP="0011591E">
      <w:pPr>
        <w:pStyle w:val="ListParagraph"/>
        <w:numPr>
          <w:ilvl w:val="1"/>
          <w:numId w:val="24"/>
        </w:numPr>
        <w:spacing w:before="60" w:line="280" w:lineRule="atLeast"/>
        <w:contextualSpacing w:val="0"/>
        <w:rPr>
          <w:iCs/>
          <w:sz w:val="21"/>
          <w:szCs w:val="21"/>
        </w:rPr>
      </w:pPr>
      <w:r>
        <w:rPr>
          <w:iCs/>
          <w:sz w:val="21"/>
          <w:szCs w:val="21"/>
        </w:rPr>
        <w:t>S</w:t>
      </w:r>
      <w:r w:rsidR="0052346B">
        <w:rPr>
          <w:iCs/>
          <w:sz w:val="21"/>
          <w:szCs w:val="21"/>
        </w:rPr>
        <w:t>ubject to</w:t>
      </w:r>
      <w:r w:rsidR="00596C76" w:rsidRPr="00596C76">
        <w:rPr>
          <w:iCs/>
          <w:sz w:val="21"/>
          <w:szCs w:val="21"/>
        </w:rPr>
        <w:t xml:space="preserve"> funding available once variable costs are finalised, and subject to expenditure each year, more </w:t>
      </w:r>
      <w:r>
        <w:rPr>
          <w:iCs/>
          <w:sz w:val="21"/>
          <w:szCs w:val="21"/>
        </w:rPr>
        <w:t xml:space="preserve">annual </w:t>
      </w:r>
      <w:r w:rsidR="00596C76" w:rsidRPr="00596C76">
        <w:rPr>
          <w:iCs/>
          <w:sz w:val="21"/>
          <w:szCs w:val="21"/>
        </w:rPr>
        <w:t>funding may be made available to ANGOs for activities.</w:t>
      </w:r>
    </w:p>
    <w:p w14:paraId="456189C8" w14:textId="0EAE5F08" w:rsidR="001F5F84" w:rsidRDefault="001F3885" w:rsidP="0011591E">
      <w:pPr>
        <w:pStyle w:val="ListParagraph"/>
        <w:numPr>
          <w:ilvl w:val="0"/>
          <w:numId w:val="34"/>
        </w:numPr>
        <w:suppressAutoHyphens w:val="0"/>
        <w:spacing w:before="60" w:line="280" w:lineRule="exact"/>
        <w:contextualSpacing w:val="0"/>
        <w:rPr>
          <w:iCs/>
          <w:sz w:val="21"/>
          <w:szCs w:val="21"/>
        </w:rPr>
      </w:pPr>
      <w:r>
        <w:rPr>
          <w:iCs/>
          <w:sz w:val="21"/>
          <w:szCs w:val="21"/>
        </w:rPr>
        <w:t>Disaster READY Country Co</w:t>
      </w:r>
      <w:r w:rsidR="001F5F84">
        <w:rPr>
          <w:iCs/>
          <w:sz w:val="21"/>
          <w:szCs w:val="21"/>
        </w:rPr>
        <w:t>mmittee (DRCC) funding of up to $6.75 million over</w:t>
      </w:r>
      <w:r w:rsidR="001F5F84" w:rsidRPr="00FA1A6C">
        <w:rPr>
          <w:iCs/>
          <w:sz w:val="21"/>
          <w:szCs w:val="21"/>
        </w:rPr>
        <w:t xml:space="preserve"> 4.5 yea</w:t>
      </w:r>
      <w:r w:rsidR="001F5F84">
        <w:rPr>
          <w:iCs/>
          <w:sz w:val="21"/>
          <w:szCs w:val="21"/>
        </w:rPr>
        <w:t xml:space="preserve">rs </w:t>
      </w:r>
    </w:p>
    <w:p w14:paraId="727B0C9F" w14:textId="2A265522" w:rsidR="00596C76" w:rsidRPr="00596C76" w:rsidRDefault="001F5F84" w:rsidP="0011591E">
      <w:pPr>
        <w:pStyle w:val="ListParagraph"/>
        <w:numPr>
          <w:ilvl w:val="1"/>
          <w:numId w:val="34"/>
        </w:numPr>
        <w:suppressAutoHyphens w:val="0"/>
        <w:spacing w:before="60" w:line="280" w:lineRule="exact"/>
        <w:contextualSpacing w:val="0"/>
        <w:rPr>
          <w:iCs/>
          <w:sz w:val="21"/>
          <w:szCs w:val="21"/>
        </w:rPr>
      </w:pPr>
      <w:r>
        <w:rPr>
          <w:iCs/>
          <w:sz w:val="21"/>
          <w:szCs w:val="21"/>
        </w:rPr>
        <w:t xml:space="preserve">This will provide </w:t>
      </w:r>
      <w:r w:rsidR="0052346B">
        <w:rPr>
          <w:iCs/>
          <w:sz w:val="21"/>
          <w:szCs w:val="21"/>
        </w:rPr>
        <w:t>up to</w:t>
      </w:r>
      <w:r w:rsidR="00596C76" w:rsidRPr="00596C76">
        <w:rPr>
          <w:iCs/>
          <w:sz w:val="21"/>
          <w:szCs w:val="21"/>
        </w:rPr>
        <w:t xml:space="preserve"> $</w:t>
      </w:r>
      <w:r w:rsidR="00BE1F1F">
        <w:rPr>
          <w:iCs/>
          <w:sz w:val="21"/>
          <w:szCs w:val="21"/>
        </w:rPr>
        <w:t>30</w:t>
      </w:r>
      <w:r w:rsidR="00596C76" w:rsidRPr="00596C76">
        <w:rPr>
          <w:iCs/>
          <w:sz w:val="21"/>
          <w:szCs w:val="21"/>
        </w:rPr>
        <w:t>0,000 per year</w:t>
      </w:r>
      <w:r w:rsidR="0052346B">
        <w:rPr>
          <w:iCs/>
          <w:sz w:val="21"/>
          <w:szCs w:val="21"/>
        </w:rPr>
        <w:t xml:space="preserve"> per country</w:t>
      </w:r>
      <w:r>
        <w:rPr>
          <w:iCs/>
          <w:sz w:val="21"/>
          <w:szCs w:val="21"/>
        </w:rPr>
        <w:t xml:space="preserve"> to support </w:t>
      </w:r>
      <w:r w:rsidR="00B97031">
        <w:rPr>
          <w:iCs/>
          <w:sz w:val="21"/>
          <w:szCs w:val="21"/>
        </w:rPr>
        <w:t xml:space="preserve">DRCC operations including coordination, </w:t>
      </w:r>
      <w:r w:rsidR="00DD01C3">
        <w:rPr>
          <w:iCs/>
          <w:sz w:val="21"/>
          <w:szCs w:val="21"/>
        </w:rPr>
        <w:t>MEL</w:t>
      </w:r>
      <w:r w:rsidR="00B97031">
        <w:rPr>
          <w:iCs/>
          <w:sz w:val="21"/>
          <w:szCs w:val="21"/>
        </w:rPr>
        <w:t xml:space="preserve">, </w:t>
      </w:r>
      <w:r w:rsidR="00FE4477">
        <w:rPr>
          <w:iCs/>
          <w:sz w:val="21"/>
          <w:szCs w:val="21"/>
        </w:rPr>
        <w:t>communications,</w:t>
      </w:r>
      <w:r w:rsidR="00B97031">
        <w:rPr>
          <w:iCs/>
          <w:sz w:val="21"/>
          <w:szCs w:val="21"/>
        </w:rPr>
        <w:t xml:space="preserve"> and </w:t>
      </w:r>
      <w:r w:rsidR="0026689F">
        <w:rPr>
          <w:iCs/>
          <w:sz w:val="21"/>
          <w:szCs w:val="21"/>
        </w:rPr>
        <w:t xml:space="preserve">the country </w:t>
      </w:r>
      <w:r w:rsidR="00B97031">
        <w:rPr>
          <w:iCs/>
          <w:sz w:val="21"/>
          <w:szCs w:val="21"/>
        </w:rPr>
        <w:t>learning</w:t>
      </w:r>
      <w:r w:rsidR="0026689F">
        <w:rPr>
          <w:iCs/>
          <w:sz w:val="21"/>
          <w:szCs w:val="21"/>
        </w:rPr>
        <w:t xml:space="preserve"> agenda</w:t>
      </w:r>
      <w:r w:rsidR="00596C76" w:rsidRPr="00596C76">
        <w:rPr>
          <w:iCs/>
          <w:sz w:val="21"/>
          <w:szCs w:val="21"/>
        </w:rPr>
        <w:t xml:space="preserve">.  </w:t>
      </w:r>
    </w:p>
    <w:p w14:paraId="43A8F172" w14:textId="553A8A26" w:rsidR="00596C76" w:rsidRDefault="0052346B" w:rsidP="00415502">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Pr>
          <w:iCs/>
          <w:sz w:val="21"/>
          <w:szCs w:val="21"/>
        </w:rPr>
        <w:t xml:space="preserve"> Other </w:t>
      </w:r>
      <w:r w:rsidR="001F3885">
        <w:rPr>
          <w:iCs/>
          <w:sz w:val="21"/>
          <w:szCs w:val="21"/>
        </w:rPr>
        <w:t>resources</w:t>
      </w:r>
      <w:r>
        <w:rPr>
          <w:iCs/>
          <w:sz w:val="21"/>
          <w:szCs w:val="21"/>
        </w:rPr>
        <w:t xml:space="preserve"> </w:t>
      </w:r>
      <w:r w:rsidR="00417FAF">
        <w:rPr>
          <w:iCs/>
          <w:sz w:val="21"/>
          <w:szCs w:val="21"/>
        </w:rPr>
        <w:t>will</w:t>
      </w:r>
      <w:r w:rsidR="00F01C46">
        <w:rPr>
          <w:iCs/>
          <w:sz w:val="21"/>
          <w:szCs w:val="21"/>
        </w:rPr>
        <w:t xml:space="preserve"> </w:t>
      </w:r>
      <w:r w:rsidR="0054355F">
        <w:rPr>
          <w:iCs/>
          <w:sz w:val="21"/>
          <w:szCs w:val="21"/>
        </w:rPr>
        <w:t xml:space="preserve">also </w:t>
      </w:r>
      <w:r w:rsidR="00F01C46">
        <w:rPr>
          <w:iCs/>
          <w:sz w:val="21"/>
          <w:szCs w:val="21"/>
        </w:rPr>
        <w:t>be allocated to support Disaster READY through the AHPSU budget, which is accounted for separately</w:t>
      </w:r>
      <w:r w:rsidR="00072665">
        <w:rPr>
          <w:iCs/>
          <w:sz w:val="21"/>
          <w:szCs w:val="21"/>
        </w:rPr>
        <w:t xml:space="preserve"> in the design</w:t>
      </w:r>
      <w:r w:rsidR="00F01C46">
        <w:rPr>
          <w:iCs/>
          <w:sz w:val="21"/>
          <w:szCs w:val="21"/>
        </w:rPr>
        <w:t>.</w:t>
      </w:r>
    </w:p>
    <w:p w14:paraId="1ABAD791" w14:textId="71B94987" w:rsidR="002507C9" w:rsidRPr="0026576A" w:rsidRDefault="002507C9" w:rsidP="003E2C60">
      <w:pPr>
        <w:pStyle w:val="ListParagraph"/>
        <w:tabs>
          <w:tab w:val="left" w:pos="284"/>
        </w:tabs>
        <w:suppressAutoHyphens w:val="0"/>
        <w:spacing w:before="200" w:after="0" w:line="280" w:lineRule="exact"/>
        <w:ind w:left="0"/>
        <w:contextualSpacing w:val="0"/>
        <w:rPr>
          <w:b/>
          <w:bCs/>
          <w:i/>
          <w:sz w:val="21"/>
          <w:szCs w:val="21"/>
        </w:rPr>
      </w:pPr>
      <w:r w:rsidRPr="0026576A">
        <w:rPr>
          <w:b/>
          <w:bCs/>
          <w:i/>
          <w:sz w:val="21"/>
          <w:szCs w:val="21"/>
        </w:rPr>
        <w:t xml:space="preserve">Geographic Focus </w:t>
      </w:r>
    </w:p>
    <w:p w14:paraId="54145EF4" w14:textId="5EA2BA7D" w:rsidR="001E327A" w:rsidRPr="003E2C60" w:rsidRDefault="002507C9" w:rsidP="003E2C60">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sidRPr="003E2C60">
        <w:rPr>
          <w:iCs/>
          <w:sz w:val="21"/>
          <w:szCs w:val="21"/>
        </w:rPr>
        <w:t xml:space="preserve"> </w:t>
      </w:r>
      <w:r w:rsidR="00F01C46" w:rsidRPr="003E2C60">
        <w:rPr>
          <w:iCs/>
          <w:sz w:val="21"/>
          <w:szCs w:val="21"/>
        </w:rPr>
        <w:t xml:space="preserve">The </w:t>
      </w:r>
      <w:r w:rsidR="001E327A" w:rsidRPr="003E2C60">
        <w:rPr>
          <w:iCs/>
          <w:sz w:val="21"/>
          <w:szCs w:val="21"/>
        </w:rPr>
        <w:t>Disaster READY program will continue to focus its resources and efforts in</w:t>
      </w:r>
      <w:r w:rsidR="00555DC6" w:rsidRPr="003E2C60">
        <w:rPr>
          <w:iCs/>
          <w:sz w:val="21"/>
          <w:szCs w:val="21"/>
        </w:rPr>
        <w:t xml:space="preserve"> the original</w:t>
      </w:r>
      <w:r w:rsidR="001E327A" w:rsidRPr="003E2C60">
        <w:rPr>
          <w:iCs/>
          <w:sz w:val="21"/>
          <w:szCs w:val="21"/>
        </w:rPr>
        <w:t xml:space="preserve"> five</w:t>
      </w:r>
      <w:r w:rsidR="00555DC6" w:rsidRPr="003E2C60">
        <w:rPr>
          <w:iCs/>
          <w:sz w:val="21"/>
          <w:szCs w:val="21"/>
        </w:rPr>
        <w:t xml:space="preserve"> </w:t>
      </w:r>
      <w:r w:rsidR="00406F84">
        <w:rPr>
          <w:iCs/>
          <w:sz w:val="21"/>
          <w:szCs w:val="21"/>
        </w:rPr>
        <w:t>Phase I</w:t>
      </w:r>
      <w:r w:rsidR="001E327A" w:rsidRPr="003E2C60">
        <w:rPr>
          <w:iCs/>
          <w:sz w:val="21"/>
          <w:szCs w:val="21"/>
        </w:rPr>
        <w:t xml:space="preserve"> countries, which remain ranked among the top at-risk countries in the world in the</w:t>
      </w:r>
      <w:r w:rsidR="00AA10E7" w:rsidRPr="003E2C60">
        <w:rPr>
          <w:iCs/>
          <w:sz w:val="21"/>
          <w:szCs w:val="21"/>
        </w:rPr>
        <w:t xml:space="preserve"> 2021</w:t>
      </w:r>
      <w:r w:rsidR="001E327A" w:rsidRPr="003E2C60">
        <w:rPr>
          <w:iCs/>
          <w:sz w:val="21"/>
          <w:szCs w:val="21"/>
        </w:rPr>
        <w:t xml:space="preserve"> World Risk Report: Vanuatu (1), Solomon Islands (2), Fiji (14), PNG (9), and Timor-Leste (16). </w:t>
      </w:r>
      <w:r w:rsidR="007E39C3">
        <w:rPr>
          <w:iCs/>
          <w:sz w:val="21"/>
          <w:szCs w:val="21"/>
        </w:rPr>
        <w:t>This will ensure Phase II builds on the successes, lessons learned and strong relationships of Phase I.</w:t>
      </w:r>
    </w:p>
    <w:p w14:paraId="2C8B9D38" w14:textId="5AA666B5" w:rsidR="001E327A" w:rsidRPr="003E2C60" w:rsidRDefault="001E327A" w:rsidP="001E327A">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sidRPr="003E2C60">
        <w:rPr>
          <w:iCs/>
          <w:sz w:val="21"/>
          <w:szCs w:val="21"/>
        </w:rPr>
        <w:t>Should additional funding become available during the life of the program</w:t>
      </w:r>
      <w:r w:rsidR="007E39C3">
        <w:rPr>
          <w:iCs/>
          <w:sz w:val="21"/>
          <w:szCs w:val="21"/>
        </w:rPr>
        <w:t xml:space="preserve"> including from bilateral or other sources</w:t>
      </w:r>
      <w:r w:rsidRPr="003E2C60">
        <w:rPr>
          <w:iCs/>
          <w:sz w:val="21"/>
          <w:szCs w:val="21"/>
        </w:rPr>
        <w:t xml:space="preserve">, </w:t>
      </w:r>
      <w:r w:rsidR="002D07BB" w:rsidRPr="003E2C60">
        <w:rPr>
          <w:iCs/>
          <w:sz w:val="21"/>
          <w:szCs w:val="21"/>
        </w:rPr>
        <w:t>ANGOs</w:t>
      </w:r>
      <w:r w:rsidRPr="003E2C60">
        <w:rPr>
          <w:iCs/>
          <w:sz w:val="21"/>
          <w:szCs w:val="21"/>
        </w:rPr>
        <w:t xml:space="preserve"> will be provided the opportunity to expand to additional at-risk countries, namely Tonga (2), </w:t>
      </w:r>
      <w:r w:rsidR="00B971EE" w:rsidRPr="003E2C60">
        <w:rPr>
          <w:iCs/>
          <w:sz w:val="21"/>
          <w:szCs w:val="21"/>
        </w:rPr>
        <w:t xml:space="preserve">and/or </w:t>
      </w:r>
      <w:r w:rsidRPr="003E2C60">
        <w:rPr>
          <w:iCs/>
          <w:sz w:val="21"/>
          <w:szCs w:val="21"/>
        </w:rPr>
        <w:t>Kiribati (19) and</w:t>
      </w:r>
      <w:r w:rsidR="00B971EE" w:rsidRPr="003E2C60">
        <w:rPr>
          <w:iCs/>
          <w:sz w:val="21"/>
          <w:szCs w:val="21"/>
        </w:rPr>
        <w:t xml:space="preserve">/or </w:t>
      </w:r>
      <w:r w:rsidRPr="003E2C60">
        <w:rPr>
          <w:iCs/>
          <w:sz w:val="21"/>
          <w:szCs w:val="21"/>
        </w:rPr>
        <w:t xml:space="preserve">other </w:t>
      </w:r>
      <w:r w:rsidR="00805E14">
        <w:rPr>
          <w:iCs/>
          <w:sz w:val="21"/>
          <w:szCs w:val="21"/>
        </w:rPr>
        <w:t>Small Island Developing States</w:t>
      </w:r>
      <w:r w:rsidRPr="003E2C60">
        <w:rPr>
          <w:iCs/>
          <w:sz w:val="21"/>
          <w:szCs w:val="21"/>
        </w:rPr>
        <w:t xml:space="preserve">. </w:t>
      </w:r>
    </w:p>
    <w:p w14:paraId="09ACA4A0" w14:textId="48747364" w:rsidR="00D62D3C" w:rsidRPr="0026576A" w:rsidRDefault="00D62D3C" w:rsidP="00DC549F">
      <w:pPr>
        <w:pStyle w:val="ListParagraph"/>
        <w:tabs>
          <w:tab w:val="left" w:pos="284"/>
        </w:tabs>
        <w:suppressAutoHyphens w:val="0"/>
        <w:spacing w:before="200" w:after="0" w:line="280" w:lineRule="exact"/>
        <w:ind w:left="0"/>
        <w:contextualSpacing w:val="0"/>
        <w:rPr>
          <w:b/>
          <w:bCs/>
          <w:i/>
          <w:sz w:val="21"/>
          <w:szCs w:val="21"/>
        </w:rPr>
      </w:pPr>
      <w:r w:rsidRPr="0026576A">
        <w:rPr>
          <w:b/>
          <w:bCs/>
          <w:i/>
          <w:sz w:val="21"/>
          <w:szCs w:val="21"/>
        </w:rPr>
        <w:t>Thematic Scope and Parameters</w:t>
      </w:r>
    </w:p>
    <w:p w14:paraId="576CDB31" w14:textId="1BFF17EA" w:rsidR="006A3FCF" w:rsidRPr="00B7400B" w:rsidRDefault="00A42E43" w:rsidP="00DC549F">
      <w:pPr>
        <w:pStyle w:val="ListParagraph"/>
        <w:numPr>
          <w:ilvl w:val="0"/>
          <w:numId w:val="12"/>
        </w:numPr>
        <w:tabs>
          <w:tab w:val="left" w:pos="284"/>
        </w:tabs>
        <w:spacing w:before="200" w:line="280" w:lineRule="exact"/>
        <w:ind w:left="0" w:firstLine="0"/>
        <w:contextualSpacing w:val="0"/>
        <w:rPr>
          <w:iCs/>
          <w:sz w:val="21"/>
          <w:szCs w:val="21"/>
        </w:rPr>
      </w:pPr>
      <w:r w:rsidRPr="00666CC9">
        <w:rPr>
          <w:b/>
          <w:bCs/>
          <w:iCs/>
          <w:sz w:val="21"/>
          <w:szCs w:val="21"/>
        </w:rPr>
        <w:t>Disaster preparedness</w:t>
      </w:r>
      <w:r w:rsidRPr="003E2C60">
        <w:rPr>
          <w:iCs/>
          <w:sz w:val="21"/>
          <w:szCs w:val="21"/>
        </w:rPr>
        <w:t xml:space="preserve"> will remain the </w:t>
      </w:r>
      <w:r w:rsidR="00A03F91">
        <w:rPr>
          <w:iCs/>
          <w:sz w:val="21"/>
          <w:szCs w:val="21"/>
        </w:rPr>
        <w:t>principal</w:t>
      </w:r>
      <w:r w:rsidR="00286B5D">
        <w:rPr>
          <w:iCs/>
          <w:sz w:val="21"/>
          <w:szCs w:val="21"/>
        </w:rPr>
        <w:t xml:space="preserve"> objective of</w:t>
      </w:r>
      <w:r w:rsidRPr="003E2C60">
        <w:rPr>
          <w:iCs/>
          <w:sz w:val="21"/>
          <w:szCs w:val="21"/>
        </w:rPr>
        <w:t xml:space="preserve"> </w:t>
      </w:r>
      <w:r w:rsidR="00F84C59">
        <w:rPr>
          <w:iCs/>
          <w:sz w:val="21"/>
          <w:szCs w:val="21"/>
        </w:rPr>
        <w:t>Disaster READY</w:t>
      </w:r>
      <w:r w:rsidRPr="00D14B30">
        <w:rPr>
          <w:iCs/>
          <w:sz w:val="21"/>
          <w:szCs w:val="21"/>
        </w:rPr>
        <w:t xml:space="preserve"> </w:t>
      </w:r>
      <w:r w:rsidR="00D62D3C" w:rsidRPr="00D14B30">
        <w:rPr>
          <w:iCs/>
          <w:sz w:val="21"/>
          <w:szCs w:val="21"/>
        </w:rPr>
        <w:t xml:space="preserve">consistent with Phase </w:t>
      </w:r>
      <w:r w:rsidR="00406F84">
        <w:rPr>
          <w:iCs/>
          <w:sz w:val="21"/>
          <w:szCs w:val="21"/>
        </w:rPr>
        <w:t>I</w:t>
      </w:r>
      <w:r w:rsidR="00D02A65">
        <w:rPr>
          <w:iCs/>
          <w:sz w:val="21"/>
          <w:szCs w:val="21"/>
        </w:rPr>
        <w:t>, contributing to Priority 4 of the Sendai Framework and Goal 3 of the FRDP</w:t>
      </w:r>
      <w:r w:rsidR="00A90344">
        <w:rPr>
          <w:iCs/>
          <w:sz w:val="21"/>
          <w:szCs w:val="21"/>
        </w:rPr>
        <w:t xml:space="preserve">. </w:t>
      </w:r>
      <w:r w:rsidR="00044698" w:rsidRPr="00947092">
        <w:rPr>
          <w:iCs/>
          <w:sz w:val="21"/>
          <w:szCs w:val="21"/>
        </w:rPr>
        <w:t xml:space="preserve">Preparedness activities are aimed at readying a community to effectively anticipate, respond to, and recover from a </w:t>
      </w:r>
      <w:r w:rsidR="00B7400B">
        <w:rPr>
          <w:iCs/>
          <w:sz w:val="21"/>
          <w:szCs w:val="21"/>
        </w:rPr>
        <w:t>disaster</w:t>
      </w:r>
      <w:r w:rsidR="00044698" w:rsidRPr="00947092">
        <w:rPr>
          <w:iCs/>
          <w:sz w:val="21"/>
          <w:szCs w:val="21"/>
        </w:rPr>
        <w:t xml:space="preserve"> event so </w:t>
      </w:r>
      <w:r w:rsidR="00044698">
        <w:rPr>
          <w:iCs/>
          <w:sz w:val="21"/>
          <w:szCs w:val="21"/>
        </w:rPr>
        <w:t>they</w:t>
      </w:r>
      <w:r w:rsidR="00044698" w:rsidRPr="00947092">
        <w:rPr>
          <w:iCs/>
          <w:sz w:val="21"/>
          <w:szCs w:val="21"/>
        </w:rPr>
        <w:t xml:space="preserve"> can ‘bounce back’ when it occurs.</w:t>
      </w:r>
      <w:r w:rsidR="00945A26">
        <w:rPr>
          <w:rStyle w:val="FootnoteReference"/>
          <w:iCs/>
          <w:sz w:val="21"/>
          <w:szCs w:val="21"/>
        </w:rPr>
        <w:footnoteReference w:id="17"/>
      </w:r>
      <w:r w:rsidR="00044698">
        <w:rPr>
          <w:iCs/>
          <w:sz w:val="21"/>
          <w:szCs w:val="21"/>
        </w:rPr>
        <w:t xml:space="preserve"> This </w:t>
      </w:r>
      <w:r w:rsidR="00984007">
        <w:rPr>
          <w:iCs/>
          <w:sz w:val="21"/>
          <w:szCs w:val="21"/>
        </w:rPr>
        <w:t xml:space="preserve">primary </w:t>
      </w:r>
      <w:r w:rsidR="00044698">
        <w:rPr>
          <w:iCs/>
          <w:sz w:val="21"/>
          <w:szCs w:val="21"/>
        </w:rPr>
        <w:t>strategic focus</w:t>
      </w:r>
      <w:r w:rsidR="00BF78F0">
        <w:rPr>
          <w:iCs/>
          <w:sz w:val="21"/>
          <w:szCs w:val="21"/>
        </w:rPr>
        <w:t xml:space="preserve"> </w:t>
      </w:r>
      <w:r w:rsidR="000E21F8">
        <w:rPr>
          <w:iCs/>
          <w:sz w:val="21"/>
          <w:szCs w:val="21"/>
        </w:rPr>
        <w:t xml:space="preserve">reflects </w:t>
      </w:r>
      <w:r w:rsidR="00044698">
        <w:rPr>
          <w:iCs/>
          <w:sz w:val="21"/>
          <w:szCs w:val="21"/>
        </w:rPr>
        <w:t xml:space="preserve">the </w:t>
      </w:r>
      <w:r w:rsidR="00044698" w:rsidRPr="00A90344">
        <w:rPr>
          <w:iCs/>
          <w:sz w:val="21"/>
          <w:szCs w:val="21"/>
        </w:rPr>
        <w:t xml:space="preserve">key comparative advantage of ANGOs and local </w:t>
      </w:r>
      <w:r w:rsidR="00462A68">
        <w:rPr>
          <w:iCs/>
          <w:sz w:val="21"/>
          <w:szCs w:val="21"/>
        </w:rPr>
        <w:t>partners</w:t>
      </w:r>
      <w:r w:rsidR="00044698" w:rsidRPr="00A90344">
        <w:rPr>
          <w:iCs/>
          <w:sz w:val="21"/>
          <w:szCs w:val="21"/>
        </w:rPr>
        <w:t xml:space="preserve"> in the role of ‘first responders</w:t>
      </w:r>
      <w:r w:rsidR="00044698">
        <w:rPr>
          <w:iCs/>
          <w:sz w:val="21"/>
          <w:szCs w:val="21"/>
        </w:rPr>
        <w:t>,</w:t>
      </w:r>
      <w:r w:rsidR="00044698" w:rsidRPr="00A90344">
        <w:rPr>
          <w:iCs/>
          <w:sz w:val="21"/>
          <w:szCs w:val="21"/>
        </w:rPr>
        <w:t>’</w:t>
      </w:r>
      <w:r w:rsidR="00044698">
        <w:rPr>
          <w:iCs/>
          <w:sz w:val="21"/>
          <w:szCs w:val="21"/>
        </w:rPr>
        <w:t xml:space="preserve"> and </w:t>
      </w:r>
      <w:r w:rsidR="00A90344" w:rsidRPr="00A90344">
        <w:rPr>
          <w:iCs/>
          <w:sz w:val="21"/>
          <w:szCs w:val="21"/>
        </w:rPr>
        <w:t xml:space="preserve">the humanitarian orientation of the Disaster READY program, including its fit within the </w:t>
      </w:r>
      <w:r w:rsidR="00044698">
        <w:rPr>
          <w:iCs/>
          <w:sz w:val="21"/>
          <w:szCs w:val="21"/>
        </w:rPr>
        <w:t>AHP</w:t>
      </w:r>
      <w:r w:rsidR="00A90344" w:rsidRPr="00A90344">
        <w:rPr>
          <w:iCs/>
          <w:sz w:val="21"/>
          <w:szCs w:val="21"/>
        </w:rPr>
        <w:t xml:space="preserve">. </w:t>
      </w:r>
      <w:r w:rsidR="00584294">
        <w:rPr>
          <w:iCs/>
          <w:sz w:val="21"/>
          <w:szCs w:val="21"/>
        </w:rPr>
        <w:t xml:space="preserve"> </w:t>
      </w:r>
    </w:p>
    <w:p w14:paraId="116DF210" w14:textId="485B60DA" w:rsidR="00E77C62" w:rsidRPr="00ED6B76" w:rsidRDefault="00555310" w:rsidP="00ED6B76">
      <w:pPr>
        <w:pStyle w:val="ListParagraph"/>
        <w:numPr>
          <w:ilvl w:val="0"/>
          <w:numId w:val="12"/>
        </w:numPr>
        <w:tabs>
          <w:tab w:val="left" w:pos="284"/>
        </w:tabs>
        <w:spacing w:before="200" w:line="280" w:lineRule="exact"/>
        <w:ind w:left="0" w:firstLine="0"/>
        <w:contextualSpacing w:val="0"/>
        <w:rPr>
          <w:iCs/>
          <w:sz w:val="21"/>
          <w:szCs w:val="21"/>
        </w:rPr>
      </w:pPr>
      <w:r>
        <w:rPr>
          <w:iCs/>
          <w:sz w:val="21"/>
          <w:szCs w:val="21"/>
        </w:rPr>
        <w:lastRenderedPageBreak/>
        <w:t xml:space="preserve"> </w:t>
      </w:r>
      <w:r w:rsidR="009F5080">
        <w:rPr>
          <w:iCs/>
          <w:sz w:val="21"/>
          <w:szCs w:val="21"/>
        </w:rPr>
        <w:t xml:space="preserve">However, </w:t>
      </w:r>
      <w:r w:rsidR="00006A87">
        <w:rPr>
          <w:iCs/>
          <w:sz w:val="21"/>
          <w:szCs w:val="21"/>
        </w:rPr>
        <w:t>lessons learned from the FRDP and Sendai Framework</w:t>
      </w:r>
      <w:r w:rsidRPr="00B7400B">
        <w:rPr>
          <w:iCs/>
          <w:sz w:val="21"/>
          <w:szCs w:val="21"/>
        </w:rPr>
        <w:t xml:space="preserve"> </w:t>
      </w:r>
      <w:r w:rsidR="009F5080">
        <w:rPr>
          <w:iCs/>
          <w:sz w:val="21"/>
          <w:szCs w:val="21"/>
        </w:rPr>
        <w:t xml:space="preserve">show </w:t>
      </w:r>
      <w:r w:rsidR="00B940C5">
        <w:rPr>
          <w:iCs/>
          <w:sz w:val="21"/>
          <w:szCs w:val="21"/>
        </w:rPr>
        <w:t xml:space="preserve">that </w:t>
      </w:r>
      <w:r w:rsidR="001967FA">
        <w:rPr>
          <w:iCs/>
          <w:sz w:val="21"/>
          <w:szCs w:val="21"/>
        </w:rPr>
        <w:t xml:space="preserve">greater efficiencies and resilience </w:t>
      </w:r>
      <w:r w:rsidR="00332F36">
        <w:rPr>
          <w:iCs/>
          <w:sz w:val="21"/>
          <w:szCs w:val="21"/>
        </w:rPr>
        <w:t>are</w:t>
      </w:r>
      <w:r w:rsidR="001967FA">
        <w:rPr>
          <w:iCs/>
          <w:sz w:val="21"/>
          <w:szCs w:val="21"/>
        </w:rPr>
        <w:t xml:space="preserve"> achieved </w:t>
      </w:r>
      <w:r w:rsidR="00332F36">
        <w:rPr>
          <w:iCs/>
          <w:sz w:val="21"/>
          <w:szCs w:val="21"/>
        </w:rPr>
        <w:t>when</w:t>
      </w:r>
      <w:r w:rsidR="00683D51">
        <w:rPr>
          <w:iCs/>
          <w:sz w:val="21"/>
          <w:szCs w:val="21"/>
        </w:rPr>
        <w:t xml:space="preserve"> </w:t>
      </w:r>
      <w:r w:rsidR="00064AD5">
        <w:rPr>
          <w:iCs/>
          <w:sz w:val="21"/>
          <w:szCs w:val="21"/>
        </w:rPr>
        <w:t xml:space="preserve">complementary investment is made in </w:t>
      </w:r>
      <w:r w:rsidR="007F253E">
        <w:rPr>
          <w:iCs/>
          <w:sz w:val="21"/>
          <w:szCs w:val="21"/>
        </w:rPr>
        <w:t>adaptation</w:t>
      </w:r>
      <w:r w:rsidR="008930B5">
        <w:rPr>
          <w:iCs/>
          <w:sz w:val="21"/>
          <w:szCs w:val="21"/>
        </w:rPr>
        <w:t xml:space="preserve"> (see figure 5)</w:t>
      </w:r>
      <w:r w:rsidR="006C148E">
        <w:rPr>
          <w:iCs/>
          <w:sz w:val="21"/>
          <w:szCs w:val="21"/>
        </w:rPr>
        <w:t>.</w:t>
      </w:r>
      <w:r w:rsidR="00361F26" w:rsidRPr="00B7400B">
        <w:rPr>
          <w:iCs/>
          <w:sz w:val="21"/>
          <w:szCs w:val="21"/>
        </w:rPr>
        <w:t xml:space="preserve"> </w:t>
      </w:r>
      <w:r w:rsidR="00B7400B" w:rsidRPr="00B7400B">
        <w:rPr>
          <w:iCs/>
          <w:sz w:val="21"/>
          <w:szCs w:val="21"/>
        </w:rPr>
        <w:t xml:space="preserve">Adaptation activities are aimed at making adjustments to prevent or reduce the impacts from </w:t>
      </w:r>
      <w:r w:rsidR="00584294">
        <w:rPr>
          <w:iCs/>
          <w:sz w:val="21"/>
          <w:szCs w:val="21"/>
        </w:rPr>
        <w:t>these</w:t>
      </w:r>
      <w:r w:rsidR="00B7400B" w:rsidRPr="00B7400B">
        <w:rPr>
          <w:iCs/>
          <w:sz w:val="21"/>
          <w:szCs w:val="21"/>
        </w:rPr>
        <w:t xml:space="preserve"> disaster event</w:t>
      </w:r>
      <w:r w:rsidR="00584294">
        <w:rPr>
          <w:iCs/>
          <w:sz w:val="21"/>
          <w:szCs w:val="21"/>
        </w:rPr>
        <w:t>s</w:t>
      </w:r>
      <w:r w:rsidR="00B7400B" w:rsidRPr="00B7400B">
        <w:rPr>
          <w:iCs/>
          <w:sz w:val="21"/>
          <w:szCs w:val="21"/>
        </w:rPr>
        <w:t>, building adaptive capacities to ‘reduce risk’ and associated damages before a disaster event occurs.</w:t>
      </w:r>
      <w:r w:rsidR="00E923D5">
        <w:rPr>
          <w:iCs/>
          <w:sz w:val="21"/>
          <w:szCs w:val="21"/>
        </w:rPr>
        <w:t xml:space="preserve"> </w:t>
      </w:r>
      <w:r w:rsidR="00CE3852">
        <w:rPr>
          <w:iCs/>
          <w:sz w:val="21"/>
          <w:szCs w:val="21"/>
        </w:rPr>
        <w:t xml:space="preserve">In practice, </w:t>
      </w:r>
      <w:r w:rsidR="00553F90">
        <w:rPr>
          <w:iCs/>
          <w:sz w:val="21"/>
          <w:szCs w:val="21"/>
        </w:rPr>
        <w:t>AHP NGO Partners implement</w:t>
      </w:r>
      <w:r w:rsidR="00BE02E6">
        <w:rPr>
          <w:iCs/>
          <w:sz w:val="21"/>
          <w:szCs w:val="21"/>
        </w:rPr>
        <w:t>ed</w:t>
      </w:r>
      <w:r w:rsidR="00BC235D">
        <w:rPr>
          <w:iCs/>
          <w:sz w:val="21"/>
          <w:szCs w:val="21"/>
        </w:rPr>
        <w:t xml:space="preserve"> </w:t>
      </w:r>
      <w:r w:rsidR="00132A01">
        <w:rPr>
          <w:iCs/>
          <w:sz w:val="21"/>
          <w:szCs w:val="21"/>
        </w:rPr>
        <w:t>a number of</w:t>
      </w:r>
      <w:r w:rsidR="00BC235D">
        <w:rPr>
          <w:iCs/>
          <w:sz w:val="21"/>
          <w:szCs w:val="21"/>
        </w:rPr>
        <w:t xml:space="preserve"> adaptation activities </w:t>
      </w:r>
      <w:r w:rsidR="00BE02E6">
        <w:rPr>
          <w:iCs/>
          <w:sz w:val="21"/>
          <w:szCs w:val="21"/>
        </w:rPr>
        <w:t xml:space="preserve">in Phase I </w:t>
      </w:r>
      <w:r w:rsidR="00BC235D">
        <w:rPr>
          <w:iCs/>
          <w:sz w:val="21"/>
          <w:szCs w:val="21"/>
        </w:rPr>
        <w:t xml:space="preserve">reflecting </w:t>
      </w:r>
      <w:r w:rsidR="00553F90">
        <w:rPr>
          <w:iCs/>
          <w:sz w:val="21"/>
          <w:szCs w:val="21"/>
        </w:rPr>
        <w:t>community priorities</w:t>
      </w:r>
      <w:r w:rsidR="00513CBA">
        <w:rPr>
          <w:iCs/>
          <w:sz w:val="21"/>
          <w:szCs w:val="21"/>
        </w:rPr>
        <w:t>, and the MTE</w:t>
      </w:r>
      <w:r w:rsidR="00BE02E6">
        <w:rPr>
          <w:iCs/>
          <w:sz w:val="21"/>
          <w:szCs w:val="21"/>
        </w:rPr>
        <w:t xml:space="preserve"> </w:t>
      </w:r>
      <w:r w:rsidR="00132A01">
        <w:rPr>
          <w:iCs/>
          <w:sz w:val="21"/>
          <w:szCs w:val="21"/>
        </w:rPr>
        <w:t xml:space="preserve">recommended this more holistic approach </w:t>
      </w:r>
      <w:r w:rsidR="00B060EB">
        <w:rPr>
          <w:iCs/>
          <w:sz w:val="21"/>
          <w:szCs w:val="21"/>
        </w:rPr>
        <w:t xml:space="preserve">to resilience </w:t>
      </w:r>
      <w:r w:rsidR="00132A01">
        <w:rPr>
          <w:iCs/>
          <w:sz w:val="21"/>
          <w:szCs w:val="21"/>
        </w:rPr>
        <w:t xml:space="preserve">be continued and strengthened. </w:t>
      </w:r>
      <w:r w:rsidR="00C36E67">
        <w:rPr>
          <w:b/>
          <w:bCs/>
          <w:iCs/>
          <w:sz w:val="21"/>
          <w:szCs w:val="21"/>
        </w:rPr>
        <w:t>A</w:t>
      </w:r>
      <w:r w:rsidR="009F5080" w:rsidRPr="00B7400B">
        <w:rPr>
          <w:b/>
          <w:bCs/>
          <w:iCs/>
          <w:sz w:val="21"/>
          <w:szCs w:val="21"/>
        </w:rPr>
        <w:t>daptation</w:t>
      </w:r>
      <w:r w:rsidR="009F5080" w:rsidRPr="00B7400B">
        <w:rPr>
          <w:iCs/>
          <w:sz w:val="21"/>
          <w:szCs w:val="21"/>
        </w:rPr>
        <w:t xml:space="preserve"> </w:t>
      </w:r>
      <w:r w:rsidR="00AC5875">
        <w:rPr>
          <w:iCs/>
          <w:sz w:val="21"/>
          <w:szCs w:val="21"/>
        </w:rPr>
        <w:t>has therefore</w:t>
      </w:r>
      <w:r w:rsidR="009F5080" w:rsidRPr="00B7400B">
        <w:rPr>
          <w:iCs/>
          <w:sz w:val="21"/>
          <w:szCs w:val="21"/>
        </w:rPr>
        <w:t xml:space="preserve"> </w:t>
      </w:r>
      <w:r w:rsidR="009F5080">
        <w:rPr>
          <w:iCs/>
          <w:sz w:val="21"/>
          <w:szCs w:val="21"/>
        </w:rPr>
        <w:t>be</w:t>
      </w:r>
      <w:r w:rsidR="00AC5875">
        <w:rPr>
          <w:iCs/>
          <w:sz w:val="21"/>
          <w:szCs w:val="21"/>
        </w:rPr>
        <w:t>en</w:t>
      </w:r>
      <w:r w:rsidR="009F5080">
        <w:rPr>
          <w:iCs/>
          <w:sz w:val="21"/>
          <w:szCs w:val="21"/>
        </w:rPr>
        <w:t xml:space="preserve"> </w:t>
      </w:r>
      <w:r w:rsidR="00CB1AAE">
        <w:rPr>
          <w:iCs/>
          <w:sz w:val="21"/>
          <w:szCs w:val="21"/>
        </w:rPr>
        <w:t>explicitly included</w:t>
      </w:r>
      <w:r w:rsidR="009F5080" w:rsidRPr="00B7400B">
        <w:rPr>
          <w:iCs/>
          <w:sz w:val="21"/>
          <w:szCs w:val="21"/>
        </w:rPr>
        <w:t xml:space="preserve"> as a</w:t>
      </w:r>
      <w:r w:rsidR="00CB1AAE">
        <w:rPr>
          <w:iCs/>
          <w:sz w:val="21"/>
          <w:szCs w:val="21"/>
        </w:rPr>
        <w:t xml:space="preserve"> </w:t>
      </w:r>
      <w:r w:rsidR="000C2B6A">
        <w:rPr>
          <w:iCs/>
          <w:sz w:val="21"/>
          <w:szCs w:val="21"/>
        </w:rPr>
        <w:t>secondary</w:t>
      </w:r>
      <w:r w:rsidR="009F5080" w:rsidRPr="00B7400B">
        <w:rPr>
          <w:iCs/>
          <w:sz w:val="21"/>
          <w:szCs w:val="21"/>
        </w:rPr>
        <w:t xml:space="preserve"> objective</w:t>
      </w:r>
      <w:r w:rsidR="009F5080">
        <w:rPr>
          <w:iCs/>
          <w:sz w:val="21"/>
          <w:szCs w:val="21"/>
        </w:rPr>
        <w:t xml:space="preserve"> for Phase II</w:t>
      </w:r>
      <w:r w:rsidR="009F5080" w:rsidRPr="00B7400B">
        <w:rPr>
          <w:iCs/>
          <w:sz w:val="21"/>
          <w:szCs w:val="21"/>
        </w:rPr>
        <w:t>.</w:t>
      </w:r>
    </w:p>
    <w:tbl>
      <w:tblPr>
        <w:tblStyle w:val="TableGrid"/>
        <w:tblpPr w:leftFromText="180" w:rightFromText="180" w:vertAnchor="text" w:horzAnchor="margin" w:tblpX="-431" w:tblpY="67"/>
        <w:tblW w:w="9910" w:type="dxa"/>
        <w:shd w:val="clear" w:color="auto" w:fill="EEF5E7" w:themeFill="accent2" w:themeFillTint="33"/>
        <w:tblLayout w:type="fixed"/>
        <w:tblLook w:val="04A0" w:firstRow="1" w:lastRow="0" w:firstColumn="1" w:lastColumn="0" w:noHBand="0" w:noVBand="1"/>
      </w:tblPr>
      <w:tblGrid>
        <w:gridCol w:w="9910"/>
      </w:tblGrid>
      <w:tr w:rsidR="007E6D84" w14:paraId="02D56400" w14:textId="77777777" w:rsidTr="00C36E67">
        <w:trPr>
          <w:trHeight w:val="6991"/>
        </w:trPr>
        <w:tc>
          <w:tcPr>
            <w:tcW w:w="9910" w:type="dxa"/>
            <w:shd w:val="clear" w:color="auto" w:fill="EEF5E7" w:themeFill="accent2" w:themeFillTint="33"/>
          </w:tcPr>
          <w:p w14:paraId="4247EEE8" w14:textId="4EE22F26" w:rsidR="007E6D84" w:rsidRDefault="007E6D84" w:rsidP="007E6D84">
            <w:pPr>
              <w:pStyle w:val="Caption"/>
              <w:spacing w:before="120" w:after="120"/>
              <w:rPr>
                <w:lang w:val="en-AU"/>
              </w:rPr>
            </w:pPr>
            <w:r w:rsidRPr="00D14B30">
              <w:rPr>
                <w:lang w:val="en-AU"/>
              </w:rPr>
              <w:t xml:space="preserve">Fig. 5 </w:t>
            </w:r>
            <w:r w:rsidR="00FE4477">
              <w:rPr>
                <w:lang w:val="en-AU"/>
              </w:rPr>
              <w:t>–</w:t>
            </w:r>
            <w:r w:rsidR="00FE4477" w:rsidRPr="00D14B30">
              <w:rPr>
                <w:lang w:val="en-AU"/>
              </w:rPr>
              <w:t xml:space="preserve"> </w:t>
            </w:r>
            <w:r w:rsidR="00FE4477">
              <w:t>FRDP</w:t>
            </w:r>
            <w:r w:rsidRPr="00BB73CF">
              <w:rPr>
                <w:lang w:val="en-AU"/>
              </w:rPr>
              <w:t xml:space="preserve"> disaster risk management and climate change adaptation cycles</w:t>
            </w:r>
          </w:p>
          <w:p w14:paraId="5CA52248" w14:textId="77777777" w:rsidR="007E6D84" w:rsidRDefault="007E6D84" w:rsidP="0046272A">
            <w:pPr>
              <w:spacing w:before="0" w:line="240" w:lineRule="auto"/>
              <w:rPr>
                <w:sz w:val="20"/>
                <w:szCs w:val="20"/>
              </w:rPr>
            </w:pPr>
            <w:r w:rsidRPr="00BB73CF">
              <w:rPr>
                <w:sz w:val="20"/>
                <w:szCs w:val="20"/>
              </w:rPr>
              <w:t xml:space="preserve">The FRDP, though specific to the Pacific Islands region, remains a useful and relevant guiding framework for </w:t>
            </w:r>
            <w:r>
              <w:rPr>
                <w:sz w:val="20"/>
                <w:szCs w:val="20"/>
              </w:rPr>
              <w:t xml:space="preserve">Disaster READY with its </w:t>
            </w:r>
            <w:r w:rsidRPr="00BB73CF">
              <w:rPr>
                <w:sz w:val="20"/>
                <w:szCs w:val="20"/>
              </w:rPr>
              <w:t xml:space="preserve">universal principles on enhancing resilience to climate change and disasters throughout the disaster cycle, in ways that contribute to and are embedded in sustainable development. </w:t>
            </w:r>
          </w:p>
          <w:p w14:paraId="6FD492F5" w14:textId="61E91BC5" w:rsidR="00132159" w:rsidRDefault="007E6D84" w:rsidP="002A119F">
            <w:pPr>
              <w:spacing w:before="0" w:line="240" w:lineRule="auto"/>
              <w:rPr>
                <w:noProof/>
                <w:sz w:val="20"/>
                <w:szCs w:val="20"/>
              </w:rPr>
            </w:pPr>
            <w:r>
              <w:rPr>
                <w:sz w:val="20"/>
                <w:szCs w:val="20"/>
              </w:rPr>
              <w:t>In the below image, the FRDP</w:t>
            </w:r>
            <w:r w:rsidRPr="003E2C60">
              <w:rPr>
                <w:sz w:val="20"/>
                <w:szCs w:val="20"/>
                <w:vertAlign w:val="superscript"/>
              </w:rPr>
              <w:footnoteReference w:id="18"/>
            </w:r>
            <w:r w:rsidRPr="00D14B30">
              <w:rPr>
                <w:sz w:val="20"/>
                <w:szCs w:val="20"/>
              </w:rPr>
              <w:t xml:space="preserve"> details </w:t>
            </w:r>
            <w:r>
              <w:rPr>
                <w:sz w:val="20"/>
                <w:szCs w:val="20"/>
              </w:rPr>
              <w:t xml:space="preserve">the </w:t>
            </w:r>
            <w:r w:rsidRPr="00D14B30">
              <w:rPr>
                <w:sz w:val="20"/>
                <w:szCs w:val="20"/>
              </w:rPr>
              <w:t xml:space="preserve">potential interventions at each stage of the </w:t>
            </w:r>
            <w:r>
              <w:rPr>
                <w:sz w:val="20"/>
                <w:szCs w:val="20"/>
              </w:rPr>
              <w:t xml:space="preserve">disaster </w:t>
            </w:r>
            <w:r w:rsidR="00FE4477" w:rsidRPr="00D14B30">
              <w:rPr>
                <w:sz w:val="20"/>
                <w:szCs w:val="20"/>
              </w:rPr>
              <w:t>cycle and</w:t>
            </w:r>
            <w:r w:rsidRPr="00D14B30">
              <w:rPr>
                <w:sz w:val="20"/>
                <w:szCs w:val="20"/>
              </w:rPr>
              <w:t xml:space="preserve"> demonstrates how disaster and climate change actions can be integrated.</w:t>
            </w:r>
          </w:p>
          <w:p w14:paraId="46DB4752" w14:textId="0657140F" w:rsidR="003E16C9" w:rsidRDefault="002A119F" w:rsidP="00132159">
            <w:pPr>
              <w:spacing w:before="0" w:line="240" w:lineRule="auto"/>
              <w:jc w:val="center"/>
              <w:rPr>
                <w:sz w:val="20"/>
                <w:szCs w:val="20"/>
              </w:rPr>
            </w:pPr>
            <w:r>
              <w:rPr>
                <w:noProof/>
              </w:rPr>
              <w:drawing>
                <wp:inline distT="0" distB="0" distL="0" distR="0" wp14:anchorId="55A9454F" wp14:editId="508EA5F2">
                  <wp:extent cx="5826595" cy="4114800"/>
                  <wp:effectExtent l="0" t="0" r="3175" b="0"/>
                  <wp:docPr id="2" name="Picture 2" descr="This diagram depicts the stages of the disaster risk reduction, disaster risk management and disaster management cycle. The stages comprise prevention, limiting impacts, preparedness, response and reconstruction/rehabilitation. It also details the potential interventions at each stage (from relocation of people to re-positioning supplies and rebuilding houses) as well as the links to climate change adap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diagram depicts the stages of the disaster risk reduction, disaster risk management and disaster management cycle. The stages comprise prevention, limiting impacts, preparedness, response and reconstruction/rehabilitation. It also details the potential interventions at each stage (from relocation of people to re-positioning supplies and rebuilding houses) as well as the links to climate change adaptation."/>
                          <pic:cNvPicPr/>
                        </pic:nvPicPr>
                        <pic:blipFill>
                          <a:blip r:embed="rId12"/>
                          <a:stretch>
                            <a:fillRect/>
                          </a:stretch>
                        </pic:blipFill>
                        <pic:spPr>
                          <a:xfrm>
                            <a:off x="0" y="0"/>
                            <a:ext cx="5830537" cy="4117584"/>
                          </a:xfrm>
                          <a:prstGeom prst="rect">
                            <a:avLst/>
                          </a:prstGeom>
                        </pic:spPr>
                      </pic:pic>
                    </a:graphicData>
                  </a:graphic>
                </wp:inline>
              </w:drawing>
            </w:r>
          </w:p>
          <w:p w14:paraId="54740AF6" w14:textId="6B672A74" w:rsidR="007E6D84" w:rsidRPr="00132159" w:rsidRDefault="007E6D84" w:rsidP="00132159">
            <w:pPr>
              <w:spacing w:before="0" w:line="240" w:lineRule="auto"/>
              <w:jc w:val="center"/>
              <w:rPr>
                <w:sz w:val="20"/>
                <w:szCs w:val="20"/>
              </w:rPr>
            </w:pPr>
            <w:r w:rsidRPr="0046272A">
              <w:rPr>
                <w:sz w:val="20"/>
                <w:szCs w:val="20"/>
              </w:rPr>
              <w:t>In addition to the examples listed in this framework, social protection including cash transfers and vouchers, are also available options.</w:t>
            </w:r>
            <w:r>
              <w:rPr>
                <w:iCs/>
                <w:sz w:val="20"/>
                <w:szCs w:val="20"/>
              </w:rPr>
              <w:t xml:space="preserve"> </w:t>
            </w:r>
          </w:p>
        </w:tc>
      </w:tr>
    </w:tbl>
    <w:p w14:paraId="3F34469F" w14:textId="5B789430" w:rsidR="00D62D3C" w:rsidRPr="00454482" w:rsidRDefault="000C2B6A" w:rsidP="00454482">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Pr>
          <w:iCs/>
          <w:sz w:val="21"/>
          <w:szCs w:val="21"/>
        </w:rPr>
        <w:t xml:space="preserve"> </w:t>
      </w:r>
      <w:r w:rsidR="00180AB8">
        <w:rPr>
          <w:iCs/>
          <w:sz w:val="21"/>
          <w:szCs w:val="21"/>
        </w:rPr>
        <w:t xml:space="preserve">This secondary objective </w:t>
      </w:r>
      <w:r w:rsidR="009A290D">
        <w:rPr>
          <w:iCs/>
          <w:sz w:val="21"/>
          <w:szCs w:val="21"/>
        </w:rPr>
        <w:t xml:space="preserve">and </w:t>
      </w:r>
      <w:r w:rsidR="00A334DD">
        <w:rPr>
          <w:iCs/>
          <w:sz w:val="21"/>
          <w:szCs w:val="21"/>
        </w:rPr>
        <w:t xml:space="preserve">the overall </w:t>
      </w:r>
      <w:r w:rsidR="00DF1B78">
        <w:rPr>
          <w:iCs/>
          <w:sz w:val="21"/>
          <w:szCs w:val="21"/>
        </w:rPr>
        <w:t xml:space="preserve">resilience </w:t>
      </w:r>
      <w:r w:rsidR="00A334DD">
        <w:rPr>
          <w:iCs/>
          <w:sz w:val="21"/>
          <w:szCs w:val="21"/>
        </w:rPr>
        <w:t xml:space="preserve">outcome </w:t>
      </w:r>
      <w:r w:rsidR="00180AB8">
        <w:rPr>
          <w:iCs/>
          <w:sz w:val="21"/>
          <w:szCs w:val="21"/>
        </w:rPr>
        <w:t>will be pursued</w:t>
      </w:r>
      <w:r w:rsidR="006621F3">
        <w:rPr>
          <w:iCs/>
          <w:sz w:val="21"/>
          <w:szCs w:val="21"/>
        </w:rPr>
        <w:t xml:space="preserve"> in </w:t>
      </w:r>
      <w:r w:rsidR="00CB1AAE">
        <w:rPr>
          <w:iCs/>
          <w:sz w:val="21"/>
          <w:szCs w:val="21"/>
        </w:rPr>
        <w:t>several</w:t>
      </w:r>
      <w:r w:rsidR="006621F3">
        <w:rPr>
          <w:iCs/>
          <w:sz w:val="21"/>
          <w:szCs w:val="21"/>
        </w:rPr>
        <w:t xml:space="preserve"> ways</w:t>
      </w:r>
      <w:r w:rsidR="00044D94">
        <w:rPr>
          <w:iCs/>
          <w:sz w:val="21"/>
          <w:szCs w:val="21"/>
        </w:rPr>
        <w:t>. The</w:t>
      </w:r>
      <w:r w:rsidR="00A22955" w:rsidRPr="003E2C60">
        <w:rPr>
          <w:iCs/>
          <w:sz w:val="21"/>
          <w:szCs w:val="21"/>
        </w:rPr>
        <w:t xml:space="preserve"> Disaster READY </w:t>
      </w:r>
      <w:r w:rsidR="00044D94">
        <w:rPr>
          <w:iCs/>
          <w:sz w:val="21"/>
          <w:szCs w:val="21"/>
        </w:rPr>
        <w:t xml:space="preserve">country </w:t>
      </w:r>
      <w:r w:rsidR="00B7379F">
        <w:rPr>
          <w:iCs/>
          <w:sz w:val="21"/>
          <w:szCs w:val="21"/>
        </w:rPr>
        <w:t>plann</w:t>
      </w:r>
      <w:r w:rsidR="00044D94">
        <w:rPr>
          <w:iCs/>
          <w:sz w:val="21"/>
          <w:szCs w:val="21"/>
        </w:rPr>
        <w:t xml:space="preserve">ing process </w:t>
      </w:r>
      <w:r w:rsidR="00A22955" w:rsidRPr="003E2C60">
        <w:rPr>
          <w:iCs/>
          <w:sz w:val="21"/>
          <w:szCs w:val="21"/>
        </w:rPr>
        <w:t xml:space="preserve">will include a stronger emphasis on climate </w:t>
      </w:r>
      <w:r w:rsidR="00C36E67">
        <w:rPr>
          <w:iCs/>
          <w:sz w:val="21"/>
          <w:szCs w:val="21"/>
        </w:rPr>
        <w:t xml:space="preserve">and disaster </w:t>
      </w:r>
      <w:r w:rsidR="00A22955" w:rsidRPr="003E2C60">
        <w:rPr>
          <w:iCs/>
          <w:sz w:val="21"/>
          <w:szCs w:val="21"/>
        </w:rPr>
        <w:t>risk analysis</w:t>
      </w:r>
      <w:r w:rsidR="00C5532E">
        <w:rPr>
          <w:iCs/>
          <w:sz w:val="21"/>
          <w:szCs w:val="21"/>
        </w:rPr>
        <w:t xml:space="preserve">, including a Resilience Marker tool </w:t>
      </w:r>
      <w:r w:rsidR="00C5532E" w:rsidRPr="00C5532E">
        <w:rPr>
          <w:iCs/>
          <w:sz w:val="21"/>
          <w:szCs w:val="21"/>
        </w:rPr>
        <w:t>to assess to what extent Disaster READY Activity Plans appropriately incorporate resilience considerations</w:t>
      </w:r>
      <w:r w:rsidR="00A22955" w:rsidRPr="003E2C60">
        <w:rPr>
          <w:iCs/>
          <w:sz w:val="21"/>
          <w:szCs w:val="21"/>
        </w:rPr>
        <w:t xml:space="preserve">. The planning process will also promote the integration of other existing ANGO and local partner community-based programming to ensure more holistic approaches at community level. </w:t>
      </w:r>
      <w:r w:rsidR="00B37114" w:rsidRPr="003E2C60">
        <w:rPr>
          <w:iCs/>
          <w:sz w:val="21"/>
          <w:szCs w:val="21"/>
        </w:rPr>
        <w:t xml:space="preserve">ANGOs will </w:t>
      </w:r>
      <w:r w:rsidR="00B35AF9">
        <w:rPr>
          <w:iCs/>
          <w:sz w:val="21"/>
          <w:szCs w:val="21"/>
        </w:rPr>
        <w:t xml:space="preserve">also </w:t>
      </w:r>
      <w:r w:rsidR="00B37114" w:rsidRPr="003E2C60">
        <w:rPr>
          <w:iCs/>
          <w:sz w:val="21"/>
          <w:szCs w:val="21"/>
        </w:rPr>
        <w:t xml:space="preserve">be encouraged to strengthen and build upon existing </w:t>
      </w:r>
      <w:r w:rsidR="00BB6884">
        <w:rPr>
          <w:iCs/>
          <w:sz w:val="21"/>
          <w:szCs w:val="21"/>
        </w:rPr>
        <w:t>climate change adaptation (CCA) and other adaptation</w:t>
      </w:r>
      <w:r w:rsidR="00B37114" w:rsidRPr="003E2C60">
        <w:rPr>
          <w:iCs/>
          <w:sz w:val="21"/>
          <w:szCs w:val="21"/>
        </w:rPr>
        <w:t xml:space="preserve"> activities that lead to greater community disaster preparedness and resilience</w:t>
      </w:r>
      <w:r w:rsidR="00BB5505">
        <w:rPr>
          <w:iCs/>
          <w:sz w:val="21"/>
          <w:szCs w:val="21"/>
        </w:rPr>
        <w:t>, and to utilise existing internal climate change expertise</w:t>
      </w:r>
      <w:r w:rsidR="007E39C3">
        <w:rPr>
          <w:iCs/>
          <w:sz w:val="21"/>
          <w:szCs w:val="21"/>
        </w:rPr>
        <w:t xml:space="preserve"> as well as indigenous </w:t>
      </w:r>
      <w:r w:rsidR="007E39C3">
        <w:rPr>
          <w:iCs/>
          <w:sz w:val="21"/>
          <w:szCs w:val="21"/>
        </w:rPr>
        <w:lastRenderedPageBreak/>
        <w:t>knowledge and practice</w:t>
      </w:r>
      <w:r w:rsidR="00BB5505">
        <w:rPr>
          <w:iCs/>
          <w:sz w:val="21"/>
          <w:szCs w:val="21"/>
        </w:rPr>
        <w:t xml:space="preserve"> for Disaster READY</w:t>
      </w:r>
      <w:r w:rsidR="00B37114" w:rsidRPr="003E2C60">
        <w:rPr>
          <w:iCs/>
          <w:sz w:val="21"/>
          <w:szCs w:val="21"/>
        </w:rPr>
        <w:t>.</w:t>
      </w:r>
      <w:r w:rsidR="00B35AF9">
        <w:rPr>
          <w:iCs/>
          <w:sz w:val="21"/>
          <w:szCs w:val="21"/>
        </w:rPr>
        <w:t xml:space="preserve"> New, stand-alone </w:t>
      </w:r>
      <w:r w:rsidR="002811AF">
        <w:rPr>
          <w:iCs/>
          <w:sz w:val="21"/>
          <w:szCs w:val="21"/>
        </w:rPr>
        <w:t xml:space="preserve">CCA </w:t>
      </w:r>
      <w:r w:rsidR="00B35AF9">
        <w:rPr>
          <w:iCs/>
          <w:sz w:val="21"/>
          <w:szCs w:val="21"/>
        </w:rPr>
        <w:t xml:space="preserve">activities </w:t>
      </w:r>
      <w:r w:rsidR="00F87797">
        <w:rPr>
          <w:iCs/>
          <w:sz w:val="21"/>
          <w:szCs w:val="21"/>
        </w:rPr>
        <w:t xml:space="preserve">are not currently within scope given </w:t>
      </w:r>
      <w:r w:rsidR="002811AF">
        <w:rPr>
          <w:iCs/>
          <w:sz w:val="21"/>
          <w:szCs w:val="21"/>
        </w:rPr>
        <w:t>budget limitations</w:t>
      </w:r>
      <w:r w:rsidR="00202078">
        <w:rPr>
          <w:iCs/>
          <w:sz w:val="21"/>
          <w:szCs w:val="21"/>
        </w:rPr>
        <w:t>.</w:t>
      </w:r>
    </w:p>
    <w:p w14:paraId="459536C2" w14:textId="0492CD36" w:rsidR="00D62D3C" w:rsidRPr="008F2EC8" w:rsidRDefault="00CE1D48" w:rsidP="00D62D3C">
      <w:pPr>
        <w:pStyle w:val="ListParagraph"/>
        <w:tabs>
          <w:tab w:val="left" w:pos="284"/>
        </w:tabs>
        <w:suppressAutoHyphens w:val="0"/>
        <w:spacing w:before="200" w:after="0" w:line="280" w:lineRule="exact"/>
        <w:ind w:left="0"/>
        <w:contextualSpacing w:val="0"/>
        <w:rPr>
          <w:b/>
          <w:bCs/>
          <w:i/>
          <w:sz w:val="21"/>
          <w:szCs w:val="21"/>
        </w:rPr>
      </w:pPr>
      <w:r w:rsidRPr="008F2EC8">
        <w:rPr>
          <w:b/>
          <w:bCs/>
          <w:i/>
          <w:sz w:val="21"/>
          <w:szCs w:val="21"/>
        </w:rPr>
        <w:t>IO</w:t>
      </w:r>
      <w:r w:rsidR="00D62D3C" w:rsidRPr="008F2EC8">
        <w:rPr>
          <w:b/>
          <w:bCs/>
          <w:i/>
          <w:sz w:val="21"/>
          <w:szCs w:val="21"/>
        </w:rPr>
        <w:t xml:space="preserve"> 1.1 </w:t>
      </w:r>
      <w:r w:rsidR="00422966" w:rsidRPr="00422966">
        <w:rPr>
          <w:b/>
          <w:bCs/>
          <w:i/>
          <w:sz w:val="21"/>
          <w:szCs w:val="21"/>
        </w:rPr>
        <w:t xml:space="preserve">Communities (especially at-risk groups) are empowered to plan and implement effective, gender-responsive, socially </w:t>
      </w:r>
      <w:r w:rsidR="00FE4477" w:rsidRPr="00422966">
        <w:rPr>
          <w:b/>
          <w:bCs/>
          <w:i/>
          <w:sz w:val="21"/>
          <w:szCs w:val="21"/>
        </w:rPr>
        <w:t>inclusive,</w:t>
      </w:r>
      <w:r w:rsidR="00422966" w:rsidRPr="00422966">
        <w:rPr>
          <w:b/>
          <w:bCs/>
          <w:i/>
          <w:sz w:val="21"/>
          <w:szCs w:val="21"/>
        </w:rPr>
        <w:t xml:space="preserve"> and integrated disaster preparedness and adaptation activities.</w:t>
      </w:r>
    </w:p>
    <w:p w14:paraId="086284A0" w14:textId="35E3D127" w:rsidR="00D62D3C" w:rsidRPr="003E2C60" w:rsidRDefault="00CE1D48" w:rsidP="00D62D3C">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sidRPr="003E2C60">
        <w:rPr>
          <w:iCs/>
          <w:sz w:val="21"/>
          <w:szCs w:val="21"/>
        </w:rPr>
        <w:t>IO</w:t>
      </w:r>
      <w:r w:rsidR="00D62D3C" w:rsidRPr="003E2C60">
        <w:rPr>
          <w:iCs/>
          <w:sz w:val="21"/>
          <w:szCs w:val="21"/>
        </w:rPr>
        <w:t xml:space="preserve"> 1.1 emphasises the importance of ensuring activities are inclusive and participatory, working with leaders and groups, formal and informal, to ensure that women, men, youth, children, people </w:t>
      </w:r>
      <w:r w:rsidR="005B03A8">
        <w:rPr>
          <w:iCs/>
          <w:sz w:val="21"/>
          <w:szCs w:val="21"/>
        </w:rPr>
        <w:t xml:space="preserve">living </w:t>
      </w:r>
      <w:r w:rsidR="00D62D3C" w:rsidRPr="003E2C60">
        <w:rPr>
          <w:iCs/>
          <w:sz w:val="21"/>
          <w:szCs w:val="21"/>
        </w:rPr>
        <w:t xml:space="preserve">with disability, and/or those excluded on basis of gender, religion, </w:t>
      </w:r>
      <w:r w:rsidR="00FE4477">
        <w:rPr>
          <w:iCs/>
          <w:sz w:val="21"/>
          <w:szCs w:val="21"/>
        </w:rPr>
        <w:t>sexuality,</w:t>
      </w:r>
      <w:r w:rsidR="00CA2644">
        <w:rPr>
          <w:iCs/>
          <w:sz w:val="21"/>
          <w:szCs w:val="21"/>
        </w:rPr>
        <w:t xml:space="preserve"> </w:t>
      </w:r>
      <w:r w:rsidR="00D62D3C" w:rsidRPr="003E2C60">
        <w:rPr>
          <w:iCs/>
          <w:sz w:val="21"/>
          <w:szCs w:val="21"/>
        </w:rPr>
        <w:t xml:space="preserve">or other factors, have agency and voice in </w:t>
      </w:r>
      <w:r w:rsidR="008B29BC">
        <w:rPr>
          <w:iCs/>
          <w:sz w:val="21"/>
          <w:szCs w:val="21"/>
        </w:rPr>
        <w:t xml:space="preserve">the </w:t>
      </w:r>
      <w:r w:rsidR="00D62D3C" w:rsidRPr="003E2C60">
        <w:rPr>
          <w:iCs/>
          <w:sz w:val="21"/>
          <w:szCs w:val="21"/>
        </w:rPr>
        <w:t xml:space="preserve">decision making, implementation and review of activities. Relevant activities to this outcome area include community-based </w:t>
      </w:r>
      <w:r w:rsidR="008A4073">
        <w:rPr>
          <w:iCs/>
          <w:sz w:val="21"/>
          <w:szCs w:val="21"/>
        </w:rPr>
        <w:t>disaster prevention</w:t>
      </w:r>
      <w:r w:rsidR="009135E3">
        <w:rPr>
          <w:iCs/>
          <w:sz w:val="21"/>
          <w:szCs w:val="21"/>
        </w:rPr>
        <w:t xml:space="preserve"> </w:t>
      </w:r>
      <w:r w:rsidR="00D62D3C" w:rsidRPr="003E2C60">
        <w:rPr>
          <w:iCs/>
          <w:sz w:val="21"/>
          <w:szCs w:val="21"/>
        </w:rPr>
        <w:t>and climate change adaptation activities in a broad range of sectors (agriculture, health,</w:t>
      </w:r>
      <w:r w:rsidR="00BD31C3">
        <w:rPr>
          <w:iCs/>
          <w:sz w:val="21"/>
          <w:szCs w:val="21"/>
        </w:rPr>
        <w:t xml:space="preserve"> environment,</w:t>
      </w:r>
      <w:r w:rsidR="00D62D3C" w:rsidRPr="003E2C60">
        <w:rPr>
          <w:iCs/>
          <w:sz w:val="21"/>
          <w:szCs w:val="21"/>
        </w:rPr>
        <w:t xml:space="preserve"> </w:t>
      </w:r>
      <w:r w:rsidR="00480C01">
        <w:rPr>
          <w:iCs/>
          <w:sz w:val="21"/>
          <w:szCs w:val="21"/>
        </w:rPr>
        <w:t>WASH</w:t>
      </w:r>
      <w:r w:rsidR="00D62D3C" w:rsidRPr="003E2C60">
        <w:rPr>
          <w:iCs/>
          <w:sz w:val="21"/>
          <w:szCs w:val="21"/>
        </w:rPr>
        <w:t>, education, housing and shelter, infrastructure</w:t>
      </w:r>
      <w:r w:rsidR="00287FF5">
        <w:rPr>
          <w:iCs/>
          <w:sz w:val="21"/>
          <w:szCs w:val="21"/>
        </w:rPr>
        <w:t xml:space="preserve">, </w:t>
      </w:r>
      <w:r w:rsidR="009135E3">
        <w:rPr>
          <w:iCs/>
          <w:sz w:val="21"/>
          <w:szCs w:val="21"/>
        </w:rPr>
        <w:t>GBV</w:t>
      </w:r>
      <w:r w:rsidR="00D62D3C" w:rsidRPr="003E2C60">
        <w:rPr>
          <w:iCs/>
          <w:sz w:val="21"/>
          <w:szCs w:val="21"/>
        </w:rPr>
        <w:t>) and community preparedness (such as early warning systems, eva</w:t>
      </w:r>
      <w:r w:rsidR="00AD64D9">
        <w:rPr>
          <w:iCs/>
          <w:sz w:val="21"/>
          <w:szCs w:val="21"/>
        </w:rPr>
        <w:t>c</w:t>
      </w:r>
      <w:r w:rsidR="00D62D3C" w:rsidRPr="003E2C60">
        <w:rPr>
          <w:iCs/>
          <w:sz w:val="21"/>
          <w:szCs w:val="21"/>
        </w:rPr>
        <w:t xml:space="preserve">uation centres, </w:t>
      </w:r>
      <w:r w:rsidR="00287FF5">
        <w:rPr>
          <w:iCs/>
          <w:sz w:val="21"/>
          <w:szCs w:val="21"/>
        </w:rPr>
        <w:t xml:space="preserve">violence referral pathways, </w:t>
      </w:r>
      <w:r w:rsidR="00D62D3C" w:rsidRPr="003E2C60">
        <w:rPr>
          <w:iCs/>
          <w:sz w:val="21"/>
          <w:szCs w:val="21"/>
        </w:rPr>
        <w:t>disaster management plans</w:t>
      </w:r>
      <w:r w:rsidR="003E229B">
        <w:rPr>
          <w:iCs/>
          <w:sz w:val="21"/>
          <w:szCs w:val="21"/>
        </w:rPr>
        <w:t xml:space="preserve">, </w:t>
      </w:r>
      <w:r w:rsidR="00FE4477">
        <w:rPr>
          <w:iCs/>
          <w:sz w:val="21"/>
          <w:szCs w:val="21"/>
        </w:rPr>
        <w:t>cash,</w:t>
      </w:r>
      <w:r w:rsidR="003E229B">
        <w:rPr>
          <w:iCs/>
          <w:sz w:val="21"/>
          <w:szCs w:val="21"/>
        </w:rPr>
        <w:t xml:space="preserve"> and voucher assistance</w:t>
      </w:r>
      <w:r w:rsidR="00D62D3C" w:rsidRPr="003E2C60">
        <w:rPr>
          <w:iCs/>
          <w:sz w:val="21"/>
          <w:szCs w:val="21"/>
        </w:rPr>
        <w:t>)</w:t>
      </w:r>
      <w:r w:rsidR="00287FF5">
        <w:rPr>
          <w:iCs/>
          <w:sz w:val="21"/>
          <w:szCs w:val="21"/>
        </w:rPr>
        <w:t>.</w:t>
      </w:r>
      <w:r w:rsidR="00AD64D9">
        <w:rPr>
          <w:iCs/>
          <w:sz w:val="21"/>
          <w:szCs w:val="21"/>
        </w:rPr>
        <w:t xml:space="preserve"> </w:t>
      </w:r>
      <w:r w:rsidR="006C7540">
        <w:rPr>
          <w:iCs/>
          <w:sz w:val="21"/>
          <w:szCs w:val="21"/>
        </w:rPr>
        <w:t>T</w:t>
      </w:r>
      <w:r w:rsidR="006C7540" w:rsidRPr="006C7540">
        <w:rPr>
          <w:iCs/>
          <w:sz w:val="21"/>
          <w:szCs w:val="21"/>
        </w:rPr>
        <w:t xml:space="preserve">argeted activities </w:t>
      </w:r>
      <w:r w:rsidR="006C7540">
        <w:rPr>
          <w:iCs/>
          <w:sz w:val="21"/>
          <w:szCs w:val="21"/>
        </w:rPr>
        <w:t>to</w:t>
      </w:r>
      <w:r w:rsidR="006C7540" w:rsidRPr="006C7540">
        <w:rPr>
          <w:iCs/>
          <w:sz w:val="21"/>
          <w:szCs w:val="21"/>
        </w:rPr>
        <w:t xml:space="preserve"> meet the specific requirements of people </w:t>
      </w:r>
      <w:r w:rsidR="005B03A8">
        <w:rPr>
          <w:iCs/>
          <w:sz w:val="21"/>
          <w:szCs w:val="21"/>
        </w:rPr>
        <w:t xml:space="preserve">living </w:t>
      </w:r>
      <w:r w:rsidR="006C7540" w:rsidRPr="006C7540">
        <w:rPr>
          <w:iCs/>
          <w:sz w:val="21"/>
          <w:szCs w:val="21"/>
        </w:rPr>
        <w:t>with disabilities</w:t>
      </w:r>
      <w:r w:rsidR="006C7540">
        <w:rPr>
          <w:iCs/>
          <w:sz w:val="21"/>
          <w:szCs w:val="21"/>
        </w:rPr>
        <w:t xml:space="preserve">, including </w:t>
      </w:r>
      <w:r w:rsidR="00B942CB">
        <w:rPr>
          <w:iCs/>
          <w:sz w:val="21"/>
          <w:szCs w:val="21"/>
        </w:rPr>
        <w:t>to challenge and shift p</w:t>
      </w:r>
      <w:r w:rsidR="006C7540" w:rsidRPr="006C7540">
        <w:rPr>
          <w:iCs/>
          <w:sz w:val="21"/>
          <w:szCs w:val="21"/>
        </w:rPr>
        <w:t xml:space="preserve">ervasive discriminatory attitudes towards people </w:t>
      </w:r>
      <w:r w:rsidR="005B03A8">
        <w:rPr>
          <w:iCs/>
          <w:sz w:val="21"/>
          <w:szCs w:val="21"/>
        </w:rPr>
        <w:t xml:space="preserve">living </w:t>
      </w:r>
      <w:r w:rsidR="006C7540" w:rsidRPr="006C7540">
        <w:rPr>
          <w:iCs/>
          <w:sz w:val="21"/>
          <w:szCs w:val="21"/>
        </w:rPr>
        <w:t xml:space="preserve">with disabilities </w:t>
      </w:r>
      <w:r w:rsidR="00847743">
        <w:rPr>
          <w:iCs/>
          <w:sz w:val="21"/>
          <w:szCs w:val="21"/>
        </w:rPr>
        <w:t xml:space="preserve">will be encouraged. </w:t>
      </w:r>
      <w:r w:rsidR="00D62D3C" w:rsidRPr="003E2C60">
        <w:rPr>
          <w:iCs/>
          <w:sz w:val="21"/>
          <w:szCs w:val="21"/>
        </w:rPr>
        <w:t xml:space="preserve">For all work at country level there will be a process to enable communities </w:t>
      </w:r>
      <w:r w:rsidR="007053E1">
        <w:rPr>
          <w:iCs/>
          <w:sz w:val="21"/>
          <w:szCs w:val="21"/>
        </w:rPr>
        <w:t xml:space="preserve">(particularly </w:t>
      </w:r>
      <w:r w:rsidR="00AA4F23">
        <w:rPr>
          <w:iCs/>
          <w:sz w:val="21"/>
          <w:szCs w:val="21"/>
        </w:rPr>
        <w:t xml:space="preserve">marginalised groups) </w:t>
      </w:r>
      <w:r w:rsidR="00D62D3C" w:rsidRPr="003E2C60">
        <w:rPr>
          <w:iCs/>
          <w:sz w:val="21"/>
          <w:szCs w:val="21"/>
        </w:rPr>
        <w:t>to reflect, learn and provide feedback on program performance</w:t>
      </w:r>
      <w:r w:rsidR="00FB2715">
        <w:rPr>
          <w:iCs/>
          <w:sz w:val="21"/>
          <w:szCs w:val="21"/>
        </w:rPr>
        <w:t xml:space="preserve"> and for AHP </w:t>
      </w:r>
      <w:r w:rsidR="00D44D6A">
        <w:rPr>
          <w:iCs/>
          <w:sz w:val="21"/>
          <w:szCs w:val="21"/>
        </w:rPr>
        <w:t>NGO P</w:t>
      </w:r>
      <w:r w:rsidR="00FB2715">
        <w:rPr>
          <w:iCs/>
          <w:sz w:val="21"/>
          <w:szCs w:val="21"/>
        </w:rPr>
        <w:t>artners to adapt in response</w:t>
      </w:r>
      <w:r w:rsidR="00D62D3C" w:rsidRPr="003E2C60">
        <w:rPr>
          <w:iCs/>
          <w:sz w:val="21"/>
          <w:szCs w:val="21"/>
        </w:rPr>
        <w:t xml:space="preserve">. </w:t>
      </w:r>
    </w:p>
    <w:p w14:paraId="4686A0ED" w14:textId="06D155B9" w:rsidR="00D62D3C" w:rsidRPr="008D3F95" w:rsidRDefault="00CE1D48" w:rsidP="00D62D3C">
      <w:pPr>
        <w:pStyle w:val="ListParagraph"/>
        <w:tabs>
          <w:tab w:val="left" w:pos="284"/>
        </w:tabs>
        <w:suppressAutoHyphens w:val="0"/>
        <w:spacing w:before="200" w:after="0" w:line="280" w:lineRule="exact"/>
        <w:ind w:left="0"/>
        <w:contextualSpacing w:val="0"/>
        <w:rPr>
          <w:b/>
          <w:bCs/>
          <w:i/>
          <w:sz w:val="21"/>
          <w:szCs w:val="21"/>
        </w:rPr>
      </w:pPr>
      <w:r w:rsidRPr="008D3F95">
        <w:rPr>
          <w:b/>
          <w:bCs/>
          <w:i/>
          <w:sz w:val="21"/>
          <w:szCs w:val="21"/>
        </w:rPr>
        <w:t>IO</w:t>
      </w:r>
      <w:r w:rsidR="00D62D3C" w:rsidRPr="008D3F95">
        <w:rPr>
          <w:b/>
          <w:bCs/>
          <w:i/>
          <w:sz w:val="21"/>
          <w:szCs w:val="21"/>
        </w:rPr>
        <w:t xml:space="preserve"> 1.2 </w:t>
      </w:r>
      <w:r w:rsidR="00422966" w:rsidRPr="00422966">
        <w:rPr>
          <w:b/>
          <w:bCs/>
          <w:i/>
          <w:sz w:val="21"/>
          <w:szCs w:val="21"/>
        </w:rPr>
        <w:t>Local civil society actors (NGOs, Community Based Organisations (CBOs), Organisations of Persons with Disability (OPDs), churches, informal groups) have improved institutional and technical capacity to fulfil their role in effective disaster preparedness and adaptation</w:t>
      </w:r>
      <w:r w:rsidR="00D62D3C" w:rsidRPr="008D3F95">
        <w:rPr>
          <w:b/>
          <w:bCs/>
          <w:i/>
          <w:sz w:val="21"/>
          <w:szCs w:val="21"/>
        </w:rPr>
        <w:t>.</w:t>
      </w:r>
    </w:p>
    <w:p w14:paraId="35D883C8" w14:textId="1B2C9AF6" w:rsidR="00D62D3C" w:rsidRPr="003E2C60" w:rsidRDefault="00CE1D48" w:rsidP="00D62D3C">
      <w:pPr>
        <w:tabs>
          <w:tab w:val="left" w:pos="284"/>
        </w:tabs>
        <w:suppressAutoHyphens w:val="0"/>
        <w:spacing w:before="200" w:after="0" w:line="280" w:lineRule="exact"/>
        <w:rPr>
          <w:iCs/>
          <w:sz w:val="21"/>
          <w:szCs w:val="21"/>
        </w:rPr>
      </w:pPr>
      <w:r w:rsidRPr="003E2C60">
        <w:rPr>
          <w:iCs/>
          <w:sz w:val="21"/>
          <w:szCs w:val="21"/>
        </w:rPr>
        <w:t>IO</w:t>
      </w:r>
      <w:r w:rsidR="00D62D3C" w:rsidRPr="003E2C60">
        <w:rPr>
          <w:iCs/>
          <w:sz w:val="21"/>
          <w:szCs w:val="21"/>
        </w:rPr>
        <w:t xml:space="preserve"> 1.2 has a focus on building capacity of local civil society actors </w:t>
      </w:r>
      <w:r w:rsidR="00A06CF6">
        <w:rPr>
          <w:iCs/>
          <w:sz w:val="21"/>
          <w:szCs w:val="21"/>
        </w:rPr>
        <w:t xml:space="preserve">including organisations for vulnerable groups </w:t>
      </w:r>
      <w:r w:rsidR="00D62D3C" w:rsidRPr="003E2C60">
        <w:rPr>
          <w:iCs/>
          <w:sz w:val="21"/>
          <w:szCs w:val="21"/>
        </w:rPr>
        <w:t xml:space="preserve">and ensuring systems and mechanisms for preparedness and response are locally led, </w:t>
      </w:r>
      <w:r w:rsidR="003945B8" w:rsidRPr="003E2C60">
        <w:rPr>
          <w:iCs/>
          <w:sz w:val="21"/>
          <w:szCs w:val="21"/>
        </w:rPr>
        <w:t>managed,</w:t>
      </w:r>
      <w:r w:rsidR="00D62D3C" w:rsidRPr="003E2C60">
        <w:rPr>
          <w:iCs/>
          <w:sz w:val="21"/>
          <w:szCs w:val="21"/>
        </w:rPr>
        <w:t xml:space="preserve"> and resourced</w:t>
      </w:r>
      <w:r w:rsidR="00AF1FE6" w:rsidRPr="003E2C60">
        <w:rPr>
          <w:iCs/>
          <w:sz w:val="21"/>
          <w:szCs w:val="21"/>
        </w:rPr>
        <w:t xml:space="preserve">. </w:t>
      </w:r>
      <w:r w:rsidR="00D62D3C" w:rsidRPr="003E2C60">
        <w:rPr>
          <w:iCs/>
          <w:sz w:val="21"/>
          <w:szCs w:val="21"/>
        </w:rPr>
        <w:t xml:space="preserve">Relevant activities may be at the organisational level: including strengthening governance, administrative, </w:t>
      </w:r>
      <w:r w:rsidR="00422966">
        <w:rPr>
          <w:iCs/>
          <w:sz w:val="21"/>
          <w:szCs w:val="21"/>
        </w:rPr>
        <w:t xml:space="preserve">and </w:t>
      </w:r>
      <w:r w:rsidR="00D62D3C" w:rsidRPr="003E2C60">
        <w:rPr>
          <w:iCs/>
          <w:sz w:val="21"/>
          <w:szCs w:val="21"/>
        </w:rPr>
        <w:t>financial systems</w:t>
      </w:r>
      <w:r w:rsidR="00422966">
        <w:rPr>
          <w:iCs/>
          <w:sz w:val="21"/>
          <w:szCs w:val="21"/>
        </w:rPr>
        <w:t xml:space="preserve"> (especially for </w:t>
      </w:r>
      <w:r w:rsidR="002339C9">
        <w:rPr>
          <w:iCs/>
          <w:sz w:val="21"/>
          <w:szCs w:val="21"/>
        </w:rPr>
        <w:t>fraud prevention and other policy compliance</w:t>
      </w:r>
      <w:r w:rsidR="00422966">
        <w:rPr>
          <w:iCs/>
          <w:sz w:val="21"/>
          <w:szCs w:val="21"/>
        </w:rPr>
        <w:t>)</w:t>
      </w:r>
      <w:r w:rsidR="007D16BF">
        <w:rPr>
          <w:iCs/>
          <w:sz w:val="21"/>
          <w:szCs w:val="21"/>
        </w:rPr>
        <w:t xml:space="preserve">; </w:t>
      </w:r>
      <w:r w:rsidR="006C0FD6">
        <w:rPr>
          <w:iCs/>
          <w:sz w:val="21"/>
          <w:szCs w:val="21"/>
        </w:rPr>
        <w:t>capacity building for</w:t>
      </w:r>
      <w:r w:rsidR="007D16BF">
        <w:rPr>
          <w:iCs/>
          <w:sz w:val="21"/>
          <w:szCs w:val="21"/>
        </w:rPr>
        <w:t xml:space="preserve"> climate vulnerability/risk assessment and adaptation planning</w:t>
      </w:r>
      <w:r w:rsidR="002339C9">
        <w:rPr>
          <w:iCs/>
          <w:sz w:val="21"/>
          <w:szCs w:val="21"/>
        </w:rPr>
        <w:t>,</w:t>
      </w:r>
      <w:r w:rsidR="006C0FD6">
        <w:rPr>
          <w:iCs/>
          <w:sz w:val="21"/>
          <w:szCs w:val="21"/>
        </w:rPr>
        <w:t xml:space="preserve"> GEDS</w:t>
      </w:r>
      <w:r w:rsidR="00704BCC">
        <w:rPr>
          <w:iCs/>
          <w:sz w:val="21"/>
          <w:szCs w:val="21"/>
        </w:rPr>
        <w:t>I</w:t>
      </w:r>
      <w:r w:rsidR="002339C9">
        <w:rPr>
          <w:iCs/>
          <w:sz w:val="21"/>
          <w:szCs w:val="21"/>
        </w:rPr>
        <w:t xml:space="preserve"> and safeguards</w:t>
      </w:r>
      <w:r w:rsidR="007D16BF">
        <w:rPr>
          <w:iCs/>
          <w:sz w:val="21"/>
          <w:szCs w:val="21"/>
        </w:rPr>
        <w:t>;</w:t>
      </w:r>
      <w:r w:rsidR="00D62D3C" w:rsidRPr="003E2C60">
        <w:rPr>
          <w:iCs/>
          <w:sz w:val="21"/>
          <w:szCs w:val="21"/>
        </w:rPr>
        <w:t xml:space="preserve"> </w:t>
      </w:r>
      <w:r w:rsidR="007D16BF">
        <w:rPr>
          <w:iCs/>
          <w:sz w:val="21"/>
          <w:szCs w:val="21"/>
        </w:rPr>
        <w:t>or other</w:t>
      </w:r>
      <w:r w:rsidR="00D62D3C" w:rsidRPr="003E2C60">
        <w:rPr>
          <w:iCs/>
          <w:sz w:val="21"/>
          <w:szCs w:val="21"/>
        </w:rPr>
        <w:t xml:space="preserve"> individual and group professional development and training; </w:t>
      </w:r>
      <w:r w:rsidR="007D16BF">
        <w:rPr>
          <w:iCs/>
          <w:sz w:val="21"/>
          <w:szCs w:val="21"/>
        </w:rPr>
        <w:t>and at</w:t>
      </w:r>
      <w:r w:rsidR="007D16BF" w:rsidRPr="003E2C60">
        <w:rPr>
          <w:iCs/>
          <w:sz w:val="21"/>
          <w:szCs w:val="21"/>
        </w:rPr>
        <w:t xml:space="preserve"> </w:t>
      </w:r>
      <w:r w:rsidR="00D62D3C" w:rsidRPr="003E2C60">
        <w:rPr>
          <w:iCs/>
          <w:sz w:val="21"/>
          <w:szCs w:val="21"/>
        </w:rPr>
        <w:t xml:space="preserve">the institutional level: related to </w:t>
      </w:r>
      <w:r w:rsidR="008A07D5">
        <w:rPr>
          <w:iCs/>
          <w:sz w:val="21"/>
          <w:szCs w:val="21"/>
        </w:rPr>
        <w:t>standards and principles</w:t>
      </w:r>
      <w:r w:rsidR="00D62D3C" w:rsidRPr="003E2C60">
        <w:rPr>
          <w:iCs/>
          <w:sz w:val="21"/>
          <w:szCs w:val="21"/>
        </w:rPr>
        <w:t xml:space="preserve">, networks of organisations and their behaviours, culture and interactions, including the policy and regulatory environment. </w:t>
      </w:r>
      <w:r w:rsidR="00AF1FE6" w:rsidRPr="003E2C60">
        <w:rPr>
          <w:iCs/>
          <w:sz w:val="21"/>
          <w:szCs w:val="21"/>
        </w:rPr>
        <w:t xml:space="preserve">A </w:t>
      </w:r>
      <w:r w:rsidR="00D84A31">
        <w:rPr>
          <w:iCs/>
          <w:sz w:val="21"/>
          <w:szCs w:val="21"/>
        </w:rPr>
        <w:t xml:space="preserve">draft </w:t>
      </w:r>
      <w:r w:rsidR="00AF1FE6" w:rsidRPr="003E2C60">
        <w:rPr>
          <w:iCs/>
          <w:sz w:val="21"/>
          <w:szCs w:val="21"/>
        </w:rPr>
        <w:t xml:space="preserve">Localisation Framework and matrix </w:t>
      </w:r>
      <w:r w:rsidR="00B53699" w:rsidRPr="003E2C60">
        <w:rPr>
          <w:iCs/>
          <w:sz w:val="21"/>
          <w:szCs w:val="21"/>
        </w:rPr>
        <w:t xml:space="preserve">(see Annex 3) </w:t>
      </w:r>
      <w:r w:rsidR="00AF1FE6" w:rsidRPr="003E2C60">
        <w:rPr>
          <w:iCs/>
          <w:sz w:val="21"/>
          <w:szCs w:val="21"/>
        </w:rPr>
        <w:t xml:space="preserve">has been developed to </w:t>
      </w:r>
      <w:r w:rsidR="00B53699" w:rsidRPr="003E2C60">
        <w:rPr>
          <w:iCs/>
          <w:sz w:val="21"/>
          <w:szCs w:val="21"/>
        </w:rPr>
        <w:t>support</w:t>
      </w:r>
      <w:r w:rsidR="00AF1FE6" w:rsidRPr="003E2C60">
        <w:rPr>
          <w:iCs/>
          <w:sz w:val="21"/>
          <w:szCs w:val="21"/>
        </w:rPr>
        <w:t xml:space="preserve"> analysis and monitoring of progress in advancing this </w:t>
      </w:r>
      <w:r w:rsidR="00D179C4" w:rsidRPr="003E2C60">
        <w:rPr>
          <w:iCs/>
          <w:sz w:val="21"/>
          <w:szCs w:val="21"/>
        </w:rPr>
        <w:t>outcome</w:t>
      </w:r>
      <w:r w:rsidR="00AF1FE6" w:rsidRPr="003E2C60">
        <w:rPr>
          <w:iCs/>
          <w:sz w:val="21"/>
          <w:szCs w:val="21"/>
        </w:rPr>
        <w:t xml:space="preserve"> </w:t>
      </w:r>
      <w:r w:rsidR="00D179C4" w:rsidRPr="003E2C60">
        <w:rPr>
          <w:iCs/>
          <w:sz w:val="21"/>
          <w:szCs w:val="21"/>
        </w:rPr>
        <w:t xml:space="preserve">through ANGO </w:t>
      </w:r>
      <w:r w:rsidR="00915F2D" w:rsidRPr="003E2C60">
        <w:rPr>
          <w:iCs/>
          <w:sz w:val="21"/>
          <w:szCs w:val="21"/>
        </w:rPr>
        <w:t>Activity Plans</w:t>
      </w:r>
      <w:r w:rsidR="00B53699" w:rsidRPr="003E2C60">
        <w:rPr>
          <w:iCs/>
          <w:sz w:val="21"/>
          <w:szCs w:val="21"/>
        </w:rPr>
        <w:t>. In addition,</w:t>
      </w:r>
      <w:r w:rsidR="00915F2D" w:rsidRPr="003E2C60">
        <w:rPr>
          <w:iCs/>
          <w:sz w:val="21"/>
          <w:szCs w:val="21"/>
        </w:rPr>
        <w:t xml:space="preserve"> </w:t>
      </w:r>
      <w:r w:rsidR="00C84E45">
        <w:rPr>
          <w:iCs/>
          <w:sz w:val="21"/>
          <w:szCs w:val="21"/>
        </w:rPr>
        <w:t>DRCCs</w:t>
      </w:r>
      <w:r w:rsidR="00D62D3C" w:rsidRPr="003E2C60">
        <w:rPr>
          <w:iCs/>
          <w:sz w:val="21"/>
          <w:szCs w:val="21"/>
        </w:rPr>
        <w:t xml:space="preserve"> will </w:t>
      </w:r>
      <w:r w:rsidR="00B53699" w:rsidRPr="003E2C60">
        <w:rPr>
          <w:iCs/>
          <w:sz w:val="21"/>
          <w:szCs w:val="21"/>
        </w:rPr>
        <w:t xml:space="preserve">be required to </w:t>
      </w:r>
      <w:r w:rsidR="00B04501" w:rsidRPr="003E2C60">
        <w:rPr>
          <w:iCs/>
          <w:sz w:val="21"/>
          <w:szCs w:val="21"/>
        </w:rPr>
        <w:t>set targets for and assess</w:t>
      </w:r>
      <w:r w:rsidR="00B53699" w:rsidRPr="003E2C60">
        <w:rPr>
          <w:iCs/>
          <w:sz w:val="21"/>
          <w:szCs w:val="21"/>
        </w:rPr>
        <w:t xml:space="preserve"> the collective impact of their </w:t>
      </w:r>
      <w:r w:rsidR="00060E1F" w:rsidRPr="003E2C60">
        <w:rPr>
          <w:iCs/>
          <w:sz w:val="21"/>
          <w:szCs w:val="21"/>
        </w:rPr>
        <w:t>efforts under this outcome</w:t>
      </w:r>
      <w:r w:rsidR="00D62D3C" w:rsidRPr="003E2C60">
        <w:rPr>
          <w:iCs/>
          <w:sz w:val="21"/>
          <w:szCs w:val="21"/>
        </w:rPr>
        <w:t xml:space="preserve"> </w:t>
      </w:r>
      <w:r w:rsidR="00B04501" w:rsidRPr="003E2C60">
        <w:rPr>
          <w:iCs/>
          <w:sz w:val="21"/>
          <w:szCs w:val="21"/>
        </w:rPr>
        <w:t>through a country-level Localisation Strategy (see Localisation and Learning section below)</w:t>
      </w:r>
      <w:r w:rsidR="00D62D3C" w:rsidRPr="003E2C60">
        <w:rPr>
          <w:iCs/>
          <w:sz w:val="21"/>
          <w:szCs w:val="21"/>
        </w:rPr>
        <w:t>.</w:t>
      </w:r>
      <w:r w:rsidR="00CA2644">
        <w:rPr>
          <w:iCs/>
          <w:sz w:val="21"/>
          <w:szCs w:val="21"/>
        </w:rPr>
        <w:t xml:space="preserve"> </w:t>
      </w:r>
      <w:r w:rsidR="009135E3">
        <w:rPr>
          <w:iCs/>
          <w:sz w:val="21"/>
          <w:szCs w:val="21"/>
        </w:rPr>
        <w:t>Relevant l</w:t>
      </w:r>
      <w:r w:rsidR="00CA2644">
        <w:rPr>
          <w:iCs/>
          <w:sz w:val="21"/>
          <w:szCs w:val="21"/>
        </w:rPr>
        <w:t xml:space="preserve">ocalisation </w:t>
      </w:r>
      <w:r w:rsidR="009135E3">
        <w:rPr>
          <w:iCs/>
          <w:sz w:val="21"/>
          <w:szCs w:val="21"/>
        </w:rPr>
        <w:t xml:space="preserve">indicators </w:t>
      </w:r>
      <w:r w:rsidR="00CA2644">
        <w:rPr>
          <w:iCs/>
          <w:sz w:val="21"/>
          <w:szCs w:val="21"/>
        </w:rPr>
        <w:t xml:space="preserve">will be integrated into the </w:t>
      </w:r>
      <w:r w:rsidR="00DF18D3">
        <w:rPr>
          <w:iCs/>
          <w:sz w:val="21"/>
          <w:szCs w:val="21"/>
        </w:rPr>
        <w:t>MELF</w:t>
      </w:r>
      <w:r w:rsidR="00CA2644">
        <w:rPr>
          <w:iCs/>
          <w:sz w:val="21"/>
          <w:szCs w:val="21"/>
        </w:rPr>
        <w:t>.</w:t>
      </w:r>
      <w:r w:rsidR="00BB5505">
        <w:rPr>
          <w:iCs/>
          <w:sz w:val="21"/>
          <w:szCs w:val="21"/>
        </w:rPr>
        <w:t xml:space="preserve">  Local partners will be supported to engage with local climate change agencies and civil society groups to access local expertise in climate adaptation, and to localise capacity and resilience building.</w:t>
      </w:r>
    </w:p>
    <w:p w14:paraId="4E4467C5" w14:textId="6DAC5923" w:rsidR="00D62D3C" w:rsidRPr="00380D0C" w:rsidRDefault="00CE1D48" w:rsidP="00D62D3C">
      <w:pPr>
        <w:tabs>
          <w:tab w:val="left" w:pos="284"/>
        </w:tabs>
        <w:suppressAutoHyphens w:val="0"/>
        <w:spacing w:before="200" w:after="0" w:line="280" w:lineRule="exact"/>
        <w:rPr>
          <w:b/>
          <w:bCs/>
          <w:i/>
          <w:sz w:val="21"/>
          <w:szCs w:val="21"/>
        </w:rPr>
      </w:pPr>
      <w:r w:rsidRPr="00380D0C">
        <w:rPr>
          <w:b/>
          <w:bCs/>
          <w:i/>
          <w:sz w:val="21"/>
          <w:szCs w:val="21"/>
        </w:rPr>
        <w:t>IO</w:t>
      </w:r>
      <w:r w:rsidR="00D62D3C" w:rsidRPr="00380D0C">
        <w:rPr>
          <w:b/>
          <w:bCs/>
          <w:i/>
          <w:sz w:val="21"/>
          <w:szCs w:val="21"/>
        </w:rPr>
        <w:t xml:space="preserve"> 1.3 </w:t>
      </w:r>
      <w:r w:rsidR="00422966" w:rsidRPr="00422966">
        <w:rPr>
          <w:b/>
          <w:bCs/>
          <w:i/>
          <w:sz w:val="21"/>
          <w:szCs w:val="21"/>
        </w:rPr>
        <w:t xml:space="preserve">National and sub-national governments are supported to lead effective, gender responsive, socially </w:t>
      </w:r>
      <w:r w:rsidR="003945B8" w:rsidRPr="00422966">
        <w:rPr>
          <w:b/>
          <w:bCs/>
          <w:i/>
          <w:sz w:val="21"/>
          <w:szCs w:val="21"/>
        </w:rPr>
        <w:t>inclusive,</w:t>
      </w:r>
      <w:r w:rsidR="00422966" w:rsidRPr="00422966">
        <w:rPr>
          <w:b/>
          <w:bCs/>
          <w:i/>
          <w:sz w:val="21"/>
          <w:szCs w:val="21"/>
        </w:rPr>
        <w:t xml:space="preserve"> and better coordinated disaster preparedness, </w:t>
      </w:r>
      <w:r w:rsidR="003945B8" w:rsidRPr="00422966">
        <w:rPr>
          <w:b/>
          <w:bCs/>
          <w:i/>
          <w:sz w:val="21"/>
          <w:szCs w:val="21"/>
        </w:rPr>
        <w:t>adaptation,</w:t>
      </w:r>
      <w:r w:rsidR="00422966" w:rsidRPr="00422966">
        <w:rPr>
          <w:b/>
          <w:bCs/>
          <w:i/>
          <w:sz w:val="21"/>
          <w:szCs w:val="21"/>
        </w:rPr>
        <w:t xml:space="preserve"> and response activities</w:t>
      </w:r>
      <w:r w:rsidR="00D62D3C" w:rsidRPr="00380D0C">
        <w:rPr>
          <w:b/>
          <w:bCs/>
          <w:i/>
          <w:sz w:val="21"/>
          <w:szCs w:val="21"/>
        </w:rPr>
        <w:t>.</w:t>
      </w:r>
    </w:p>
    <w:p w14:paraId="314DE1C9" w14:textId="1EF3BD76" w:rsidR="00D62D3C" w:rsidRPr="003E2C60" w:rsidRDefault="00D62D3C" w:rsidP="00D62D3C">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sidRPr="003E2C60">
        <w:rPr>
          <w:iCs/>
          <w:sz w:val="21"/>
          <w:szCs w:val="21"/>
        </w:rPr>
        <w:t xml:space="preserve"> </w:t>
      </w:r>
      <w:r w:rsidR="00CE1D48" w:rsidRPr="003E2C60">
        <w:rPr>
          <w:iCs/>
          <w:sz w:val="21"/>
          <w:szCs w:val="21"/>
        </w:rPr>
        <w:t>IO</w:t>
      </w:r>
      <w:r w:rsidRPr="003E2C60">
        <w:rPr>
          <w:iCs/>
          <w:sz w:val="21"/>
          <w:szCs w:val="21"/>
        </w:rPr>
        <w:t xml:space="preserve"> 1.3 has a focus on effective collaboration and working relationships between national and sub-national government and civil society, for effective preparedness and response. This recognises that </w:t>
      </w:r>
      <w:r w:rsidR="00CA2644">
        <w:rPr>
          <w:iCs/>
          <w:sz w:val="21"/>
          <w:szCs w:val="21"/>
        </w:rPr>
        <w:t xml:space="preserve">local governments are the ultimate duty-bearers and key to sustainability. </w:t>
      </w:r>
      <w:r w:rsidRPr="003E2C60">
        <w:rPr>
          <w:iCs/>
          <w:sz w:val="21"/>
          <w:szCs w:val="21"/>
        </w:rPr>
        <w:t>AHP and local partners need to work within the country level response coordination mechanisms and systems. Relevant activities may include strengthening the systems, mechanisms and capacity of government and non-State actors</w:t>
      </w:r>
      <w:r w:rsidR="00422966">
        <w:rPr>
          <w:iCs/>
          <w:sz w:val="21"/>
          <w:szCs w:val="21"/>
        </w:rPr>
        <w:t xml:space="preserve"> (including the private sector)</w:t>
      </w:r>
      <w:r w:rsidR="00BB0975" w:rsidRPr="003E2C60">
        <w:rPr>
          <w:iCs/>
          <w:sz w:val="21"/>
          <w:szCs w:val="21"/>
        </w:rPr>
        <w:t xml:space="preserve"> including for cash transfers </w:t>
      </w:r>
      <w:r w:rsidR="009015AC">
        <w:rPr>
          <w:iCs/>
          <w:sz w:val="21"/>
          <w:szCs w:val="21"/>
        </w:rPr>
        <w:t xml:space="preserve">as part of </w:t>
      </w:r>
      <w:r w:rsidR="003945B8">
        <w:rPr>
          <w:iCs/>
          <w:sz w:val="21"/>
          <w:szCs w:val="21"/>
        </w:rPr>
        <w:t>nationally led</w:t>
      </w:r>
      <w:r w:rsidR="009015AC">
        <w:rPr>
          <w:iCs/>
          <w:sz w:val="21"/>
          <w:szCs w:val="21"/>
        </w:rPr>
        <w:t xml:space="preserve"> social protection </w:t>
      </w:r>
      <w:r w:rsidR="003945B8">
        <w:rPr>
          <w:iCs/>
          <w:sz w:val="21"/>
          <w:szCs w:val="21"/>
        </w:rPr>
        <w:t>responses</w:t>
      </w:r>
      <w:r w:rsidR="003945B8" w:rsidRPr="003E2C60">
        <w:rPr>
          <w:iCs/>
          <w:sz w:val="21"/>
          <w:szCs w:val="21"/>
        </w:rPr>
        <w:t xml:space="preserve"> and</w:t>
      </w:r>
      <w:r w:rsidRPr="003E2C60">
        <w:rPr>
          <w:iCs/>
          <w:sz w:val="21"/>
          <w:szCs w:val="21"/>
        </w:rPr>
        <w:t xml:space="preserve"> strengthening the policy and regulatory environment for disaster management</w:t>
      </w:r>
      <w:r w:rsidR="00422966">
        <w:rPr>
          <w:iCs/>
          <w:sz w:val="21"/>
          <w:szCs w:val="21"/>
        </w:rPr>
        <w:t xml:space="preserve">, </w:t>
      </w:r>
      <w:r w:rsidRPr="003E2C60">
        <w:rPr>
          <w:iCs/>
          <w:sz w:val="21"/>
          <w:szCs w:val="21"/>
        </w:rPr>
        <w:t xml:space="preserve">civil </w:t>
      </w:r>
      <w:r w:rsidR="003945B8" w:rsidRPr="003E2C60">
        <w:rPr>
          <w:iCs/>
          <w:sz w:val="21"/>
          <w:szCs w:val="21"/>
        </w:rPr>
        <w:t>society,</w:t>
      </w:r>
      <w:r w:rsidRPr="003E2C60">
        <w:rPr>
          <w:iCs/>
          <w:sz w:val="21"/>
          <w:szCs w:val="21"/>
        </w:rPr>
        <w:t xml:space="preserve"> </w:t>
      </w:r>
      <w:r w:rsidR="00422966">
        <w:rPr>
          <w:iCs/>
          <w:sz w:val="21"/>
          <w:szCs w:val="21"/>
        </w:rPr>
        <w:t xml:space="preserve">and private sector </w:t>
      </w:r>
      <w:r w:rsidRPr="003E2C60">
        <w:rPr>
          <w:iCs/>
          <w:sz w:val="21"/>
          <w:szCs w:val="21"/>
        </w:rPr>
        <w:t>participation.</w:t>
      </w:r>
    </w:p>
    <w:p w14:paraId="024CE0BC" w14:textId="77777777" w:rsidR="00D62D3C" w:rsidRPr="00772076" w:rsidRDefault="00D62D3C" w:rsidP="008F2934">
      <w:pPr>
        <w:pStyle w:val="ListParagraph"/>
        <w:keepNext/>
        <w:tabs>
          <w:tab w:val="left" w:pos="284"/>
        </w:tabs>
        <w:suppressAutoHyphens w:val="0"/>
        <w:spacing w:before="200" w:after="0" w:line="280" w:lineRule="exact"/>
        <w:ind w:left="0"/>
        <w:contextualSpacing w:val="0"/>
        <w:rPr>
          <w:b/>
          <w:bCs/>
          <w:i/>
          <w:sz w:val="21"/>
          <w:szCs w:val="21"/>
        </w:rPr>
      </w:pPr>
      <w:r w:rsidRPr="00772076">
        <w:rPr>
          <w:b/>
          <w:bCs/>
          <w:i/>
          <w:sz w:val="21"/>
          <w:szCs w:val="21"/>
        </w:rPr>
        <w:lastRenderedPageBreak/>
        <w:t>Multi-country approach</w:t>
      </w:r>
    </w:p>
    <w:p w14:paraId="5A564218" w14:textId="055C5470" w:rsidR="00D62D3C" w:rsidRDefault="00D62D3C" w:rsidP="008F2934">
      <w:pPr>
        <w:pStyle w:val="ListParagraph"/>
        <w:keepNext/>
        <w:numPr>
          <w:ilvl w:val="0"/>
          <w:numId w:val="12"/>
        </w:numPr>
        <w:tabs>
          <w:tab w:val="left" w:pos="284"/>
        </w:tabs>
        <w:suppressAutoHyphens w:val="0"/>
        <w:spacing w:before="200" w:after="0" w:line="280" w:lineRule="exact"/>
        <w:ind w:left="0" w:firstLine="0"/>
        <w:contextualSpacing w:val="0"/>
        <w:rPr>
          <w:iCs/>
          <w:sz w:val="21"/>
          <w:szCs w:val="21"/>
        </w:rPr>
      </w:pPr>
      <w:r>
        <w:rPr>
          <w:iCs/>
          <w:sz w:val="21"/>
          <w:szCs w:val="21"/>
        </w:rPr>
        <w:t xml:space="preserve">While this </w:t>
      </w:r>
      <w:r w:rsidR="00A54C15">
        <w:rPr>
          <w:iCs/>
          <w:sz w:val="21"/>
          <w:szCs w:val="21"/>
        </w:rPr>
        <w:t>IDD</w:t>
      </w:r>
      <w:r>
        <w:rPr>
          <w:iCs/>
          <w:sz w:val="21"/>
          <w:szCs w:val="21"/>
        </w:rPr>
        <w:t xml:space="preserve"> provides a common </w:t>
      </w:r>
      <w:r w:rsidR="001E58F7">
        <w:rPr>
          <w:iCs/>
          <w:sz w:val="21"/>
          <w:szCs w:val="21"/>
        </w:rPr>
        <w:t>thematic</w:t>
      </w:r>
      <w:r w:rsidR="005456D2">
        <w:rPr>
          <w:iCs/>
          <w:sz w:val="21"/>
          <w:szCs w:val="21"/>
        </w:rPr>
        <w:t xml:space="preserve"> </w:t>
      </w:r>
      <w:r w:rsidR="001E58F7">
        <w:rPr>
          <w:iCs/>
          <w:sz w:val="21"/>
          <w:szCs w:val="21"/>
        </w:rPr>
        <w:t xml:space="preserve">and outcomes </w:t>
      </w:r>
      <w:r>
        <w:rPr>
          <w:iCs/>
          <w:sz w:val="21"/>
          <w:szCs w:val="21"/>
        </w:rPr>
        <w:t>framework</w:t>
      </w:r>
      <w:r w:rsidR="001E58F7">
        <w:rPr>
          <w:iCs/>
          <w:sz w:val="21"/>
          <w:szCs w:val="21"/>
        </w:rPr>
        <w:t xml:space="preserve"> </w:t>
      </w:r>
      <w:r w:rsidR="005456D2">
        <w:rPr>
          <w:iCs/>
          <w:sz w:val="21"/>
          <w:szCs w:val="21"/>
        </w:rPr>
        <w:t>for</w:t>
      </w:r>
      <w:r>
        <w:rPr>
          <w:iCs/>
          <w:sz w:val="21"/>
          <w:szCs w:val="21"/>
        </w:rPr>
        <w:t xml:space="preserve"> Disaster READY, </w:t>
      </w:r>
      <w:r w:rsidR="001E58F7">
        <w:rPr>
          <w:iCs/>
          <w:sz w:val="21"/>
          <w:szCs w:val="21"/>
        </w:rPr>
        <w:t>it is designed to</w:t>
      </w:r>
      <w:r>
        <w:rPr>
          <w:iCs/>
          <w:sz w:val="21"/>
          <w:szCs w:val="21"/>
        </w:rPr>
        <w:t xml:space="preserve"> be</w:t>
      </w:r>
      <w:r w:rsidR="001E58F7">
        <w:rPr>
          <w:iCs/>
          <w:sz w:val="21"/>
          <w:szCs w:val="21"/>
        </w:rPr>
        <w:t xml:space="preserve"> highly</w:t>
      </w:r>
      <w:r>
        <w:rPr>
          <w:iCs/>
          <w:sz w:val="21"/>
          <w:szCs w:val="21"/>
        </w:rPr>
        <w:t xml:space="preserve"> contextualised at the country level. T</w:t>
      </w:r>
      <w:r w:rsidRPr="00D14B30">
        <w:rPr>
          <w:iCs/>
          <w:sz w:val="21"/>
          <w:szCs w:val="21"/>
        </w:rPr>
        <w:t xml:space="preserve">he degree of effort and application of resources across the three Intermediate Outcomes in each country will vary depending on context, </w:t>
      </w:r>
      <w:r w:rsidR="003945B8" w:rsidRPr="00D14B30">
        <w:rPr>
          <w:iCs/>
          <w:sz w:val="21"/>
          <w:szCs w:val="21"/>
        </w:rPr>
        <w:t>capacity,</w:t>
      </w:r>
      <w:r w:rsidRPr="00D14B30">
        <w:rPr>
          <w:iCs/>
          <w:sz w:val="21"/>
          <w:szCs w:val="21"/>
        </w:rPr>
        <w:t xml:space="preserve"> and opportunity to engage, noting that it is likely the </w:t>
      </w:r>
      <w:r w:rsidR="00F62CB7">
        <w:rPr>
          <w:iCs/>
          <w:sz w:val="21"/>
          <w:szCs w:val="21"/>
        </w:rPr>
        <w:t>majority</w:t>
      </w:r>
      <w:r w:rsidRPr="00D14B30">
        <w:rPr>
          <w:iCs/>
          <w:sz w:val="21"/>
          <w:szCs w:val="21"/>
        </w:rPr>
        <w:t xml:space="preserve"> of effort will be directed towards </w:t>
      </w:r>
      <w:r>
        <w:rPr>
          <w:iCs/>
          <w:sz w:val="21"/>
          <w:szCs w:val="21"/>
        </w:rPr>
        <w:t>intermediate outcomes</w:t>
      </w:r>
      <w:r w:rsidRPr="00D14B30">
        <w:rPr>
          <w:iCs/>
          <w:sz w:val="21"/>
          <w:szCs w:val="21"/>
        </w:rPr>
        <w:t xml:space="preserve"> 1 and 2. Activities will be identified in a country specific manner appropriate to context, through the country</w:t>
      </w:r>
      <w:r w:rsidR="007450AA">
        <w:rPr>
          <w:iCs/>
          <w:sz w:val="21"/>
          <w:szCs w:val="21"/>
        </w:rPr>
        <w:t xml:space="preserve"> </w:t>
      </w:r>
      <w:r>
        <w:rPr>
          <w:iCs/>
          <w:sz w:val="21"/>
          <w:szCs w:val="21"/>
        </w:rPr>
        <w:t xml:space="preserve">planning </w:t>
      </w:r>
      <w:r w:rsidRPr="00D14B30">
        <w:rPr>
          <w:iCs/>
          <w:sz w:val="21"/>
          <w:szCs w:val="21"/>
        </w:rPr>
        <w:t>process</w:t>
      </w:r>
      <w:r>
        <w:rPr>
          <w:iCs/>
          <w:sz w:val="21"/>
          <w:szCs w:val="21"/>
        </w:rPr>
        <w:t>.</w:t>
      </w:r>
    </w:p>
    <w:p w14:paraId="3A327C98" w14:textId="29B95619" w:rsidR="00D62D3C" w:rsidRDefault="00D62D3C" w:rsidP="00D62D3C">
      <w:pPr>
        <w:pStyle w:val="ListParagraph"/>
        <w:numPr>
          <w:ilvl w:val="0"/>
          <w:numId w:val="12"/>
        </w:numPr>
        <w:tabs>
          <w:tab w:val="left" w:pos="284"/>
        </w:tabs>
        <w:suppressAutoHyphens w:val="0"/>
        <w:spacing w:before="200" w:after="0" w:line="280" w:lineRule="exact"/>
        <w:ind w:left="0" w:firstLine="0"/>
        <w:contextualSpacing w:val="0"/>
        <w:rPr>
          <w:lang w:val="en-US"/>
        </w:rPr>
      </w:pPr>
      <w:r>
        <w:t xml:space="preserve"> </w:t>
      </w:r>
      <w:r w:rsidRPr="003E2C60">
        <w:rPr>
          <w:iCs/>
          <w:sz w:val="21"/>
          <w:szCs w:val="21"/>
        </w:rPr>
        <w:t xml:space="preserve">Examples of priorities and strategies that may be included in Country </w:t>
      </w:r>
      <w:r w:rsidR="008950F7">
        <w:rPr>
          <w:iCs/>
          <w:sz w:val="21"/>
          <w:szCs w:val="21"/>
        </w:rPr>
        <w:t>Plans</w:t>
      </w:r>
      <w:r w:rsidR="008950F7" w:rsidRPr="003E2C60">
        <w:rPr>
          <w:iCs/>
          <w:sz w:val="21"/>
          <w:szCs w:val="21"/>
        </w:rPr>
        <w:t xml:space="preserve"> </w:t>
      </w:r>
      <w:r w:rsidRPr="003E2C60">
        <w:rPr>
          <w:iCs/>
          <w:sz w:val="21"/>
          <w:szCs w:val="21"/>
        </w:rPr>
        <w:t>are provided in Fig 6.</w:t>
      </w:r>
      <w:r w:rsidRPr="00196EC5">
        <w:rPr>
          <w:lang w:val="en-US"/>
        </w:rPr>
        <w:t xml:space="preserve"> </w:t>
      </w:r>
    </w:p>
    <w:p w14:paraId="3DE2B6F3" w14:textId="77777777" w:rsidR="00D62D3C" w:rsidRPr="00D14B30" w:rsidRDefault="00D62D3C" w:rsidP="00D62D3C">
      <w:pPr>
        <w:spacing w:before="60" w:line="280" w:lineRule="exact"/>
        <w:rPr>
          <w:b/>
          <w:bCs/>
          <w:lang w:val="en-US"/>
        </w:rPr>
      </w:pPr>
      <w:r w:rsidRPr="00D14B30">
        <w:rPr>
          <w:b/>
          <w:bCs/>
          <w:lang w:val="en-US"/>
        </w:rPr>
        <w:t xml:space="preserve">Fig </w:t>
      </w:r>
      <w:r>
        <w:rPr>
          <w:b/>
          <w:bCs/>
          <w:lang w:val="en-US"/>
        </w:rPr>
        <w:t>6</w:t>
      </w:r>
      <w:r w:rsidRPr="00D14B30">
        <w:rPr>
          <w:b/>
          <w:bCs/>
          <w:lang w:val="en-US"/>
        </w:rPr>
        <w:t xml:space="preserve"> examples of priorities and strategies</w:t>
      </w:r>
    </w:p>
    <w:tbl>
      <w:tblPr>
        <w:tblStyle w:val="TableGrid"/>
        <w:tblW w:w="0" w:type="auto"/>
        <w:tblInd w:w="-5" w:type="dxa"/>
        <w:tblLook w:val="04A0" w:firstRow="1" w:lastRow="0" w:firstColumn="1" w:lastColumn="0" w:noHBand="0" w:noVBand="1"/>
      </w:tblPr>
      <w:tblGrid>
        <w:gridCol w:w="2694"/>
        <w:gridCol w:w="6327"/>
      </w:tblGrid>
      <w:tr w:rsidR="00D62D3C" w:rsidRPr="00196EC5" w14:paraId="2D84AFA9" w14:textId="77777777" w:rsidTr="00422966">
        <w:tc>
          <w:tcPr>
            <w:tcW w:w="2694" w:type="dxa"/>
          </w:tcPr>
          <w:p w14:paraId="3D91590D" w14:textId="77777777" w:rsidR="00D62D3C" w:rsidRPr="003E2C60" w:rsidRDefault="00D62D3C" w:rsidP="003E2C60">
            <w:pPr>
              <w:spacing w:before="60" w:line="280" w:lineRule="exact"/>
              <w:rPr>
                <w:b/>
                <w:bCs/>
                <w:iCs/>
                <w:sz w:val="21"/>
                <w:szCs w:val="21"/>
                <w:lang w:val="en-US"/>
              </w:rPr>
            </w:pPr>
            <w:r w:rsidRPr="003E2C60">
              <w:rPr>
                <w:b/>
                <w:bCs/>
                <w:iCs/>
                <w:sz w:val="21"/>
                <w:szCs w:val="21"/>
                <w:lang w:val="en-US"/>
              </w:rPr>
              <w:t>DR Intermediate outcomes:</w:t>
            </w:r>
          </w:p>
        </w:tc>
        <w:tc>
          <w:tcPr>
            <w:tcW w:w="6327" w:type="dxa"/>
          </w:tcPr>
          <w:p w14:paraId="0C121A39" w14:textId="77777777" w:rsidR="00D62D3C" w:rsidRPr="003E2C60" w:rsidRDefault="00D62D3C" w:rsidP="003E2C60">
            <w:pPr>
              <w:spacing w:before="60" w:line="280" w:lineRule="exact"/>
              <w:rPr>
                <w:b/>
                <w:bCs/>
                <w:iCs/>
                <w:sz w:val="21"/>
                <w:szCs w:val="21"/>
                <w:lang w:val="en-US"/>
              </w:rPr>
            </w:pPr>
            <w:r w:rsidRPr="003E2C60">
              <w:rPr>
                <w:b/>
                <w:bCs/>
                <w:iCs/>
                <w:sz w:val="21"/>
                <w:szCs w:val="21"/>
                <w:lang w:val="en-US"/>
              </w:rPr>
              <w:t>Examples of priorities and strategies that may be identified:</w:t>
            </w:r>
          </w:p>
        </w:tc>
      </w:tr>
      <w:tr w:rsidR="00D62D3C" w:rsidRPr="00196EC5" w14:paraId="61C6AC4C" w14:textId="77777777" w:rsidTr="00422966">
        <w:tc>
          <w:tcPr>
            <w:tcW w:w="2694" w:type="dxa"/>
          </w:tcPr>
          <w:p w14:paraId="5653ADA6" w14:textId="1A5B06B7" w:rsidR="00D62D3C" w:rsidRPr="003E2C60" w:rsidRDefault="00D62D3C" w:rsidP="003E2C60">
            <w:pPr>
              <w:spacing w:before="60" w:line="280" w:lineRule="exact"/>
              <w:rPr>
                <w:iCs/>
                <w:sz w:val="21"/>
                <w:szCs w:val="21"/>
                <w:lang w:val="en-AU"/>
              </w:rPr>
            </w:pPr>
            <w:r w:rsidRPr="003E2C60">
              <w:rPr>
                <w:iCs/>
                <w:sz w:val="21"/>
                <w:szCs w:val="21"/>
                <w:lang w:val="en-US"/>
              </w:rPr>
              <w:t xml:space="preserve">1.1 </w:t>
            </w:r>
            <w:r w:rsidR="00E05874" w:rsidRPr="00E05874">
              <w:rPr>
                <w:iCs/>
                <w:sz w:val="21"/>
                <w:szCs w:val="21"/>
                <w:lang w:val="en-US"/>
              </w:rPr>
              <w:t xml:space="preserve">Communities (especially vulnerable groups) plan and implement effective, </w:t>
            </w:r>
            <w:r w:rsidR="003945B8" w:rsidRPr="00E05874">
              <w:rPr>
                <w:iCs/>
                <w:sz w:val="21"/>
                <w:szCs w:val="21"/>
                <w:lang w:val="en-US"/>
              </w:rPr>
              <w:t>inclusive,</w:t>
            </w:r>
            <w:r w:rsidR="00E05874" w:rsidRPr="00E05874">
              <w:rPr>
                <w:iCs/>
                <w:sz w:val="21"/>
                <w:szCs w:val="21"/>
                <w:lang w:val="en-US"/>
              </w:rPr>
              <w:t xml:space="preserve"> and integrated disaster preparedness and climate change adaptation activities.</w:t>
            </w:r>
          </w:p>
          <w:p w14:paraId="6339AF8A" w14:textId="77777777" w:rsidR="00D62D3C" w:rsidRPr="003E2C60" w:rsidRDefault="00D62D3C" w:rsidP="003E2C60">
            <w:pPr>
              <w:spacing w:before="60" w:line="280" w:lineRule="exact"/>
              <w:rPr>
                <w:iCs/>
                <w:sz w:val="21"/>
                <w:szCs w:val="21"/>
                <w:lang w:val="en-US"/>
              </w:rPr>
            </w:pPr>
          </w:p>
        </w:tc>
        <w:tc>
          <w:tcPr>
            <w:tcW w:w="6327" w:type="dxa"/>
          </w:tcPr>
          <w:p w14:paraId="3710331A" w14:textId="2932DBC2" w:rsidR="00D62D3C" w:rsidRDefault="00D62D3C" w:rsidP="0011591E">
            <w:pPr>
              <w:pStyle w:val="ListParagraph"/>
              <w:numPr>
                <w:ilvl w:val="0"/>
                <w:numId w:val="34"/>
              </w:numPr>
              <w:spacing w:before="60" w:line="280" w:lineRule="exact"/>
              <w:contextualSpacing w:val="0"/>
              <w:rPr>
                <w:iCs/>
                <w:sz w:val="21"/>
                <w:szCs w:val="21"/>
                <w:lang w:val="en-AU"/>
              </w:rPr>
            </w:pPr>
            <w:r w:rsidRPr="003E2C60">
              <w:rPr>
                <w:iCs/>
                <w:sz w:val="21"/>
                <w:szCs w:val="21"/>
                <w:lang w:val="en-AU"/>
              </w:rPr>
              <w:t>targeting or specific geographic locations or population groups based on vulnerability assessment</w:t>
            </w:r>
          </w:p>
          <w:p w14:paraId="1F257BC4" w14:textId="367D267E" w:rsidR="007E39C3" w:rsidRPr="003E2C60" w:rsidRDefault="007E39C3" w:rsidP="0011591E">
            <w:pPr>
              <w:pStyle w:val="ListParagraph"/>
              <w:numPr>
                <w:ilvl w:val="0"/>
                <w:numId w:val="34"/>
              </w:numPr>
              <w:spacing w:before="60" w:line="280" w:lineRule="exact"/>
              <w:contextualSpacing w:val="0"/>
              <w:rPr>
                <w:iCs/>
                <w:sz w:val="21"/>
                <w:szCs w:val="21"/>
                <w:lang w:val="en-AU"/>
              </w:rPr>
            </w:pPr>
            <w:r>
              <w:rPr>
                <w:iCs/>
                <w:sz w:val="21"/>
                <w:szCs w:val="21"/>
                <w:lang w:val="en-AU"/>
              </w:rPr>
              <w:t>using indigenous knowledge and practice where appropriate</w:t>
            </w:r>
          </w:p>
          <w:p w14:paraId="03852A7D" w14:textId="76114D5B" w:rsidR="00D62D3C" w:rsidRPr="003E2C60" w:rsidRDefault="00D62D3C" w:rsidP="0011591E">
            <w:pPr>
              <w:pStyle w:val="ListParagraph"/>
              <w:numPr>
                <w:ilvl w:val="0"/>
                <w:numId w:val="34"/>
              </w:numPr>
              <w:spacing w:before="60" w:line="280" w:lineRule="exact"/>
              <w:contextualSpacing w:val="0"/>
              <w:rPr>
                <w:iCs/>
                <w:sz w:val="21"/>
                <w:szCs w:val="21"/>
                <w:lang w:val="en-AU"/>
              </w:rPr>
            </w:pPr>
            <w:r w:rsidRPr="003E2C60">
              <w:rPr>
                <w:iCs/>
                <w:sz w:val="21"/>
                <w:szCs w:val="21"/>
                <w:lang w:val="en-AU"/>
              </w:rPr>
              <w:t xml:space="preserve">engagement with </w:t>
            </w:r>
            <w:r w:rsidR="005921FA" w:rsidRPr="003E2C60">
              <w:rPr>
                <w:iCs/>
                <w:sz w:val="21"/>
                <w:szCs w:val="21"/>
                <w:lang w:val="en-AU"/>
              </w:rPr>
              <w:t>informal</w:t>
            </w:r>
            <w:r w:rsidRPr="003E2C60">
              <w:rPr>
                <w:iCs/>
                <w:sz w:val="21"/>
                <w:szCs w:val="21"/>
                <w:lang w:val="en-AU"/>
              </w:rPr>
              <w:t xml:space="preserve"> or formal community organisations (such as women’s associations, youth groups, church networks)</w:t>
            </w:r>
            <w:r w:rsidR="00422966">
              <w:rPr>
                <w:iCs/>
                <w:sz w:val="21"/>
                <w:szCs w:val="21"/>
                <w:lang w:val="en-AU"/>
              </w:rPr>
              <w:t xml:space="preserve"> or with the private sector</w:t>
            </w:r>
          </w:p>
          <w:p w14:paraId="26BBC02C" w14:textId="77777777" w:rsidR="00D62D3C" w:rsidRPr="003E2C60" w:rsidRDefault="00D62D3C" w:rsidP="0011591E">
            <w:pPr>
              <w:pStyle w:val="ListParagraph"/>
              <w:numPr>
                <w:ilvl w:val="0"/>
                <w:numId w:val="34"/>
              </w:numPr>
              <w:spacing w:before="60" w:line="280" w:lineRule="exact"/>
              <w:contextualSpacing w:val="0"/>
              <w:rPr>
                <w:iCs/>
                <w:sz w:val="21"/>
                <w:szCs w:val="21"/>
                <w:lang w:val="en-AU"/>
              </w:rPr>
            </w:pPr>
            <w:r w:rsidRPr="003E2C60">
              <w:rPr>
                <w:iCs/>
                <w:sz w:val="21"/>
                <w:szCs w:val="21"/>
                <w:lang w:val="en-AU"/>
              </w:rPr>
              <w:t>collaboration with existing government or development partner programs where there are synergies or cross-fertilisation</w:t>
            </w:r>
          </w:p>
          <w:p w14:paraId="0BC82BC2" w14:textId="7A7CF1F6" w:rsidR="00D62D3C" w:rsidRPr="003E2C60" w:rsidRDefault="00D62D3C" w:rsidP="0011591E">
            <w:pPr>
              <w:pStyle w:val="ListParagraph"/>
              <w:numPr>
                <w:ilvl w:val="0"/>
                <w:numId w:val="34"/>
              </w:numPr>
              <w:spacing w:before="60" w:line="280" w:lineRule="exact"/>
              <w:contextualSpacing w:val="0"/>
              <w:rPr>
                <w:iCs/>
                <w:sz w:val="21"/>
                <w:szCs w:val="21"/>
                <w:lang w:val="en-AU"/>
              </w:rPr>
            </w:pPr>
            <w:r w:rsidRPr="003E2C60">
              <w:rPr>
                <w:iCs/>
                <w:sz w:val="21"/>
                <w:szCs w:val="21"/>
                <w:lang w:val="en-AU"/>
              </w:rPr>
              <w:t>support for specific women’s rights</w:t>
            </w:r>
            <w:r w:rsidR="00107415">
              <w:rPr>
                <w:iCs/>
                <w:sz w:val="21"/>
                <w:szCs w:val="21"/>
                <w:lang w:val="en-AU"/>
              </w:rPr>
              <w:t xml:space="preserve"> organisations</w:t>
            </w:r>
            <w:r w:rsidRPr="003E2C60">
              <w:rPr>
                <w:iCs/>
                <w:sz w:val="21"/>
                <w:szCs w:val="21"/>
                <w:lang w:val="en-AU"/>
              </w:rPr>
              <w:t xml:space="preserve"> or </w:t>
            </w:r>
            <w:r w:rsidR="003E229B">
              <w:rPr>
                <w:iCs/>
                <w:sz w:val="21"/>
                <w:szCs w:val="21"/>
                <w:lang w:val="en-AU"/>
              </w:rPr>
              <w:t xml:space="preserve">OPDs </w:t>
            </w:r>
            <w:r w:rsidRPr="003E2C60">
              <w:rPr>
                <w:iCs/>
                <w:sz w:val="21"/>
                <w:szCs w:val="21"/>
                <w:lang w:val="en-AU"/>
              </w:rPr>
              <w:t>to enable participation in ANGO activities</w:t>
            </w:r>
          </w:p>
          <w:p w14:paraId="194367CD" w14:textId="77777777" w:rsidR="00D62D3C" w:rsidRPr="003E2C60" w:rsidRDefault="00D62D3C" w:rsidP="0011591E">
            <w:pPr>
              <w:pStyle w:val="ListParagraph"/>
              <w:numPr>
                <w:ilvl w:val="0"/>
                <w:numId w:val="34"/>
              </w:numPr>
              <w:spacing w:before="60" w:line="280" w:lineRule="exact"/>
              <w:contextualSpacing w:val="0"/>
              <w:rPr>
                <w:iCs/>
                <w:sz w:val="21"/>
                <w:szCs w:val="21"/>
                <w:lang w:val="en-AU"/>
              </w:rPr>
            </w:pPr>
            <w:r w:rsidRPr="003E2C60">
              <w:rPr>
                <w:iCs/>
                <w:sz w:val="21"/>
                <w:szCs w:val="21"/>
                <w:lang w:val="en-AU"/>
              </w:rPr>
              <w:t>specific sectoral or technical support where there is a country specific need</w:t>
            </w:r>
          </w:p>
          <w:p w14:paraId="49F1F166" w14:textId="0669F043" w:rsidR="007E39C3" w:rsidRPr="007E39C3" w:rsidRDefault="00D62D3C" w:rsidP="0011591E">
            <w:pPr>
              <w:pStyle w:val="ListParagraph"/>
              <w:numPr>
                <w:ilvl w:val="0"/>
                <w:numId w:val="34"/>
              </w:numPr>
              <w:spacing w:before="60" w:line="280" w:lineRule="exact"/>
              <w:contextualSpacing w:val="0"/>
              <w:rPr>
                <w:iCs/>
                <w:sz w:val="21"/>
                <w:szCs w:val="21"/>
                <w:lang w:val="en-AU"/>
              </w:rPr>
            </w:pPr>
            <w:r w:rsidRPr="003E2C60">
              <w:rPr>
                <w:iCs/>
                <w:sz w:val="21"/>
                <w:szCs w:val="21"/>
                <w:lang w:val="en-AU"/>
              </w:rPr>
              <w:t>key infrastructure or communications procurement where a specific need identified</w:t>
            </w:r>
          </w:p>
        </w:tc>
      </w:tr>
      <w:tr w:rsidR="00D62D3C" w:rsidRPr="00196EC5" w14:paraId="71393E31" w14:textId="77777777" w:rsidTr="00422966">
        <w:tc>
          <w:tcPr>
            <w:tcW w:w="2694" w:type="dxa"/>
          </w:tcPr>
          <w:p w14:paraId="1DCCBC13" w14:textId="6467776F" w:rsidR="00D62D3C" w:rsidRPr="003E2C60" w:rsidRDefault="00D62D3C" w:rsidP="003E2C60">
            <w:pPr>
              <w:spacing w:before="60" w:line="280" w:lineRule="exact"/>
              <w:rPr>
                <w:iCs/>
                <w:sz w:val="21"/>
                <w:szCs w:val="21"/>
                <w:lang w:val="en-AU"/>
              </w:rPr>
            </w:pPr>
            <w:r w:rsidRPr="003E2C60">
              <w:rPr>
                <w:iCs/>
                <w:sz w:val="21"/>
                <w:szCs w:val="21"/>
                <w:lang w:val="en-US"/>
              </w:rPr>
              <w:t xml:space="preserve">1.2 </w:t>
            </w:r>
            <w:r w:rsidR="00C87567" w:rsidRPr="00C87567">
              <w:rPr>
                <w:iCs/>
                <w:sz w:val="21"/>
                <w:szCs w:val="21"/>
                <w:lang w:val="en-US"/>
              </w:rPr>
              <w:t>Local civil society actors (NGOs, CBOs, OPDs, churches, informal groups) have improved institutional and technical capacity to fulfil their role in effective and inclusive disaster preparedness and climate change adaptation.</w:t>
            </w:r>
          </w:p>
        </w:tc>
        <w:tc>
          <w:tcPr>
            <w:tcW w:w="6327" w:type="dxa"/>
          </w:tcPr>
          <w:p w14:paraId="5257DDEC" w14:textId="265B6780" w:rsidR="00D62D3C" w:rsidRPr="003E2C60" w:rsidRDefault="00D62D3C" w:rsidP="0011591E">
            <w:pPr>
              <w:pStyle w:val="ListParagraph"/>
              <w:numPr>
                <w:ilvl w:val="0"/>
                <w:numId w:val="34"/>
              </w:numPr>
              <w:spacing w:before="60" w:line="280" w:lineRule="exact"/>
              <w:contextualSpacing w:val="0"/>
              <w:rPr>
                <w:iCs/>
                <w:sz w:val="21"/>
                <w:szCs w:val="21"/>
                <w:lang w:val="en-AU"/>
              </w:rPr>
            </w:pPr>
            <w:r w:rsidRPr="003E2C60">
              <w:rPr>
                <w:iCs/>
                <w:sz w:val="21"/>
                <w:szCs w:val="21"/>
                <w:lang w:val="en-AU"/>
              </w:rPr>
              <w:t xml:space="preserve">support for WROs or </w:t>
            </w:r>
            <w:r w:rsidR="003E229B">
              <w:rPr>
                <w:iCs/>
                <w:sz w:val="21"/>
                <w:szCs w:val="21"/>
                <w:lang w:val="en-AU"/>
              </w:rPr>
              <w:t>OPD</w:t>
            </w:r>
            <w:r w:rsidR="003E229B" w:rsidRPr="003E2C60">
              <w:rPr>
                <w:iCs/>
                <w:sz w:val="21"/>
                <w:szCs w:val="21"/>
                <w:lang w:val="en-AU"/>
              </w:rPr>
              <w:t xml:space="preserve">s </w:t>
            </w:r>
            <w:r w:rsidRPr="003E2C60">
              <w:rPr>
                <w:iCs/>
                <w:sz w:val="21"/>
                <w:szCs w:val="21"/>
                <w:lang w:val="en-AU"/>
              </w:rPr>
              <w:t>to enable participation in national and sub-national disaster management coordination</w:t>
            </w:r>
          </w:p>
          <w:p w14:paraId="0FE98958" w14:textId="0ACBBB43" w:rsidR="00D62D3C" w:rsidRPr="003E2C60" w:rsidRDefault="00D62D3C" w:rsidP="0011591E">
            <w:pPr>
              <w:pStyle w:val="ListParagraph"/>
              <w:numPr>
                <w:ilvl w:val="0"/>
                <w:numId w:val="34"/>
              </w:numPr>
              <w:spacing w:before="60" w:line="280" w:lineRule="exact"/>
              <w:contextualSpacing w:val="0"/>
              <w:rPr>
                <w:iCs/>
                <w:sz w:val="21"/>
                <w:szCs w:val="21"/>
                <w:lang w:val="en-AU"/>
              </w:rPr>
            </w:pPr>
            <w:r w:rsidRPr="003E2C60">
              <w:rPr>
                <w:iCs/>
                <w:sz w:val="21"/>
                <w:szCs w:val="21"/>
                <w:lang w:val="en-AU"/>
              </w:rPr>
              <w:t xml:space="preserve">joint training events in sectoral, </w:t>
            </w:r>
            <w:r w:rsidR="005921FA" w:rsidRPr="003E2C60">
              <w:rPr>
                <w:iCs/>
                <w:sz w:val="21"/>
                <w:szCs w:val="21"/>
                <w:lang w:val="en-AU"/>
              </w:rPr>
              <w:t>technical,</w:t>
            </w:r>
            <w:r w:rsidRPr="003E2C60">
              <w:rPr>
                <w:iCs/>
                <w:sz w:val="21"/>
                <w:szCs w:val="21"/>
                <w:lang w:val="en-AU"/>
              </w:rPr>
              <w:t xml:space="preserve"> or cross-cutting issues of concern/interest</w:t>
            </w:r>
            <w:r w:rsidR="003E229B">
              <w:rPr>
                <w:iCs/>
                <w:sz w:val="21"/>
                <w:szCs w:val="21"/>
                <w:lang w:val="en-AU"/>
              </w:rPr>
              <w:t>, particularly gender and disability inclusion analysis, and climate risk and vulnerability assessment</w:t>
            </w:r>
          </w:p>
          <w:p w14:paraId="0D46A9F2" w14:textId="77777777" w:rsidR="00D62D3C" w:rsidRPr="003E2C60" w:rsidRDefault="00D62D3C" w:rsidP="0011591E">
            <w:pPr>
              <w:pStyle w:val="ListParagraph"/>
              <w:numPr>
                <w:ilvl w:val="0"/>
                <w:numId w:val="34"/>
              </w:numPr>
              <w:spacing w:before="60" w:line="280" w:lineRule="exact"/>
              <w:contextualSpacing w:val="0"/>
              <w:rPr>
                <w:iCs/>
                <w:sz w:val="21"/>
                <w:szCs w:val="21"/>
                <w:lang w:val="en-AU"/>
              </w:rPr>
            </w:pPr>
            <w:r w:rsidRPr="003E2C60">
              <w:rPr>
                <w:iCs/>
                <w:sz w:val="21"/>
                <w:szCs w:val="21"/>
                <w:lang w:val="en-AU"/>
              </w:rPr>
              <w:t>establishment or support for key networks or specific events</w:t>
            </w:r>
          </w:p>
          <w:p w14:paraId="6AF26C7F" w14:textId="77777777" w:rsidR="00D62D3C" w:rsidRPr="003E2C60" w:rsidRDefault="00D62D3C" w:rsidP="0011591E">
            <w:pPr>
              <w:pStyle w:val="ListParagraph"/>
              <w:numPr>
                <w:ilvl w:val="0"/>
                <w:numId w:val="34"/>
              </w:numPr>
              <w:spacing w:before="60" w:line="280" w:lineRule="exact"/>
              <w:contextualSpacing w:val="0"/>
              <w:rPr>
                <w:iCs/>
                <w:sz w:val="21"/>
                <w:szCs w:val="21"/>
                <w:lang w:val="en-AU"/>
              </w:rPr>
            </w:pPr>
            <w:r w:rsidRPr="003E2C60">
              <w:rPr>
                <w:iCs/>
                <w:sz w:val="21"/>
                <w:szCs w:val="21"/>
                <w:lang w:val="en-AU"/>
              </w:rPr>
              <w:t>identification of key organisations to establish new partnerships or collaboration</w:t>
            </w:r>
          </w:p>
        </w:tc>
      </w:tr>
      <w:tr w:rsidR="00D62D3C" w:rsidRPr="00196EC5" w14:paraId="3859F8CC" w14:textId="77777777" w:rsidTr="00422966">
        <w:tc>
          <w:tcPr>
            <w:tcW w:w="2694" w:type="dxa"/>
          </w:tcPr>
          <w:p w14:paraId="3C13D9F5" w14:textId="607CA832" w:rsidR="00D62D3C" w:rsidRPr="003E2C60" w:rsidRDefault="00D62D3C" w:rsidP="003E2C60">
            <w:pPr>
              <w:spacing w:before="60" w:line="280" w:lineRule="exact"/>
              <w:rPr>
                <w:iCs/>
                <w:sz w:val="21"/>
                <w:szCs w:val="21"/>
                <w:lang w:val="en-AU"/>
              </w:rPr>
            </w:pPr>
            <w:r w:rsidRPr="003E2C60">
              <w:rPr>
                <w:iCs/>
                <w:sz w:val="21"/>
                <w:szCs w:val="21"/>
                <w:lang w:val="en-AU"/>
              </w:rPr>
              <w:t xml:space="preserve">1.3 </w:t>
            </w:r>
            <w:r w:rsidR="00C87567" w:rsidRPr="00C87567">
              <w:rPr>
                <w:iCs/>
                <w:sz w:val="21"/>
                <w:szCs w:val="21"/>
                <w:lang w:val="en-AU"/>
              </w:rPr>
              <w:t xml:space="preserve">National and sub-national governments are supported to lead effective, </w:t>
            </w:r>
            <w:r w:rsidR="005921FA" w:rsidRPr="00C87567">
              <w:rPr>
                <w:iCs/>
                <w:sz w:val="21"/>
                <w:szCs w:val="21"/>
                <w:lang w:val="en-AU"/>
              </w:rPr>
              <w:t>inclusive,</w:t>
            </w:r>
            <w:r w:rsidR="00C87567" w:rsidRPr="00C87567">
              <w:rPr>
                <w:iCs/>
                <w:sz w:val="21"/>
                <w:szCs w:val="21"/>
                <w:lang w:val="en-AU"/>
              </w:rPr>
              <w:t xml:space="preserve"> and coordinated disaster preparedness, climate change adaptation and response activities.</w:t>
            </w:r>
          </w:p>
          <w:p w14:paraId="609D6518" w14:textId="77777777" w:rsidR="00D62D3C" w:rsidRPr="003E2C60" w:rsidRDefault="00D62D3C" w:rsidP="003E2C60">
            <w:pPr>
              <w:spacing w:before="60" w:line="280" w:lineRule="exact"/>
              <w:rPr>
                <w:iCs/>
                <w:sz w:val="21"/>
                <w:szCs w:val="21"/>
                <w:lang w:val="en-US"/>
              </w:rPr>
            </w:pPr>
          </w:p>
        </w:tc>
        <w:tc>
          <w:tcPr>
            <w:tcW w:w="6327" w:type="dxa"/>
          </w:tcPr>
          <w:p w14:paraId="113C2270" w14:textId="77777777" w:rsidR="00D62D3C" w:rsidRPr="003E2C60" w:rsidRDefault="00D62D3C" w:rsidP="0011591E">
            <w:pPr>
              <w:pStyle w:val="ListParagraph"/>
              <w:numPr>
                <w:ilvl w:val="0"/>
                <w:numId w:val="34"/>
              </w:numPr>
              <w:spacing w:before="60" w:line="280" w:lineRule="exact"/>
              <w:contextualSpacing w:val="0"/>
              <w:rPr>
                <w:iCs/>
                <w:sz w:val="21"/>
                <w:szCs w:val="21"/>
                <w:lang w:val="en-AU"/>
              </w:rPr>
            </w:pPr>
            <w:r w:rsidRPr="003E2C60">
              <w:rPr>
                <w:iCs/>
                <w:sz w:val="21"/>
                <w:szCs w:val="21"/>
                <w:lang w:val="en-AU"/>
              </w:rPr>
              <w:t>particular agencies or levels of government requiring additional assistance</w:t>
            </w:r>
          </w:p>
          <w:p w14:paraId="4B01D890" w14:textId="77777777" w:rsidR="00D62D3C" w:rsidRPr="003E2C60" w:rsidRDefault="00D62D3C" w:rsidP="0011591E">
            <w:pPr>
              <w:pStyle w:val="ListParagraph"/>
              <w:numPr>
                <w:ilvl w:val="0"/>
                <w:numId w:val="34"/>
              </w:numPr>
              <w:spacing w:before="60" w:line="280" w:lineRule="exact"/>
              <w:contextualSpacing w:val="0"/>
              <w:rPr>
                <w:iCs/>
                <w:sz w:val="21"/>
                <w:szCs w:val="21"/>
                <w:lang w:val="en-AU"/>
              </w:rPr>
            </w:pPr>
            <w:r w:rsidRPr="003E2C60">
              <w:rPr>
                <w:iCs/>
                <w:sz w:val="21"/>
                <w:szCs w:val="21"/>
                <w:lang w:val="en-AU"/>
              </w:rPr>
              <w:t>key stakeholders with whom the program should collaborate</w:t>
            </w:r>
          </w:p>
          <w:p w14:paraId="20DDD6CB" w14:textId="1CFD0273" w:rsidR="00D62D3C" w:rsidRPr="003E2C60" w:rsidRDefault="00D62D3C" w:rsidP="0011591E">
            <w:pPr>
              <w:pStyle w:val="ListParagraph"/>
              <w:numPr>
                <w:ilvl w:val="0"/>
                <w:numId w:val="34"/>
              </w:numPr>
              <w:spacing w:before="60" w:line="280" w:lineRule="exact"/>
              <w:contextualSpacing w:val="0"/>
              <w:rPr>
                <w:iCs/>
                <w:sz w:val="21"/>
                <w:szCs w:val="21"/>
                <w:lang w:val="en-AU"/>
              </w:rPr>
            </w:pPr>
            <w:r w:rsidRPr="003E2C60">
              <w:rPr>
                <w:iCs/>
                <w:sz w:val="21"/>
                <w:szCs w:val="21"/>
                <w:lang w:val="en-AU"/>
              </w:rPr>
              <w:t xml:space="preserve">existing activities and programs that AHP </w:t>
            </w:r>
            <w:r w:rsidR="00D44D6A">
              <w:rPr>
                <w:iCs/>
                <w:sz w:val="21"/>
                <w:szCs w:val="21"/>
                <w:lang w:val="en-AU"/>
              </w:rPr>
              <w:t xml:space="preserve">NGO </w:t>
            </w:r>
            <w:r w:rsidRPr="003E2C60">
              <w:rPr>
                <w:iCs/>
                <w:sz w:val="21"/>
                <w:szCs w:val="21"/>
                <w:lang w:val="en-AU"/>
              </w:rPr>
              <w:t>Partners should engage with</w:t>
            </w:r>
          </w:p>
          <w:p w14:paraId="7985F259" w14:textId="77777777" w:rsidR="00D62D3C" w:rsidRPr="003E2C60" w:rsidRDefault="00D62D3C" w:rsidP="0011591E">
            <w:pPr>
              <w:pStyle w:val="ListParagraph"/>
              <w:numPr>
                <w:ilvl w:val="0"/>
                <w:numId w:val="34"/>
              </w:numPr>
              <w:spacing w:before="60" w:line="280" w:lineRule="exact"/>
              <w:contextualSpacing w:val="0"/>
              <w:rPr>
                <w:iCs/>
                <w:sz w:val="21"/>
                <w:szCs w:val="21"/>
                <w:lang w:val="en-AU"/>
              </w:rPr>
            </w:pPr>
            <w:r w:rsidRPr="003E2C60">
              <w:rPr>
                <w:iCs/>
                <w:sz w:val="21"/>
                <w:szCs w:val="21"/>
                <w:lang w:val="en-AU"/>
              </w:rPr>
              <w:t>key challenges or threats that the activities need to address</w:t>
            </w:r>
          </w:p>
          <w:p w14:paraId="22AF40E9" w14:textId="77777777" w:rsidR="00D62D3C" w:rsidRPr="003E2C60" w:rsidRDefault="00D62D3C" w:rsidP="0011591E">
            <w:pPr>
              <w:pStyle w:val="ListParagraph"/>
              <w:numPr>
                <w:ilvl w:val="0"/>
                <w:numId w:val="34"/>
              </w:numPr>
              <w:spacing w:before="60" w:line="280" w:lineRule="exact"/>
              <w:contextualSpacing w:val="0"/>
              <w:rPr>
                <w:iCs/>
                <w:sz w:val="21"/>
                <w:szCs w:val="21"/>
                <w:lang w:val="en-AU"/>
              </w:rPr>
            </w:pPr>
            <w:r w:rsidRPr="003E2C60">
              <w:rPr>
                <w:iCs/>
                <w:sz w:val="21"/>
                <w:szCs w:val="21"/>
                <w:lang w:val="en-AU"/>
              </w:rPr>
              <w:t xml:space="preserve">opportunities and entry points to improving capacity and coordination identified </w:t>
            </w:r>
          </w:p>
        </w:tc>
      </w:tr>
    </w:tbl>
    <w:p w14:paraId="48AC6355" w14:textId="04A44D89" w:rsidR="00F23E05" w:rsidRPr="00F41A73" w:rsidRDefault="00CE3081" w:rsidP="008F2934">
      <w:pPr>
        <w:pStyle w:val="ListParagraph"/>
        <w:keepNext/>
        <w:tabs>
          <w:tab w:val="left" w:pos="284"/>
        </w:tabs>
        <w:suppressAutoHyphens w:val="0"/>
        <w:spacing w:before="200" w:after="0" w:line="280" w:lineRule="exact"/>
        <w:ind w:left="0"/>
        <w:contextualSpacing w:val="0"/>
        <w:rPr>
          <w:b/>
          <w:bCs/>
          <w:i/>
          <w:sz w:val="21"/>
          <w:szCs w:val="21"/>
        </w:rPr>
      </w:pPr>
      <w:r>
        <w:rPr>
          <w:b/>
          <w:bCs/>
          <w:i/>
          <w:sz w:val="21"/>
          <w:szCs w:val="21"/>
        </w:rPr>
        <w:lastRenderedPageBreak/>
        <w:t xml:space="preserve">Phase II </w:t>
      </w:r>
      <w:r w:rsidR="00DF18D3">
        <w:rPr>
          <w:b/>
          <w:bCs/>
          <w:i/>
          <w:sz w:val="21"/>
          <w:szCs w:val="21"/>
        </w:rPr>
        <w:t xml:space="preserve">Country </w:t>
      </w:r>
      <w:r w:rsidR="00451472" w:rsidRPr="00F41A73">
        <w:rPr>
          <w:b/>
          <w:bCs/>
          <w:i/>
          <w:sz w:val="21"/>
          <w:szCs w:val="21"/>
        </w:rPr>
        <w:t>Planning</w:t>
      </w:r>
      <w:r w:rsidR="00F23E05" w:rsidRPr="00F41A73">
        <w:rPr>
          <w:b/>
          <w:bCs/>
          <w:i/>
          <w:sz w:val="21"/>
          <w:szCs w:val="21"/>
        </w:rPr>
        <w:t xml:space="preserve"> </w:t>
      </w:r>
      <w:r w:rsidR="00EB31CE" w:rsidRPr="00F41A73">
        <w:rPr>
          <w:b/>
          <w:bCs/>
          <w:i/>
          <w:sz w:val="21"/>
          <w:szCs w:val="21"/>
        </w:rPr>
        <w:t>Process</w:t>
      </w:r>
      <w:r w:rsidR="00EB31CE" w:rsidRPr="00F41A73" w:rsidDel="00EB31CE">
        <w:rPr>
          <w:b/>
          <w:bCs/>
          <w:i/>
          <w:sz w:val="21"/>
          <w:szCs w:val="21"/>
        </w:rPr>
        <w:t xml:space="preserve"> </w:t>
      </w:r>
    </w:p>
    <w:p w14:paraId="457B62CF" w14:textId="4348E6EC" w:rsidR="006A509F" w:rsidRPr="003E2C60" w:rsidRDefault="006A509F" w:rsidP="008F2934">
      <w:pPr>
        <w:pStyle w:val="ListParagraph"/>
        <w:keepNext/>
        <w:numPr>
          <w:ilvl w:val="0"/>
          <w:numId w:val="12"/>
        </w:numPr>
        <w:tabs>
          <w:tab w:val="left" w:pos="284"/>
        </w:tabs>
        <w:suppressAutoHyphens w:val="0"/>
        <w:spacing w:before="200" w:after="0" w:line="280" w:lineRule="exact"/>
        <w:ind w:left="0" w:firstLine="0"/>
        <w:contextualSpacing w:val="0"/>
        <w:rPr>
          <w:sz w:val="21"/>
          <w:szCs w:val="21"/>
        </w:rPr>
      </w:pPr>
      <w:r w:rsidRPr="003E2C60">
        <w:rPr>
          <w:sz w:val="21"/>
          <w:szCs w:val="21"/>
        </w:rPr>
        <w:t xml:space="preserve">In </w:t>
      </w:r>
      <w:r w:rsidR="00406F84">
        <w:rPr>
          <w:sz w:val="21"/>
          <w:szCs w:val="21"/>
        </w:rPr>
        <w:t>Phase I</w:t>
      </w:r>
      <w:r w:rsidR="00E642BF" w:rsidRPr="003E2C60">
        <w:rPr>
          <w:sz w:val="21"/>
          <w:szCs w:val="21"/>
        </w:rPr>
        <w:t xml:space="preserve"> the ANGOs </w:t>
      </w:r>
      <w:r w:rsidRPr="003E2C60">
        <w:rPr>
          <w:sz w:val="21"/>
          <w:szCs w:val="21"/>
        </w:rPr>
        <w:t>decided which countries they would work in and which consortia and local partners they would work with</w:t>
      </w:r>
      <w:r w:rsidR="00E642BF" w:rsidRPr="003E2C60">
        <w:rPr>
          <w:sz w:val="21"/>
          <w:szCs w:val="21"/>
        </w:rPr>
        <w:t xml:space="preserve"> through the Disaster READY design process</w:t>
      </w:r>
      <w:r w:rsidRPr="003E2C60">
        <w:rPr>
          <w:sz w:val="21"/>
          <w:szCs w:val="21"/>
        </w:rPr>
        <w:t xml:space="preserve">. This approach will be maintained for </w:t>
      </w:r>
      <w:r w:rsidR="00406F84">
        <w:rPr>
          <w:sz w:val="21"/>
          <w:szCs w:val="21"/>
        </w:rPr>
        <w:t>Phase II</w:t>
      </w:r>
      <w:r w:rsidR="00F8444E" w:rsidRPr="003E2C60">
        <w:rPr>
          <w:sz w:val="21"/>
          <w:szCs w:val="21"/>
        </w:rPr>
        <w:t xml:space="preserve">, with </w:t>
      </w:r>
      <w:r w:rsidRPr="003E2C60">
        <w:rPr>
          <w:sz w:val="21"/>
          <w:szCs w:val="21"/>
        </w:rPr>
        <w:t xml:space="preserve">ANGOs </w:t>
      </w:r>
      <w:r w:rsidR="00E158EE" w:rsidRPr="003E2C60">
        <w:rPr>
          <w:sz w:val="21"/>
          <w:szCs w:val="21"/>
        </w:rPr>
        <w:t>controlling the</w:t>
      </w:r>
      <w:r w:rsidRPr="003E2C60">
        <w:rPr>
          <w:sz w:val="21"/>
          <w:szCs w:val="21"/>
        </w:rPr>
        <w:t xml:space="preserve"> </w:t>
      </w:r>
      <w:r w:rsidR="00E158EE" w:rsidRPr="003E2C60">
        <w:rPr>
          <w:sz w:val="21"/>
          <w:szCs w:val="21"/>
        </w:rPr>
        <w:t xml:space="preserve">choice </w:t>
      </w:r>
      <w:r w:rsidR="00244D72" w:rsidRPr="003E2C60">
        <w:rPr>
          <w:sz w:val="21"/>
          <w:szCs w:val="21"/>
        </w:rPr>
        <w:t xml:space="preserve">of countries </w:t>
      </w:r>
      <w:r w:rsidR="00E158EE" w:rsidRPr="003E2C60">
        <w:rPr>
          <w:sz w:val="21"/>
          <w:szCs w:val="21"/>
        </w:rPr>
        <w:t xml:space="preserve">and division of resources </w:t>
      </w:r>
      <w:r w:rsidR="0055460A">
        <w:rPr>
          <w:sz w:val="21"/>
          <w:szCs w:val="21"/>
        </w:rPr>
        <w:t>i</w:t>
      </w:r>
      <w:r w:rsidR="0055460A" w:rsidRPr="0055460A">
        <w:rPr>
          <w:sz w:val="21"/>
          <w:szCs w:val="21"/>
        </w:rPr>
        <w:t>n line with a shared locally led country analysis (by D</w:t>
      </w:r>
      <w:r w:rsidR="00C84E45">
        <w:rPr>
          <w:sz w:val="21"/>
          <w:szCs w:val="21"/>
        </w:rPr>
        <w:t>R</w:t>
      </w:r>
      <w:r w:rsidR="0055460A" w:rsidRPr="0055460A">
        <w:rPr>
          <w:sz w:val="21"/>
          <w:szCs w:val="21"/>
        </w:rPr>
        <w:t xml:space="preserve">CCs) </w:t>
      </w:r>
      <w:r w:rsidR="00E158EE" w:rsidRPr="003E2C60">
        <w:rPr>
          <w:sz w:val="21"/>
          <w:szCs w:val="21"/>
        </w:rPr>
        <w:t xml:space="preserve">based on </w:t>
      </w:r>
      <w:r w:rsidRPr="003E2C60">
        <w:rPr>
          <w:sz w:val="21"/>
          <w:szCs w:val="21"/>
        </w:rPr>
        <w:t>their existing partnership footprint, capacities, and opportunities, and building on their previous work.</w:t>
      </w:r>
    </w:p>
    <w:p w14:paraId="15A4E498" w14:textId="1AB78190" w:rsidR="00C07512" w:rsidRPr="003E2C60" w:rsidRDefault="0077145B" w:rsidP="00DB7D68">
      <w:pPr>
        <w:pStyle w:val="ListParagraph"/>
        <w:numPr>
          <w:ilvl w:val="0"/>
          <w:numId w:val="12"/>
        </w:numPr>
        <w:tabs>
          <w:tab w:val="left" w:pos="284"/>
        </w:tabs>
        <w:suppressAutoHyphens w:val="0"/>
        <w:spacing w:before="200" w:after="0" w:line="280" w:lineRule="exact"/>
        <w:ind w:left="0" w:firstLine="0"/>
        <w:contextualSpacing w:val="0"/>
        <w:rPr>
          <w:sz w:val="21"/>
          <w:szCs w:val="21"/>
        </w:rPr>
      </w:pPr>
      <w:r>
        <w:rPr>
          <w:sz w:val="21"/>
          <w:szCs w:val="21"/>
        </w:rPr>
        <w:t>This analysis will</w:t>
      </w:r>
      <w:r w:rsidR="00E158EE" w:rsidRPr="003E2C60">
        <w:rPr>
          <w:sz w:val="21"/>
          <w:szCs w:val="21"/>
        </w:rPr>
        <w:t xml:space="preserve"> be </w:t>
      </w:r>
      <w:r>
        <w:rPr>
          <w:sz w:val="21"/>
          <w:szCs w:val="21"/>
        </w:rPr>
        <w:t>conducted</w:t>
      </w:r>
      <w:r w:rsidRPr="003E2C60">
        <w:rPr>
          <w:sz w:val="21"/>
          <w:szCs w:val="21"/>
        </w:rPr>
        <w:t xml:space="preserve"> </w:t>
      </w:r>
      <w:r w:rsidR="00E158EE" w:rsidRPr="003E2C60">
        <w:rPr>
          <w:sz w:val="21"/>
          <w:szCs w:val="21"/>
        </w:rPr>
        <w:t xml:space="preserve">through </w:t>
      </w:r>
      <w:r w:rsidR="00C06A9C">
        <w:rPr>
          <w:sz w:val="21"/>
          <w:szCs w:val="21"/>
        </w:rPr>
        <w:t>the</w:t>
      </w:r>
      <w:r w:rsidR="00E158EE" w:rsidRPr="003E2C60">
        <w:rPr>
          <w:sz w:val="21"/>
          <w:szCs w:val="21"/>
        </w:rPr>
        <w:t xml:space="preserve"> Disaster READY </w:t>
      </w:r>
      <w:r w:rsidR="00CE3081">
        <w:rPr>
          <w:sz w:val="21"/>
          <w:szCs w:val="21"/>
        </w:rPr>
        <w:t xml:space="preserve">Phase II </w:t>
      </w:r>
      <w:r w:rsidR="00E158EE" w:rsidRPr="003E2C60">
        <w:rPr>
          <w:sz w:val="21"/>
          <w:szCs w:val="21"/>
        </w:rPr>
        <w:t>country</w:t>
      </w:r>
      <w:r w:rsidR="00313FDB">
        <w:rPr>
          <w:sz w:val="21"/>
          <w:szCs w:val="21"/>
        </w:rPr>
        <w:t xml:space="preserve"> </w:t>
      </w:r>
      <w:r w:rsidR="00E158EE" w:rsidRPr="003E2C60">
        <w:rPr>
          <w:sz w:val="21"/>
          <w:szCs w:val="21"/>
        </w:rPr>
        <w:t>planning process</w:t>
      </w:r>
      <w:r w:rsidR="0054109C" w:rsidRPr="003E2C60">
        <w:rPr>
          <w:sz w:val="21"/>
          <w:szCs w:val="21"/>
        </w:rPr>
        <w:t xml:space="preserve"> which </w:t>
      </w:r>
      <w:r w:rsidR="00C06A9C">
        <w:rPr>
          <w:sz w:val="21"/>
          <w:szCs w:val="21"/>
        </w:rPr>
        <w:t>is being</w:t>
      </w:r>
      <w:r w:rsidR="0054109C" w:rsidRPr="003E2C60">
        <w:rPr>
          <w:sz w:val="21"/>
          <w:szCs w:val="21"/>
        </w:rPr>
        <w:t xml:space="preserve"> </w:t>
      </w:r>
      <w:r w:rsidR="00AC2ECA" w:rsidRPr="003E2C60">
        <w:rPr>
          <w:sz w:val="21"/>
          <w:szCs w:val="21"/>
        </w:rPr>
        <w:t xml:space="preserve">facilitated by the AHPSU </w:t>
      </w:r>
      <w:r w:rsidR="0071395D">
        <w:rPr>
          <w:sz w:val="21"/>
          <w:szCs w:val="21"/>
        </w:rPr>
        <w:t>from January – September 2022</w:t>
      </w:r>
      <w:r w:rsidR="0054109C" w:rsidRPr="003E2C60">
        <w:rPr>
          <w:sz w:val="21"/>
          <w:szCs w:val="21"/>
        </w:rPr>
        <w:t xml:space="preserve">. </w:t>
      </w:r>
      <w:r w:rsidR="00150384" w:rsidRPr="003E2C60">
        <w:rPr>
          <w:sz w:val="21"/>
          <w:szCs w:val="21"/>
        </w:rPr>
        <w:t>This process will support</w:t>
      </w:r>
      <w:r w:rsidR="0054109C" w:rsidRPr="003E2C60">
        <w:rPr>
          <w:sz w:val="21"/>
          <w:szCs w:val="21"/>
        </w:rPr>
        <w:t xml:space="preserve"> </w:t>
      </w:r>
      <w:r w:rsidR="00C8278F" w:rsidRPr="003E2C60">
        <w:rPr>
          <w:sz w:val="21"/>
          <w:szCs w:val="21"/>
        </w:rPr>
        <w:t xml:space="preserve">the </w:t>
      </w:r>
      <w:r w:rsidR="00C84E45">
        <w:rPr>
          <w:sz w:val="21"/>
          <w:szCs w:val="21"/>
        </w:rPr>
        <w:t>DRCCs (</w:t>
      </w:r>
      <w:r w:rsidR="00F469B6">
        <w:rPr>
          <w:sz w:val="21"/>
          <w:szCs w:val="21"/>
        </w:rPr>
        <w:t xml:space="preserve">including local partners; </w:t>
      </w:r>
      <w:r w:rsidR="00C8278F" w:rsidRPr="003E2C60">
        <w:rPr>
          <w:sz w:val="21"/>
          <w:szCs w:val="21"/>
        </w:rPr>
        <w:t>see Governance below)</w:t>
      </w:r>
      <w:r w:rsidR="006A7D01" w:rsidRPr="003E2C60">
        <w:rPr>
          <w:sz w:val="21"/>
          <w:szCs w:val="21"/>
        </w:rPr>
        <w:t xml:space="preserve"> </w:t>
      </w:r>
      <w:r w:rsidR="00150384" w:rsidRPr="003E2C60">
        <w:rPr>
          <w:sz w:val="21"/>
          <w:szCs w:val="21"/>
        </w:rPr>
        <w:t>to</w:t>
      </w:r>
      <w:r w:rsidR="006A7D01" w:rsidRPr="003E2C60">
        <w:rPr>
          <w:sz w:val="21"/>
          <w:szCs w:val="21"/>
        </w:rPr>
        <w:t xml:space="preserve"> draft </w:t>
      </w:r>
      <w:r w:rsidR="0007539B">
        <w:rPr>
          <w:sz w:val="21"/>
          <w:szCs w:val="21"/>
        </w:rPr>
        <w:t>4.5-year</w:t>
      </w:r>
      <w:r w:rsidR="008366BB">
        <w:rPr>
          <w:sz w:val="21"/>
          <w:szCs w:val="21"/>
        </w:rPr>
        <w:t xml:space="preserve"> </w:t>
      </w:r>
      <w:r w:rsidR="004C5B2E" w:rsidRPr="003E2C60">
        <w:rPr>
          <w:sz w:val="21"/>
          <w:szCs w:val="21"/>
        </w:rPr>
        <w:t>C</w:t>
      </w:r>
      <w:r w:rsidR="00970C22" w:rsidRPr="003E2C60">
        <w:rPr>
          <w:sz w:val="21"/>
          <w:szCs w:val="21"/>
        </w:rPr>
        <w:t xml:space="preserve">ountry </w:t>
      </w:r>
      <w:r w:rsidR="004C5B2E" w:rsidRPr="003E2C60">
        <w:rPr>
          <w:sz w:val="21"/>
          <w:szCs w:val="21"/>
        </w:rPr>
        <w:t>P</w:t>
      </w:r>
      <w:r w:rsidR="002235DB" w:rsidRPr="003E2C60">
        <w:rPr>
          <w:sz w:val="21"/>
          <w:szCs w:val="21"/>
        </w:rPr>
        <w:t xml:space="preserve">lans </w:t>
      </w:r>
      <w:r w:rsidR="00970C22" w:rsidRPr="003E2C60">
        <w:rPr>
          <w:sz w:val="21"/>
          <w:szCs w:val="21"/>
        </w:rPr>
        <w:t>for each of the five focus countries</w:t>
      </w:r>
      <w:r w:rsidR="00715D65">
        <w:rPr>
          <w:sz w:val="21"/>
          <w:szCs w:val="21"/>
        </w:rPr>
        <w:t xml:space="preserve">, and ANGOs to draft </w:t>
      </w:r>
      <w:r w:rsidR="008366BB">
        <w:rPr>
          <w:sz w:val="21"/>
          <w:szCs w:val="21"/>
        </w:rPr>
        <w:t xml:space="preserve">annual </w:t>
      </w:r>
      <w:r w:rsidR="00715D65">
        <w:rPr>
          <w:sz w:val="21"/>
          <w:szCs w:val="21"/>
        </w:rPr>
        <w:t>Activity Plans that will contribute to the Country Plan</w:t>
      </w:r>
      <w:r w:rsidR="00C8278F" w:rsidRPr="003E2C60">
        <w:rPr>
          <w:sz w:val="21"/>
          <w:szCs w:val="21"/>
        </w:rPr>
        <w:t xml:space="preserve">. The </w:t>
      </w:r>
      <w:r w:rsidR="00715D65">
        <w:rPr>
          <w:sz w:val="21"/>
          <w:szCs w:val="21"/>
        </w:rPr>
        <w:t xml:space="preserve">Country </w:t>
      </w:r>
      <w:r w:rsidR="00C8278F" w:rsidRPr="003E2C60">
        <w:rPr>
          <w:sz w:val="21"/>
          <w:szCs w:val="21"/>
        </w:rPr>
        <w:t>Plans</w:t>
      </w:r>
      <w:r w:rsidR="00BF5F46" w:rsidRPr="003E2C60">
        <w:rPr>
          <w:sz w:val="21"/>
          <w:szCs w:val="21"/>
        </w:rPr>
        <w:t xml:space="preserve"> will</w:t>
      </w:r>
      <w:r w:rsidR="00FA3E7B" w:rsidRPr="003E2C60">
        <w:rPr>
          <w:sz w:val="21"/>
          <w:szCs w:val="21"/>
        </w:rPr>
        <w:t>:</w:t>
      </w:r>
      <w:r w:rsidR="00970C22" w:rsidRPr="003E2C60">
        <w:rPr>
          <w:sz w:val="21"/>
          <w:szCs w:val="21"/>
        </w:rPr>
        <w:t xml:space="preserve"> </w:t>
      </w:r>
    </w:p>
    <w:p w14:paraId="6E10768F" w14:textId="6D1C5F26" w:rsidR="00C07512" w:rsidRPr="003E2C60" w:rsidRDefault="00C07512" w:rsidP="0011591E">
      <w:pPr>
        <w:pStyle w:val="ListParagraph"/>
        <w:numPr>
          <w:ilvl w:val="0"/>
          <w:numId w:val="34"/>
        </w:numPr>
        <w:suppressAutoHyphens w:val="0"/>
        <w:spacing w:before="60" w:line="280" w:lineRule="exact"/>
        <w:contextualSpacing w:val="0"/>
        <w:rPr>
          <w:sz w:val="21"/>
          <w:szCs w:val="21"/>
        </w:rPr>
      </w:pPr>
      <w:r w:rsidRPr="003E2C60">
        <w:rPr>
          <w:sz w:val="21"/>
          <w:szCs w:val="21"/>
        </w:rPr>
        <w:t xml:space="preserve">Identify </w:t>
      </w:r>
      <w:r w:rsidR="00970C22" w:rsidRPr="003E2C60">
        <w:rPr>
          <w:sz w:val="21"/>
          <w:szCs w:val="21"/>
        </w:rPr>
        <w:t xml:space="preserve">which </w:t>
      </w:r>
      <w:r w:rsidR="0054109C" w:rsidRPr="003E2C60">
        <w:rPr>
          <w:sz w:val="21"/>
          <w:szCs w:val="21"/>
        </w:rPr>
        <w:t>A</w:t>
      </w:r>
      <w:r w:rsidR="00970C22" w:rsidRPr="003E2C60">
        <w:rPr>
          <w:sz w:val="21"/>
          <w:szCs w:val="21"/>
        </w:rPr>
        <w:t>NGOs will work in the country and their local partners;</w:t>
      </w:r>
    </w:p>
    <w:p w14:paraId="42AEB5CB" w14:textId="6B70629B" w:rsidR="00C07512" w:rsidRPr="003E2C60" w:rsidRDefault="00C00D68" w:rsidP="0011591E">
      <w:pPr>
        <w:pStyle w:val="ListParagraph"/>
        <w:numPr>
          <w:ilvl w:val="0"/>
          <w:numId w:val="34"/>
        </w:numPr>
        <w:suppressAutoHyphens w:val="0"/>
        <w:spacing w:before="60" w:line="280" w:lineRule="exact"/>
        <w:contextualSpacing w:val="0"/>
        <w:rPr>
          <w:sz w:val="21"/>
          <w:szCs w:val="21"/>
        </w:rPr>
      </w:pPr>
      <w:r w:rsidRPr="003E2C60">
        <w:rPr>
          <w:sz w:val="21"/>
          <w:szCs w:val="21"/>
        </w:rPr>
        <w:t xml:space="preserve">Confirm </w:t>
      </w:r>
      <w:r w:rsidR="006A105D" w:rsidRPr="003E2C60">
        <w:rPr>
          <w:sz w:val="21"/>
          <w:szCs w:val="21"/>
        </w:rPr>
        <w:t xml:space="preserve">the quantum of </w:t>
      </w:r>
      <w:r w:rsidR="00970C22" w:rsidRPr="003E2C60">
        <w:rPr>
          <w:sz w:val="21"/>
          <w:szCs w:val="21"/>
        </w:rPr>
        <w:t xml:space="preserve">funding </w:t>
      </w:r>
      <w:r w:rsidR="00812416" w:rsidRPr="003E2C60">
        <w:rPr>
          <w:sz w:val="21"/>
          <w:szCs w:val="21"/>
        </w:rPr>
        <w:t>ANGOs are</w:t>
      </w:r>
      <w:r w:rsidR="00417C31" w:rsidRPr="003E2C60">
        <w:rPr>
          <w:sz w:val="21"/>
          <w:szCs w:val="21"/>
        </w:rPr>
        <w:t xml:space="preserve"> allocat</w:t>
      </w:r>
      <w:r w:rsidR="00812416" w:rsidRPr="003E2C60">
        <w:rPr>
          <w:sz w:val="21"/>
          <w:szCs w:val="21"/>
        </w:rPr>
        <w:t>ing</w:t>
      </w:r>
      <w:r w:rsidR="00417C31" w:rsidRPr="003E2C60">
        <w:rPr>
          <w:sz w:val="21"/>
          <w:szCs w:val="21"/>
        </w:rPr>
        <w:t xml:space="preserve"> </w:t>
      </w:r>
      <w:r w:rsidRPr="003E2C60">
        <w:rPr>
          <w:sz w:val="21"/>
          <w:szCs w:val="21"/>
        </w:rPr>
        <w:t>per country</w:t>
      </w:r>
      <w:r w:rsidR="00970C22" w:rsidRPr="003E2C60">
        <w:rPr>
          <w:sz w:val="21"/>
          <w:szCs w:val="21"/>
        </w:rPr>
        <w:t xml:space="preserve">; </w:t>
      </w:r>
    </w:p>
    <w:p w14:paraId="6234C90C" w14:textId="45259115" w:rsidR="00C25CA1" w:rsidRPr="003E2C60" w:rsidRDefault="00BF5F46" w:rsidP="0011591E">
      <w:pPr>
        <w:pStyle w:val="ListParagraph"/>
        <w:numPr>
          <w:ilvl w:val="0"/>
          <w:numId w:val="34"/>
        </w:numPr>
        <w:suppressAutoHyphens w:val="0"/>
        <w:spacing w:before="60" w:line="280" w:lineRule="exact"/>
        <w:contextualSpacing w:val="0"/>
        <w:rPr>
          <w:sz w:val="21"/>
          <w:szCs w:val="21"/>
        </w:rPr>
      </w:pPr>
      <w:r w:rsidRPr="003E2C60">
        <w:rPr>
          <w:sz w:val="21"/>
          <w:szCs w:val="21"/>
        </w:rPr>
        <w:t>Set out</w:t>
      </w:r>
      <w:r w:rsidR="00C00D68" w:rsidRPr="003E2C60">
        <w:rPr>
          <w:sz w:val="21"/>
          <w:szCs w:val="21"/>
        </w:rPr>
        <w:t xml:space="preserve"> c</w:t>
      </w:r>
      <w:r w:rsidR="0097228A" w:rsidRPr="003E2C60">
        <w:rPr>
          <w:sz w:val="21"/>
          <w:szCs w:val="21"/>
        </w:rPr>
        <w:t>ountry specific priorities and strategies for each Intermediate Outcome</w:t>
      </w:r>
      <w:r w:rsidR="00C2118F">
        <w:rPr>
          <w:sz w:val="21"/>
          <w:szCs w:val="21"/>
        </w:rPr>
        <w:t xml:space="preserve"> and</w:t>
      </w:r>
      <w:r w:rsidR="00715D65">
        <w:rPr>
          <w:sz w:val="21"/>
          <w:szCs w:val="21"/>
        </w:rPr>
        <w:t xml:space="preserve"> GEDSI</w:t>
      </w:r>
      <w:r w:rsidR="0097228A" w:rsidRPr="003E2C60">
        <w:rPr>
          <w:sz w:val="21"/>
          <w:szCs w:val="21"/>
        </w:rPr>
        <w:t>, based on</w:t>
      </w:r>
      <w:r w:rsidR="00C25CA1" w:rsidRPr="003E2C60">
        <w:rPr>
          <w:sz w:val="21"/>
          <w:szCs w:val="21"/>
        </w:rPr>
        <w:t xml:space="preserve"> </w:t>
      </w:r>
      <w:r w:rsidR="0097228A" w:rsidRPr="003E2C60">
        <w:rPr>
          <w:sz w:val="21"/>
          <w:szCs w:val="21"/>
        </w:rPr>
        <w:t>a joint analysis of current country context for each area</w:t>
      </w:r>
      <w:r w:rsidR="0082397F" w:rsidRPr="003E2C60">
        <w:rPr>
          <w:sz w:val="21"/>
          <w:szCs w:val="21"/>
        </w:rPr>
        <w:t xml:space="preserve"> including</w:t>
      </w:r>
      <w:r w:rsidR="00C25CA1" w:rsidRPr="003E2C60">
        <w:rPr>
          <w:sz w:val="21"/>
          <w:szCs w:val="21"/>
        </w:rPr>
        <w:t>:</w:t>
      </w:r>
    </w:p>
    <w:p w14:paraId="1E8DA98D" w14:textId="245BA323" w:rsidR="00115882" w:rsidRDefault="00F62CB7" w:rsidP="0011591E">
      <w:pPr>
        <w:pStyle w:val="ListParagraph"/>
        <w:numPr>
          <w:ilvl w:val="1"/>
          <w:numId w:val="34"/>
        </w:numPr>
        <w:suppressAutoHyphens w:val="0"/>
        <w:spacing w:before="60" w:line="280" w:lineRule="exact"/>
        <w:contextualSpacing w:val="0"/>
        <w:rPr>
          <w:sz w:val="21"/>
          <w:szCs w:val="21"/>
        </w:rPr>
      </w:pPr>
      <w:r>
        <w:rPr>
          <w:sz w:val="21"/>
          <w:szCs w:val="21"/>
        </w:rPr>
        <w:t>a</w:t>
      </w:r>
      <w:r w:rsidR="00115882">
        <w:rPr>
          <w:sz w:val="21"/>
          <w:szCs w:val="21"/>
        </w:rPr>
        <w:t>n analysis of national policies and strategies</w:t>
      </w:r>
      <w:r w:rsidR="007E39C3">
        <w:rPr>
          <w:sz w:val="21"/>
          <w:szCs w:val="21"/>
        </w:rPr>
        <w:t>, and complementary initiatives</w:t>
      </w:r>
      <w:r w:rsidR="00115882">
        <w:rPr>
          <w:sz w:val="21"/>
          <w:szCs w:val="21"/>
        </w:rPr>
        <w:t>;</w:t>
      </w:r>
    </w:p>
    <w:p w14:paraId="6A53E78F" w14:textId="405BD881" w:rsidR="00C07512" w:rsidRPr="003E2C60" w:rsidRDefault="004A0528" w:rsidP="0011591E">
      <w:pPr>
        <w:pStyle w:val="ListParagraph"/>
        <w:numPr>
          <w:ilvl w:val="1"/>
          <w:numId w:val="34"/>
        </w:numPr>
        <w:suppressAutoHyphens w:val="0"/>
        <w:spacing w:before="60" w:line="280" w:lineRule="exact"/>
        <w:contextualSpacing w:val="0"/>
        <w:rPr>
          <w:sz w:val="21"/>
          <w:szCs w:val="21"/>
        </w:rPr>
      </w:pPr>
      <w:r w:rsidRPr="003E2C60">
        <w:rPr>
          <w:sz w:val="21"/>
          <w:szCs w:val="21"/>
        </w:rPr>
        <w:t>a</w:t>
      </w:r>
      <w:r w:rsidR="00C25CA1" w:rsidRPr="003E2C60">
        <w:rPr>
          <w:sz w:val="21"/>
          <w:szCs w:val="21"/>
        </w:rPr>
        <w:t xml:space="preserve"> stakeholder and geographic mapping of community vulnerability</w:t>
      </w:r>
      <w:r w:rsidR="00D10A9A">
        <w:rPr>
          <w:sz w:val="21"/>
          <w:szCs w:val="21"/>
        </w:rPr>
        <w:t xml:space="preserve"> and</w:t>
      </w:r>
      <w:r w:rsidR="00C25CA1" w:rsidRPr="003E2C60">
        <w:rPr>
          <w:sz w:val="21"/>
          <w:szCs w:val="21"/>
        </w:rPr>
        <w:t xml:space="preserve"> resilience </w:t>
      </w:r>
      <w:r w:rsidR="00AE023A" w:rsidRPr="003E2C60">
        <w:rPr>
          <w:sz w:val="21"/>
          <w:szCs w:val="21"/>
        </w:rPr>
        <w:t>including</w:t>
      </w:r>
      <w:r w:rsidR="005A60ED">
        <w:rPr>
          <w:sz w:val="21"/>
          <w:szCs w:val="21"/>
        </w:rPr>
        <w:t xml:space="preserve"> pandemic,</w:t>
      </w:r>
      <w:r w:rsidR="00AE023A" w:rsidRPr="003E2C60">
        <w:rPr>
          <w:sz w:val="21"/>
          <w:szCs w:val="21"/>
        </w:rPr>
        <w:t xml:space="preserve"> </w:t>
      </w:r>
      <w:r w:rsidR="0082397F" w:rsidRPr="003E2C60">
        <w:rPr>
          <w:sz w:val="21"/>
          <w:szCs w:val="21"/>
        </w:rPr>
        <w:t>climate risk and other hazard analysis</w:t>
      </w:r>
      <w:r w:rsidR="00D10A9A" w:rsidRPr="00D10A9A">
        <w:t xml:space="preserve"> </w:t>
      </w:r>
      <w:r w:rsidR="00D10A9A" w:rsidRPr="00D10A9A">
        <w:rPr>
          <w:sz w:val="21"/>
          <w:szCs w:val="21"/>
        </w:rPr>
        <w:t>primarily based on existing country-level risk assessments/profiles</w:t>
      </w:r>
      <w:r w:rsidR="00C07512" w:rsidRPr="003E2C60">
        <w:rPr>
          <w:sz w:val="21"/>
          <w:szCs w:val="21"/>
        </w:rPr>
        <w:t>;</w:t>
      </w:r>
    </w:p>
    <w:p w14:paraId="38CB5666" w14:textId="77777777" w:rsidR="00B30C4C" w:rsidRDefault="00BB6271" w:rsidP="0011591E">
      <w:pPr>
        <w:pStyle w:val="ListParagraph"/>
        <w:numPr>
          <w:ilvl w:val="1"/>
          <w:numId w:val="34"/>
        </w:numPr>
        <w:suppressAutoHyphens w:val="0"/>
        <w:spacing w:before="60" w:line="280" w:lineRule="exact"/>
        <w:contextualSpacing w:val="0"/>
        <w:rPr>
          <w:sz w:val="21"/>
          <w:szCs w:val="21"/>
        </w:rPr>
      </w:pPr>
      <w:r w:rsidRPr="003E2C60">
        <w:rPr>
          <w:sz w:val="21"/>
          <w:szCs w:val="21"/>
        </w:rPr>
        <w:t xml:space="preserve">an analysis of </w:t>
      </w:r>
      <w:r w:rsidR="00D20680" w:rsidRPr="003E2C60">
        <w:rPr>
          <w:sz w:val="21"/>
          <w:szCs w:val="21"/>
        </w:rPr>
        <w:t>capability on</w:t>
      </w:r>
      <w:r w:rsidR="0057703A" w:rsidRPr="003E2C60">
        <w:rPr>
          <w:sz w:val="21"/>
          <w:szCs w:val="21"/>
        </w:rPr>
        <w:t xml:space="preserve"> the localisation continuum</w:t>
      </w:r>
      <w:r w:rsidR="00940066">
        <w:rPr>
          <w:sz w:val="21"/>
          <w:szCs w:val="21"/>
        </w:rPr>
        <w:t xml:space="preserve"> (which will also </w:t>
      </w:r>
      <w:r w:rsidR="007A22B7">
        <w:rPr>
          <w:sz w:val="21"/>
          <w:szCs w:val="21"/>
        </w:rPr>
        <w:t>support</w:t>
      </w:r>
      <w:r w:rsidR="00940066">
        <w:rPr>
          <w:sz w:val="21"/>
          <w:szCs w:val="21"/>
        </w:rPr>
        <w:t xml:space="preserve"> the drafting of a Localisation Strategy</w:t>
      </w:r>
      <w:r w:rsidR="007A22B7">
        <w:rPr>
          <w:sz w:val="21"/>
          <w:szCs w:val="21"/>
        </w:rPr>
        <w:t xml:space="preserve"> outlined below)</w:t>
      </w:r>
      <w:r w:rsidR="0057703A" w:rsidRPr="003E2C60">
        <w:rPr>
          <w:sz w:val="21"/>
          <w:szCs w:val="21"/>
        </w:rPr>
        <w:t>;</w:t>
      </w:r>
      <w:r w:rsidR="00FD39FA" w:rsidRPr="003E2C60">
        <w:rPr>
          <w:sz w:val="21"/>
          <w:szCs w:val="21"/>
        </w:rPr>
        <w:t xml:space="preserve"> </w:t>
      </w:r>
    </w:p>
    <w:p w14:paraId="2CC823C4" w14:textId="7CCC1665" w:rsidR="00BB6271" w:rsidRPr="003E2C60" w:rsidRDefault="00B30C4C" w:rsidP="0011591E">
      <w:pPr>
        <w:pStyle w:val="ListParagraph"/>
        <w:numPr>
          <w:ilvl w:val="1"/>
          <w:numId w:val="34"/>
        </w:numPr>
        <w:suppressAutoHyphens w:val="0"/>
        <w:spacing w:before="60" w:line="280" w:lineRule="exact"/>
        <w:contextualSpacing w:val="0"/>
        <w:rPr>
          <w:sz w:val="21"/>
          <w:szCs w:val="21"/>
        </w:rPr>
      </w:pPr>
      <w:r>
        <w:rPr>
          <w:sz w:val="21"/>
          <w:szCs w:val="21"/>
        </w:rPr>
        <w:t xml:space="preserve">GEDSI analysis; </w:t>
      </w:r>
      <w:r w:rsidR="00FD39FA" w:rsidRPr="003E2C60">
        <w:rPr>
          <w:sz w:val="21"/>
          <w:szCs w:val="21"/>
        </w:rPr>
        <w:t>and</w:t>
      </w:r>
    </w:p>
    <w:p w14:paraId="779F5A4C" w14:textId="014805E6" w:rsidR="00FD39FA" w:rsidRPr="003E2C60" w:rsidRDefault="00FD39FA" w:rsidP="0011591E">
      <w:pPr>
        <w:pStyle w:val="ListParagraph"/>
        <w:numPr>
          <w:ilvl w:val="1"/>
          <w:numId w:val="34"/>
        </w:numPr>
        <w:suppressAutoHyphens w:val="0"/>
        <w:spacing w:before="60" w:line="280" w:lineRule="exact"/>
        <w:contextualSpacing w:val="0"/>
        <w:rPr>
          <w:sz w:val="21"/>
          <w:szCs w:val="21"/>
        </w:rPr>
      </w:pPr>
      <w:r w:rsidRPr="003E2C60">
        <w:rPr>
          <w:sz w:val="21"/>
          <w:szCs w:val="21"/>
        </w:rPr>
        <w:t>a SWOT analysis of national and sub-national coordination with humanitarian actors</w:t>
      </w:r>
      <w:r w:rsidR="00B17BDA">
        <w:rPr>
          <w:sz w:val="21"/>
          <w:szCs w:val="21"/>
        </w:rPr>
        <w:t xml:space="preserve"> (including government climate-relevant plans and processes)</w:t>
      </w:r>
      <w:r w:rsidR="000D6804" w:rsidRPr="003E2C60">
        <w:rPr>
          <w:sz w:val="21"/>
          <w:szCs w:val="21"/>
        </w:rPr>
        <w:t xml:space="preserve">; </w:t>
      </w:r>
    </w:p>
    <w:p w14:paraId="7BEC9357" w14:textId="147CD94D" w:rsidR="00C00D68" w:rsidRDefault="00C00D68" w:rsidP="0011591E">
      <w:pPr>
        <w:pStyle w:val="ListParagraph"/>
        <w:numPr>
          <w:ilvl w:val="0"/>
          <w:numId w:val="34"/>
        </w:numPr>
        <w:suppressAutoHyphens w:val="0"/>
        <w:spacing w:before="60" w:line="280" w:lineRule="exact"/>
        <w:contextualSpacing w:val="0"/>
        <w:rPr>
          <w:sz w:val="21"/>
          <w:szCs w:val="21"/>
        </w:rPr>
      </w:pPr>
      <w:r w:rsidRPr="003E2C60">
        <w:rPr>
          <w:sz w:val="21"/>
          <w:szCs w:val="21"/>
        </w:rPr>
        <w:t>C</w:t>
      </w:r>
      <w:r w:rsidR="00970C22" w:rsidRPr="003E2C60">
        <w:rPr>
          <w:sz w:val="21"/>
          <w:szCs w:val="21"/>
        </w:rPr>
        <w:t xml:space="preserve">ontextualise </w:t>
      </w:r>
      <w:r w:rsidR="0097228A" w:rsidRPr="003E2C60">
        <w:rPr>
          <w:sz w:val="21"/>
          <w:szCs w:val="21"/>
        </w:rPr>
        <w:t xml:space="preserve">and </w:t>
      </w:r>
      <w:r w:rsidR="00BF5F46" w:rsidRPr="003E2C60">
        <w:rPr>
          <w:sz w:val="21"/>
          <w:szCs w:val="21"/>
        </w:rPr>
        <w:t>confirm</w:t>
      </w:r>
      <w:r w:rsidR="0097228A" w:rsidRPr="003E2C60">
        <w:rPr>
          <w:sz w:val="21"/>
          <w:szCs w:val="21"/>
        </w:rPr>
        <w:t xml:space="preserve"> </w:t>
      </w:r>
      <w:r w:rsidR="00970C22" w:rsidRPr="003E2C60">
        <w:rPr>
          <w:sz w:val="21"/>
          <w:szCs w:val="21"/>
        </w:rPr>
        <w:t xml:space="preserve">the </w:t>
      </w:r>
      <w:r w:rsidR="00FA3E7B" w:rsidRPr="003E2C60">
        <w:rPr>
          <w:sz w:val="21"/>
          <w:szCs w:val="21"/>
        </w:rPr>
        <w:t>DRCC</w:t>
      </w:r>
      <w:r w:rsidR="00970C22" w:rsidRPr="003E2C60">
        <w:rPr>
          <w:sz w:val="21"/>
          <w:szCs w:val="21"/>
        </w:rPr>
        <w:t xml:space="preserve"> </w:t>
      </w:r>
      <w:r w:rsidR="001B0F50" w:rsidRPr="003E2C60">
        <w:rPr>
          <w:sz w:val="21"/>
          <w:szCs w:val="21"/>
        </w:rPr>
        <w:t xml:space="preserve">TORs </w:t>
      </w:r>
      <w:r w:rsidR="00A0284C">
        <w:rPr>
          <w:sz w:val="21"/>
          <w:szCs w:val="21"/>
        </w:rPr>
        <w:t xml:space="preserve">and </w:t>
      </w:r>
      <w:r w:rsidR="00D253FD" w:rsidRPr="003E2C60">
        <w:rPr>
          <w:sz w:val="21"/>
          <w:szCs w:val="21"/>
        </w:rPr>
        <w:t>ANGO responsibilit</w:t>
      </w:r>
      <w:r w:rsidR="00CE0C9E">
        <w:rPr>
          <w:sz w:val="21"/>
          <w:szCs w:val="21"/>
        </w:rPr>
        <w:t>ies,</w:t>
      </w:r>
      <w:r w:rsidR="00D253FD" w:rsidRPr="003E2C60">
        <w:rPr>
          <w:sz w:val="21"/>
          <w:szCs w:val="21"/>
        </w:rPr>
        <w:t xml:space="preserve"> TORs </w:t>
      </w:r>
      <w:r w:rsidR="001B0F50" w:rsidRPr="003E2C60">
        <w:rPr>
          <w:sz w:val="21"/>
          <w:szCs w:val="21"/>
        </w:rPr>
        <w:t>for the Coordinator, MEL and Communications positions</w:t>
      </w:r>
      <w:r w:rsidR="00395D3B" w:rsidRPr="003E2C60">
        <w:rPr>
          <w:sz w:val="21"/>
          <w:szCs w:val="21"/>
        </w:rPr>
        <w:t xml:space="preserve">, </w:t>
      </w:r>
      <w:r w:rsidR="001B0F50" w:rsidRPr="003E2C60">
        <w:rPr>
          <w:sz w:val="21"/>
          <w:szCs w:val="21"/>
        </w:rPr>
        <w:t>and a</w:t>
      </w:r>
      <w:r w:rsidR="000E6CAB" w:rsidRPr="003E2C60">
        <w:rPr>
          <w:sz w:val="21"/>
          <w:szCs w:val="21"/>
        </w:rPr>
        <w:t xml:space="preserve">n estimated </w:t>
      </w:r>
      <w:r w:rsidR="00CE0C9E">
        <w:rPr>
          <w:sz w:val="21"/>
          <w:szCs w:val="21"/>
        </w:rPr>
        <w:t>Y</w:t>
      </w:r>
      <w:r w:rsidR="001D69F2" w:rsidRPr="003E2C60">
        <w:rPr>
          <w:sz w:val="21"/>
          <w:szCs w:val="21"/>
        </w:rPr>
        <w:t xml:space="preserve">ear 1 </w:t>
      </w:r>
      <w:r w:rsidR="0097228A" w:rsidRPr="003E2C60">
        <w:rPr>
          <w:sz w:val="21"/>
          <w:szCs w:val="21"/>
        </w:rPr>
        <w:t>budget</w:t>
      </w:r>
      <w:r w:rsidR="00395D3B" w:rsidRPr="003E2C60">
        <w:rPr>
          <w:sz w:val="21"/>
          <w:szCs w:val="21"/>
        </w:rPr>
        <w:t xml:space="preserve"> for </w:t>
      </w:r>
      <w:r w:rsidR="001B0F50" w:rsidRPr="003E2C60">
        <w:rPr>
          <w:sz w:val="21"/>
          <w:szCs w:val="21"/>
        </w:rPr>
        <w:t xml:space="preserve">the </w:t>
      </w:r>
      <w:r w:rsidR="00395D3B" w:rsidRPr="003E2C60">
        <w:rPr>
          <w:sz w:val="21"/>
          <w:szCs w:val="21"/>
        </w:rPr>
        <w:t>DRCC funds</w:t>
      </w:r>
      <w:r w:rsidR="001B0F50" w:rsidRPr="003E2C60">
        <w:rPr>
          <w:sz w:val="21"/>
          <w:szCs w:val="21"/>
        </w:rPr>
        <w:t>.</w:t>
      </w:r>
    </w:p>
    <w:p w14:paraId="03FF2BB3" w14:textId="0427AE50" w:rsidR="009857D4" w:rsidRPr="003E2C60" w:rsidRDefault="00B30C4C" w:rsidP="0011591E">
      <w:pPr>
        <w:pStyle w:val="ListParagraph"/>
        <w:numPr>
          <w:ilvl w:val="0"/>
          <w:numId w:val="34"/>
        </w:numPr>
        <w:suppressAutoHyphens w:val="0"/>
        <w:spacing w:before="60" w:line="280" w:lineRule="exact"/>
        <w:contextualSpacing w:val="0"/>
        <w:rPr>
          <w:sz w:val="21"/>
          <w:szCs w:val="21"/>
        </w:rPr>
      </w:pPr>
      <w:r>
        <w:rPr>
          <w:sz w:val="21"/>
          <w:szCs w:val="21"/>
        </w:rPr>
        <w:t>Identify</w:t>
      </w:r>
      <w:r w:rsidR="009857D4">
        <w:rPr>
          <w:sz w:val="21"/>
          <w:szCs w:val="21"/>
        </w:rPr>
        <w:t xml:space="preserve"> local partners or specialist technical expertise that may be required to be invited into consortia or partnerships to achieve intended outcomes.</w:t>
      </w:r>
    </w:p>
    <w:p w14:paraId="41CA15EA" w14:textId="100758AE" w:rsidR="009958EB" w:rsidRPr="003E2C60" w:rsidRDefault="009958EB" w:rsidP="00D8588E">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t xml:space="preserve"> </w:t>
      </w:r>
      <w:r w:rsidR="00CB3199">
        <w:rPr>
          <w:sz w:val="21"/>
          <w:szCs w:val="21"/>
        </w:rPr>
        <w:t>T</w:t>
      </w:r>
      <w:r w:rsidR="00CB3199" w:rsidRPr="00C8114C">
        <w:rPr>
          <w:sz w:val="21"/>
          <w:szCs w:val="21"/>
        </w:rPr>
        <w:t xml:space="preserve">he </w:t>
      </w:r>
      <w:r w:rsidR="00CE3081">
        <w:rPr>
          <w:sz w:val="21"/>
          <w:szCs w:val="21"/>
        </w:rPr>
        <w:t xml:space="preserve">Phase II </w:t>
      </w:r>
      <w:r w:rsidR="00CB3199" w:rsidRPr="00C8114C">
        <w:rPr>
          <w:sz w:val="21"/>
          <w:szCs w:val="21"/>
        </w:rPr>
        <w:t>country planning process will be delivered in line with a set of fit for purpose guidelines</w:t>
      </w:r>
      <w:r w:rsidR="000701E4" w:rsidRPr="000701E4">
        <w:rPr>
          <w:sz w:val="21"/>
          <w:szCs w:val="21"/>
        </w:rPr>
        <w:t xml:space="preserve"> </w:t>
      </w:r>
      <w:r w:rsidR="000701E4">
        <w:rPr>
          <w:sz w:val="21"/>
          <w:szCs w:val="21"/>
        </w:rPr>
        <w:t xml:space="preserve">developed by the </w:t>
      </w:r>
      <w:r w:rsidR="000701E4" w:rsidRPr="003E2C60">
        <w:rPr>
          <w:sz w:val="21"/>
          <w:szCs w:val="21"/>
        </w:rPr>
        <w:t>facilitation team</w:t>
      </w:r>
      <w:r w:rsidR="000701E4">
        <w:rPr>
          <w:sz w:val="21"/>
          <w:szCs w:val="21"/>
        </w:rPr>
        <w:t xml:space="preserve">, </w:t>
      </w:r>
      <w:r w:rsidR="00CB3199">
        <w:rPr>
          <w:sz w:val="21"/>
          <w:szCs w:val="21"/>
        </w:rPr>
        <w:t>which will define key terms and</w:t>
      </w:r>
      <w:r w:rsidR="00CB3199" w:rsidRPr="00C8114C">
        <w:rPr>
          <w:sz w:val="21"/>
          <w:szCs w:val="21"/>
        </w:rPr>
        <w:t xml:space="preserve"> be developed in line with the </w:t>
      </w:r>
      <w:r w:rsidR="000701E4">
        <w:rPr>
          <w:sz w:val="21"/>
          <w:szCs w:val="21"/>
        </w:rPr>
        <w:t>parameters</w:t>
      </w:r>
      <w:r w:rsidR="00CB3199" w:rsidRPr="00C8114C">
        <w:rPr>
          <w:sz w:val="21"/>
          <w:szCs w:val="21"/>
        </w:rPr>
        <w:t xml:space="preserve"> provided in this design.</w:t>
      </w:r>
      <w:r w:rsidR="00CB3199">
        <w:rPr>
          <w:sz w:val="21"/>
          <w:szCs w:val="21"/>
        </w:rPr>
        <w:t xml:space="preserve"> </w:t>
      </w:r>
      <w:r w:rsidRPr="003E2C60">
        <w:rPr>
          <w:sz w:val="21"/>
          <w:szCs w:val="21"/>
        </w:rPr>
        <w:t>The facilitation team</w:t>
      </w:r>
      <w:r w:rsidR="00D8588E" w:rsidRPr="003E2C60">
        <w:rPr>
          <w:sz w:val="21"/>
          <w:szCs w:val="21"/>
        </w:rPr>
        <w:t xml:space="preserve"> </w:t>
      </w:r>
      <w:r w:rsidRPr="003E2C60">
        <w:rPr>
          <w:sz w:val="21"/>
          <w:szCs w:val="21"/>
        </w:rPr>
        <w:t xml:space="preserve">will include </w:t>
      </w:r>
      <w:r w:rsidR="00BC621E" w:rsidRPr="003E2C60">
        <w:rPr>
          <w:sz w:val="21"/>
          <w:szCs w:val="21"/>
        </w:rPr>
        <w:t xml:space="preserve">a Facilitation Lead with design and partnership brokering expertise, a MEL Specialist, </w:t>
      </w:r>
      <w:r w:rsidR="0001539A" w:rsidRPr="003E2C60">
        <w:rPr>
          <w:sz w:val="21"/>
          <w:szCs w:val="21"/>
        </w:rPr>
        <w:t>a Resilience and CCA Adviser</w:t>
      </w:r>
      <w:r w:rsidR="00C857A2">
        <w:rPr>
          <w:sz w:val="21"/>
          <w:szCs w:val="21"/>
        </w:rPr>
        <w:t xml:space="preserve"> (provided by the </w:t>
      </w:r>
      <w:r w:rsidR="00933D0C">
        <w:rPr>
          <w:sz w:val="21"/>
          <w:szCs w:val="21"/>
        </w:rPr>
        <w:t>APCP</w:t>
      </w:r>
      <w:r w:rsidR="00C857A2">
        <w:rPr>
          <w:sz w:val="21"/>
          <w:szCs w:val="21"/>
        </w:rPr>
        <w:t>)</w:t>
      </w:r>
      <w:r w:rsidR="00BA3AB0">
        <w:rPr>
          <w:sz w:val="21"/>
          <w:szCs w:val="21"/>
        </w:rPr>
        <w:t xml:space="preserve"> and other specialists as required. Local facilitators will also be engaged in each country to support the DRCC’s planning</w:t>
      </w:r>
      <w:r w:rsidR="0001539A" w:rsidRPr="003E2C60">
        <w:rPr>
          <w:sz w:val="21"/>
          <w:szCs w:val="21"/>
        </w:rPr>
        <w:t>.</w:t>
      </w:r>
      <w:r w:rsidR="00C8114C">
        <w:rPr>
          <w:sz w:val="21"/>
          <w:szCs w:val="21"/>
        </w:rPr>
        <w:t xml:space="preserve"> </w:t>
      </w:r>
      <w:r w:rsidR="00715D65" w:rsidRPr="00715D65">
        <w:rPr>
          <w:sz w:val="21"/>
          <w:szCs w:val="21"/>
        </w:rPr>
        <w:t xml:space="preserve">OPDs </w:t>
      </w:r>
      <w:r w:rsidR="005C6DF5">
        <w:rPr>
          <w:sz w:val="21"/>
          <w:szCs w:val="21"/>
        </w:rPr>
        <w:t>will be included in the planning process</w:t>
      </w:r>
      <w:r w:rsidR="00933D0C">
        <w:rPr>
          <w:sz w:val="21"/>
          <w:szCs w:val="21"/>
        </w:rPr>
        <w:t xml:space="preserve"> in each country as part of DRCCs, with other </w:t>
      </w:r>
      <w:r w:rsidR="00F469B6">
        <w:rPr>
          <w:sz w:val="21"/>
          <w:szCs w:val="21"/>
        </w:rPr>
        <w:t>relevant stakeholders</w:t>
      </w:r>
      <w:r w:rsidR="00AA2AF1">
        <w:rPr>
          <w:sz w:val="21"/>
          <w:szCs w:val="21"/>
        </w:rPr>
        <w:t xml:space="preserve"> such as NDMOs</w:t>
      </w:r>
      <w:r w:rsidR="00F469B6">
        <w:rPr>
          <w:sz w:val="21"/>
          <w:szCs w:val="21"/>
        </w:rPr>
        <w:t xml:space="preserve"> included as appropriate to the context</w:t>
      </w:r>
      <w:r w:rsidR="00715D65" w:rsidRPr="00715D65">
        <w:rPr>
          <w:sz w:val="21"/>
          <w:szCs w:val="21"/>
        </w:rPr>
        <w:t>.</w:t>
      </w:r>
      <w:r w:rsidR="00715D65" w:rsidRPr="00715D65" w:rsidDel="00CB3199">
        <w:rPr>
          <w:sz w:val="21"/>
          <w:szCs w:val="21"/>
        </w:rPr>
        <w:t xml:space="preserve"> </w:t>
      </w:r>
    </w:p>
    <w:p w14:paraId="2DC36ADA" w14:textId="4396673B" w:rsidR="00D8588E" w:rsidRPr="00E84454" w:rsidRDefault="00D8588E" w:rsidP="00E84454">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sidRPr="003E2C60">
        <w:rPr>
          <w:sz w:val="21"/>
          <w:szCs w:val="21"/>
        </w:rPr>
        <w:t xml:space="preserve">Similar to Phase </w:t>
      </w:r>
      <w:r w:rsidR="00313FDB">
        <w:rPr>
          <w:sz w:val="21"/>
          <w:szCs w:val="21"/>
        </w:rPr>
        <w:t>I</w:t>
      </w:r>
      <w:r w:rsidRPr="003E2C60">
        <w:rPr>
          <w:sz w:val="21"/>
          <w:szCs w:val="21"/>
        </w:rPr>
        <w:t>, there will remain an overall funding limit of $5</w:t>
      </w:r>
      <w:r w:rsidR="000D6804" w:rsidRPr="003E2C60">
        <w:rPr>
          <w:sz w:val="21"/>
          <w:szCs w:val="21"/>
        </w:rPr>
        <w:t xml:space="preserve"> million</w:t>
      </w:r>
      <w:r w:rsidRPr="003E2C60">
        <w:rPr>
          <w:sz w:val="21"/>
          <w:szCs w:val="21"/>
        </w:rPr>
        <w:t xml:space="preserve"> to PNG </w:t>
      </w:r>
      <w:r w:rsidR="000D6804" w:rsidRPr="003E2C60">
        <w:rPr>
          <w:sz w:val="21"/>
          <w:szCs w:val="21"/>
        </w:rPr>
        <w:t xml:space="preserve">in Phase </w:t>
      </w:r>
      <w:r w:rsidR="00313FDB">
        <w:rPr>
          <w:sz w:val="21"/>
          <w:szCs w:val="21"/>
        </w:rPr>
        <w:t>II</w:t>
      </w:r>
      <w:r w:rsidR="000D6804" w:rsidRPr="003E2C60">
        <w:rPr>
          <w:sz w:val="21"/>
          <w:szCs w:val="21"/>
        </w:rPr>
        <w:t xml:space="preserve"> </w:t>
      </w:r>
      <w:r w:rsidRPr="003E2C60">
        <w:rPr>
          <w:sz w:val="21"/>
          <w:szCs w:val="21"/>
        </w:rPr>
        <w:t>to ensure resources are not too heavily weighted</w:t>
      </w:r>
      <w:r w:rsidRPr="003E2C60">
        <w:rPr>
          <w:iCs/>
          <w:sz w:val="21"/>
          <w:szCs w:val="21"/>
        </w:rPr>
        <w:t xml:space="preserve"> to this larger country given the potential scale and need that could overwhelm the resources available.</w:t>
      </w:r>
      <w:r w:rsidRPr="003E2C60">
        <w:rPr>
          <w:sz w:val="21"/>
          <w:szCs w:val="21"/>
        </w:rPr>
        <w:t xml:space="preserve"> </w:t>
      </w:r>
      <w:r w:rsidRPr="003E2C60">
        <w:rPr>
          <w:iCs/>
          <w:sz w:val="21"/>
          <w:szCs w:val="21"/>
        </w:rPr>
        <w:t>The budget for PNG may be increased should further funding from bilateral or other sources become available</w:t>
      </w:r>
      <w:r w:rsidR="00E84454">
        <w:rPr>
          <w:iCs/>
          <w:sz w:val="21"/>
          <w:szCs w:val="21"/>
        </w:rPr>
        <w:t xml:space="preserve">. </w:t>
      </w:r>
      <w:r w:rsidR="00E14A6E">
        <w:rPr>
          <w:iCs/>
          <w:sz w:val="21"/>
          <w:szCs w:val="21"/>
        </w:rPr>
        <w:t>Any</w:t>
      </w:r>
      <w:r w:rsidR="00E3346D" w:rsidRPr="00E84454">
        <w:rPr>
          <w:iCs/>
          <w:sz w:val="21"/>
          <w:szCs w:val="21"/>
        </w:rPr>
        <w:t xml:space="preserve"> funding for</w:t>
      </w:r>
      <w:r w:rsidRPr="00E84454">
        <w:rPr>
          <w:iCs/>
          <w:sz w:val="21"/>
          <w:szCs w:val="21"/>
        </w:rPr>
        <w:t xml:space="preserve"> regional activities, which are defined as activities </w:t>
      </w:r>
      <w:r w:rsidR="00D962CF" w:rsidRPr="00E84454">
        <w:rPr>
          <w:iCs/>
          <w:sz w:val="21"/>
          <w:szCs w:val="21"/>
        </w:rPr>
        <w:t>which</w:t>
      </w:r>
      <w:r w:rsidR="00891C55" w:rsidRPr="00E84454">
        <w:rPr>
          <w:iCs/>
          <w:sz w:val="21"/>
          <w:szCs w:val="21"/>
        </w:rPr>
        <w:t xml:space="preserve"> will </w:t>
      </w:r>
      <w:r w:rsidR="00C8113B" w:rsidRPr="00E84454">
        <w:rPr>
          <w:iCs/>
          <w:sz w:val="21"/>
          <w:szCs w:val="21"/>
        </w:rPr>
        <w:t>benefit non-</w:t>
      </w:r>
      <w:r w:rsidR="00570E45" w:rsidRPr="00E84454">
        <w:rPr>
          <w:iCs/>
          <w:sz w:val="21"/>
          <w:szCs w:val="21"/>
        </w:rPr>
        <w:t>DR countries</w:t>
      </w:r>
      <w:r w:rsidR="00F76BE5" w:rsidRPr="00E84454">
        <w:rPr>
          <w:iCs/>
          <w:sz w:val="21"/>
          <w:szCs w:val="21"/>
        </w:rPr>
        <w:t xml:space="preserve"> as well as DR countries</w:t>
      </w:r>
      <w:r w:rsidR="00E14A6E">
        <w:rPr>
          <w:iCs/>
          <w:sz w:val="21"/>
          <w:szCs w:val="21"/>
        </w:rPr>
        <w:t xml:space="preserve"> will be negotiated on a </w:t>
      </w:r>
      <w:r w:rsidR="0007539B">
        <w:rPr>
          <w:iCs/>
          <w:sz w:val="21"/>
          <w:szCs w:val="21"/>
        </w:rPr>
        <w:t>case-by-case</w:t>
      </w:r>
      <w:r w:rsidR="00E14A6E">
        <w:rPr>
          <w:iCs/>
          <w:sz w:val="21"/>
          <w:szCs w:val="21"/>
        </w:rPr>
        <w:t xml:space="preserve"> basis</w:t>
      </w:r>
      <w:r w:rsidRPr="00E84454">
        <w:rPr>
          <w:iCs/>
          <w:sz w:val="21"/>
          <w:szCs w:val="21"/>
        </w:rPr>
        <w:t xml:space="preserve">. </w:t>
      </w:r>
      <w:r w:rsidR="00A64A15" w:rsidRPr="00E84454">
        <w:rPr>
          <w:iCs/>
          <w:sz w:val="21"/>
          <w:szCs w:val="21"/>
        </w:rPr>
        <w:t xml:space="preserve">The contribution of </w:t>
      </w:r>
      <w:r w:rsidR="00E14A6E">
        <w:rPr>
          <w:iCs/>
          <w:sz w:val="21"/>
          <w:szCs w:val="21"/>
        </w:rPr>
        <w:t>any</w:t>
      </w:r>
      <w:r w:rsidR="00FD5961" w:rsidRPr="00E84454">
        <w:rPr>
          <w:iCs/>
          <w:sz w:val="21"/>
          <w:szCs w:val="21"/>
        </w:rPr>
        <w:t xml:space="preserve"> </w:t>
      </w:r>
      <w:r w:rsidR="00A64A15" w:rsidRPr="00E84454">
        <w:rPr>
          <w:iCs/>
          <w:sz w:val="21"/>
          <w:szCs w:val="21"/>
        </w:rPr>
        <w:t>regional activities</w:t>
      </w:r>
      <w:r w:rsidR="00F86733" w:rsidRPr="00E84454">
        <w:rPr>
          <w:iCs/>
          <w:sz w:val="21"/>
          <w:szCs w:val="21"/>
        </w:rPr>
        <w:t xml:space="preserve"> in DR countries must be articulated in</w:t>
      </w:r>
      <w:r w:rsidR="007532EC" w:rsidRPr="00E84454">
        <w:rPr>
          <w:iCs/>
          <w:sz w:val="21"/>
          <w:szCs w:val="21"/>
        </w:rPr>
        <w:t xml:space="preserve"> </w:t>
      </w:r>
      <w:r w:rsidR="00F86733" w:rsidRPr="00E84454">
        <w:rPr>
          <w:iCs/>
          <w:sz w:val="21"/>
          <w:szCs w:val="21"/>
        </w:rPr>
        <w:t xml:space="preserve">the relevant country </w:t>
      </w:r>
      <w:r w:rsidR="00564D1A" w:rsidRPr="00E84454">
        <w:rPr>
          <w:iCs/>
          <w:sz w:val="21"/>
          <w:szCs w:val="21"/>
        </w:rPr>
        <w:t>A</w:t>
      </w:r>
      <w:r w:rsidRPr="00E84454">
        <w:rPr>
          <w:iCs/>
          <w:sz w:val="21"/>
          <w:szCs w:val="21"/>
        </w:rPr>
        <w:t xml:space="preserve">ctivity </w:t>
      </w:r>
      <w:r w:rsidR="00564D1A" w:rsidRPr="00E84454">
        <w:rPr>
          <w:iCs/>
          <w:sz w:val="21"/>
          <w:szCs w:val="21"/>
        </w:rPr>
        <w:t>P</w:t>
      </w:r>
      <w:r w:rsidRPr="00E84454">
        <w:rPr>
          <w:iCs/>
          <w:sz w:val="21"/>
          <w:szCs w:val="21"/>
        </w:rPr>
        <w:t>lans.</w:t>
      </w:r>
    </w:p>
    <w:p w14:paraId="20153CA4" w14:textId="3A602EA0" w:rsidR="00D62D3C" w:rsidRPr="00087210" w:rsidRDefault="00D62D3C" w:rsidP="00A0284C">
      <w:pPr>
        <w:pStyle w:val="ListParagraph"/>
        <w:keepNext/>
        <w:tabs>
          <w:tab w:val="left" w:pos="284"/>
        </w:tabs>
        <w:suppressAutoHyphens w:val="0"/>
        <w:spacing w:before="200" w:after="0" w:line="280" w:lineRule="exact"/>
        <w:ind w:left="0"/>
        <w:contextualSpacing w:val="0"/>
        <w:rPr>
          <w:b/>
          <w:bCs/>
          <w:i/>
          <w:sz w:val="21"/>
          <w:szCs w:val="21"/>
        </w:rPr>
      </w:pPr>
      <w:r w:rsidRPr="00087210">
        <w:rPr>
          <w:b/>
          <w:bCs/>
          <w:i/>
          <w:sz w:val="21"/>
          <w:szCs w:val="21"/>
        </w:rPr>
        <w:lastRenderedPageBreak/>
        <w:t>Localisation and Learning</w:t>
      </w:r>
    </w:p>
    <w:p w14:paraId="60FA633D" w14:textId="4CA10B17" w:rsidR="00416660" w:rsidRPr="003E2C60" w:rsidRDefault="00D8588E" w:rsidP="00A0284C">
      <w:pPr>
        <w:pStyle w:val="ListParagraph"/>
        <w:keepNext/>
        <w:numPr>
          <w:ilvl w:val="0"/>
          <w:numId w:val="12"/>
        </w:numPr>
        <w:tabs>
          <w:tab w:val="left" w:pos="284"/>
        </w:tabs>
        <w:suppressAutoHyphens w:val="0"/>
        <w:spacing w:before="200" w:after="0" w:line="280" w:lineRule="exact"/>
        <w:ind w:left="0" w:firstLine="0"/>
        <w:contextualSpacing w:val="0"/>
        <w:rPr>
          <w:sz w:val="21"/>
          <w:szCs w:val="21"/>
        </w:rPr>
      </w:pPr>
      <w:r w:rsidRPr="003E2C60">
        <w:rPr>
          <w:sz w:val="21"/>
          <w:szCs w:val="21"/>
        </w:rPr>
        <w:t xml:space="preserve"> </w:t>
      </w:r>
      <w:r w:rsidR="00F534F0" w:rsidRPr="003E2C60">
        <w:rPr>
          <w:sz w:val="21"/>
          <w:szCs w:val="21"/>
        </w:rPr>
        <w:t xml:space="preserve">In addition to the Country Plans, DRCCs will be responsible for delivering </w:t>
      </w:r>
      <w:r w:rsidR="00BE1F1F" w:rsidRPr="003E2C60">
        <w:rPr>
          <w:sz w:val="21"/>
          <w:szCs w:val="21"/>
        </w:rPr>
        <w:t xml:space="preserve">a series of deliverables </w:t>
      </w:r>
      <w:r w:rsidR="00F534F0" w:rsidRPr="003E2C60">
        <w:rPr>
          <w:sz w:val="21"/>
          <w:szCs w:val="21"/>
        </w:rPr>
        <w:t xml:space="preserve">in early implementation </w:t>
      </w:r>
      <w:r w:rsidR="00BE1F1F" w:rsidRPr="003E2C60">
        <w:rPr>
          <w:sz w:val="21"/>
          <w:szCs w:val="21"/>
        </w:rPr>
        <w:t xml:space="preserve">including </w:t>
      </w:r>
      <w:r w:rsidR="00891C55">
        <w:rPr>
          <w:sz w:val="21"/>
          <w:szCs w:val="21"/>
        </w:rPr>
        <w:t>development of a</w:t>
      </w:r>
      <w:r w:rsidR="00DA12F8" w:rsidRPr="003E2C60">
        <w:rPr>
          <w:sz w:val="21"/>
          <w:szCs w:val="21"/>
        </w:rPr>
        <w:t xml:space="preserve"> country-level</w:t>
      </w:r>
      <w:r w:rsidR="00BE1F1F" w:rsidRPr="003E2C60">
        <w:rPr>
          <w:sz w:val="21"/>
          <w:szCs w:val="21"/>
        </w:rPr>
        <w:t xml:space="preserve"> </w:t>
      </w:r>
      <w:r w:rsidR="00861213" w:rsidRPr="003E2C60">
        <w:rPr>
          <w:sz w:val="21"/>
          <w:szCs w:val="21"/>
        </w:rPr>
        <w:t xml:space="preserve">Localisation </w:t>
      </w:r>
      <w:r w:rsidR="00F534F0" w:rsidRPr="003E2C60">
        <w:rPr>
          <w:sz w:val="21"/>
          <w:szCs w:val="21"/>
        </w:rPr>
        <w:t>S</w:t>
      </w:r>
      <w:r w:rsidR="00861213" w:rsidRPr="003E2C60">
        <w:rPr>
          <w:sz w:val="21"/>
          <w:szCs w:val="21"/>
        </w:rPr>
        <w:t xml:space="preserve">trategy and </w:t>
      </w:r>
      <w:r w:rsidR="00F534F0" w:rsidRPr="003E2C60">
        <w:rPr>
          <w:sz w:val="21"/>
          <w:szCs w:val="21"/>
        </w:rPr>
        <w:t>L</w:t>
      </w:r>
      <w:r w:rsidR="00395D3B" w:rsidRPr="003E2C60">
        <w:rPr>
          <w:sz w:val="21"/>
          <w:szCs w:val="21"/>
        </w:rPr>
        <w:t xml:space="preserve">earning </w:t>
      </w:r>
      <w:r w:rsidR="00333338">
        <w:rPr>
          <w:sz w:val="21"/>
          <w:szCs w:val="21"/>
        </w:rPr>
        <w:t xml:space="preserve">Action </w:t>
      </w:r>
      <w:r w:rsidR="00F534F0" w:rsidRPr="003E2C60">
        <w:rPr>
          <w:sz w:val="21"/>
          <w:szCs w:val="21"/>
        </w:rPr>
        <w:t>A</w:t>
      </w:r>
      <w:r w:rsidR="00395D3B" w:rsidRPr="003E2C60">
        <w:rPr>
          <w:sz w:val="21"/>
          <w:szCs w:val="21"/>
        </w:rPr>
        <w:t>genda</w:t>
      </w:r>
      <w:r w:rsidR="00333338">
        <w:rPr>
          <w:sz w:val="21"/>
          <w:szCs w:val="21"/>
        </w:rPr>
        <w:t>.</w:t>
      </w:r>
    </w:p>
    <w:p w14:paraId="55711109" w14:textId="6083F7AE" w:rsidR="00861213" w:rsidRPr="003E2C60" w:rsidRDefault="00416660" w:rsidP="0011591E">
      <w:pPr>
        <w:pStyle w:val="ListParagraph"/>
        <w:numPr>
          <w:ilvl w:val="0"/>
          <w:numId w:val="34"/>
        </w:numPr>
        <w:suppressAutoHyphens w:val="0"/>
        <w:spacing w:before="60" w:line="280" w:lineRule="exact"/>
        <w:contextualSpacing w:val="0"/>
        <w:rPr>
          <w:sz w:val="21"/>
          <w:szCs w:val="21"/>
        </w:rPr>
      </w:pPr>
      <w:r w:rsidRPr="003E2C60">
        <w:rPr>
          <w:sz w:val="21"/>
          <w:szCs w:val="21"/>
        </w:rPr>
        <w:t xml:space="preserve">The </w:t>
      </w:r>
      <w:r w:rsidRPr="00333338">
        <w:rPr>
          <w:b/>
          <w:bCs/>
          <w:sz w:val="21"/>
          <w:szCs w:val="21"/>
        </w:rPr>
        <w:t>Localisation Strategy</w:t>
      </w:r>
      <w:r w:rsidRPr="003E2C60">
        <w:rPr>
          <w:sz w:val="21"/>
          <w:szCs w:val="21"/>
        </w:rPr>
        <w:t xml:space="preserve"> will </w:t>
      </w:r>
      <w:r w:rsidR="00CE1D48" w:rsidRPr="003E2C60">
        <w:rPr>
          <w:sz w:val="21"/>
          <w:szCs w:val="21"/>
        </w:rPr>
        <w:t xml:space="preserve">set </w:t>
      </w:r>
      <w:r w:rsidR="00EA4E59">
        <w:rPr>
          <w:sz w:val="21"/>
          <w:szCs w:val="21"/>
        </w:rPr>
        <w:t xml:space="preserve">strategies and </w:t>
      </w:r>
      <w:r w:rsidR="00DA1615">
        <w:rPr>
          <w:sz w:val="21"/>
          <w:szCs w:val="21"/>
        </w:rPr>
        <w:t>expectations</w:t>
      </w:r>
      <w:r w:rsidR="00CE1D48" w:rsidRPr="003E2C60">
        <w:rPr>
          <w:sz w:val="21"/>
          <w:szCs w:val="21"/>
        </w:rPr>
        <w:t xml:space="preserve"> for the collective impact of </w:t>
      </w:r>
      <w:r w:rsidR="00562812">
        <w:rPr>
          <w:sz w:val="21"/>
          <w:szCs w:val="21"/>
        </w:rPr>
        <w:t>Disaster READY</w:t>
      </w:r>
      <w:r w:rsidR="00CE1D48" w:rsidRPr="003E2C60">
        <w:rPr>
          <w:sz w:val="21"/>
          <w:szCs w:val="21"/>
        </w:rPr>
        <w:t xml:space="preserve"> efforts under IO1.2</w:t>
      </w:r>
      <w:r w:rsidR="00916150" w:rsidRPr="003E2C60">
        <w:rPr>
          <w:sz w:val="21"/>
          <w:szCs w:val="21"/>
        </w:rPr>
        <w:t xml:space="preserve">. The Strategy will use </w:t>
      </w:r>
      <w:r w:rsidR="000A6AAA" w:rsidRPr="003E2C60">
        <w:rPr>
          <w:sz w:val="21"/>
          <w:szCs w:val="21"/>
        </w:rPr>
        <w:t xml:space="preserve">the </w:t>
      </w:r>
      <w:r w:rsidR="00D84A31">
        <w:rPr>
          <w:sz w:val="21"/>
          <w:szCs w:val="21"/>
        </w:rPr>
        <w:t xml:space="preserve">draft </w:t>
      </w:r>
      <w:r w:rsidR="000A6AAA" w:rsidRPr="003E2C60">
        <w:rPr>
          <w:sz w:val="21"/>
          <w:szCs w:val="21"/>
        </w:rPr>
        <w:t>Localisation Framework at Annex 3</w:t>
      </w:r>
      <w:r w:rsidR="00916150" w:rsidRPr="003E2C60">
        <w:rPr>
          <w:sz w:val="21"/>
          <w:szCs w:val="21"/>
        </w:rPr>
        <w:t xml:space="preserve"> as a basis </w:t>
      </w:r>
      <w:r w:rsidR="0041699A" w:rsidRPr="003E2C60">
        <w:rPr>
          <w:sz w:val="21"/>
          <w:szCs w:val="21"/>
        </w:rPr>
        <w:t>to</w:t>
      </w:r>
      <w:r w:rsidR="000A6AAA" w:rsidRPr="003E2C60">
        <w:rPr>
          <w:sz w:val="21"/>
          <w:szCs w:val="21"/>
        </w:rPr>
        <w:t xml:space="preserve"> guide</w:t>
      </w:r>
      <w:r w:rsidRPr="003E2C60">
        <w:rPr>
          <w:sz w:val="21"/>
          <w:szCs w:val="21"/>
        </w:rPr>
        <w:t xml:space="preserve"> a </w:t>
      </w:r>
      <w:r w:rsidR="000A6AAA" w:rsidRPr="003E2C60">
        <w:rPr>
          <w:sz w:val="21"/>
          <w:szCs w:val="21"/>
        </w:rPr>
        <w:t xml:space="preserve">cohesive </w:t>
      </w:r>
      <w:r w:rsidR="001B0F50" w:rsidRPr="003E2C60">
        <w:rPr>
          <w:sz w:val="21"/>
          <w:szCs w:val="21"/>
        </w:rPr>
        <w:t xml:space="preserve">country-level </w:t>
      </w:r>
      <w:r w:rsidR="000A6AAA" w:rsidRPr="003E2C60">
        <w:rPr>
          <w:sz w:val="21"/>
          <w:szCs w:val="21"/>
        </w:rPr>
        <w:t>approach</w:t>
      </w:r>
      <w:r w:rsidR="001B0F50" w:rsidRPr="003E2C60">
        <w:rPr>
          <w:sz w:val="21"/>
          <w:szCs w:val="21"/>
        </w:rPr>
        <w:t xml:space="preserve"> </w:t>
      </w:r>
      <w:r w:rsidR="002C6061" w:rsidRPr="003E2C60">
        <w:rPr>
          <w:sz w:val="21"/>
          <w:szCs w:val="21"/>
        </w:rPr>
        <w:t>for</w:t>
      </w:r>
      <w:r w:rsidR="001B0F50" w:rsidRPr="003E2C60">
        <w:rPr>
          <w:sz w:val="21"/>
          <w:szCs w:val="21"/>
        </w:rPr>
        <w:t xml:space="preserve"> </w:t>
      </w:r>
      <w:r w:rsidR="00A0284C">
        <w:rPr>
          <w:sz w:val="21"/>
          <w:szCs w:val="21"/>
        </w:rPr>
        <w:t>strengthening</w:t>
      </w:r>
      <w:r w:rsidR="001B0F50" w:rsidRPr="003E2C60">
        <w:rPr>
          <w:sz w:val="21"/>
          <w:szCs w:val="21"/>
        </w:rPr>
        <w:t xml:space="preserve"> capacity and </w:t>
      </w:r>
      <w:r w:rsidR="004B6295">
        <w:rPr>
          <w:sz w:val="21"/>
          <w:szCs w:val="21"/>
        </w:rPr>
        <w:t>transitioning</w:t>
      </w:r>
      <w:r w:rsidR="004B6295" w:rsidRPr="003E2C60">
        <w:rPr>
          <w:sz w:val="21"/>
          <w:szCs w:val="21"/>
        </w:rPr>
        <w:t xml:space="preserve"> </w:t>
      </w:r>
      <w:r w:rsidR="001B0F50" w:rsidRPr="003E2C60">
        <w:rPr>
          <w:sz w:val="21"/>
          <w:szCs w:val="21"/>
        </w:rPr>
        <w:t xml:space="preserve">roles and responsibilities between humanitarian actors. </w:t>
      </w:r>
      <w:r w:rsidR="005A04BB" w:rsidRPr="003E2C60">
        <w:rPr>
          <w:sz w:val="21"/>
          <w:szCs w:val="21"/>
        </w:rPr>
        <w:t xml:space="preserve">Progress </w:t>
      </w:r>
      <w:r w:rsidR="00844F20" w:rsidRPr="003E2C60">
        <w:rPr>
          <w:sz w:val="21"/>
          <w:szCs w:val="21"/>
        </w:rPr>
        <w:t xml:space="preserve">monitoring, reflection and </w:t>
      </w:r>
      <w:r w:rsidR="00922BCC" w:rsidRPr="003E2C60">
        <w:rPr>
          <w:sz w:val="21"/>
          <w:szCs w:val="21"/>
        </w:rPr>
        <w:t>adaptation will be</w:t>
      </w:r>
      <w:r w:rsidR="00844F20" w:rsidRPr="003E2C60">
        <w:rPr>
          <w:sz w:val="21"/>
          <w:szCs w:val="21"/>
        </w:rPr>
        <w:t xml:space="preserve"> </w:t>
      </w:r>
      <w:r w:rsidR="00922BCC" w:rsidRPr="003E2C60">
        <w:rPr>
          <w:sz w:val="21"/>
          <w:szCs w:val="21"/>
        </w:rPr>
        <w:t>managed</w:t>
      </w:r>
      <w:r w:rsidR="00844F20" w:rsidRPr="003E2C60">
        <w:rPr>
          <w:sz w:val="21"/>
          <w:szCs w:val="21"/>
        </w:rPr>
        <w:t xml:space="preserve"> </w:t>
      </w:r>
      <w:r w:rsidR="005A04BB" w:rsidRPr="003E2C60">
        <w:rPr>
          <w:sz w:val="21"/>
          <w:szCs w:val="21"/>
        </w:rPr>
        <w:t xml:space="preserve">through the </w:t>
      </w:r>
      <w:r w:rsidR="00333338">
        <w:rPr>
          <w:sz w:val="21"/>
          <w:szCs w:val="21"/>
        </w:rPr>
        <w:t>MELF</w:t>
      </w:r>
      <w:r w:rsidR="005A04BB" w:rsidRPr="003E2C60">
        <w:rPr>
          <w:sz w:val="21"/>
          <w:szCs w:val="21"/>
        </w:rPr>
        <w:t>, and a</w:t>
      </w:r>
      <w:r w:rsidR="004E7EDB" w:rsidRPr="003E2C60">
        <w:rPr>
          <w:sz w:val="21"/>
          <w:szCs w:val="21"/>
        </w:rPr>
        <w:t xml:space="preserve">ctivities will be funded </w:t>
      </w:r>
      <w:r w:rsidR="00C864EA" w:rsidRPr="003E2C60">
        <w:rPr>
          <w:sz w:val="21"/>
          <w:szCs w:val="21"/>
        </w:rPr>
        <w:t>as part of Activity Plans from</w:t>
      </w:r>
      <w:r w:rsidR="004E7EDB" w:rsidRPr="003E2C60">
        <w:rPr>
          <w:sz w:val="21"/>
          <w:szCs w:val="21"/>
        </w:rPr>
        <w:t xml:space="preserve"> the ANGO core program allocation</w:t>
      </w:r>
      <w:r w:rsidR="005A04BB" w:rsidRPr="003E2C60">
        <w:rPr>
          <w:sz w:val="21"/>
          <w:szCs w:val="21"/>
        </w:rPr>
        <w:t xml:space="preserve"> (contributing to IO</w:t>
      </w:r>
      <w:r w:rsidR="00844F20" w:rsidRPr="003E2C60">
        <w:rPr>
          <w:sz w:val="21"/>
          <w:szCs w:val="21"/>
        </w:rPr>
        <w:t>1.2</w:t>
      </w:r>
      <w:r w:rsidR="005A04BB" w:rsidRPr="003E2C60">
        <w:rPr>
          <w:sz w:val="21"/>
          <w:szCs w:val="21"/>
        </w:rPr>
        <w:t>)</w:t>
      </w:r>
      <w:r w:rsidR="00E74BED" w:rsidRPr="003E2C60">
        <w:rPr>
          <w:sz w:val="21"/>
          <w:szCs w:val="21"/>
        </w:rPr>
        <w:t xml:space="preserve">. Should </w:t>
      </w:r>
      <w:r w:rsidR="00C864EA" w:rsidRPr="003E2C60">
        <w:rPr>
          <w:sz w:val="21"/>
          <w:szCs w:val="21"/>
        </w:rPr>
        <w:t xml:space="preserve">relevant </w:t>
      </w:r>
      <w:r w:rsidR="00E74BED" w:rsidRPr="003E2C60">
        <w:rPr>
          <w:sz w:val="21"/>
          <w:szCs w:val="21"/>
        </w:rPr>
        <w:t>collective research or joint action activities be identified by the DRCC</w:t>
      </w:r>
      <w:r w:rsidR="00C864EA" w:rsidRPr="003E2C60">
        <w:rPr>
          <w:sz w:val="21"/>
          <w:szCs w:val="21"/>
        </w:rPr>
        <w:t xml:space="preserve"> as part of the</w:t>
      </w:r>
      <w:r w:rsidR="00E23E53" w:rsidRPr="003E2C60">
        <w:rPr>
          <w:sz w:val="21"/>
          <w:szCs w:val="21"/>
        </w:rPr>
        <w:t xml:space="preserve"> S</w:t>
      </w:r>
      <w:r w:rsidR="00C864EA" w:rsidRPr="003E2C60">
        <w:rPr>
          <w:sz w:val="21"/>
          <w:szCs w:val="21"/>
        </w:rPr>
        <w:t xml:space="preserve">trategy, these </w:t>
      </w:r>
      <w:r w:rsidR="00E23E53" w:rsidRPr="003E2C60">
        <w:rPr>
          <w:sz w:val="21"/>
          <w:szCs w:val="21"/>
        </w:rPr>
        <w:t>may</w:t>
      </w:r>
      <w:r w:rsidR="00ED6362" w:rsidRPr="003E2C60">
        <w:rPr>
          <w:sz w:val="21"/>
          <w:szCs w:val="21"/>
        </w:rPr>
        <w:t xml:space="preserve"> be funded from the DRCC </w:t>
      </w:r>
      <w:r w:rsidR="00E23E53" w:rsidRPr="003E2C60">
        <w:rPr>
          <w:sz w:val="21"/>
          <w:szCs w:val="21"/>
        </w:rPr>
        <w:t>budget subject to funding availability</w:t>
      </w:r>
      <w:r w:rsidR="00ED6362" w:rsidRPr="003E2C60">
        <w:rPr>
          <w:sz w:val="21"/>
          <w:szCs w:val="21"/>
        </w:rPr>
        <w:t>.</w:t>
      </w:r>
      <w:r w:rsidR="00DC26A5" w:rsidRPr="003E2C60">
        <w:rPr>
          <w:sz w:val="21"/>
          <w:szCs w:val="21"/>
        </w:rPr>
        <w:t xml:space="preserve"> </w:t>
      </w:r>
    </w:p>
    <w:p w14:paraId="45AC1A72" w14:textId="1FB68BB7" w:rsidR="005E6A33" w:rsidRPr="003E2C60" w:rsidRDefault="005E6A33" w:rsidP="0011591E">
      <w:pPr>
        <w:pStyle w:val="ListParagraph"/>
        <w:numPr>
          <w:ilvl w:val="0"/>
          <w:numId w:val="34"/>
        </w:numPr>
        <w:suppressAutoHyphens w:val="0"/>
        <w:spacing w:before="60" w:line="280" w:lineRule="exact"/>
        <w:contextualSpacing w:val="0"/>
        <w:rPr>
          <w:sz w:val="21"/>
          <w:szCs w:val="21"/>
        </w:rPr>
      </w:pPr>
      <w:r w:rsidRPr="003E2C60">
        <w:rPr>
          <w:sz w:val="21"/>
          <w:szCs w:val="21"/>
        </w:rPr>
        <w:t xml:space="preserve">The </w:t>
      </w:r>
      <w:r w:rsidRPr="00333338">
        <w:rPr>
          <w:b/>
          <w:bCs/>
          <w:sz w:val="21"/>
          <w:szCs w:val="21"/>
        </w:rPr>
        <w:t xml:space="preserve">Learning </w:t>
      </w:r>
      <w:r w:rsidR="00445ADA" w:rsidRPr="00333338">
        <w:rPr>
          <w:b/>
          <w:bCs/>
          <w:sz w:val="21"/>
          <w:szCs w:val="21"/>
        </w:rPr>
        <w:t xml:space="preserve">Action </w:t>
      </w:r>
      <w:r w:rsidRPr="00333338">
        <w:rPr>
          <w:b/>
          <w:bCs/>
          <w:sz w:val="21"/>
          <w:szCs w:val="21"/>
        </w:rPr>
        <w:t>Agenda</w:t>
      </w:r>
      <w:r w:rsidRPr="003E2C60">
        <w:rPr>
          <w:sz w:val="21"/>
          <w:szCs w:val="21"/>
        </w:rPr>
        <w:t xml:space="preserve"> will provide a collective </w:t>
      </w:r>
      <w:r w:rsidR="006A20D8" w:rsidRPr="003E2C60">
        <w:rPr>
          <w:sz w:val="21"/>
          <w:szCs w:val="21"/>
        </w:rPr>
        <w:t xml:space="preserve">strategy for </w:t>
      </w:r>
      <w:r w:rsidR="000E6CAB" w:rsidRPr="003E2C60">
        <w:rPr>
          <w:sz w:val="21"/>
          <w:szCs w:val="21"/>
        </w:rPr>
        <w:t xml:space="preserve">research and learning activities </w:t>
      </w:r>
      <w:r w:rsidR="00A80BB7" w:rsidRPr="003E2C60">
        <w:rPr>
          <w:sz w:val="21"/>
          <w:szCs w:val="21"/>
        </w:rPr>
        <w:t xml:space="preserve">focussed on one </w:t>
      </w:r>
      <w:r w:rsidR="00562812">
        <w:rPr>
          <w:sz w:val="21"/>
          <w:szCs w:val="21"/>
        </w:rPr>
        <w:t>or</w:t>
      </w:r>
      <w:r w:rsidR="00A80BB7" w:rsidRPr="003E2C60">
        <w:rPr>
          <w:sz w:val="21"/>
          <w:szCs w:val="21"/>
        </w:rPr>
        <w:t xml:space="preserve"> two </w:t>
      </w:r>
      <w:r w:rsidR="00823422" w:rsidRPr="003E2C60">
        <w:rPr>
          <w:sz w:val="21"/>
          <w:szCs w:val="21"/>
        </w:rPr>
        <w:t>identified learning outcomes</w:t>
      </w:r>
      <w:r w:rsidR="00DA12F8" w:rsidRPr="003E2C60">
        <w:rPr>
          <w:sz w:val="21"/>
          <w:szCs w:val="21"/>
        </w:rPr>
        <w:t xml:space="preserve"> at the country-level</w:t>
      </w:r>
      <w:r w:rsidR="00354A90" w:rsidRPr="003E2C60">
        <w:rPr>
          <w:sz w:val="21"/>
          <w:szCs w:val="21"/>
        </w:rPr>
        <w:t xml:space="preserve"> (which </w:t>
      </w:r>
      <w:r w:rsidR="00993D7B">
        <w:rPr>
          <w:sz w:val="21"/>
          <w:szCs w:val="21"/>
        </w:rPr>
        <w:t>are</w:t>
      </w:r>
      <w:r w:rsidR="00354A90" w:rsidRPr="003E2C60">
        <w:rPr>
          <w:sz w:val="21"/>
          <w:szCs w:val="21"/>
        </w:rPr>
        <w:t xml:space="preserve"> relevant to </w:t>
      </w:r>
      <w:r w:rsidR="003D560B" w:rsidRPr="003E2C60">
        <w:rPr>
          <w:sz w:val="21"/>
          <w:szCs w:val="21"/>
        </w:rPr>
        <w:t>the</w:t>
      </w:r>
      <w:r w:rsidR="00993D7B">
        <w:rPr>
          <w:sz w:val="21"/>
          <w:szCs w:val="21"/>
        </w:rPr>
        <w:t xml:space="preserve"> Disaster Ready</w:t>
      </w:r>
      <w:r w:rsidR="003D560B" w:rsidRPr="003E2C60">
        <w:rPr>
          <w:sz w:val="21"/>
          <w:szCs w:val="21"/>
        </w:rPr>
        <w:t xml:space="preserve"> IOs</w:t>
      </w:r>
      <w:r w:rsidR="00354A90" w:rsidRPr="003E2C60">
        <w:rPr>
          <w:sz w:val="21"/>
          <w:szCs w:val="21"/>
        </w:rPr>
        <w:t>)</w:t>
      </w:r>
      <w:r w:rsidR="00A80BB7" w:rsidRPr="003E2C60">
        <w:rPr>
          <w:sz w:val="21"/>
          <w:szCs w:val="21"/>
        </w:rPr>
        <w:t>.</w:t>
      </w:r>
      <w:r w:rsidR="00027E28" w:rsidRPr="003E2C60">
        <w:rPr>
          <w:sz w:val="21"/>
          <w:szCs w:val="21"/>
        </w:rPr>
        <w:t xml:space="preserve"> The Agenda must include embedded learning and uptake strategies and/or products to ensure </w:t>
      </w:r>
      <w:r w:rsidR="004B55DE" w:rsidRPr="003E2C60">
        <w:rPr>
          <w:sz w:val="21"/>
          <w:szCs w:val="21"/>
        </w:rPr>
        <w:t>the</w:t>
      </w:r>
      <w:r w:rsidR="006734F6" w:rsidRPr="003E2C60">
        <w:rPr>
          <w:sz w:val="21"/>
          <w:szCs w:val="21"/>
        </w:rPr>
        <w:t xml:space="preserve"> initiatives </w:t>
      </w:r>
      <w:r w:rsidR="00656EC0" w:rsidRPr="003E2C60">
        <w:rPr>
          <w:sz w:val="21"/>
          <w:szCs w:val="21"/>
        </w:rPr>
        <w:t>will</w:t>
      </w:r>
      <w:r w:rsidR="006734F6" w:rsidRPr="003E2C60">
        <w:rPr>
          <w:sz w:val="21"/>
          <w:szCs w:val="21"/>
        </w:rPr>
        <w:t xml:space="preserve"> enhance </w:t>
      </w:r>
      <w:r w:rsidR="004B55DE" w:rsidRPr="003E2C60">
        <w:rPr>
          <w:sz w:val="21"/>
          <w:szCs w:val="21"/>
        </w:rPr>
        <w:t xml:space="preserve">and </w:t>
      </w:r>
      <w:r w:rsidR="00020650" w:rsidRPr="003E2C60">
        <w:rPr>
          <w:sz w:val="21"/>
          <w:szCs w:val="21"/>
        </w:rPr>
        <w:t xml:space="preserve">add value to the individual activities of ANGOs in Disaster READY or response </w:t>
      </w:r>
      <w:r w:rsidR="0007539B" w:rsidRPr="003E2C60">
        <w:rPr>
          <w:sz w:val="21"/>
          <w:szCs w:val="21"/>
        </w:rPr>
        <w:t>activations and</w:t>
      </w:r>
      <w:r w:rsidR="00020650" w:rsidRPr="003E2C60">
        <w:rPr>
          <w:sz w:val="21"/>
          <w:szCs w:val="21"/>
        </w:rPr>
        <w:t xml:space="preserve"> </w:t>
      </w:r>
      <w:r w:rsidR="00823422" w:rsidRPr="003E2C60">
        <w:rPr>
          <w:sz w:val="21"/>
          <w:szCs w:val="21"/>
        </w:rPr>
        <w:t xml:space="preserve">contribute to whole-of-program learning </w:t>
      </w:r>
      <w:r w:rsidR="00354A90" w:rsidRPr="003E2C60">
        <w:rPr>
          <w:sz w:val="21"/>
          <w:szCs w:val="21"/>
        </w:rPr>
        <w:t>under EOPO</w:t>
      </w:r>
      <w:r w:rsidR="002B5D5C">
        <w:rPr>
          <w:sz w:val="21"/>
          <w:szCs w:val="21"/>
        </w:rPr>
        <w:t xml:space="preserve"> </w:t>
      </w:r>
      <w:r w:rsidR="00354A90" w:rsidRPr="003E2C60">
        <w:rPr>
          <w:sz w:val="21"/>
          <w:szCs w:val="21"/>
        </w:rPr>
        <w:t>3</w:t>
      </w:r>
      <w:r w:rsidR="00AD3611" w:rsidRPr="003E2C60">
        <w:rPr>
          <w:sz w:val="21"/>
          <w:szCs w:val="21"/>
        </w:rPr>
        <w:t xml:space="preserve"> and the MEL framework</w:t>
      </w:r>
      <w:r w:rsidR="00354A90" w:rsidRPr="003E2C60">
        <w:rPr>
          <w:sz w:val="21"/>
          <w:szCs w:val="21"/>
        </w:rPr>
        <w:t>.</w:t>
      </w:r>
      <w:r w:rsidR="00993D7B">
        <w:rPr>
          <w:sz w:val="21"/>
          <w:szCs w:val="21"/>
        </w:rPr>
        <w:t xml:space="preserve"> </w:t>
      </w:r>
      <w:r w:rsidR="00354A90" w:rsidRPr="003E2C60">
        <w:rPr>
          <w:sz w:val="21"/>
          <w:szCs w:val="21"/>
        </w:rPr>
        <w:t xml:space="preserve">The Agenda will be for 4.5 years, with a detailed activity plan and budget for </w:t>
      </w:r>
      <w:r w:rsidR="002B5D5C">
        <w:rPr>
          <w:sz w:val="21"/>
          <w:szCs w:val="21"/>
        </w:rPr>
        <w:t>Y</w:t>
      </w:r>
      <w:r w:rsidR="00354A90" w:rsidRPr="003E2C60">
        <w:rPr>
          <w:sz w:val="21"/>
          <w:szCs w:val="21"/>
        </w:rPr>
        <w:t>ear 1.</w:t>
      </w:r>
      <w:r w:rsidR="00EB2499" w:rsidRPr="003E2C60">
        <w:rPr>
          <w:sz w:val="21"/>
          <w:szCs w:val="21"/>
        </w:rPr>
        <w:t xml:space="preserve"> </w:t>
      </w:r>
      <w:r w:rsidR="00430F8C">
        <w:rPr>
          <w:sz w:val="21"/>
          <w:szCs w:val="21"/>
        </w:rPr>
        <w:t xml:space="preserve">A minimum of </w:t>
      </w:r>
      <w:r w:rsidR="00EB2499" w:rsidRPr="003E2C60">
        <w:rPr>
          <w:sz w:val="21"/>
          <w:szCs w:val="21"/>
        </w:rPr>
        <w:t xml:space="preserve">$50,000 per year from </w:t>
      </w:r>
      <w:r w:rsidR="002B5D5C">
        <w:rPr>
          <w:sz w:val="21"/>
          <w:szCs w:val="21"/>
        </w:rPr>
        <w:t>each</w:t>
      </w:r>
      <w:r w:rsidR="00EB2499" w:rsidRPr="003E2C60">
        <w:rPr>
          <w:sz w:val="21"/>
          <w:szCs w:val="21"/>
        </w:rPr>
        <w:t xml:space="preserve"> DRCC annual budget is set aside to implement the </w:t>
      </w:r>
      <w:r w:rsidR="007705F4" w:rsidRPr="003E2C60">
        <w:rPr>
          <w:sz w:val="21"/>
          <w:szCs w:val="21"/>
        </w:rPr>
        <w:t>A</w:t>
      </w:r>
      <w:r w:rsidR="00EB2499" w:rsidRPr="003E2C60">
        <w:rPr>
          <w:sz w:val="21"/>
          <w:szCs w:val="21"/>
        </w:rPr>
        <w:t>genda.</w:t>
      </w:r>
    </w:p>
    <w:p w14:paraId="36291134" w14:textId="59934167" w:rsidR="00436E35" w:rsidRPr="00676003" w:rsidRDefault="00D8588E" w:rsidP="00676003">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sidRPr="003E2C60">
        <w:rPr>
          <w:sz w:val="21"/>
          <w:szCs w:val="21"/>
        </w:rPr>
        <w:t xml:space="preserve"> </w:t>
      </w:r>
      <w:r w:rsidR="00E431BD" w:rsidRPr="003E2C60">
        <w:rPr>
          <w:sz w:val="21"/>
          <w:szCs w:val="21"/>
        </w:rPr>
        <w:t xml:space="preserve">The Learning </w:t>
      </w:r>
      <w:r w:rsidR="00445ADA" w:rsidRPr="003E2C60">
        <w:rPr>
          <w:sz w:val="21"/>
          <w:szCs w:val="21"/>
        </w:rPr>
        <w:t xml:space="preserve">Action </w:t>
      </w:r>
      <w:r w:rsidR="00E431BD" w:rsidRPr="003E2C60">
        <w:rPr>
          <w:sz w:val="21"/>
          <w:szCs w:val="21"/>
        </w:rPr>
        <w:t>Agenda will replace the</w:t>
      </w:r>
      <w:r w:rsidR="004125F7" w:rsidRPr="003E2C60">
        <w:rPr>
          <w:iCs/>
          <w:sz w:val="21"/>
          <w:szCs w:val="21"/>
        </w:rPr>
        <w:t xml:space="preserve"> </w:t>
      </w:r>
      <w:r w:rsidR="00E50F99" w:rsidRPr="003E2C60">
        <w:rPr>
          <w:iCs/>
          <w:sz w:val="21"/>
          <w:szCs w:val="21"/>
        </w:rPr>
        <w:t xml:space="preserve">competitive </w:t>
      </w:r>
      <w:r w:rsidR="004125F7" w:rsidRPr="003E2C60">
        <w:rPr>
          <w:iCs/>
          <w:sz w:val="21"/>
          <w:szCs w:val="21"/>
        </w:rPr>
        <w:t xml:space="preserve">Performance and Partnerships Fund (PPF) </w:t>
      </w:r>
      <w:r w:rsidR="00E431BD" w:rsidRPr="003E2C60">
        <w:rPr>
          <w:iCs/>
          <w:sz w:val="21"/>
          <w:szCs w:val="21"/>
        </w:rPr>
        <w:t xml:space="preserve">from Phase </w:t>
      </w:r>
      <w:r w:rsidR="00313FDB">
        <w:rPr>
          <w:iCs/>
          <w:sz w:val="21"/>
          <w:szCs w:val="21"/>
        </w:rPr>
        <w:t>I</w:t>
      </w:r>
      <w:r w:rsidR="004125F7" w:rsidRPr="003E2C60">
        <w:rPr>
          <w:iCs/>
          <w:sz w:val="21"/>
          <w:szCs w:val="21"/>
        </w:rPr>
        <w:t xml:space="preserve">, after consultations determined </w:t>
      </w:r>
      <w:r w:rsidR="00E431BD" w:rsidRPr="003E2C60">
        <w:rPr>
          <w:iCs/>
          <w:sz w:val="21"/>
          <w:szCs w:val="21"/>
        </w:rPr>
        <w:t>the PPF</w:t>
      </w:r>
      <w:r w:rsidR="004125F7" w:rsidRPr="003E2C60">
        <w:rPr>
          <w:iCs/>
          <w:sz w:val="21"/>
          <w:szCs w:val="21"/>
        </w:rPr>
        <w:t xml:space="preserve"> was administratively burdensome</w:t>
      </w:r>
      <w:r w:rsidR="00E50F99" w:rsidRPr="003E2C60">
        <w:rPr>
          <w:iCs/>
          <w:sz w:val="21"/>
          <w:szCs w:val="21"/>
        </w:rPr>
        <w:t xml:space="preserve"> with an adverse impact on collaborative partnerships </w:t>
      </w:r>
      <w:r w:rsidR="00D54EA3" w:rsidRPr="003E2C60">
        <w:rPr>
          <w:iCs/>
          <w:sz w:val="21"/>
          <w:szCs w:val="21"/>
        </w:rPr>
        <w:t>at the country level.</w:t>
      </w:r>
      <w:r w:rsidR="00676003">
        <w:rPr>
          <w:iCs/>
          <w:sz w:val="21"/>
          <w:szCs w:val="21"/>
        </w:rPr>
        <w:t xml:space="preserve"> </w:t>
      </w:r>
      <w:r w:rsidR="00436E35" w:rsidRPr="00676003">
        <w:rPr>
          <w:color w:val="495965"/>
          <w:sz w:val="21"/>
          <w:szCs w:val="21"/>
        </w:rPr>
        <w:t xml:space="preserve">At the end of </w:t>
      </w:r>
      <w:r w:rsidR="002B5D5C" w:rsidRPr="00676003">
        <w:rPr>
          <w:color w:val="495965"/>
          <w:sz w:val="21"/>
          <w:szCs w:val="21"/>
        </w:rPr>
        <w:t>Y</w:t>
      </w:r>
      <w:r w:rsidR="00436E35" w:rsidRPr="00676003">
        <w:rPr>
          <w:color w:val="495965"/>
          <w:sz w:val="21"/>
          <w:szCs w:val="21"/>
        </w:rPr>
        <w:t xml:space="preserve">ear 1, the AHPSU may facilitate a ‘sense check’ of the Activity Plans, Learning </w:t>
      </w:r>
      <w:r w:rsidR="00676003">
        <w:rPr>
          <w:color w:val="495965"/>
          <w:sz w:val="21"/>
          <w:szCs w:val="21"/>
        </w:rPr>
        <w:t xml:space="preserve">Action </w:t>
      </w:r>
      <w:r w:rsidR="00436E35" w:rsidRPr="00676003">
        <w:rPr>
          <w:color w:val="495965"/>
          <w:sz w:val="21"/>
          <w:szCs w:val="21"/>
        </w:rPr>
        <w:t>Agenda</w:t>
      </w:r>
      <w:r w:rsidR="00676003">
        <w:rPr>
          <w:color w:val="495965"/>
          <w:sz w:val="21"/>
          <w:szCs w:val="21"/>
        </w:rPr>
        <w:t>s</w:t>
      </w:r>
      <w:r w:rsidR="00436E35" w:rsidRPr="00676003">
        <w:rPr>
          <w:color w:val="495965"/>
          <w:sz w:val="21"/>
          <w:szCs w:val="21"/>
        </w:rPr>
        <w:t xml:space="preserve"> and Localisation Strateg</w:t>
      </w:r>
      <w:r w:rsidR="00676003">
        <w:rPr>
          <w:color w:val="495965"/>
          <w:sz w:val="21"/>
          <w:szCs w:val="21"/>
        </w:rPr>
        <w:t>ies</w:t>
      </w:r>
      <w:r w:rsidR="00436E35" w:rsidRPr="00676003">
        <w:rPr>
          <w:color w:val="495965"/>
          <w:sz w:val="21"/>
          <w:szCs w:val="21"/>
        </w:rPr>
        <w:t xml:space="preserve"> providing the opportunity to change targets, activities, and approaches </w:t>
      </w:r>
      <w:r w:rsidR="000C480E" w:rsidRPr="00676003">
        <w:rPr>
          <w:color w:val="495965"/>
          <w:sz w:val="21"/>
          <w:szCs w:val="21"/>
        </w:rPr>
        <w:t>based on experience.</w:t>
      </w:r>
    </w:p>
    <w:p w14:paraId="5C1D09A8" w14:textId="35FEF944" w:rsidR="002E7518" w:rsidRPr="0032116B" w:rsidRDefault="00DD155D" w:rsidP="0038171D">
      <w:pPr>
        <w:pStyle w:val="ListParagraph"/>
        <w:tabs>
          <w:tab w:val="left" w:pos="284"/>
        </w:tabs>
        <w:suppressAutoHyphens w:val="0"/>
        <w:spacing w:before="200" w:after="0" w:line="280" w:lineRule="exact"/>
        <w:ind w:left="0"/>
        <w:contextualSpacing w:val="0"/>
        <w:rPr>
          <w:b/>
          <w:bCs/>
          <w:i/>
          <w:sz w:val="21"/>
          <w:szCs w:val="21"/>
        </w:rPr>
      </w:pPr>
      <w:r w:rsidRPr="0032116B">
        <w:rPr>
          <w:b/>
          <w:bCs/>
          <w:i/>
          <w:sz w:val="21"/>
          <w:szCs w:val="21"/>
        </w:rPr>
        <w:t>Governance</w:t>
      </w:r>
    </w:p>
    <w:p w14:paraId="30DA5E4B" w14:textId="36511754" w:rsidR="00DD155D" w:rsidRDefault="00836491" w:rsidP="00DD155D">
      <w:pPr>
        <w:pStyle w:val="ListParagraph"/>
        <w:numPr>
          <w:ilvl w:val="0"/>
          <w:numId w:val="12"/>
        </w:numPr>
        <w:tabs>
          <w:tab w:val="left" w:pos="284"/>
        </w:tabs>
        <w:suppressAutoHyphens w:val="0"/>
        <w:spacing w:before="200" w:after="120" w:line="280" w:lineRule="exact"/>
        <w:ind w:left="0" w:firstLine="0"/>
        <w:contextualSpacing w:val="0"/>
        <w:rPr>
          <w:iCs/>
          <w:sz w:val="21"/>
          <w:szCs w:val="21"/>
        </w:rPr>
      </w:pPr>
      <w:r>
        <w:rPr>
          <w:iCs/>
          <w:sz w:val="21"/>
          <w:szCs w:val="21"/>
        </w:rPr>
        <w:t>The</w:t>
      </w:r>
      <w:r w:rsidR="00DD155D" w:rsidRPr="00B633F7">
        <w:rPr>
          <w:iCs/>
          <w:sz w:val="21"/>
          <w:szCs w:val="21"/>
        </w:rPr>
        <w:t xml:space="preserve"> </w:t>
      </w:r>
      <w:r w:rsidR="00B06EEE">
        <w:rPr>
          <w:iCs/>
          <w:sz w:val="21"/>
          <w:szCs w:val="21"/>
        </w:rPr>
        <w:t>DRCC</w:t>
      </w:r>
      <w:r w:rsidR="00DD155D">
        <w:rPr>
          <w:iCs/>
          <w:sz w:val="21"/>
          <w:szCs w:val="21"/>
        </w:rPr>
        <w:t xml:space="preserve"> will </w:t>
      </w:r>
      <w:r>
        <w:rPr>
          <w:iCs/>
          <w:sz w:val="21"/>
          <w:szCs w:val="21"/>
        </w:rPr>
        <w:t xml:space="preserve">continue from </w:t>
      </w:r>
      <w:r w:rsidR="00406F84">
        <w:rPr>
          <w:iCs/>
          <w:sz w:val="21"/>
          <w:szCs w:val="21"/>
        </w:rPr>
        <w:t>Phase I</w:t>
      </w:r>
      <w:r>
        <w:rPr>
          <w:iCs/>
          <w:sz w:val="21"/>
          <w:szCs w:val="21"/>
        </w:rPr>
        <w:t xml:space="preserve"> as</w:t>
      </w:r>
      <w:r w:rsidR="00DD155D">
        <w:rPr>
          <w:iCs/>
          <w:sz w:val="21"/>
          <w:szCs w:val="21"/>
        </w:rPr>
        <w:t xml:space="preserve"> the </w:t>
      </w:r>
      <w:r w:rsidR="005958E8">
        <w:rPr>
          <w:iCs/>
          <w:sz w:val="21"/>
          <w:szCs w:val="21"/>
        </w:rPr>
        <w:t>lead AHP</w:t>
      </w:r>
      <w:r w:rsidR="00DD155D">
        <w:rPr>
          <w:iCs/>
          <w:sz w:val="21"/>
          <w:szCs w:val="21"/>
        </w:rPr>
        <w:t xml:space="preserve"> governance body for each Disaster READY country. The </w:t>
      </w:r>
      <w:r w:rsidR="002C117B">
        <w:rPr>
          <w:iCs/>
          <w:sz w:val="21"/>
          <w:szCs w:val="21"/>
        </w:rPr>
        <w:t>TORs</w:t>
      </w:r>
      <w:r w:rsidR="00DD155D">
        <w:rPr>
          <w:iCs/>
          <w:sz w:val="21"/>
          <w:szCs w:val="21"/>
        </w:rPr>
        <w:t xml:space="preserve"> for the DRCC (see Fig 8) will be reviewed and tailored by partners in each country during the Disaster READY</w:t>
      </w:r>
      <w:r w:rsidR="00676003">
        <w:rPr>
          <w:iCs/>
          <w:sz w:val="21"/>
          <w:szCs w:val="21"/>
        </w:rPr>
        <w:t xml:space="preserve"> country</w:t>
      </w:r>
      <w:r w:rsidR="00313FDB">
        <w:rPr>
          <w:iCs/>
          <w:sz w:val="21"/>
          <w:szCs w:val="21"/>
        </w:rPr>
        <w:t xml:space="preserve"> planning process</w:t>
      </w:r>
      <w:r w:rsidR="00DD155D">
        <w:rPr>
          <w:iCs/>
          <w:sz w:val="21"/>
          <w:szCs w:val="21"/>
        </w:rPr>
        <w:t>.</w:t>
      </w:r>
    </w:p>
    <w:p w14:paraId="6062F17F" w14:textId="2D60A5BA" w:rsidR="007705F4" w:rsidRDefault="007705F4" w:rsidP="003E2C60">
      <w:pPr>
        <w:pStyle w:val="ListParagraph"/>
        <w:numPr>
          <w:ilvl w:val="0"/>
          <w:numId w:val="12"/>
        </w:numPr>
        <w:tabs>
          <w:tab w:val="left" w:pos="284"/>
        </w:tabs>
        <w:suppressAutoHyphens w:val="0"/>
        <w:spacing w:before="200" w:after="120" w:line="280" w:lineRule="exact"/>
        <w:ind w:left="0" w:firstLine="0"/>
        <w:contextualSpacing w:val="0"/>
        <w:rPr>
          <w:iCs/>
          <w:sz w:val="21"/>
          <w:szCs w:val="21"/>
        </w:rPr>
      </w:pPr>
      <w:r>
        <w:rPr>
          <w:iCs/>
          <w:sz w:val="21"/>
          <w:szCs w:val="21"/>
        </w:rPr>
        <w:t xml:space="preserve">In </w:t>
      </w:r>
      <w:r w:rsidR="00875E8E">
        <w:rPr>
          <w:iCs/>
          <w:sz w:val="21"/>
          <w:szCs w:val="21"/>
        </w:rPr>
        <w:t xml:space="preserve">the Phase </w:t>
      </w:r>
      <w:r w:rsidR="00313FDB">
        <w:rPr>
          <w:iCs/>
          <w:sz w:val="21"/>
          <w:szCs w:val="21"/>
        </w:rPr>
        <w:t>I</w:t>
      </w:r>
      <w:r w:rsidR="00875E8E">
        <w:rPr>
          <w:iCs/>
          <w:sz w:val="21"/>
          <w:szCs w:val="21"/>
        </w:rPr>
        <w:t xml:space="preserve"> design, the DRCC was</w:t>
      </w:r>
      <w:r>
        <w:rPr>
          <w:iCs/>
          <w:sz w:val="21"/>
          <w:szCs w:val="21"/>
        </w:rPr>
        <w:t xml:space="preserve"> </w:t>
      </w:r>
      <w:r w:rsidR="00875E8E" w:rsidRPr="00875E8E">
        <w:rPr>
          <w:iCs/>
          <w:sz w:val="21"/>
          <w:szCs w:val="21"/>
        </w:rPr>
        <w:t>not intended to play a role during AHP response activation</w:t>
      </w:r>
      <w:r w:rsidR="006433E3">
        <w:rPr>
          <w:iCs/>
          <w:sz w:val="21"/>
          <w:szCs w:val="21"/>
        </w:rPr>
        <w:t>s</w:t>
      </w:r>
      <w:r w:rsidR="00875E8E">
        <w:rPr>
          <w:iCs/>
          <w:sz w:val="21"/>
          <w:szCs w:val="21"/>
        </w:rPr>
        <w:t xml:space="preserve"> (Component 2)</w:t>
      </w:r>
      <w:r w:rsidR="00CB50D8">
        <w:rPr>
          <w:iCs/>
          <w:sz w:val="21"/>
          <w:szCs w:val="21"/>
        </w:rPr>
        <w:t>. H</w:t>
      </w:r>
      <w:r w:rsidR="00875E8E">
        <w:rPr>
          <w:iCs/>
          <w:sz w:val="21"/>
          <w:szCs w:val="21"/>
        </w:rPr>
        <w:t>owever</w:t>
      </w:r>
      <w:r w:rsidR="00CB50D8">
        <w:rPr>
          <w:iCs/>
          <w:sz w:val="21"/>
          <w:szCs w:val="21"/>
        </w:rPr>
        <w:t>,</w:t>
      </w:r>
      <w:r w:rsidR="00875E8E">
        <w:rPr>
          <w:iCs/>
          <w:sz w:val="21"/>
          <w:szCs w:val="21"/>
        </w:rPr>
        <w:t xml:space="preserve"> </w:t>
      </w:r>
      <w:r w:rsidR="006433E3">
        <w:rPr>
          <w:iCs/>
          <w:sz w:val="21"/>
          <w:szCs w:val="21"/>
        </w:rPr>
        <w:t>DRCC-led responses were piloted during COVID-19</w:t>
      </w:r>
      <w:r w:rsidR="0019291C">
        <w:rPr>
          <w:iCs/>
          <w:sz w:val="21"/>
          <w:szCs w:val="21"/>
        </w:rPr>
        <w:t xml:space="preserve"> and found by the MTE to benefit coordination and learning</w:t>
      </w:r>
      <w:r w:rsidR="00CB50D8">
        <w:rPr>
          <w:iCs/>
          <w:sz w:val="21"/>
          <w:szCs w:val="21"/>
        </w:rPr>
        <w:t xml:space="preserve">, though </w:t>
      </w:r>
      <w:r w:rsidR="00717F83">
        <w:rPr>
          <w:iCs/>
          <w:sz w:val="21"/>
          <w:szCs w:val="21"/>
        </w:rPr>
        <w:t>it also stretched the Committee’s resources</w:t>
      </w:r>
      <w:r w:rsidR="0019291C">
        <w:rPr>
          <w:iCs/>
          <w:sz w:val="21"/>
          <w:szCs w:val="21"/>
        </w:rPr>
        <w:t xml:space="preserve">. </w:t>
      </w:r>
      <w:r w:rsidR="007A5489">
        <w:rPr>
          <w:iCs/>
          <w:sz w:val="21"/>
          <w:szCs w:val="21"/>
        </w:rPr>
        <w:t>T</w:t>
      </w:r>
      <w:r w:rsidR="002C117B">
        <w:rPr>
          <w:iCs/>
          <w:sz w:val="21"/>
          <w:szCs w:val="21"/>
        </w:rPr>
        <w:t xml:space="preserve">he </w:t>
      </w:r>
      <w:r w:rsidR="00562812">
        <w:rPr>
          <w:iCs/>
          <w:sz w:val="21"/>
          <w:szCs w:val="21"/>
        </w:rPr>
        <w:t xml:space="preserve">draft </w:t>
      </w:r>
      <w:r w:rsidR="002C117B">
        <w:rPr>
          <w:iCs/>
          <w:sz w:val="21"/>
          <w:szCs w:val="21"/>
        </w:rPr>
        <w:t xml:space="preserve">DRCC TORs for </w:t>
      </w:r>
      <w:r w:rsidR="00406F84">
        <w:rPr>
          <w:iCs/>
          <w:sz w:val="21"/>
          <w:szCs w:val="21"/>
        </w:rPr>
        <w:t>Phase II</w:t>
      </w:r>
      <w:r w:rsidR="002C117B">
        <w:rPr>
          <w:iCs/>
          <w:sz w:val="21"/>
          <w:szCs w:val="21"/>
        </w:rPr>
        <w:t xml:space="preserve"> have been revised to include responsibility for </w:t>
      </w:r>
      <w:r w:rsidR="003D22BC">
        <w:rPr>
          <w:iCs/>
          <w:sz w:val="21"/>
          <w:szCs w:val="21"/>
        </w:rPr>
        <w:t>supporting collaboration for humanitarian response (see also Implementation Arrangements for Component 2).</w:t>
      </w:r>
      <w:r w:rsidR="007A5489">
        <w:rPr>
          <w:iCs/>
          <w:sz w:val="21"/>
          <w:szCs w:val="21"/>
        </w:rPr>
        <w:t xml:space="preserve"> The budget and resourcing for the Committee has also been increased.</w:t>
      </w:r>
      <w:r w:rsidR="006B4A81">
        <w:rPr>
          <w:iCs/>
          <w:sz w:val="21"/>
          <w:szCs w:val="21"/>
        </w:rPr>
        <w:t xml:space="preserve"> The draft TORs will be reviewed as part of the country planning process</w:t>
      </w:r>
      <w:r w:rsidR="00C50377">
        <w:rPr>
          <w:iCs/>
          <w:sz w:val="21"/>
          <w:szCs w:val="21"/>
        </w:rPr>
        <w:t>, and a</w:t>
      </w:r>
      <w:r w:rsidR="00C50377" w:rsidRPr="00C50377">
        <w:rPr>
          <w:iCs/>
          <w:sz w:val="21"/>
          <w:szCs w:val="21"/>
        </w:rPr>
        <w:t>n annual Partnership Health Check will be conducted in each country as part of the annual reflection process.</w:t>
      </w:r>
    </w:p>
    <w:p w14:paraId="446033CB" w14:textId="1EF4851C" w:rsidR="00DD155D" w:rsidRPr="00415502" w:rsidRDefault="00DD155D" w:rsidP="00DD155D">
      <w:pPr>
        <w:pBdr>
          <w:top w:val="single" w:sz="4" w:space="1" w:color="auto"/>
          <w:left w:val="single" w:sz="4" w:space="4" w:color="auto"/>
          <w:bottom w:val="single" w:sz="4" w:space="1" w:color="auto"/>
          <w:right w:val="single" w:sz="4" w:space="4" w:color="auto"/>
        </w:pBdr>
        <w:shd w:val="clear" w:color="auto" w:fill="EEF5E7" w:themeFill="accent2" w:themeFillTint="33"/>
        <w:spacing w:before="0" w:after="0" w:line="280" w:lineRule="atLeast"/>
        <w:ind w:left="357"/>
        <w:rPr>
          <w:b/>
          <w:bCs/>
          <w:iCs/>
          <w:sz w:val="21"/>
          <w:szCs w:val="21"/>
        </w:rPr>
      </w:pPr>
      <w:r w:rsidRPr="00415502">
        <w:rPr>
          <w:b/>
          <w:bCs/>
          <w:iCs/>
          <w:sz w:val="21"/>
          <w:szCs w:val="21"/>
        </w:rPr>
        <w:t xml:space="preserve">Fig 8 – Disaster READY Country Committee </w:t>
      </w:r>
      <w:r w:rsidR="00D80044">
        <w:rPr>
          <w:b/>
          <w:bCs/>
          <w:iCs/>
          <w:sz w:val="21"/>
          <w:szCs w:val="21"/>
        </w:rPr>
        <w:t xml:space="preserve">(DRCC) </w:t>
      </w:r>
      <w:r w:rsidR="006B4A81">
        <w:rPr>
          <w:b/>
          <w:bCs/>
          <w:iCs/>
          <w:sz w:val="21"/>
          <w:szCs w:val="21"/>
        </w:rPr>
        <w:t xml:space="preserve">Draft </w:t>
      </w:r>
      <w:r w:rsidRPr="00415502">
        <w:rPr>
          <w:b/>
          <w:bCs/>
          <w:iCs/>
          <w:sz w:val="21"/>
          <w:szCs w:val="21"/>
        </w:rPr>
        <w:t>Terms of Reference</w:t>
      </w:r>
    </w:p>
    <w:p w14:paraId="39AFD6B3" w14:textId="50E6538E" w:rsidR="00DD155D" w:rsidRPr="00415502" w:rsidRDefault="00DD155D" w:rsidP="00DD155D">
      <w:p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ind w:left="357"/>
        <w:contextualSpacing/>
        <w:rPr>
          <w:iCs/>
          <w:sz w:val="20"/>
          <w:szCs w:val="20"/>
        </w:rPr>
      </w:pPr>
      <w:r w:rsidRPr="00415502">
        <w:rPr>
          <w:iCs/>
          <w:sz w:val="20"/>
          <w:szCs w:val="20"/>
        </w:rPr>
        <w:t xml:space="preserve">The </w:t>
      </w:r>
      <w:r w:rsidRPr="00415502">
        <w:rPr>
          <w:b/>
          <w:bCs/>
          <w:iCs/>
          <w:sz w:val="20"/>
          <w:szCs w:val="20"/>
        </w:rPr>
        <w:t>purpose</w:t>
      </w:r>
      <w:r w:rsidRPr="00415502">
        <w:rPr>
          <w:iCs/>
          <w:sz w:val="20"/>
          <w:szCs w:val="20"/>
        </w:rPr>
        <w:t xml:space="preserve"> of the </w:t>
      </w:r>
      <w:r w:rsidR="00D80044">
        <w:rPr>
          <w:iCs/>
          <w:sz w:val="20"/>
          <w:szCs w:val="20"/>
        </w:rPr>
        <w:t>DRCC</w:t>
      </w:r>
      <w:r w:rsidRPr="00415502">
        <w:rPr>
          <w:iCs/>
          <w:sz w:val="20"/>
          <w:szCs w:val="20"/>
        </w:rPr>
        <w:t xml:space="preserve"> is to support implementation of the AHP Disaster READY (DR) program by:</w:t>
      </w:r>
    </w:p>
    <w:p w14:paraId="29CC76B5" w14:textId="3BFB5E03" w:rsidR="00DD155D" w:rsidRPr="00CC4F07" w:rsidRDefault="00DD155D" w:rsidP="0011591E">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rPr>
          <w:iCs/>
          <w:sz w:val="20"/>
          <w:szCs w:val="20"/>
        </w:rPr>
      </w:pPr>
      <w:r w:rsidRPr="00415502">
        <w:rPr>
          <w:iCs/>
          <w:sz w:val="20"/>
          <w:szCs w:val="20"/>
        </w:rPr>
        <w:t xml:space="preserve">Ensuring that DR is </w:t>
      </w:r>
      <w:r w:rsidRPr="00CC4F07">
        <w:rPr>
          <w:iCs/>
          <w:sz w:val="20"/>
          <w:szCs w:val="20"/>
        </w:rPr>
        <w:t xml:space="preserve">context-specific and based on analysis and evidence to guide priorities and strategies for AHP </w:t>
      </w:r>
      <w:r w:rsidR="00D44D6A">
        <w:rPr>
          <w:iCs/>
          <w:sz w:val="20"/>
          <w:szCs w:val="20"/>
        </w:rPr>
        <w:t xml:space="preserve">NGO </w:t>
      </w:r>
      <w:r w:rsidRPr="00CC4F07">
        <w:rPr>
          <w:iCs/>
          <w:sz w:val="20"/>
          <w:szCs w:val="20"/>
        </w:rPr>
        <w:t>Partner planning</w:t>
      </w:r>
    </w:p>
    <w:p w14:paraId="23F2C3E4" w14:textId="3B8B752F" w:rsidR="00DD155D" w:rsidRPr="00CC4F07" w:rsidRDefault="00DD155D" w:rsidP="0011591E">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rPr>
          <w:iCs/>
          <w:sz w:val="20"/>
          <w:szCs w:val="20"/>
        </w:rPr>
      </w:pPr>
      <w:r w:rsidRPr="00CC4F07">
        <w:rPr>
          <w:iCs/>
          <w:sz w:val="20"/>
          <w:szCs w:val="20"/>
        </w:rPr>
        <w:t xml:space="preserve">Improving practice and performance by sharing lessons, and through shared approaches to </w:t>
      </w:r>
      <w:r w:rsidR="00CB7586">
        <w:rPr>
          <w:iCs/>
          <w:sz w:val="20"/>
          <w:szCs w:val="20"/>
        </w:rPr>
        <w:t>MEL</w:t>
      </w:r>
    </w:p>
    <w:p w14:paraId="3351B5E8" w14:textId="77777777" w:rsidR="00DD155D" w:rsidRPr="00CC4F07" w:rsidRDefault="00DD155D" w:rsidP="0011591E">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rPr>
          <w:iCs/>
          <w:sz w:val="20"/>
          <w:szCs w:val="20"/>
        </w:rPr>
      </w:pPr>
      <w:r w:rsidRPr="00CC4F07">
        <w:rPr>
          <w:iCs/>
          <w:sz w:val="20"/>
          <w:szCs w:val="20"/>
        </w:rPr>
        <w:t>Improving efficiency by pooling knowledge, expertise, resources and undertaking joint action where appropriate</w:t>
      </w:r>
    </w:p>
    <w:p w14:paraId="60BC41F9" w14:textId="35527361" w:rsidR="00DD155D" w:rsidRPr="00415502" w:rsidRDefault="00DD155D" w:rsidP="0011591E">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rPr>
          <w:iCs/>
          <w:sz w:val="20"/>
          <w:szCs w:val="20"/>
        </w:rPr>
      </w:pPr>
      <w:r w:rsidRPr="00CC4F07">
        <w:rPr>
          <w:iCs/>
          <w:sz w:val="20"/>
          <w:szCs w:val="20"/>
        </w:rPr>
        <w:lastRenderedPageBreak/>
        <w:t>Providing a mechanism for coordination and collaboration, with each other and external stakeholders</w:t>
      </w:r>
      <w:r w:rsidR="004C07FA">
        <w:rPr>
          <w:iCs/>
          <w:sz w:val="20"/>
          <w:szCs w:val="20"/>
        </w:rPr>
        <w:t xml:space="preserve">, </w:t>
      </w:r>
      <w:r w:rsidR="004C07FA" w:rsidRPr="00415502">
        <w:rPr>
          <w:iCs/>
          <w:sz w:val="20"/>
          <w:szCs w:val="20"/>
        </w:rPr>
        <w:t>for</w:t>
      </w:r>
      <w:r w:rsidR="00A8733E">
        <w:rPr>
          <w:iCs/>
          <w:sz w:val="20"/>
          <w:szCs w:val="20"/>
        </w:rPr>
        <w:t xml:space="preserve"> disaster preparedness, climate resilience and</w:t>
      </w:r>
      <w:r w:rsidR="004C07FA" w:rsidRPr="00415502">
        <w:rPr>
          <w:iCs/>
          <w:sz w:val="20"/>
          <w:szCs w:val="20"/>
        </w:rPr>
        <w:t xml:space="preserve"> humanitarian response to rapid and protracted crises under Component 2</w:t>
      </w:r>
      <w:r w:rsidRPr="00415502">
        <w:rPr>
          <w:iCs/>
          <w:sz w:val="20"/>
          <w:szCs w:val="20"/>
        </w:rPr>
        <w:t>.</w:t>
      </w:r>
    </w:p>
    <w:p w14:paraId="313BCC3E" w14:textId="77777777" w:rsidR="00DD155D" w:rsidRPr="00415502" w:rsidRDefault="00DD155D" w:rsidP="00DD155D">
      <w:p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ind w:left="357"/>
        <w:contextualSpacing/>
        <w:rPr>
          <w:iCs/>
          <w:sz w:val="20"/>
          <w:szCs w:val="20"/>
        </w:rPr>
      </w:pPr>
      <w:r w:rsidRPr="00415502">
        <w:rPr>
          <w:b/>
          <w:bCs/>
          <w:iCs/>
          <w:sz w:val="20"/>
          <w:szCs w:val="20"/>
        </w:rPr>
        <w:t>Membership</w:t>
      </w:r>
      <w:r w:rsidRPr="00415502">
        <w:rPr>
          <w:iCs/>
          <w:sz w:val="20"/>
          <w:szCs w:val="20"/>
        </w:rPr>
        <w:t xml:space="preserve"> will include:</w:t>
      </w:r>
    </w:p>
    <w:p w14:paraId="5E1737BF" w14:textId="3264E219" w:rsidR="00DD155D" w:rsidRPr="00415502" w:rsidRDefault="00DD155D" w:rsidP="0011591E">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rPr>
          <w:iCs/>
          <w:sz w:val="20"/>
          <w:szCs w:val="20"/>
        </w:rPr>
      </w:pPr>
      <w:r w:rsidRPr="00415502">
        <w:rPr>
          <w:iCs/>
          <w:sz w:val="20"/>
          <w:szCs w:val="20"/>
        </w:rPr>
        <w:t>A nominated representative from each AHP NGO implementing in the country</w:t>
      </w:r>
      <w:r w:rsidR="004C07FA" w:rsidRPr="00415502">
        <w:rPr>
          <w:iCs/>
          <w:sz w:val="20"/>
          <w:szCs w:val="20"/>
        </w:rPr>
        <w:t xml:space="preserve"> and</w:t>
      </w:r>
      <w:r w:rsidRPr="00415502">
        <w:rPr>
          <w:iCs/>
          <w:sz w:val="20"/>
          <w:szCs w:val="20"/>
        </w:rPr>
        <w:t xml:space="preserve"> </w:t>
      </w:r>
      <w:r w:rsidR="0081280B">
        <w:rPr>
          <w:iCs/>
          <w:sz w:val="20"/>
          <w:szCs w:val="20"/>
        </w:rPr>
        <w:t>at least one each of their</w:t>
      </w:r>
      <w:r w:rsidR="0081280B" w:rsidRPr="00415502">
        <w:rPr>
          <w:iCs/>
          <w:sz w:val="20"/>
          <w:szCs w:val="20"/>
        </w:rPr>
        <w:t xml:space="preserve"> </w:t>
      </w:r>
      <w:r w:rsidRPr="00415502">
        <w:rPr>
          <w:iCs/>
          <w:sz w:val="20"/>
          <w:szCs w:val="20"/>
        </w:rPr>
        <w:t xml:space="preserve">local Partner organisations </w:t>
      </w:r>
      <w:r w:rsidR="0081280B">
        <w:rPr>
          <w:iCs/>
          <w:sz w:val="20"/>
          <w:szCs w:val="20"/>
        </w:rPr>
        <w:t xml:space="preserve">(and others </w:t>
      </w:r>
      <w:r w:rsidRPr="00415502">
        <w:rPr>
          <w:iCs/>
          <w:sz w:val="20"/>
          <w:szCs w:val="20"/>
        </w:rPr>
        <w:t xml:space="preserve">as </w:t>
      </w:r>
      <w:r w:rsidR="0081280B">
        <w:rPr>
          <w:iCs/>
          <w:sz w:val="20"/>
          <w:szCs w:val="20"/>
        </w:rPr>
        <w:t>negotiated in-country)</w:t>
      </w:r>
      <w:r w:rsidRPr="00415502">
        <w:rPr>
          <w:iCs/>
          <w:sz w:val="20"/>
          <w:szCs w:val="20"/>
        </w:rPr>
        <w:t xml:space="preserve">.  </w:t>
      </w:r>
    </w:p>
    <w:p w14:paraId="3BC27054" w14:textId="631E5539" w:rsidR="00DD155D" w:rsidRPr="00415502" w:rsidRDefault="000978D4" w:rsidP="0011591E">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rPr>
          <w:iCs/>
          <w:sz w:val="20"/>
          <w:szCs w:val="20"/>
        </w:rPr>
      </w:pPr>
      <w:r>
        <w:rPr>
          <w:iCs/>
          <w:sz w:val="20"/>
          <w:szCs w:val="20"/>
        </w:rPr>
        <w:t>A r</w:t>
      </w:r>
      <w:r w:rsidR="00DD155D" w:rsidRPr="00415502">
        <w:rPr>
          <w:iCs/>
          <w:sz w:val="20"/>
          <w:szCs w:val="20"/>
        </w:rPr>
        <w:t xml:space="preserve">epresentative from </w:t>
      </w:r>
      <w:r w:rsidR="00C53643">
        <w:rPr>
          <w:iCs/>
          <w:sz w:val="20"/>
          <w:szCs w:val="20"/>
        </w:rPr>
        <w:t>a</w:t>
      </w:r>
      <w:r>
        <w:rPr>
          <w:iCs/>
          <w:sz w:val="20"/>
          <w:szCs w:val="20"/>
        </w:rPr>
        <w:t>n</w:t>
      </w:r>
      <w:r w:rsidR="00C53643">
        <w:rPr>
          <w:iCs/>
          <w:sz w:val="20"/>
          <w:szCs w:val="20"/>
        </w:rPr>
        <w:t xml:space="preserve"> OPD</w:t>
      </w:r>
      <w:r w:rsidR="00096CE8">
        <w:rPr>
          <w:iCs/>
          <w:sz w:val="20"/>
          <w:szCs w:val="20"/>
        </w:rPr>
        <w:t xml:space="preserve"> </w:t>
      </w:r>
      <w:r w:rsidR="00DD155D" w:rsidRPr="00415502">
        <w:rPr>
          <w:iCs/>
          <w:sz w:val="20"/>
          <w:szCs w:val="20"/>
        </w:rPr>
        <w:t>and from a Women</w:t>
      </w:r>
      <w:r w:rsidR="002B5D5C">
        <w:rPr>
          <w:iCs/>
          <w:sz w:val="20"/>
          <w:szCs w:val="20"/>
        </w:rPr>
        <w:t>’s</w:t>
      </w:r>
      <w:r w:rsidR="00DD155D" w:rsidRPr="00415502">
        <w:rPr>
          <w:iCs/>
          <w:sz w:val="20"/>
          <w:szCs w:val="20"/>
        </w:rPr>
        <w:t xml:space="preserve"> Rights Organisation</w:t>
      </w:r>
      <w:r w:rsidR="006B4A81">
        <w:rPr>
          <w:iCs/>
          <w:sz w:val="20"/>
          <w:szCs w:val="20"/>
        </w:rPr>
        <w:t xml:space="preserve"> or other rights holder organisations</w:t>
      </w:r>
      <w:r w:rsidR="00DD155D" w:rsidRPr="00415502">
        <w:rPr>
          <w:iCs/>
          <w:sz w:val="20"/>
          <w:szCs w:val="20"/>
        </w:rPr>
        <w:t xml:space="preserve"> (particularly those who are supported or engaged in other DFAT regional and bilateral programs). </w:t>
      </w:r>
    </w:p>
    <w:p w14:paraId="2D5C2D78" w14:textId="4E81A0F7" w:rsidR="00DD155D" w:rsidRPr="00415502" w:rsidRDefault="006E6E8C" w:rsidP="00DD155D">
      <w:p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ind w:left="357"/>
        <w:rPr>
          <w:iCs/>
          <w:sz w:val="20"/>
          <w:szCs w:val="20"/>
        </w:rPr>
      </w:pPr>
      <w:r>
        <w:rPr>
          <w:iCs/>
          <w:sz w:val="20"/>
          <w:szCs w:val="20"/>
        </w:rPr>
        <w:t>DRCCs</w:t>
      </w:r>
      <w:r w:rsidR="00DD155D" w:rsidRPr="00415502">
        <w:rPr>
          <w:iCs/>
          <w:sz w:val="20"/>
          <w:szCs w:val="20"/>
        </w:rPr>
        <w:t xml:space="preserve"> will aim to have a balance of gender and international/local </w:t>
      </w:r>
      <w:r w:rsidR="0007539B" w:rsidRPr="00415502">
        <w:rPr>
          <w:iCs/>
          <w:sz w:val="20"/>
          <w:szCs w:val="20"/>
        </w:rPr>
        <w:t>participation and</w:t>
      </w:r>
      <w:r w:rsidR="00DD155D" w:rsidRPr="00415502">
        <w:rPr>
          <w:iCs/>
          <w:sz w:val="20"/>
          <w:szCs w:val="20"/>
        </w:rPr>
        <w:t xml:space="preserve"> </w:t>
      </w:r>
      <w:r w:rsidR="00422966">
        <w:rPr>
          <w:iCs/>
          <w:sz w:val="20"/>
          <w:szCs w:val="20"/>
        </w:rPr>
        <w:t>will be encouraged to set targets to achieve this over time. M</w:t>
      </w:r>
      <w:r w:rsidR="00DD155D" w:rsidRPr="00415502">
        <w:rPr>
          <w:iCs/>
          <w:sz w:val="20"/>
          <w:szCs w:val="20"/>
        </w:rPr>
        <w:t xml:space="preserve">embership will be extended to achieve this balance. </w:t>
      </w:r>
    </w:p>
    <w:p w14:paraId="44491E19" w14:textId="32AAC59E" w:rsidR="00DD155D" w:rsidRPr="00415502" w:rsidRDefault="00DD155D" w:rsidP="00DD155D">
      <w:p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ind w:left="357"/>
        <w:contextualSpacing/>
        <w:rPr>
          <w:iCs/>
          <w:sz w:val="20"/>
          <w:szCs w:val="20"/>
        </w:rPr>
      </w:pPr>
      <w:r w:rsidRPr="00415502">
        <w:rPr>
          <w:iCs/>
          <w:sz w:val="20"/>
          <w:szCs w:val="20"/>
        </w:rPr>
        <w:t>The DR</w:t>
      </w:r>
      <w:r w:rsidR="00D80044">
        <w:rPr>
          <w:iCs/>
          <w:sz w:val="20"/>
          <w:szCs w:val="20"/>
        </w:rPr>
        <w:t xml:space="preserve">CC </w:t>
      </w:r>
      <w:r w:rsidRPr="00415502">
        <w:rPr>
          <w:iCs/>
          <w:sz w:val="20"/>
          <w:szCs w:val="20"/>
        </w:rPr>
        <w:t xml:space="preserve">will be </w:t>
      </w:r>
      <w:r w:rsidRPr="00415502">
        <w:rPr>
          <w:b/>
          <w:bCs/>
          <w:iCs/>
          <w:sz w:val="20"/>
          <w:szCs w:val="20"/>
        </w:rPr>
        <w:t>chaired</w:t>
      </w:r>
      <w:r w:rsidR="0052647D">
        <w:rPr>
          <w:b/>
          <w:bCs/>
          <w:iCs/>
          <w:sz w:val="20"/>
          <w:szCs w:val="20"/>
        </w:rPr>
        <w:t xml:space="preserve"> and coordinated</w:t>
      </w:r>
      <w:r w:rsidRPr="00415502">
        <w:rPr>
          <w:iCs/>
          <w:sz w:val="20"/>
          <w:szCs w:val="20"/>
        </w:rPr>
        <w:t xml:space="preserve"> by </w:t>
      </w:r>
      <w:r w:rsidR="0016501F">
        <w:rPr>
          <w:iCs/>
          <w:sz w:val="20"/>
          <w:szCs w:val="20"/>
        </w:rPr>
        <w:t>one</w:t>
      </w:r>
      <w:r w:rsidRPr="00415502">
        <w:rPr>
          <w:iCs/>
          <w:sz w:val="20"/>
          <w:szCs w:val="20"/>
        </w:rPr>
        <w:t xml:space="preserve"> </w:t>
      </w:r>
      <w:r w:rsidR="002D21BB">
        <w:rPr>
          <w:iCs/>
          <w:sz w:val="20"/>
          <w:szCs w:val="20"/>
        </w:rPr>
        <w:t>l</w:t>
      </w:r>
      <w:r w:rsidRPr="00415502">
        <w:rPr>
          <w:iCs/>
          <w:sz w:val="20"/>
          <w:szCs w:val="20"/>
        </w:rPr>
        <w:t xml:space="preserve">ead ANGO for Disaster READY in each country with an invited co-chair from a local </w:t>
      </w:r>
      <w:r w:rsidR="000577C3">
        <w:rPr>
          <w:iCs/>
          <w:sz w:val="20"/>
          <w:szCs w:val="20"/>
        </w:rPr>
        <w:t>partner</w:t>
      </w:r>
      <w:r w:rsidRPr="00415502">
        <w:rPr>
          <w:iCs/>
          <w:sz w:val="20"/>
          <w:szCs w:val="20"/>
        </w:rPr>
        <w:t xml:space="preserve"> representative where the nominated </w:t>
      </w:r>
      <w:r w:rsidR="0052647D">
        <w:rPr>
          <w:iCs/>
          <w:sz w:val="20"/>
          <w:szCs w:val="20"/>
        </w:rPr>
        <w:t>Coordinator</w:t>
      </w:r>
      <w:r w:rsidRPr="00415502">
        <w:rPr>
          <w:iCs/>
          <w:sz w:val="20"/>
          <w:szCs w:val="20"/>
        </w:rPr>
        <w:t xml:space="preserve"> is not a national staff member of a local AHP </w:t>
      </w:r>
      <w:r w:rsidR="000577C3">
        <w:rPr>
          <w:iCs/>
          <w:sz w:val="20"/>
          <w:szCs w:val="20"/>
        </w:rPr>
        <w:t xml:space="preserve">NGO </w:t>
      </w:r>
      <w:r w:rsidRPr="00415502">
        <w:rPr>
          <w:iCs/>
          <w:sz w:val="20"/>
          <w:szCs w:val="20"/>
        </w:rPr>
        <w:t>Partner.</w:t>
      </w:r>
    </w:p>
    <w:p w14:paraId="44148630" w14:textId="388EDD7B" w:rsidR="00DD155D" w:rsidRPr="00415502" w:rsidRDefault="00DD155D" w:rsidP="00DD155D">
      <w:p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ind w:left="357"/>
        <w:rPr>
          <w:iCs/>
          <w:sz w:val="20"/>
          <w:szCs w:val="20"/>
        </w:rPr>
      </w:pPr>
      <w:r w:rsidRPr="00415502">
        <w:rPr>
          <w:iCs/>
          <w:sz w:val="20"/>
          <w:szCs w:val="20"/>
        </w:rPr>
        <w:t xml:space="preserve">The </w:t>
      </w:r>
      <w:r w:rsidRPr="00415502">
        <w:rPr>
          <w:b/>
          <w:bCs/>
          <w:iCs/>
          <w:sz w:val="20"/>
          <w:szCs w:val="20"/>
        </w:rPr>
        <w:t>lead ANGO</w:t>
      </w:r>
      <w:r w:rsidRPr="00415502">
        <w:rPr>
          <w:iCs/>
          <w:sz w:val="20"/>
          <w:szCs w:val="20"/>
        </w:rPr>
        <w:t xml:space="preserve"> </w:t>
      </w:r>
      <w:r w:rsidR="006D7F7D">
        <w:rPr>
          <w:iCs/>
          <w:sz w:val="20"/>
          <w:szCs w:val="20"/>
        </w:rPr>
        <w:t>(</w:t>
      </w:r>
      <w:r w:rsidR="00D80044">
        <w:rPr>
          <w:iCs/>
          <w:sz w:val="20"/>
          <w:szCs w:val="20"/>
        </w:rPr>
        <w:t>DRCC</w:t>
      </w:r>
      <w:r w:rsidR="006D7F7D">
        <w:rPr>
          <w:iCs/>
          <w:sz w:val="20"/>
          <w:szCs w:val="20"/>
        </w:rPr>
        <w:t xml:space="preserve"> </w:t>
      </w:r>
      <w:r w:rsidR="002D21BB">
        <w:rPr>
          <w:iCs/>
          <w:sz w:val="20"/>
          <w:szCs w:val="20"/>
        </w:rPr>
        <w:t>Coordinator</w:t>
      </w:r>
      <w:r w:rsidR="006D7F7D">
        <w:rPr>
          <w:iCs/>
          <w:sz w:val="20"/>
          <w:szCs w:val="20"/>
        </w:rPr>
        <w:t xml:space="preserve">) </w:t>
      </w:r>
      <w:r w:rsidRPr="00415502">
        <w:rPr>
          <w:iCs/>
          <w:sz w:val="20"/>
          <w:szCs w:val="20"/>
        </w:rPr>
        <w:t xml:space="preserve">for each DR Country will be selected </w:t>
      </w:r>
      <w:r w:rsidR="006E020D">
        <w:rPr>
          <w:iCs/>
          <w:sz w:val="20"/>
          <w:szCs w:val="20"/>
        </w:rPr>
        <w:t>as part of the country</w:t>
      </w:r>
      <w:r w:rsidR="002D21BB">
        <w:rPr>
          <w:iCs/>
          <w:sz w:val="20"/>
          <w:szCs w:val="20"/>
        </w:rPr>
        <w:t xml:space="preserve"> </w:t>
      </w:r>
      <w:r w:rsidR="006E020D">
        <w:rPr>
          <w:iCs/>
          <w:sz w:val="20"/>
          <w:szCs w:val="20"/>
        </w:rPr>
        <w:t xml:space="preserve">planning process </w:t>
      </w:r>
      <w:r w:rsidRPr="00415502">
        <w:rPr>
          <w:iCs/>
          <w:sz w:val="20"/>
          <w:szCs w:val="20"/>
        </w:rPr>
        <w:t xml:space="preserve">early in 2022. DRCCs may propose </w:t>
      </w:r>
      <w:r w:rsidR="002D21BB">
        <w:rPr>
          <w:iCs/>
          <w:sz w:val="20"/>
          <w:szCs w:val="20"/>
        </w:rPr>
        <w:t xml:space="preserve">a </w:t>
      </w:r>
      <w:r w:rsidR="0005311A">
        <w:rPr>
          <w:iCs/>
          <w:sz w:val="20"/>
          <w:szCs w:val="20"/>
        </w:rPr>
        <w:t>fixed or</w:t>
      </w:r>
      <w:r w:rsidRPr="00415502">
        <w:rPr>
          <w:iCs/>
          <w:sz w:val="20"/>
          <w:szCs w:val="20"/>
        </w:rPr>
        <w:t xml:space="preserve"> rotating </w:t>
      </w:r>
      <w:r w:rsidR="002D21BB">
        <w:rPr>
          <w:iCs/>
          <w:sz w:val="20"/>
          <w:szCs w:val="20"/>
        </w:rPr>
        <w:t>lead ANGO</w:t>
      </w:r>
      <w:r w:rsidR="0005311A">
        <w:rPr>
          <w:iCs/>
          <w:sz w:val="20"/>
          <w:szCs w:val="20"/>
        </w:rPr>
        <w:t xml:space="preserve"> as appropriate to the context</w:t>
      </w:r>
      <w:r w:rsidRPr="00415502">
        <w:rPr>
          <w:iCs/>
          <w:sz w:val="20"/>
          <w:szCs w:val="20"/>
        </w:rPr>
        <w:t xml:space="preserve">. </w:t>
      </w:r>
    </w:p>
    <w:p w14:paraId="626CC8DC" w14:textId="11E33AD1" w:rsidR="00DD155D" w:rsidRPr="00415502" w:rsidRDefault="00DD155D" w:rsidP="00DD155D">
      <w:p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ind w:left="357"/>
        <w:contextualSpacing/>
        <w:rPr>
          <w:iCs/>
          <w:sz w:val="20"/>
          <w:szCs w:val="20"/>
        </w:rPr>
      </w:pPr>
      <w:r w:rsidRPr="00415502">
        <w:rPr>
          <w:iCs/>
          <w:sz w:val="20"/>
          <w:szCs w:val="20"/>
        </w:rPr>
        <w:t xml:space="preserve">The </w:t>
      </w:r>
      <w:r w:rsidRPr="00415502">
        <w:rPr>
          <w:b/>
          <w:bCs/>
          <w:iCs/>
          <w:sz w:val="20"/>
          <w:szCs w:val="20"/>
        </w:rPr>
        <w:t>responsibilities</w:t>
      </w:r>
      <w:r w:rsidRPr="00415502">
        <w:rPr>
          <w:iCs/>
          <w:sz w:val="20"/>
          <w:szCs w:val="20"/>
        </w:rPr>
        <w:t xml:space="preserve"> of the DR</w:t>
      </w:r>
      <w:r w:rsidR="00D80044">
        <w:rPr>
          <w:iCs/>
          <w:sz w:val="20"/>
          <w:szCs w:val="20"/>
        </w:rPr>
        <w:t xml:space="preserve">CC </w:t>
      </w:r>
      <w:r w:rsidRPr="00415502">
        <w:rPr>
          <w:iCs/>
          <w:sz w:val="20"/>
          <w:szCs w:val="20"/>
        </w:rPr>
        <w:t>include:</w:t>
      </w:r>
    </w:p>
    <w:p w14:paraId="02628F92" w14:textId="04BDD4D6" w:rsidR="00DD155D" w:rsidRPr="00415502" w:rsidRDefault="00DD155D" w:rsidP="0011591E">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rPr>
          <w:iCs/>
          <w:sz w:val="20"/>
          <w:szCs w:val="20"/>
        </w:rPr>
      </w:pPr>
      <w:r w:rsidRPr="00415502">
        <w:rPr>
          <w:iCs/>
          <w:sz w:val="20"/>
          <w:szCs w:val="20"/>
        </w:rPr>
        <w:t xml:space="preserve">Building effective working relationships between AHP </w:t>
      </w:r>
      <w:r w:rsidR="000577C3">
        <w:rPr>
          <w:iCs/>
          <w:sz w:val="20"/>
          <w:szCs w:val="20"/>
        </w:rPr>
        <w:t xml:space="preserve">NGO </w:t>
      </w:r>
      <w:r w:rsidRPr="00415502">
        <w:rPr>
          <w:iCs/>
          <w:sz w:val="20"/>
          <w:szCs w:val="20"/>
        </w:rPr>
        <w:t xml:space="preserve">Partners (ANGOs and local partners) for sharing of information, </w:t>
      </w:r>
      <w:r w:rsidR="0007539B" w:rsidRPr="00415502">
        <w:rPr>
          <w:iCs/>
          <w:sz w:val="20"/>
          <w:szCs w:val="20"/>
        </w:rPr>
        <w:t>expertise,</w:t>
      </w:r>
      <w:r w:rsidRPr="00415502">
        <w:rPr>
          <w:iCs/>
          <w:sz w:val="20"/>
          <w:szCs w:val="20"/>
        </w:rPr>
        <w:t xml:space="preserve"> and analysis</w:t>
      </w:r>
    </w:p>
    <w:p w14:paraId="1A2A79E1" w14:textId="0EB8F501" w:rsidR="00DD155D" w:rsidRPr="00415502" w:rsidRDefault="00DD155D" w:rsidP="0011591E">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rPr>
          <w:iCs/>
          <w:sz w:val="20"/>
          <w:szCs w:val="20"/>
        </w:rPr>
      </w:pPr>
      <w:r w:rsidRPr="00415502">
        <w:rPr>
          <w:iCs/>
          <w:sz w:val="20"/>
          <w:szCs w:val="20"/>
        </w:rPr>
        <w:t xml:space="preserve">Coordinating and leading initial and annual planning processes to develop </w:t>
      </w:r>
      <w:r w:rsidR="00794FB5" w:rsidRPr="00415502">
        <w:rPr>
          <w:iCs/>
          <w:sz w:val="20"/>
          <w:szCs w:val="20"/>
        </w:rPr>
        <w:t xml:space="preserve">the Disaster READY </w:t>
      </w:r>
      <w:r w:rsidRPr="00415502">
        <w:rPr>
          <w:iCs/>
          <w:sz w:val="20"/>
          <w:szCs w:val="20"/>
        </w:rPr>
        <w:t>Country Plan</w:t>
      </w:r>
      <w:r w:rsidR="00553B39">
        <w:rPr>
          <w:iCs/>
          <w:sz w:val="20"/>
          <w:szCs w:val="20"/>
        </w:rPr>
        <w:t>.</w:t>
      </w:r>
    </w:p>
    <w:p w14:paraId="4D2CD264" w14:textId="26171B0D" w:rsidR="00794FB5" w:rsidRPr="00CC4F07" w:rsidRDefault="00A96506" w:rsidP="0011591E">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rPr>
          <w:iCs/>
          <w:sz w:val="20"/>
          <w:szCs w:val="20"/>
        </w:rPr>
      </w:pPr>
      <w:r>
        <w:rPr>
          <w:iCs/>
          <w:sz w:val="20"/>
          <w:szCs w:val="20"/>
        </w:rPr>
        <w:t>A</w:t>
      </w:r>
      <w:r w:rsidRPr="00316257">
        <w:rPr>
          <w:iCs/>
          <w:sz w:val="20"/>
          <w:szCs w:val="20"/>
        </w:rPr>
        <w:t>gree</w:t>
      </w:r>
      <w:r>
        <w:rPr>
          <w:iCs/>
          <w:sz w:val="20"/>
          <w:szCs w:val="20"/>
        </w:rPr>
        <w:t>ing a</w:t>
      </w:r>
      <w:r w:rsidRPr="00316257">
        <w:rPr>
          <w:iCs/>
          <w:sz w:val="20"/>
          <w:szCs w:val="20"/>
        </w:rPr>
        <w:t xml:space="preserve"> process and criteria to </w:t>
      </w:r>
      <w:r w:rsidRPr="009760CE">
        <w:rPr>
          <w:iCs/>
          <w:sz w:val="20"/>
          <w:szCs w:val="20"/>
        </w:rPr>
        <w:t>select the best placed partners</w:t>
      </w:r>
      <w:r w:rsidRPr="00415502">
        <w:rPr>
          <w:iCs/>
          <w:sz w:val="20"/>
          <w:szCs w:val="20"/>
        </w:rPr>
        <w:t xml:space="preserve"> </w:t>
      </w:r>
      <w:r>
        <w:rPr>
          <w:iCs/>
          <w:sz w:val="20"/>
          <w:szCs w:val="20"/>
        </w:rPr>
        <w:t>for humanitarian responses and following this process to coordinate</w:t>
      </w:r>
      <w:r w:rsidR="00794FB5" w:rsidRPr="00415502">
        <w:rPr>
          <w:iCs/>
          <w:sz w:val="20"/>
          <w:szCs w:val="20"/>
        </w:rPr>
        <w:t xml:space="preserve"> and </w:t>
      </w:r>
      <w:r>
        <w:rPr>
          <w:iCs/>
          <w:sz w:val="20"/>
          <w:szCs w:val="20"/>
        </w:rPr>
        <w:t>develop</w:t>
      </w:r>
      <w:r w:rsidR="00794FB5" w:rsidRPr="00415502">
        <w:rPr>
          <w:iCs/>
          <w:sz w:val="20"/>
          <w:szCs w:val="20"/>
        </w:rPr>
        <w:t xml:space="preserve"> </w:t>
      </w:r>
      <w:r w:rsidR="009760CE" w:rsidRPr="00415502">
        <w:rPr>
          <w:iCs/>
          <w:sz w:val="20"/>
          <w:szCs w:val="20"/>
        </w:rPr>
        <w:t>a</w:t>
      </w:r>
      <w:r w:rsidR="00882AC1" w:rsidRPr="00415502">
        <w:rPr>
          <w:iCs/>
          <w:sz w:val="20"/>
          <w:szCs w:val="20"/>
        </w:rPr>
        <w:t>ny</w:t>
      </w:r>
      <w:r w:rsidR="009760CE" w:rsidRPr="00415502">
        <w:rPr>
          <w:iCs/>
          <w:sz w:val="20"/>
          <w:szCs w:val="20"/>
        </w:rPr>
        <w:t xml:space="preserve"> </w:t>
      </w:r>
      <w:r w:rsidR="00205A0A">
        <w:rPr>
          <w:iCs/>
          <w:sz w:val="20"/>
          <w:szCs w:val="20"/>
        </w:rPr>
        <w:t>collaborative country p</w:t>
      </w:r>
      <w:r w:rsidR="009760CE" w:rsidRPr="00415502">
        <w:rPr>
          <w:iCs/>
          <w:sz w:val="20"/>
          <w:szCs w:val="20"/>
        </w:rPr>
        <w:t>roposal under Component 2</w:t>
      </w:r>
      <w:r w:rsidR="009760CE" w:rsidRPr="009760CE">
        <w:rPr>
          <w:iCs/>
          <w:sz w:val="20"/>
          <w:szCs w:val="20"/>
        </w:rPr>
        <w:t xml:space="preserve">.   </w:t>
      </w:r>
    </w:p>
    <w:p w14:paraId="6A927C2A" w14:textId="77777777" w:rsidR="00DD155D" w:rsidRPr="00CC4F07" w:rsidRDefault="00DD155D" w:rsidP="0011591E">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rPr>
          <w:iCs/>
          <w:sz w:val="20"/>
          <w:szCs w:val="20"/>
        </w:rPr>
      </w:pPr>
      <w:r w:rsidRPr="00CC4F07">
        <w:rPr>
          <w:iCs/>
          <w:sz w:val="20"/>
          <w:szCs w:val="20"/>
        </w:rPr>
        <w:t>Convening peer review processes for review and feedback on individual ANGO Activity Plans</w:t>
      </w:r>
    </w:p>
    <w:p w14:paraId="10B2366C" w14:textId="1F666F7B" w:rsidR="00DD155D" w:rsidRPr="00CC4F07" w:rsidRDefault="00DD155D" w:rsidP="0011591E">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rPr>
          <w:iCs/>
          <w:sz w:val="20"/>
          <w:szCs w:val="20"/>
        </w:rPr>
      </w:pPr>
      <w:r w:rsidRPr="00CC4F07">
        <w:rPr>
          <w:iCs/>
          <w:sz w:val="20"/>
          <w:szCs w:val="20"/>
        </w:rPr>
        <w:t xml:space="preserve">Establishing processes and mechanisms for shared </w:t>
      </w:r>
      <w:r w:rsidR="00205A0A">
        <w:rPr>
          <w:iCs/>
          <w:sz w:val="20"/>
          <w:szCs w:val="20"/>
        </w:rPr>
        <w:t>MEL</w:t>
      </w:r>
      <w:r w:rsidRPr="00CC4F07">
        <w:rPr>
          <w:iCs/>
          <w:sz w:val="20"/>
          <w:szCs w:val="20"/>
        </w:rPr>
        <w:t xml:space="preserve"> approaches at ANGO Activity level</w:t>
      </w:r>
    </w:p>
    <w:p w14:paraId="1FDE7493" w14:textId="6EC72AD3" w:rsidR="00DD155D" w:rsidRPr="00CC4F07" w:rsidRDefault="00DD155D" w:rsidP="0011591E">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rPr>
          <w:iCs/>
          <w:sz w:val="20"/>
          <w:szCs w:val="20"/>
        </w:rPr>
      </w:pPr>
      <w:r w:rsidRPr="00CC4F07">
        <w:rPr>
          <w:iCs/>
          <w:sz w:val="20"/>
          <w:szCs w:val="20"/>
        </w:rPr>
        <w:t xml:space="preserve">Convening participation for </w:t>
      </w:r>
      <w:r w:rsidR="00205A0A">
        <w:rPr>
          <w:iCs/>
          <w:sz w:val="20"/>
          <w:szCs w:val="20"/>
        </w:rPr>
        <w:t xml:space="preserve">six-monthly and annual </w:t>
      </w:r>
      <w:r w:rsidR="00553B39">
        <w:rPr>
          <w:iCs/>
          <w:sz w:val="20"/>
          <w:szCs w:val="20"/>
        </w:rPr>
        <w:t xml:space="preserve">participatory </w:t>
      </w:r>
      <w:r w:rsidRPr="00CC4F07">
        <w:rPr>
          <w:iCs/>
          <w:sz w:val="20"/>
          <w:szCs w:val="20"/>
        </w:rPr>
        <w:t>analysis of achievement, constraints, lessons, and risks against the Country Plan</w:t>
      </w:r>
      <w:r w:rsidR="006D7B52">
        <w:rPr>
          <w:iCs/>
          <w:sz w:val="20"/>
          <w:szCs w:val="20"/>
        </w:rPr>
        <w:t xml:space="preserve"> (including safeguards and fraud).</w:t>
      </w:r>
    </w:p>
    <w:p w14:paraId="342AECBE" w14:textId="493ACC16" w:rsidR="00DD155D" w:rsidRPr="00CC4F07" w:rsidRDefault="00DD155D" w:rsidP="0011591E">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rPr>
          <w:iCs/>
          <w:sz w:val="20"/>
          <w:szCs w:val="20"/>
        </w:rPr>
      </w:pPr>
      <w:r w:rsidRPr="00CC4F07">
        <w:rPr>
          <w:iCs/>
          <w:sz w:val="20"/>
          <w:szCs w:val="20"/>
        </w:rPr>
        <w:t xml:space="preserve">Coordinating </w:t>
      </w:r>
      <w:r w:rsidR="00553B39">
        <w:rPr>
          <w:iCs/>
          <w:sz w:val="20"/>
          <w:szCs w:val="20"/>
        </w:rPr>
        <w:t xml:space="preserve">a </w:t>
      </w:r>
      <w:r w:rsidRPr="00CC4F07">
        <w:rPr>
          <w:iCs/>
          <w:sz w:val="20"/>
          <w:szCs w:val="20"/>
        </w:rPr>
        <w:t xml:space="preserve">schedule of </w:t>
      </w:r>
      <w:r w:rsidR="00553B39">
        <w:rPr>
          <w:iCs/>
          <w:sz w:val="20"/>
          <w:szCs w:val="20"/>
        </w:rPr>
        <w:t xml:space="preserve">research and learning activities and </w:t>
      </w:r>
      <w:r w:rsidRPr="00CC4F07">
        <w:rPr>
          <w:iCs/>
          <w:sz w:val="20"/>
          <w:szCs w:val="20"/>
        </w:rPr>
        <w:t>country level thematic, cross-cutting and outcome evaluations (with technical support and leadership from AHPSU)</w:t>
      </w:r>
    </w:p>
    <w:p w14:paraId="6DC8F77B" w14:textId="0C2A6C5B" w:rsidR="00DD155D" w:rsidRPr="00CC4F07" w:rsidRDefault="00DD155D" w:rsidP="0011591E">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rPr>
          <w:iCs/>
          <w:sz w:val="20"/>
          <w:szCs w:val="20"/>
        </w:rPr>
      </w:pPr>
      <w:r w:rsidRPr="00CC4F07">
        <w:rPr>
          <w:iCs/>
          <w:sz w:val="20"/>
          <w:szCs w:val="20"/>
        </w:rPr>
        <w:t>Providing a focal contact point for Partner Government</w:t>
      </w:r>
      <w:r w:rsidR="007E39C3">
        <w:rPr>
          <w:iCs/>
          <w:sz w:val="20"/>
          <w:szCs w:val="20"/>
        </w:rPr>
        <w:t xml:space="preserve">, </w:t>
      </w:r>
      <w:r w:rsidR="0007539B" w:rsidRPr="00CC4F07">
        <w:rPr>
          <w:iCs/>
          <w:sz w:val="20"/>
          <w:szCs w:val="20"/>
        </w:rPr>
        <w:t>Post,</w:t>
      </w:r>
      <w:r w:rsidRPr="00CC4F07">
        <w:rPr>
          <w:iCs/>
          <w:sz w:val="20"/>
          <w:szCs w:val="20"/>
        </w:rPr>
        <w:t xml:space="preserve"> </w:t>
      </w:r>
      <w:r w:rsidR="007E39C3">
        <w:rPr>
          <w:iCs/>
          <w:sz w:val="20"/>
          <w:szCs w:val="20"/>
        </w:rPr>
        <w:t xml:space="preserve">and other initiative </w:t>
      </w:r>
      <w:r w:rsidRPr="00CC4F07">
        <w:rPr>
          <w:iCs/>
          <w:sz w:val="20"/>
          <w:szCs w:val="20"/>
        </w:rPr>
        <w:t xml:space="preserve">engagement with AHP </w:t>
      </w:r>
      <w:r w:rsidR="000577C3">
        <w:rPr>
          <w:iCs/>
          <w:sz w:val="20"/>
          <w:szCs w:val="20"/>
        </w:rPr>
        <w:t xml:space="preserve">NGO </w:t>
      </w:r>
      <w:r w:rsidRPr="00CC4F07">
        <w:rPr>
          <w:iCs/>
          <w:sz w:val="20"/>
          <w:szCs w:val="20"/>
        </w:rPr>
        <w:t>Partners</w:t>
      </w:r>
    </w:p>
    <w:p w14:paraId="51CB2E4E" w14:textId="6C646527" w:rsidR="00DD155D" w:rsidRPr="00CC4F07" w:rsidRDefault="00DD155D" w:rsidP="0011591E">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rPr>
          <w:iCs/>
          <w:sz w:val="20"/>
          <w:szCs w:val="20"/>
        </w:rPr>
      </w:pPr>
      <w:r w:rsidRPr="00CC4F07">
        <w:rPr>
          <w:iCs/>
          <w:sz w:val="20"/>
          <w:szCs w:val="20"/>
        </w:rPr>
        <w:t xml:space="preserve">Maintaining contact points and processes for communications and public diplomacy opportunities, </w:t>
      </w:r>
      <w:r w:rsidR="0007539B" w:rsidRPr="00CC4F07">
        <w:rPr>
          <w:iCs/>
          <w:sz w:val="20"/>
          <w:szCs w:val="20"/>
        </w:rPr>
        <w:t>events,</w:t>
      </w:r>
      <w:r w:rsidRPr="00CC4F07">
        <w:rPr>
          <w:iCs/>
          <w:sz w:val="20"/>
          <w:szCs w:val="20"/>
        </w:rPr>
        <w:t xml:space="preserve"> and requests</w:t>
      </w:r>
    </w:p>
    <w:p w14:paraId="7ABC53A7" w14:textId="0F84DB15" w:rsidR="00DD155D" w:rsidRPr="00CC4F07" w:rsidRDefault="00DD155D" w:rsidP="0011591E">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rPr>
          <w:iCs/>
          <w:sz w:val="20"/>
          <w:szCs w:val="20"/>
        </w:rPr>
      </w:pPr>
      <w:r w:rsidRPr="00CC4F07">
        <w:rPr>
          <w:iCs/>
          <w:sz w:val="20"/>
          <w:szCs w:val="20"/>
        </w:rPr>
        <w:t>Making ongoing recommendations to the AHP Steering Committee on strateg</w:t>
      </w:r>
      <w:r w:rsidR="002B5D5C">
        <w:rPr>
          <w:iCs/>
          <w:sz w:val="20"/>
          <w:szCs w:val="20"/>
        </w:rPr>
        <w:t>ic</w:t>
      </w:r>
      <w:r w:rsidRPr="00CC4F07">
        <w:rPr>
          <w:iCs/>
          <w:sz w:val="20"/>
          <w:szCs w:val="20"/>
        </w:rPr>
        <w:t xml:space="preserve"> issues, emerging </w:t>
      </w:r>
      <w:r w:rsidR="0007539B" w:rsidRPr="00CC4F07">
        <w:rPr>
          <w:iCs/>
          <w:sz w:val="20"/>
          <w:szCs w:val="20"/>
        </w:rPr>
        <w:t>priorities,</w:t>
      </w:r>
      <w:r w:rsidRPr="00CC4F07">
        <w:rPr>
          <w:iCs/>
          <w:sz w:val="20"/>
          <w:szCs w:val="20"/>
        </w:rPr>
        <w:t xml:space="preserve"> and risks</w:t>
      </w:r>
    </w:p>
    <w:p w14:paraId="25E22E66" w14:textId="7515D952" w:rsidR="00DD155D" w:rsidRPr="00CC4F07" w:rsidRDefault="00DD155D" w:rsidP="00DD155D">
      <w:pPr>
        <w:pBdr>
          <w:top w:val="single" w:sz="4" w:space="1" w:color="auto"/>
          <w:left w:val="single" w:sz="4" w:space="4" w:color="auto"/>
          <w:bottom w:val="single" w:sz="4" w:space="1" w:color="auto"/>
          <w:right w:val="single" w:sz="4" w:space="4" w:color="auto"/>
        </w:pBdr>
        <w:shd w:val="clear" w:color="auto" w:fill="EEF5E7" w:themeFill="accent2" w:themeFillTint="33"/>
        <w:spacing w:before="0" w:line="280" w:lineRule="atLeast"/>
        <w:ind w:left="357"/>
        <w:rPr>
          <w:iCs/>
          <w:sz w:val="20"/>
          <w:szCs w:val="20"/>
        </w:rPr>
      </w:pPr>
      <w:r w:rsidRPr="00CC4F07">
        <w:rPr>
          <w:iCs/>
          <w:sz w:val="20"/>
          <w:szCs w:val="20"/>
        </w:rPr>
        <w:t xml:space="preserve">The </w:t>
      </w:r>
      <w:r w:rsidR="00727AEF">
        <w:rPr>
          <w:iCs/>
          <w:sz w:val="20"/>
          <w:szCs w:val="20"/>
        </w:rPr>
        <w:t>DRCC</w:t>
      </w:r>
      <w:r w:rsidRPr="00CC4F07">
        <w:rPr>
          <w:iCs/>
          <w:sz w:val="20"/>
          <w:szCs w:val="20"/>
        </w:rPr>
        <w:t xml:space="preserve"> will meet quarterly, or as needed to fulfil these responsibilities. The AHPSU will </w:t>
      </w:r>
      <w:r w:rsidR="002B5D5C">
        <w:rPr>
          <w:iCs/>
          <w:sz w:val="20"/>
          <w:szCs w:val="20"/>
        </w:rPr>
        <w:t xml:space="preserve">at a minimum </w:t>
      </w:r>
      <w:r w:rsidRPr="00CC4F07">
        <w:rPr>
          <w:iCs/>
          <w:sz w:val="20"/>
          <w:szCs w:val="20"/>
        </w:rPr>
        <w:t xml:space="preserve">maintain monthly contact with the </w:t>
      </w:r>
      <w:r w:rsidR="00727AEF">
        <w:rPr>
          <w:iCs/>
          <w:sz w:val="20"/>
          <w:szCs w:val="20"/>
        </w:rPr>
        <w:t>DRCCs</w:t>
      </w:r>
      <w:r w:rsidRPr="00CC4F07">
        <w:rPr>
          <w:iCs/>
          <w:sz w:val="20"/>
          <w:szCs w:val="20"/>
        </w:rPr>
        <w:t xml:space="preserve"> through the Coordinator.</w:t>
      </w:r>
      <w:r w:rsidR="00553B39">
        <w:rPr>
          <w:iCs/>
          <w:sz w:val="20"/>
          <w:szCs w:val="20"/>
        </w:rPr>
        <w:t xml:space="preserve"> </w:t>
      </w:r>
      <w:r w:rsidR="007C37D2">
        <w:rPr>
          <w:iCs/>
          <w:sz w:val="20"/>
          <w:szCs w:val="20"/>
        </w:rPr>
        <w:t>DRCC engagement with</w:t>
      </w:r>
      <w:r w:rsidR="004C5973" w:rsidRPr="00415502">
        <w:rPr>
          <w:iCs/>
          <w:sz w:val="20"/>
          <w:szCs w:val="20"/>
        </w:rPr>
        <w:t xml:space="preserve"> </w:t>
      </w:r>
      <w:r w:rsidR="007C37D2">
        <w:rPr>
          <w:iCs/>
          <w:sz w:val="20"/>
          <w:szCs w:val="20"/>
        </w:rPr>
        <w:t xml:space="preserve">DFAT </w:t>
      </w:r>
      <w:r w:rsidR="004C5973" w:rsidRPr="00415502">
        <w:rPr>
          <w:iCs/>
          <w:sz w:val="20"/>
          <w:szCs w:val="20"/>
        </w:rPr>
        <w:t>Post</w:t>
      </w:r>
      <w:r w:rsidR="007C37D2">
        <w:rPr>
          <w:iCs/>
          <w:sz w:val="20"/>
          <w:szCs w:val="20"/>
        </w:rPr>
        <w:t>s</w:t>
      </w:r>
      <w:r w:rsidR="004C5973" w:rsidRPr="00415502">
        <w:rPr>
          <w:iCs/>
          <w:sz w:val="20"/>
          <w:szCs w:val="20"/>
        </w:rPr>
        <w:t xml:space="preserve"> on for strategic </w:t>
      </w:r>
      <w:r w:rsidR="007C37D2">
        <w:rPr>
          <w:iCs/>
          <w:sz w:val="20"/>
          <w:szCs w:val="20"/>
        </w:rPr>
        <w:t>direction</w:t>
      </w:r>
      <w:r w:rsidR="004C5973" w:rsidRPr="00415502">
        <w:rPr>
          <w:iCs/>
          <w:sz w:val="20"/>
          <w:szCs w:val="20"/>
        </w:rPr>
        <w:t>, decision making (if required), and stakeholder relationships</w:t>
      </w:r>
      <w:r w:rsidR="007C37D2">
        <w:rPr>
          <w:iCs/>
          <w:sz w:val="20"/>
          <w:szCs w:val="20"/>
        </w:rPr>
        <w:t xml:space="preserve"> will be negotiated</w:t>
      </w:r>
      <w:r w:rsidR="00C50377">
        <w:rPr>
          <w:iCs/>
          <w:sz w:val="20"/>
          <w:szCs w:val="20"/>
        </w:rPr>
        <w:t xml:space="preserve"> at country-level</w:t>
      </w:r>
      <w:r w:rsidR="007C37D2">
        <w:rPr>
          <w:iCs/>
          <w:sz w:val="20"/>
          <w:szCs w:val="20"/>
        </w:rPr>
        <w:t xml:space="preserve"> </w:t>
      </w:r>
      <w:r w:rsidR="00C50377">
        <w:rPr>
          <w:iCs/>
          <w:sz w:val="20"/>
          <w:szCs w:val="20"/>
        </w:rPr>
        <w:t>to meet the context-specific needs</w:t>
      </w:r>
      <w:r w:rsidR="004C5973" w:rsidRPr="00415502">
        <w:rPr>
          <w:iCs/>
          <w:sz w:val="20"/>
          <w:szCs w:val="20"/>
        </w:rPr>
        <w:t xml:space="preserve">. It is expected this would include at least </w:t>
      </w:r>
      <w:r w:rsidR="0007539B" w:rsidRPr="00415502">
        <w:rPr>
          <w:iCs/>
          <w:sz w:val="20"/>
          <w:szCs w:val="20"/>
        </w:rPr>
        <w:t>six-monthly</w:t>
      </w:r>
      <w:r w:rsidR="004C5973" w:rsidRPr="00415502">
        <w:rPr>
          <w:iCs/>
          <w:sz w:val="20"/>
          <w:szCs w:val="20"/>
        </w:rPr>
        <w:t xml:space="preserve"> attendance at </w:t>
      </w:r>
      <w:r w:rsidR="004C5973">
        <w:rPr>
          <w:iCs/>
          <w:sz w:val="20"/>
          <w:szCs w:val="20"/>
        </w:rPr>
        <w:t>DRCC</w:t>
      </w:r>
      <w:r w:rsidR="004C5973" w:rsidRPr="00415502">
        <w:rPr>
          <w:iCs/>
          <w:sz w:val="20"/>
          <w:szCs w:val="20"/>
        </w:rPr>
        <w:t xml:space="preserve"> meetings, and more frequent operational level engagement as agreed.</w:t>
      </w:r>
      <w:r w:rsidR="0016501F" w:rsidRPr="0016501F">
        <w:rPr>
          <w:iCs/>
          <w:sz w:val="20"/>
          <w:szCs w:val="20"/>
        </w:rPr>
        <w:t xml:space="preserve"> </w:t>
      </w:r>
    </w:p>
    <w:p w14:paraId="711AB4ED" w14:textId="3A5E6BE1" w:rsidR="00DD155D" w:rsidRDefault="004168ED" w:rsidP="003E2C60">
      <w:pPr>
        <w:pStyle w:val="ListParagraph"/>
        <w:numPr>
          <w:ilvl w:val="0"/>
          <w:numId w:val="12"/>
        </w:numPr>
        <w:tabs>
          <w:tab w:val="left" w:pos="284"/>
        </w:tabs>
        <w:suppressAutoHyphens w:val="0"/>
        <w:spacing w:before="200" w:after="120" w:line="280" w:lineRule="exact"/>
        <w:ind w:left="0" w:firstLine="0"/>
        <w:contextualSpacing w:val="0"/>
        <w:rPr>
          <w:iCs/>
          <w:sz w:val="21"/>
          <w:szCs w:val="21"/>
        </w:rPr>
      </w:pPr>
      <w:r>
        <w:rPr>
          <w:iCs/>
          <w:sz w:val="21"/>
          <w:szCs w:val="21"/>
        </w:rPr>
        <w:t xml:space="preserve">The </w:t>
      </w:r>
      <w:r w:rsidR="00B51765">
        <w:rPr>
          <w:iCs/>
          <w:sz w:val="21"/>
          <w:szCs w:val="21"/>
        </w:rPr>
        <w:t>DRCC</w:t>
      </w:r>
      <w:r w:rsidR="004D3C2E">
        <w:rPr>
          <w:iCs/>
          <w:sz w:val="21"/>
          <w:szCs w:val="21"/>
        </w:rPr>
        <w:t xml:space="preserve"> will receive up to </w:t>
      </w:r>
      <w:r w:rsidR="00CB50D8">
        <w:rPr>
          <w:iCs/>
          <w:sz w:val="21"/>
          <w:szCs w:val="21"/>
        </w:rPr>
        <w:t>$</w:t>
      </w:r>
      <w:r w:rsidR="00C335F2">
        <w:rPr>
          <w:iCs/>
          <w:sz w:val="21"/>
          <w:szCs w:val="21"/>
        </w:rPr>
        <w:t>3</w:t>
      </w:r>
      <w:r w:rsidR="00FD759F">
        <w:rPr>
          <w:iCs/>
          <w:sz w:val="21"/>
          <w:szCs w:val="21"/>
        </w:rPr>
        <w:t>0</w:t>
      </w:r>
      <w:r w:rsidR="004D3C2E">
        <w:rPr>
          <w:iCs/>
          <w:sz w:val="21"/>
          <w:szCs w:val="21"/>
        </w:rPr>
        <w:t xml:space="preserve">0,000 per country per annum </w:t>
      </w:r>
      <w:r w:rsidR="00077A2B">
        <w:rPr>
          <w:iCs/>
          <w:sz w:val="21"/>
          <w:szCs w:val="21"/>
        </w:rPr>
        <w:t>from the</w:t>
      </w:r>
      <w:r w:rsidR="00DD155D">
        <w:rPr>
          <w:iCs/>
          <w:sz w:val="21"/>
          <w:szCs w:val="21"/>
        </w:rPr>
        <w:t xml:space="preserve"> AHP Disaster READY budget</w:t>
      </w:r>
      <w:r w:rsidR="004D3C2E">
        <w:rPr>
          <w:iCs/>
          <w:sz w:val="21"/>
          <w:szCs w:val="21"/>
        </w:rPr>
        <w:t xml:space="preserve"> </w:t>
      </w:r>
      <w:r w:rsidR="00077A2B">
        <w:rPr>
          <w:iCs/>
          <w:sz w:val="21"/>
          <w:szCs w:val="21"/>
        </w:rPr>
        <w:t>to</w:t>
      </w:r>
      <w:r w:rsidR="00C10236">
        <w:rPr>
          <w:iCs/>
          <w:sz w:val="21"/>
          <w:szCs w:val="21"/>
        </w:rPr>
        <w:t xml:space="preserve"> provide the following functions</w:t>
      </w:r>
      <w:r w:rsidR="00DD155D">
        <w:rPr>
          <w:iCs/>
          <w:sz w:val="21"/>
          <w:szCs w:val="21"/>
        </w:rPr>
        <w:t>:</w:t>
      </w:r>
    </w:p>
    <w:p w14:paraId="289BD8F1" w14:textId="6979FD46" w:rsidR="00DD155D" w:rsidRDefault="00DD155D" w:rsidP="0011591E">
      <w:pPr>
        <w:pStyle w:val="ListParagraph"/>
        <w:numPr>
          <w:ilvl w:val="0"/>
          <w:numId w:val="28"/>
        </w:numPr>
        <w:spacing w:before="60" w:line="280" w:lineRule="atLeast"/>
        <w:ind w:left="714" w:hanging="357"/>
        <w:contextualSpacing w:val="0"/>
        <w:rPr>
          <w:iCs/>
          <w:sz w:val="21"/>
          <w:szCs w:val="21"/>
        </w:rPr>
      </w:pPr>
      <w:r w:rsidRPr="00393664">
        <w:rPr>
          <w:b/>
          <w:bCs/>
          <w:iCs/>
          <w:sz w:val="21"/>
          <w:szCs w:val="21"/>
        </w:rPr>
        <w:t>Country Coordinator</w:t>
      </w:r>
      <w:r w:rsidR="00F93E31">
        <w:rPr>
          <w:iCs/>
          <w:sz w:val="21"/>
          <w:szCs w:val="21"/>
        </w:rPr>
        <w:t xml:space="preserve">: </w:t>
      </w:r>
      <w:r>
        <w:rPr>
          <w:iCs/>
          <w:sz w:val="21"/>
          <w:szCs w:val="21"/>
        </w:rPr>
        <w:t xml:space="preserve">This may be a staff person separately employed for this purpose, or payment to </w:t>
      </w:r>
      <w:r w:rsidR="00B51765">
        <w:rPr>
          <w:iCs/>
          <w:sz w:val="21"/>
          <w:szCs w:val="21"/>
        </w:rPr>
        <w:t>an</w:t>
      </w:r>
      <w:r w:rsidR="00544ACA">
        <w:rPr>
          <w:iCs/>
          <w:sz w:val="21"/>
          <w:szCs w:val="21"/>
        </w:rPr>
        <w:t xml:space="preserve"> ANGO</w:t>
      </w:r>
      <w:r w:rsidR="004B6295">
        <w:rPr>
          <w:iCs/>
          <w:sz w:val="21"/>
          <w:szCs w:val="21"/>
        </w:rPr>
        <w:t xml:space="preserve"> or local Partner</w:t>
      </w:r>
      <w:r>
        <w:rPr>
          <w:iCs/>
          <w:sz w:val="21"/>
          <w:szCs w:val="21"/>
        </w:rPr>
        <w:t xml:space="preserve"> for cost-recovery of existing staff person</w:t>
      </w:r>
      <w:r w:rsidR="00EA6563">
        <w:rPr>
          <w:iCs/>
          <w:sz w:val="21"/>
          <w:szCs w:val="21"/>
        </w:rPr>
        <w:t>. T</w:t>
      </w:r>
      <w:r>
        <w:rPr>
          <w:iCs/>
          <w:sz w:val="21"/>
          <w:szCs w:val="21"/>
        </w:rPr>
        <w:t xml:space="preserve">he Coordinator is expected to </w:t>
      </w:r>
      <w:r w:rsidR="000F2ED3">
        <w:rPr>
          <w:iCs/>
          <w:sz w:val="21"/>
          <w:szCs w:val="21"/>
        </w:rPr>
        <w:t xml:space="preserve">be </w:t>
      </w:r>
      <w:r>
        <w:rPr>
          <w:iCs/>
          <w:sz w:val="21"/>
          <w:szCs w:val="21"/>
        </w:rPr>
        <w:t xml:space="preserve">a </w:t>
      </w:r>
      <w:r w:rsidR="00025F70">
        <w:rPr>
          <w:iCs/>
          <w:sz w:val="21"/>
          <w:szCs w:val="21"/>
        </w:rPr>
        <w:t>full-time</w:t>
      </w:r>
      <w:r>
        <w:rPr>
          <w:iCs/>
          <w:sz w:val="21"/>
          <w:szCs w:val="21"/>
        </w:rPr>
        <w:t xml:space="preserve"> position. Their primary purpose is to support the </w:t>
      </w:r>
      <w:r w:rsidR="004D2B91">
        <w:rPr>
          <w:iCs/>
          <w:sz w:val="21"/>
          <w:szCs w:val="21"/>
        </w:rPr>
        <w:t>DRCC</w:t>
      </w:r>
      <w:r>
        <w:rPr>
          <w:iCs/>
          <w:sz w:val="21"/>
          <w:szCs w:val="21"/>
        </w:rPr>
        <w:t xml:space="preserve"> members </w:t>
      </w:r>
      <w:r w:rsidR="004D2B91">
        <w:rPr>
          <w:iCs/>
          <w:sz w:val="21"/>
          <w:szCs w:val="21"/>
        </w:rPr>
        <w:t xml:space="preserve">to </w:t>
      </w:r>
      <w:r>
        <w:rPr>
          <w:iCs/>
          <w:sz w:val="21"/>
          <w:szCs w:val="21"/>
        </w:rPr>
        <w:t xml:space="preserve">fulfil their responsibilities, and to coordinate the implementation of the Country Plan, noting that </w:t>
      </w:r>
      <w:r>
        <w:rPr>
          <w:iCs/>
          <w:sz w:val="21"/>
          <w:szCs w:val="21"/>
        </w:rPr>
        <w:lastRenderedPageBreak/>
        <w:t xml:space="preserve">this is a </w:t>
      </w:r>
      <w:r w:rsidRPr="00CF24DF">
        <w:rPr>
          <w:i/>
          <w:sz w:val="21"/>
          <w:szCs w:val="21"/>
        </w:rPr>
        <w:t>coordination</w:t>
      </w:r>
      <w:r>
        <w:rPr>
          <w:iCs/>
          <w:sz w:val="21"/>
          <w:szCs w:val="21"/>
        </w:rPr>
        <w:t xml:space="preserve"> role, not a </w:t>
      </w:r>
      <w:r w:rsidRPr="00CF24DF">
        <w:rPr>
          <w:i/>
          <w:sz w:val="21"/>
          <w:szCs w:val="21"/>
        </w:rPr>
        <w:t>management oversight</w:t>
      </w:r>
      <w:r>
        <w:rPr>
          <w:iCs/>
          <w:sz w:val="21"/>
          <w:szCs w:val="21"/>
        </w:rPr>
        <w:t xml:space="preserve"> role.</w:t>
      </w:r>
      <w:r w:rsidR="008E191C">
        <w:rPr>
          <w:iCs/>
          <w:sz w:val="21"/>
          <w:szCs w:val="21"/>
        </w:rPr>
        <w:t xml:space="preserve"> TOR for Country Coordinators will be finalised in each Country Plan.</w:t>
      </w:r>
    </w:p>
    <w:p w14:paraId="7DDE5E4D" w14:textId="78965DAF" w:rsidR="00DD155D" w:rsidRDefault="00DD155D" w:rsidP="0011591E">
      <w:pPr>
        <w:pStyle w:val="ListParagraph"/>
        <w:numPr>
          <w:ilvl w:val="0"/>
          <w:numId w:val="28"/>
        </w:numPr>
        <w:spacing w:before="60" w:line="280" w:lineRule="atLeast"/>
        <w:ind w:left="714" w:hanging="357"/>
        <w:contextualSpacing w:val="0"/>
        <w:rPr>
          <w:iCs/>
          <w:sz w:val="21"/>
          <w:szCs w:val="21"/>
        </w:rPr>
      </w:pPr>
      <w:r w:rsidRPr="00393664">
        <w:rPr>
          <w:b/>
          <w:bCs/>
          <w:iCs/>
          <w:sz w:val="21"/>
          <w:szCs w:val="21"/>
        </w:rPr>
        <w:t xml:space="preserve">MEL </w:t>
      </w:r>
      <w:r w:rsidR="00B51765">
        <w:rPr>
          <w:b/>
          <w:bCs/>
          <w:iCs/>
          <w:sz w:val="21"/>
          <w:szCs w:val="21"/>
        </w:rPr>
        <w:t>and communications</w:t>
      </w:r>
      <w:r w:rsidR="00EA6563">
        <w:rPr>
          <w:b/>
          <w:bCs/>
          <w:iCs/>
          <w:sz w:val="21"/>
          <w:szCs w:val="21"/>
        </w:rPr>
        <w:t xml:space="preserve"> </w:t>
      </w:r>
      <w:r w:rsidR="004A1F05">
        <w:rPr>
          <w:b/>
          <w:bCs/>
          <w:iCs/>
          <w:sz w:val="21"/>
          <w:szCs w:val="21"/>
        </w:rPr>
        <w:t>personnel:</w:t>
      </w:r>
      <w:r>
        <w:rPr>
          <w:iCs/>
          <w:sz w:val="21"/>
          <w:szCs w:val="21"/>
        </w:rPr>
        <w:t xml:space="preserve"> </w:t>
      </w:r>
      <w:r w:rsidR="004A1F05">
        <w:rPr>
          <w:iCs/>
          <w:sz w:val="21"/>
          <w:szCs w:val="21"/>
        </w:rPr>
        <w:t>DRCCs will be required to provide</w:t>
      </w:r>
      <w:r>
        <w:rPr>
          <w:iCs/>
          <w:sz w:val="21"/>
          <w:szCs w:val="21"/>
        </w:rPr>
        <w:t xml:space="preserve"> </w:t>
      </w:r>
      <w:r w:rsidR="000F2ED3">
        <w:rPr>
          <w:iCs/>
          <w:sz w:val="21"/>
          <w:szCs w:val="21"/>
        </w:rPr>
        <w:t xml:space="preserve">a </w:t>
      </w:r>
      <w:r w:rsidR="006E1A73">
        <w:rPr>
          <w:iCs/>
          <w:sz w:val="21"/>
          <w:szCs w:val="21"/>
        </w:rPr>
        <w:t>full-time</w:t>
      </w:r>
      <w:r>
        <w:rPr>
          <w:iCs/>
          <w:sz w:val="21"/>
          <w:szCs w:val="21"/>
        </w:rPr>
        <w:t xml:space="preserve"> </w:t>
      </w:r>
      <w:r w:rsidR="004A1F05">
        <w:rPr>
          <w:iCs/>
          <w:sz w:val="21"/>
          <w:szCs w:val="21"/>
        </w:rPr>
        <w:t>MEL</w:t>
      </w:r>
      <w:r>
        <w:rPr>
          <w:iCs/>
          <w:sz w:val="21"/>
          <w:szCs w:val="21"/>
        </w:rPr>
        <w:t xml:space="preserve"> person </w:t>
      </w:r>
      <w:r w:rsidR="006C0B5E">
        <w:rPr>
          <w:iCs/>
          <w:sz w:val="21"/>
          <w:szCs w:val="21"/>
        </w:rPr>
        <w:t>and</w:t>
      </w:r>
      <w:r w:rsidR="00AE799B">
        <w:rPr>
          <w:iCs/>
          <w:sz w:val="21"/>
          <w:szCs w:val="21"/>
        </w:rPr>
        <w:t>,</w:t>
      </w:r>
      <w:r w:rsidR="006C0B5E">
        <w:rPr>
          <w:iCs/>
          <w:sz w:val="21"/>
          <w:szCs w:val="21"/>
        </w:rPr>
        <w:t xml:space="preserve"> </w:t>
      </w:r>
      <w:r w:rsidR="006E1A73">
        <w:rPr>
          <w:iCs/>
          <w:sz w:val="21"/>
          <w:szCs w:val="21"/>
        </w:rPr>
        <w:t>a</w:t>
      </w:r>
      <w:r w:rsidR="00AE799B">
        <w:rPr>
          <w:iCs/>
          <w:sz w:val="21"/>
          <w:szCs w:val="21"/>
        </w:rPr>
        <w:t>t a</w:t>
      </w:r>
      <w:r w:rsidR="006E1A73">
        <w:rPr>
          <w:iCs/>
          <w:sz w:val="21"/>
          <w:szCs w:val="21"/>
        </w:rPr>
        <w:t xml:space="preserve"> </w:t>
      </w:r>
      <w:r w:rsidR="004A1F05">
        <w:rPr>
          <w:iCs/>
          <w:sz w:val="21"/>
          <w:szCs w:val="21"/>
        </w:rPr>
        <w:t>minimum</w:t>
      </w:r>
      <w:r w:rsidR="00AE799B">
        <w:rPr>
          <w:iCs/>
          <w:sz w:val="21"/>
          <w:szCs w:val="21"/>
        </w:rPr>
        <w:t>, a</w:t>
      </w:r>
      <w:r w:rsidR="004A1F05">
        <w:rPr>
          <w:iCs/>
          <w:sz w:val="21"/>
          <w:szCs w:val="21"/>
        </w:rPr>
        <w:t xml:space="preserve"> </w:t>
      </w:r>
      <w:r w:rsidR="006E1A73">
        <w:rPr>
          <w:iCs/>
          <w:sz w:val="21"/>
          <w:szCs w:val="21"/>
        </w:rPr>
        <w:t xml:space="preserve">part-time </w:t>
      </w:r>
      <w:r w:rsidR="006C0B5E">
        <w:rPr>
          <w:iCs/>
          <w:sz w:val="21"/>
          <w:szCs w:val="21"/>
        </w:rPr>
        <w:t>communications</w:t>
      </w:r>
      <w:r w:rsidR="006E1A73">
        <w:rPr>
          <w:iCs/>
          <w:sz w:val="21"/>
          <w:szCs w:val="21"/>
        </w:rPr>
        <w:t xml:space="preserve"> person</w:t>
      </w:r>
      <w:r w:rsidR="004A1F05">
        <w:rPr>
          <w:iCs/>
          <w:sz w:val="21"/>
          <w:szCs w:val="21"/>
        </w:rPr>
        <w:t xml:space="preserve"> to </w:t>
      </w:r>
      <w:r w:rsidR="004A1F05" w:rsidRPr="00D14B30">
        <w:rPr>
          <w:iCs/>
          <w:sz w:val="21"/>
          <w:szCs w:val="21"/>
        </w:rPr>
        <w:t>support country</w:t>
      </w:r>
      <w:r w:rsidR="004A1F05">
        <w:rPr>
          <w:iCs/>
          <w:sz w:val="21"/>
          <w:szCs w:val="21"/>
        </w:rPr>
        <w:t>-</w:t>
      </w:r>
      <w:r w:rsidR="004A1F05" w:rsidRPr="00D14B30">
        <w:rPr>
          <w:iCs/>
          <w:sz w:val="21"/>
          <w:szCs w:val="21"/>
        </w:rPr>
        <w:t>level</w:t>
      </w:r>
      <w:r w:rsidR="004A1F05">
        <w:rPr>
          <w:iCs/>
          <w:sz w:val="21"/>
          <w:szCs w:val="21"/>
        </w:rPr>
        <w:t xml:space="preserve"> MEL and communications</w:t>
      </w:r>
      <w:r w:rsidR="0052196D">
        <w:rPr>
          <w:iCs/>
          <w:sz w:val="21"/>
          <w:szCs w:val="21"/>
        </w:rPr>
        <w:t>, working with the Country Coordinator</w:t>
      </w:r>
      <w:r>
        <w:rPr>
          <w:iCs/>
          <w:sz w:val="21"/>
          <w:szCs w:val="21"/>
        </w:rPr>
        <w:t>.</w:t>
      </w:r>
      <w:r w:rsidR="008E191C">
        <w:rPr>
          <w:iCs/>
          <w:sz w:val="21"/>
          <w:szCs w:val="21"/>
        </w:rPr>
        <w:t xml:space="preserve"> </w:t>
      </w:r>
      <w:r>
        <w:rPr>
          <w:iCs/>
          <w:sz w:val="21"/>
          <w:szCs w:val="21"/>
        </w:rPr>
        <w:t xml:space="preserve">Note that </w:t>
      </w:r>
      <w:r w:rsidR="000577C3">
        <w:rPr>
          <w:iCs/>
          <w:sz w:val="21"/>
          <w:szCs w:val="21"/>
        </w:rPr>
        <w:t>ANGOs</w:t>
      </w:r>
      <w:r>
        <w:rPr>
          <w:iCs/>
          <w:sz w:val="21"/>
          <w:szCs w:val="21"/>
        </w:rPr>
        <w:t xml:space="preserve"> will be required to </w:t>
      </w:r>
      <w:r w:rsidR="00902ADF">
        <w:rPr>
          <w:iCs/>
          <w:sz w:val="21"/>
          <w:szCs w:val="21"/>
        </w:rPr>
        <w:t xml:space="preserve">fund and undertake </w:t>
      </w:r>
      <w:r>
        <w:rPr>
          <w:iCs/>
          <w:sz w:val="21"/>
          <w:szCs w:val="21"/>
        </w:rPr>
        <w:t>MEL for their own Activity Plans (as outlined below).</w:t>
      </w:r>
    </w:p>
    <w:p w14:paraId="7E319E34" w14:textId="13C6F391" w:rsidR="00C707A6" w:rsidRPr="003E2C60" w:rsidRDefault="00DD155D" w:rsidP="0011591E">
      <w:pPr>
        <w:pStyle w:val="ListParagraph"/>
        <w:numPr>
          <w:ilvl w:val="0"/>
          <w:numId w:val="28"/>
        </w:numPr>
        <w:spacing w:before="60" w:line="280" w:lineRule="atLeast"/>
        <w:ind w:left="714" w:hanging="357"/>
        <w:contextualSpacing w:val="0"/>
        <w:rPr>
          <w:iCs/>
          <w:sz w:val="21"/>
          <w:szCs w:val="21"/>
        </w:rPr>
      </w:pPr>
      <w:r w:rsidRPr="00393664">
        <w:rPr>
          <w:b/>
          <w:bCs/>
          <w:iCs/>
          <w:sz w:val="21"/>
          <w:szCs w:val="21"/>
        </w:rPr>
        <w:t xml:space="preserve">Funding for </w:t>
      </w:r>
      <w:r w:rsidR="00AE799B">
        <w:rPr>
          <w:b/>
          <w:bCs/>
          <w:iCs/>
          <w:sz w:val="21"/>
          <w:szCs w:val="21"/>
        </w:rPr>
        <w:t>Organisations</w:t>
      </w:r>
      <w:r w:rsidR="003E229B">
        <w:rPr>
          <w:b/>
          <w:bCs/>
          <w:iCs/>
          <w:sz w:val="21"/>
          <w:szCs w:val="21"/>
        </w:rPr>
        <w:t xml:space="preserve"> of Persons with Disabilities</w:t>
      </w:r>
      <w:r w:rsidR="00AE799B">
        <w:rPr>
          <w:b/>
          <w:bCs/>
          <w:iCs/>
          <w:sz w:val="21"/>
          <w:szCs w:val="21"/>
        </w:rPr>
        <w:t xml:space="preserve"> (</w:t>
      </w:r>
      <w:r w:rsidR="003E229B">
        <w:rPr>
          <w:b/>
          <w:bCs/>
          <w:iCs/>
          <w:sz w:val="21"/>
          <w:szCs w:val="21"/>
        </w:rPr>
        <w:t>OPD</w:t>
      </w:r>
      <w:r w:rsidR="00AE799B">
        <w:rPr>
          <w:b/>
          <w:bCs/>
          <w:iCs/>
          <w:sz w:val="21"/>
          <w:szCs w:val="21"/>
        </w:rPr>
        <w:t>s)</w:t>
      </w:r>
      <w:r w:rsidR="00531264">
        <w:rPr>
          <w:b/>
          <w:bCs/>
          <w:iCs/>
          <w:sz w:val="21"/>
          <w:szCs w:val="21"/>
        </w:rPr>
        <w:t xml:space="preserve"> </w:t>
      </w:r>
      <w:r w:rsidR="00345D20">
        <w:rPr>
          <w:b/>
          <w:bCs/>
          <w:iCs/>
          <w:sz w:val="21"/>
          <w:szCs w:val="21"/>
        </w:rPr>
        <w:t>and other marginalised groups</w:t>
      </w:r>
      <w:r w:rsidR="00C707A6">
        <w:rPr>
          <w:b/>
          <w:bCs/>
          <w:iCs/>
          <w:sz w:val="21"/>
          <w:szCs w:val="21"/>
        </w:rPr>
        <w:t>:</w:t>
      </w:r>
      <w:r w:rsidR="00345D20" w:rsidRPr="00345D20">
        <w:t xml:space="preserve"> </w:t>
      </w:r>
      <w:r w:rsidR="00345D20">
        <w:t xml:space="preserve">DRCCs will be required to continue funding </w:t>
      </w:r>
      <w:r w:rsidR="00531264">
        <w:t>for</w:t>
      </w:r>
      <w:r w:rsidR="00EA5FB1">
        <w:t xml:space="preserve"> a </w:t>
      </w:r>
      <w:r w:rsidR="00C50377">
        <w:t>disaster risk reduction</w:t>
      </w:r>
      <w:r w:rsidR="00EA5FB1">
        <w:t xml:space="preserve"> position</w:t>
      </w:r>
      <w:r w:rsidR="00531264">
        <w:t xml:space="preserve"> </w:t>
      </w:r>
      <w:r w:rsidR="00EA5FB1">
        <w:t>within an</w:t>
      </w:r>
      <w:r w:rsidR="00056B90">
        <w:t xml:space="preserve"> OPD</w:t>
      </w:r>
      <w:r w:rsidR="00EA5FB1">
        <w:t xml:space="preserve"> </w:t>
      </w:r>
      <w:r w:rsidR="00531264">
        <w:t xml:space="preserve">and reasonable accommodation to enable their </w:t>
      </w:r>
      <w:r w:rsidR="00A470C3">
        <w:t xml:space="preserve">participation in </w:t>
      </w:r>
      <w:r w:rsidR="00A470C3" w:rsidRPr="005D792F">
        <w:rPr>
          <w:iCs/>
          <w:sz w:val="21"/>
          <w:szCs w:val="21"/>
        </w:rPr>
        <w:t xml:space="preserve">the DRCC </w:t>
      </w:r>
      <w:r w:rsidR="00DC22D7">
        <w:rPr>
          <w:iCs/>
          <w:sz w:val="21"/>
          <w:szCs w:val="21"/>
        </w:rPr>
        <w:t>and</w:t>
      </w:r>
      <w:r w:rsidR="00A470C3" w:rsidRPr="005D792F">
        <w:rPr>
          <w:iCs/>
          <w:sz w:val="21"/>
          <w:szCs w:val="21"/>
        </w:rPr>
        <w:t xml:space="preserve"> key MEL processes</w:t>
      </w:r>
      <w:r w:rsidR="00A470C3">
        <w:rPr>
          <w:iCs/>
          <w:sz w:val="21"/>
          <w:szCs w:val="21"/>
        </w:rPr>
        <w:t>. DRCCs may also utilise their funding to support</w:t>
      </w:r>
      <w:r w:rsidR="00345D20" w:rsidRPr="003E2C60">
        <w:rPr>
          <w:iCs/>
          <w:sz w:val="21"/>
          <w:szCs w:val="21"/>
        </w:rPr>
        <w:t xml:space="preserve"> Women’s Rights </w:t>
      </w:r>
      <w:r w:rsidR="00A470C3">
        <w:rPr>
          <w:iCs/>
          <w:sz w:val="21"/>
          <w:szCs w:val="21"/>
        </w:rPr>
        <w:t xml:space="preserve">or other </w:t>
      </w:r>
      <w:r w:rsidR="00973569">
        <w:rPr>
          <w:iCs/>
          <w:sz w:val="21"/>
          <w:szCs w:val="21"/>
        </w:rPr>
        <w:t>relevant organisations</w:t>
      </w:r>
      <w:r w:rsidR="007C6A87">
        <w:rPr>
          <w:iCs/>
          <w:sz w:val="21"/>
          <w:szCs w:val="21"/>
        </w:rPr>
        <w:t xml:space="preserve"> </w:t>
      </w:r>
      <w:r w:rsidR="00973569">
        <w:rPr>
          <w:iCs/>
          <w:sz w:val="21"/>
          <w:szCs w:val="21"/>
        </w:rPr>
        <w:t>as articulated in the Country Plan.</w:t>
      </w:r>
      <w:r w:rsidR="00973569" w:rsidRPr="00415502" w:rsidDel="00A470C3">
        <w:rPr>
          <w:iCs/>
          <w:sz w:val="21"/>
          <w:szCs w:val="21"/>
        </w:rPr>
        <w:t xml:space="preserve"> </w:t>
      </w:r>
    </w:p>
    <w:p w14:paraId="6625EA31" w14:textId="1EA69C5F" w:rsidR="00AE320C" w:rsidRPr="00964E62" w:rsidRDefault="006F62E9" w:rsidP="0011591E">
      <w:pPr>
        <w:pStyle w:val="ListParagraph"/>
        <w:numPr>
          <w:ilvl w:val="0"/>
          <w:numId w:val="28"/>
        </w:numPr>
        <w:spacing w:before="60" w:line="280" w:lineRule="atLeast"/>
        <w:ind w:left="714" w:hanging="357"/>
        <w:contextualSpacing w:val="0"/>
        <w:rPr>
          <w:iCs/>
          <w:sz w:val="21"/>
          <w:szCs w:val="21"/>
        </w:rPr>
      </w:pPr>
      <w:r>
        <w:rPr>
          <w:b/>
          <w:bCs/>
          <w:iCs/>
          <w:sz w:val="21"/>
          <w:szCs w:val="21"/>
        </w:rPr>
        <w:t>Learning Agenda</w:t>
      </w:r>
      <w:r w:rsidR="00AE320C">
        <w:rPr>
          <w:b/>
          <w:bCs/>
          <w:iCs/>
          <w:sz w:val="21"/>
          <w:szCs w:val="21"/>
        </w:rPr>
        <w:t>:</w:t>
      </w:r>
      <w:r w:rsidR="00AE320C">
        <w:rPr>
          <w:iCs/>
          <w:sz w:val="21"/>
          <w:szCs w:val="21"/>
        </w:rPr>
        <w:t xml:space="preserve"> </w:t>
      </w:r>
      <w:r w:rsidR="009D3695">
        <w:rPr>
          <w:iCs/>
          <w:sz w:val="21"/>
          <w:szCs w:val="21"/>
        </w:rPr>
        <w:t xml:space="preserve">A minimum of </w:t>
      </w:r>
      <w:r w:rsidR="00225F43">
        <w:rPr>
          <w:iCs/>
          <w:sz w:val="21"/>
          <w:szCs w:val="21"/>
        </w:rPr>
        <w:t xml:space="preserve">$50,000 from the DRCC budget will be allocated to implement the agreed Learning </w:t>
      </w:r>
      <w:r w:rsidR="007C6A87">
        <w:rPr>
          <w:iCs/>
          <w:sz w:val="21"/>
          <w:szCs w:val="21"/>
        </w:rPr>
        <w:t xml:space="preserve">Action </w:t>
      </w:r>
      <w:r w:rsidR="00225F43">
        <w:rPr>
          <w:iCs/>
          <w:sz w:val="21"/>
          <w:szCs w:val="21"/>
        </w:rPr>
        <w:t xml:space="preserve">Agenda activities, which may include </w:t>
      </w:r>
      <w:r w:rsidR="002A03A2" w:rsidRPr="002A03A2">
        <w:rPr>
          <w:iCs/>
          <w:sz w:val="21"/>
          <w:szCs w:val="21"/>
        </w:rPr>
        <w:t xml:space="preserve">research, </w:t>
      </w:r>
      <w:r w:rsidR="00AE799B">
        <w:rPr>
          <w:iCs/>
          <w:sz w:val="21"/>
          <w:szCs w:val="21"/>
        </w:rPr>
        <w:t xml:space="preserve">thematic evaluations, </w:t>
      </w:r>
      <w:r w:rsidR="002A03A2" w:rsidRPr="002A03A2">
        <w:rPr>
          <w:iCs/>
          <w:sz w:val="21"/>
          <w:szCs w:val="21"/>
        </w:rPr>
        <w:t xml:space="preserve">a policy initiative, a set of webinars, a communication programme </w:t>
      </w:r>
      <w:r w:rsidR="002A03A2">
        <w:rPr>
          <w:iCs/>
          <w:sz w:val="21"/>
          <w:szCs w:val="21"/>
        </w:rPr>
        <w:t xml:space="preserve">or other priority </w:t>
      </w:r>
      <w:r w:rsidR="00EB2EC1">
        <w:rPr>
          <w:iCs/>
          <w:sz w:val="21"/>
          <w:szCs w:val="21"/>
        </w:rPr>
        <w:t>activities.</w:t>
      </w:r>
    </w:p>
    <w:p w14:paraId="3A9C8778" w14:textId="6D2F9E5D" w:rsidR="00DD155D" w:rsidRPr="00415502" w:rsidRDefault="00DD155D" w:rsidP="0011591E">
      <w:pPr>
        <w:pStyle w:val="ListParagraph"/>
        <w:numPr>
          <w:ilvl w:val="0"/>
          <w:numId w:val="28"/>
        </w:numPr>
        <w:spacing w:before="60" w:line="280" w:lineRule="atLeast"/>
        <w:ind w:left="714" w:hanging="357"/>
        <w:contextualSpacing w:val="0"/>
        <w:rPr>
          <w:iCs/>
          <w:sz w:val="21"/>
          <w:szCs w:val="21"/>
        </w:rPr>
      </w:pPr>
      <w:r w:rsidRPr="00415502">
        <w:rPr>
          <w:b/>
          <w:bCs/>
          <w:iCs/>
          <w:sz w:val="21"/>
          <w:szCs w:val="21"/>
        </w:rPr>
        <w:t xml:space="preserve">Operational funds for </w:t>
      </w:r>
      <w:r w:rsidR="00EB2EC1">
        <w:rPr>
          <w:b/>
          <w:bCs/>
          <w:iCs/>
          <w:sz w:val="21"/>
          <w:szCs w:val="21"/>
        </w:rPr>
        <w:t xml:space="preserve">other </w:t>
      </w:r>
      <w:r w:rsidRPr="00415502">
        <w:rPr>
          <w:b/>
          <w:bCs/>
          <w:iCs/>
          <w:sz w:val="21"/>
          <w:szCs w:val="21"/>
        </w:rPr>
        <w:t>joint activities</w:t>
      </w:r>
      <w:r w:rsidR="0071390B">
        <w:rPr>
          <w:b/>
          <w:bCs/>
          <w:iCs/>
          <w:sz w:val="21"/>
          <w:szCs w:val="21"/>
        </w:rPr>
        <w:t>:</w:t>
      </w:r>
      <w:r w:rsidR="0071390B">
        <w:rPr>
          <w:iCs/>
          <w:sz w:val="21"/>
          <w:szCs w:val="21"/>
        </w:rPr>
        <w:t xml:space="preserve"> </w:t>
      </w:r>
      <w:r w:rsidR="00EB2EC1">
        <w:rPr>
          <w:iCs/>
          <w:sz w:val="21"/>
          <w:szCs w:val="21"/>
        </w:rPr>
        <w:t>Subject to available funding</w:t>
      </w:r>
      <w:r w:rsidR="00AE799B">
        <w:rPr>
          <w:iCs/>
          <w:sz w:val="21"/>
          <w:szCs w:val="21"/>
        </w:rPr>
        <w:t>,</w:t>
      </w:r>
      <w:r w:rsidR="00EB2EC1">
        <w:rPr>
          <w:iCs/>
          <w:sz w:val="21"/>
          <w:szCs w:val="21"/>
        </w:rPr>
        <w:t xml:space="preserve"> DRCCs </w:t>
      </w:r>
      <w:r w:rsidR="00B40B28">
        <w:rPr>
          <w:iCs/>
          <w:sz w:val="21"/>
          <w:szCs w:val="21"/>
        </w:rPr>
        <w:t>will</w:t>
      </w:r>
      <w:r w:rsidR="005904D6">
        <w:rPr>
          <w:iCs/>
          <w:sz w:val="21"/>
          <w:szCs w:val="21"/>
        </w:rPr>
        <w:t xml:space="preserve"> budget for</w:t>
      </w:r>
      <w:r w:rsidR="00EB2EC1">
        <w:rPr>
          <w:iCs/>
          <w:sz w:val="21"/>
          <w:szCs w:val="21"/>
        </w:rPr>
        <w:t xml:space="preserve"> other</w:t>
      </w:r>
      <w:r w:rsidRPr="00415502">
        <w:rPr>
          <w:iCs/>
          <w:sz w:val="21"/>
          <w:szCs w:val="21"/>
        </w:rPr>
        <w:t xml:space="preserve"> </w:t>
      </w:r>
      <w:r w:rsidR="009D3695">
        <w:rPr>
          <w:iCs/>
          <w:sz w:val="21"/>
          <w:szCs w:val="21"/>
        </w:rPr>
        <w:t xml:space="preserve">needs and </w:t>
      </w:r>
      <w:r w:rsidR="00BB096A">
        <w:rPr>
          <w:iCs/>
          <w:sz w:val="21"/>
          <w:szCs w:val="21"/>
        </w:rPr>
        <w:t>priorities</w:t>
      </w:r>
      <w:r w:rsidR="00084D05">
        <w:rPr>
          <w:iCs/>
          <w:sz w:val="21"/>
          <w:szCs w:val="21"/>
        </w:rPr>
        <w:t xml:space="preserve"> </w:t>
      </w:r>
      <w:r w:rsidR="00886AE9">
        <w:rPr>
          <w:iCs/>
          <w:sz w:val="21"/>
          <w:szCs w:val="21"/>
        </w:rPr>
        <w:t xml:space="preserve">as </w:t>
      </w:r>
      <w:r w:rsidR="005904D6">
        <w:rPr>
          <w:iCs/>
          <w:sz w:val="21"/>
          <w:szCs w:val="21"/>
        </w:rPr>
        <w:t>approved</w:t>
      </w:r>
      <w:r w:rsidRPr="00415502">
        <w:rPr>
          <w:iCs/>
          <w:sz w:val="21"/>
          <w:szCs w:val="21"/>
        </w:rPr>
        <w:t xml:space="preserve"> in the Country Plan</w:t>
      </w:r>
      <w:r w:rsidR="00886AE9">
        <w:rPr>
          <w:iCs/>
          <w:sz w:val="21"/>
          <w:szCs w:val="21"/>
        </w:rPr>
        <w:t>, which may include</w:t>
      </w:r>
      <w:r w:rsidRPr="00415502">
        <w:rPr>
          <w:iCs/>
          <w:sz w:val="21"/>
          <w:szCs w:val="21"/>
        </w:rPr>
        <w:t xml:space="preserve"> </w:t>
      </w:r>
      <w:r w:rsidR="00A93C36">
        <w:rPr>
          <w:iCs/>
          <w:sz w:val="21"/>
          <w:szCs w:val="21"/>
        </w:rPr>
        <w:t xml:space="preserve">partnership brokering and annual health checks, </w:t>
      </w:r>
      <w:r w:rsidR="00EE7B01">
        <w:rPr>
          <w:iCs/>
          <w:sz w:val="21"/>
          <w:szCs w:val="21"/>
        </w:rPr>
        <w:t>remuneration</w:t>
      </w:r>
      <w:r w:rsidR="00BB096A">
        <w:rPr>
          <w:iCs/>
          <w:sz w:val="21"/>
          <w:szCs w:val="21"/>
        </w:rPr>
        <w:t xml:space="preserve"> for </w:t>
      </w:r>
      <w:r w:rsidR="004316BC">
        <w:rPr>
          <w:iCs/>
          <w:sz w:val="21"/>
          <w:szCs w:val="21"/>
        </w:rPr>
        <w:t>a</w:t>
      </w:r>
      <w:r w:rsidR="00BB096A">
        <w:rPr>
          <w:iCs/>
          <w:sz w:val="21"/>
          <w:szCs w:val="21"/>
        </w:rPr>
        <w:t xml:space="preserve"> local co-chair, </w:t>
      </w:r>
      <w:r w:rsidR="00FE4E6C">
        <w:rPr>
          <w:iCs/>
          <w:sz w:val="21"/>
          <w:szCs w:val="21"/>
        </w:rPr>
        <w:t xml:space="preserve">interpretation services, </w:t>
      </w:r>
      <w:r w:rsidR="000A520F">
        <w:rPr>
          <w:iCs/>
          <w:sz w:val="21"/>
          <w:szCs w:val="21"/>
        </w:rPr>
        <w:t xml:space="preserve">GEDSI </w:t>
      </w:r>
      <w:r w:rsidR="001E26E9">
        <w:rPr>
          <w:iCs/>
          <w:sz w:val="21"/>
          <w:szCs w:val="21"/>
        </w:rPr>
        <w:t xml:space="preserve">and climate risk and adaptation </w:t>
      </w:r>
      <w:r w:rsidR="006D79B1">
        <w:rPr>
          <w:iCs/>
          <w:sz w:val="21"/>
          <w:szCs w:val="21"/>
        </w:rPr>
        <w:t>expertise</w:t>
      </w:r>
      <w:r w:rsidR="008E3ABE">
        <w:rPr>
          <w:iCs/>
          <w:sz w:val="21"/>
          <w:szCs w:val="21"/>
        </w:rPr>
        <w:t xml:space="preserve"> and training</w:t>
      </w:r>
      <w:r w:rsidR="006D79B1">
        <w:rPr>
          <w:iCs/>
          <w:sz w:val="21"/>
          <w:szCs w:val="21"/>
        </w:rPr>
        <w:t xml:space="preserve">, </w:t>
      </w:r>
      <w:r w:rsidR="00AE320C">
        <w:rPr>
          <w:iCs/>
          <w:sz w:val="21"/>
          <w:szCs w:val="21"/>
        </w:rPr>
        <w:t xml:space="preserve">country-level </w:t>
      </w:r>
      <w:r w:rsidR="00973569" w:rsidRPr="003E2C60">
        <w:rPr>
          <w:iCs/>
          <w:sz w:val="21"/>
          <w:szCs w:val="21"/>
        </w:rPr>
        <w:t>communications</w:t>
      </w:r>
      <w:r w:rsidR="00AE320C">
        <w:rPr>
          <w:iCs/>
          <w:sz w:val="21"/>
          <w:szCs w:val="21"/>
        </w:rPr>
        <w:t xml:space="preserve"> or </w:t>
      </w:r>
      <w:r w:rsidR="00070348">
        <w:rPr>
          <w:iCs/>
          <w:sz w:val="21"/>
          <w:szCs w:val="21"/>
        </w:rPr>
        <w:t>MEL</w:t>
      </w:r>
      <w:r w:rsidR="00973569" w:rsidRPr="003E2C60">
        <w:rPr>
          <w:iCs/>
          <w:sz w:val="21"/>
          <w:szCs w:val="21"/>
        </w:rPr>
        <w:t xml:space="preserve"> events, materials, </w:t>
      </w:r>
      <w:r w:rsidR="00AE320C">
        <w:rPr>
          <w:iCs/>
          <w:sz w:val="21"/>
          <w:szCs w:val="21"/>
        </w:rPr>
        <w:t xml:space="preserve">or </w:t>
      </w:r>
      <w:r w:rsidR="00973569" w:rsidRPr="003E2C60">
        <w:rPr>
          <w:iCs/>
          <w:sz w:val="21"/>
          <w:szCs w:val="21"/>
        </w:rPr>
        <w:t>processes</w:t>
      </w:r>
      <w:r w:rsidR="005904D6">
        <w:rPr>
          <w:iCs/>
          <w:sz w:val="21"/>
          <w:szCs w:val="21"/>
        </w:rPr>
        <w:t xml:space="preserve"> or other initiatives</w:t>
      </w:r>
      <w:r w:rsidR="00151059">
        <w:rPr>
          <w:iCs/>
          <w:sz w:val="21"/>
          <w:szCs w:val="21"/>
        </w:rPr>
        <w:t xml:space="preserve"> (including six-monthly reflection and synthesis)</w:t>
      </w:r>
      <w:r w:rsidR="00AE320C">
        <w:rPr>
          <w:iCs/>
          <w:sz w:val="21"/>
          <w:szCs w:val="21"/>
        </w:rPr>
        <w:t>.</w:t>
      </w:r>
      <w:r w:rsidR="009D3695" w:rsidRPr="009D3695">
        <w:rPr>
          <w:iCs/>
          <w:sz w:val="21"/>
          <w:szCs w:val="21"/>
        </w:rPr>
        <w:t xml:space="preserve"> </w:t>
      </w:r>
      <w:r w:rsidR="00720037">
        <w:rPr>
          <w:iCs/>
          <w:sz w:val="21"/>
          <w:szCs w:val="21"/>
        </w:rPr>
        <w:t>DRCCs will consult with the</w:t>
      </w:r>
      <w:r w:rsidR="009D3695">
        <w:rPr>
          <w:iCs/>
          <w:sz w:val="21"/>
          <w:szCs w:val="21"/>
        </w:rPr>
        <w:t xml:space="preserve"> AHPSU </w:t>
      </w:r>
      <w:r w:rsidR="00720037">
        <w:rPr>
          <w:iCs/>
          <w:sz w:val="21"/>
          <w:szCs w:val="21"/>
        </w:rPr>
        <w:t xml:space="preserve">and APCP </w:t>
      </w:r>
      <w:r w:rsidR="00D72885">
        <w:rPr>
          <w:iCs/>
          <w:sz w:val="21"/>
          <w:szCs w:val="21"/>
        </w:rPr>
        <w:t xml:space="preserve">on </w:t>
      </w:r>
      <w:r w:rsidR="009D3695">
        <w:rPr>
          <w:iCs/>
          <w:sz w:val="21"/>
          <w:szCs w:val="21"/>
        </w:rPr>
        <w:t xml:space="preserve">expertise and resources available </w:t>
      </w:r>
      <w:r w:rsidR="00C50377">
        <w:rPr>
          <w:iCs/>
          <w:sz w:val="21"/>
          <w:szCs w:val="21"/>
        </w:rPr>
        <w:t xml:space="preserve">at no cost to the DRCC </w:t>
      </w:r>
      <w:r w:rsidR="009D3695">
        <w:rPr>
          <w:iCs/>
          <w:sz w:val="21"/>
          <w:szCs w:val="21"/>
        </w:rPr>
        <w:t>as part of the planning process.</w:t>
      </w:r>
    </w:p>
    <w:p w14:paraId="2205DA11" w14:textId="41C0FAE1" w:rsidR="00DD155D" w:rsidRPr="00CF24DF" w:rsidRDefault="00C10236" w:rsidP="003E2C60">
      <w:pPr>
        <w:pStyle w:val="ListParagraph"/>
        <w:numPr>
          <w:ilvl w:val="0"/>
          <w:numId w:val="12"/>
        </w:numPr>
        <w:tabs>
          <w:tab w:val="left" w:pos="284"/>
        </w:tabs>
        <w:suppressAutoHyphens w:val="0"/>
        <w:spacing w:before="200" w:after="120" w:line="280" w:lineRule="exact"/>
        <w:ind w:left="0" w:firstLine="0"/>
        <w:contextualSpacing w:val="0"/>
        <w:rPr>
          <w:iCs/>
          <w:sz w:val="21"/>
          <w:szCs w:val="21"/>
        </w:rPr>
      </w:pPr>
      <w:r>
        <w:rPr>
          <w:iCs/>
          <w:sz w:val="21"/>
          <w:szCs w:val="21"/>
        </w:rPr>
        <w:t>The DRCC</w:t>
      </w:r>
      <w:r w:rsidR="00DD155D">
        <w:rPr>
          <w:iCs/>
          <w:sz w:val="21"/>
          <w:szCs w:val="21"/>
        </w:rPr>
        <w:t xml:space="preserve"> </w:t>
      </w:r>
      <w:r>
        <w:rPr>
          <w:iCs/>
          <w:sz w:val="21"/>
          <w:szCs w:val="21"/>
        </w:rPr>
        <w:t xml:space="preserve">budget </w:t>
      </w:r>
      <w:r w:rsidR="00DD155D">
        <w:rPr>
          <w:iCs/>
          <w:sz w:val="21"/>
          <w:szCs w:val="21"/>
        </w:rPr>
        <w:t xml:space="preserve">will be allocated and transferred to the AHP partner responsible for delivering the </w:t>
      </w:r>
      <w:r w:rsidR="000215CD">
        <w:rPr>
          <w:iCs/>
          <w:sz w:val="21"/>
          <w:szCs w:val="21"/>
        </w:rPr>
        <w:t xml:space="preserve">relevant </w:t>
      </w:r>
      <w:r w:rsidR="00DD155D">
        <w:rPr>
          <w:iCs/>
          <w:sz w:val="21"/>
          <w:szCs w:val="21"/>
        </w:rPr>
        <w:t xml:space="preserve">function on behalf of the Committee. In most cases, this will be the nominated </w:t>
      </w:r>
      <w:r w:rsidR="00C50377">
        <w:rPr>
          <w:iCs/>
          <w:sz w:val="21"/>
          <w:szCs w:val="21"/>
        </w:rPr>
        <w:t>l</w:t>
      </w:r>
      <w:r w:rsidR="00DD155D">
        <w:rPr>
          <w:iCs/>
          <w:sz w:val="21"/>
          <w:szCs w:val="21"/>
        </w:rPr>
        <w:t xml:space="preserve">ead ANGO </w:t>
      </w:r>
      <w:r w:rsidR="00581F70">
        <w:rPr>
          <w:iCs/>
          <w:sz w:val="21"/>
          <w:szCs w:val="21"/>
        </w:rPr>
        <w:t>(</w:t>
      </w:r>
      <w:r w:rsidR="00C50377">
        <w:rPr>
          <w:iCs/>
          <w:sz w:val="21"/>
          <w:szCs w:val="21"/>
        </w:rPr>
        <w:t>Coordinator</w:t>
      </w:r>
      <w:r w:rsidR="00581F70">
        <w:rPr>
          <w:iCs/>
          <w:sz w:val="21"/>
          <w:szCs w:val="21"/>
        </w:rPr>
        <w:t>)</w:t>
      </w:r>
      <w:r w:rsidR="00DD155D">
        <w:rPr>
          <w:iCs/>
          <w:sz w:val="21"/>
          <w:szCs w:val="21"/>
        </w:rPr>
        <w:t xml:space="preserve">, but </w:t>
      </w:r>
      <w:r w:rsidR="00581F70">
        <w:rPr>
          <w:iCs/>
          <w:sz w:val="21"/>
          <w:szCs w:val="21"/>
        </w:rPr>
        <w:t xml:space="preserve">the funding </w:t>
      </w:r>
      <w:r w:rsidR="00DD155D">
        <w:rPr>
          <w:iCs/>
          <w:sz w:val="21"/>
          <w:szCs w:val="21"/>
        </w:rPr>
        <w:t>may be distributed amongst ANGO partners</w:t>
      </w:r>
      <w:r w:rsidR="002A7FA1">
        <w:rPr>
          <w:iCs/>
          <w:sz w:val="21"/>
          <w:szCs w:val="21"/>
        </w:rPr>
        <w:t xml:space="preserve"> or to local partners (via an ANGO)</w:t>
      </w:r>
      <w:r w:rsidR="00DD155D">
        <w:rPr>
          <w:iCs/>
          <w:sz w:val="21"/>
          <w:szCs w:val="21"/>
        </w:rPr>
        <w:t xml:space="preserve"> as determined by the </w:t>
      </w:r>
      <w:r w:rsidR="00640A97">
        <w:rPr>
          <w:iCs/>
          <w:sz w:val="21"/>
          <w:szCs w:val="21"/>
        </w:rPr>
        <w:t>DRCC</w:t>
      </w:r>
      <w:r w:rsidR="00DD155D">
        <w:rPr>
          <w:iCs/>
          <w:sz w:val="21"/>
          <w:szCs w:val="21"/>
        </w:rPr>
        <w:t>.</w:t>
      </w:r>
      <w:r w:rsidR="00553B39">
        <w:rPr>
          <w:iCs/>
          <w:sz w:val="21"/>
          <w:szCs w:val="21"/>
        </w:rPr>
        <w:t xml:space="preserve"> </w:t>
      </w:r>
    </w:p>
    <w:p w14:paraId="53E2A86E" w14:textId="77777777" w:rsidR="00943FB1" w:rsidRPr="004316BC" w:rsidRDefault="00943FB1" w:rsidP="004316BC">
      <w:pPr>
        <w:pStyle w:val="ListParagraph"/>
        <w:tabs>
          <w:tab w:val="left" w:pos="284"/>
        </w:tabs>
        <w:suppressAutoHyphens w:val="0"/>
        <w:spacing w:before="200" w:after="0" w:line="280" w:lineRule="exact"/>
        <w:ind w:left="0"/>
        <w:contextualSpacing w:val="0"/>
        <w:rPr>
          <w:b/>
          <w:bCs/>
          <w:i/>
          <w:sz w:val="21"/>
          <w:szCs w:val="21"/>
        </w:rPr>
      </w:pPr>
      <w:bookmarkStart w:id="38" w:name="_Hlk95463468"/>
      <w:r w:rsidRPr="004130FE">
        <w:rPr>
          <w:b/>
          <w:bCs/>
          <w:i/>
          <w:sz w:val="21"/>
          <w:szCs w:val="21"/>
        </w:rPr>
        <w:t>Monitoring</w:t>
      </w:r>
      <w:r w:rsidRPr="004316BC">
        <w:rPr>
          <w:b/>
          <w:bCs/>
          <w:i/>
          <w:sz w:val="21"/>
          <w:szCs w:val="21"/>
        </w:rPr>
        <w:t xml:space="preserve">, </w:t>
      </w:r>
      <w:r w:rsidRPr="003E2C60">
        <w:rPr>
          <w:b/>
          <w:bCs/>
          <w:i/>
          <w:sz w:val="21"/>
          <w:szCs w:val="21"/>
        </w:rPr>
        <w:t>Evaluation and Learning arrangements for Disaster READY</w:t>
      </w:r>
    </w:p>
    <w:bookmarkEnd w:id="38"/>
    <w:p w14:paraId="396454F6" w14:textId="61838645" w:rsidR="00943FB1" w:rsidRDefault="00943FB1" w:rsidP="004130FE">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sidRPr="002E1DAE">
        <w:rPr>
          <w:iCs/>
          <w:sz w:val="21"/>
          <w:szCs w:val="21"/>
        </w:rPr>
        <w:t xml:space="preserve">The </w:t>
      </w:r>
      <w:r w:rsidR="00151059">
        <w:rPr>
          <w:iCs/>
          <w:sz w:val="21"/>
          <w:szCs w:val="21"/>
        </w:rPr>
        <w:t>MEL</w:t>
      </w:r>
      <w:r w:rsidRPr="002E1DAE">
        <w:rPr>
          <w:iCs/>
          <w:sz w:val="21"/>
          <w:szCs w:val="21"/>
        </w:rPr>
        <w:t xml:space="preserve"> arrangements for Disaster READY </w:t>
      </w:r>
      <w:r>
        <w:rPr>
          <w:iCs/>
          <w:sz w:val="21"/>
          <w:szCs w:val="21"/>
        </w:rPr>
        <w:t xml:space="preserve">are structured to focus </w:t>
      </w:r>
      <w:r w:rsidR="00BD3CB1">
        <w:rPr>
          <w:iCs/>
          <w:sz w:val="21"/>
          <w:szCs w:val="21"/>
        </w:rPr>
        <w:t>in a few</w:t>
      </w:r>
      <w:r>
        <w:rPr>
          <w:iCs/>
          <w:sz w:val="21"/>
          <w:szCs w:val="21"/>
        </w:rPr>
        <w:t xml:space="preserve"> key areas:</w:t>
      </w:r>
    </w:p>
    <w:p w14:paraId="591C2267" w14:textId="09631E4D" w:rsidR="00943FB1" w:rsidRDefault="00613600" w:rsidP="0011591E">
      <w:pPr>
        <w:pStyle w:val="ListParagraph"/>
        <w:numPr>
          <w:ilvl w:val="0"/>
          <w:numId w:val="29"/>
        </w:numPr>
        <w:spacing w:before="60" w:line="280" w:lineRule="atLeast"/>
        <w:ind w:left="714" w:hanging="357"/>
        <w:contextualSpacing w:val="0"/>
        <w:rPr>
          <w:iCs/>
          <w:sz w:val="21"/>
          <w:szCs w:val="21"/>
        </w:rPr>
      </w:pPr>
      <w:r>
        <w:rPr>
          <w:iCs/>
          <w:sz w:val="21"/>
          <w:szCs w:val="21"/>
        </w:rPr>
        <w:t xml:space="preserve">Collaborative </w:t>
      </w:r>
      <w:r w:rsidR="00943FB1">
        <w:rPr>
          <w:iCs/>
          <w:sz w:val="21"/>
          <w:szCs w:val="21"/>
        </w:rPr>
        <w:t xml:space="preserve">review, </w:t>
      </w:r>
      <w:r w:rsidR="0007539B">
        <w:rPr>
          <w:iCs/>
          <w:sz w:val="21"/>
          <w:szCs w:val="21"/>
        </w:rPr>
        <w:t>reflection,</w:t>
      </w:r>
      <w:r w:rsidR="00943FB1">
        <w:rPr>
          <w:iCs/>
          <w:sz w:val="21"/>
          <w:szCs w:val="21"/>
        </w:rPr>
        <w:t xml:space="preserve"> and continuous improvement at the country level by AHP Partners against the Country Plan</w:t>
      </w:r>
      <w:r w:rsidR="0012339E">
        <w:rPr>
          <w:iCs/>
          <w:sz w:val="21"/>
          <w:szCs w:val="21"/>
        </w:rPr>
        <w:t>;</w:t>
      </w:r>
    </w:p>
    <w:p w14:paraId="2760BCBC" w14:textId="6B7462C2" w:rsidR="00943FB1" w:rsidRDefault="00613600" w:rsidP="0011591E">
      <w:pPr>
        <w:pStyle w:val="ListParagraph"/>
        <w:numPr>
          <w:ilvl w:val="0"/>
          <w:numId w:val="29"/>
        </w:numPr>
        <w:spacing w:before="60" w:line="280" w:lineRule="atLeast"/>
        <w:ind w:left="714" w:hanging="357"/>
        <w:contextualSpacing w:val="0"/>
        <w:rPr>
          <w:iCs/>
          <w:sz w:val="21"/>
          <w:szCs w:val="21"/>
        </w:rPr>
      </w:pPr>
      <w:r w:rsidRPr="002E1DAE">
        <w:rPr>
          <w:iCs/>
          <w:sz w:val="21"/>
          <w:szCs w:val="21"/>
        </w:rPr>
        <w:t xml:space="preserve">Accountability </w:t>
      </w:r>
      <w:r w:rsidR="00943FB1" w:rsidRPr="002E1DAE">
        <w:rPr>
          <w:iCs/>
          <w:sz w:val="21"/>
          <w:szCs w:val="21"/>
        </w:rPr>
        <w:t xml:space="preserve">for </w:t>
      </w:r>
      <w:r w:rsidR="000B309C">
        <w:rPr>
          <w:iCs/>
          <w:sz w:val="21"/>
          <w:szCs w:val="21"/>
        </w:rPr>
        <w:t xml:space="preserve">activity level </w:t>
      </w:r>
      <w:r w:rsidR="00943FB1" w:rsidRPr="002E1DAE">
        <w:rPr>
          <w:iCs/>
          <w:sz w:val="21"/>
          <w:szCs w:val="21"/>
        </w:rPr>
        <w:t xml:space="preserve">MEL data collection, </w:t>
      </w:r>
      <w:r w:rsidR="0007539B" w:rsidRPr="002E1DAE">
        <w:rPr>
          <w:iCs/>
          <w:sz w:val="21"/>
          <w:szCs w:val="21"/>
        </w:rPr>
        <w:t>analysis,</w:t>
      </w:r>
      <w:r w:rsidR="00943FB1" w:rsidRPr="002E1DAE">
        <w:rPr>
          <w:iCs/>
          <w:sz w:val="21"/>
          <w:szCs w:val="21"/>
        </w:rPr>
        <w:t xml:space="preserve"> and reporting processes by the AHP Partners</w:t>
      </w:r>
      <w:r w:rsidR="00D51055">
        <w:rPr>
          <w:iCs/>
          <w:sz w:val="21"/>
          <w:szCs w:val="21"/>
        </w:rPr>
        <w:t xml:space="preserve"> for their own internal use</w:t>
      </w:r>
      <w:r w:rsidR="006F05B4" w:rsidRPr="006F05B4">
        <w:rPr>
          <w:iCs/>
          <w:sz w:val="21"/>
          <w:szCs w:val="21"/>
        </w:rPr>
        <w:t xml:space="preserve"> </w:t>
      </w:r>
      <w:r w:rsidR="006F05B4">
        <w:rPr>
          <w:iCs/>
          <w:sz w:val="21"/>
          <w:szCs w:val="21"/>
        </w:rPr>
        <w:t>and for input into reporting and reflection sessions</w:t>
      </w:r>
      <w:r w:rsidR="0012339E">
        <w:rPr>
          <w:iCs/>
          <w:sz w:val="21"/>
          <w:szCs w:val="21"/>
        </w:rPr>
        <w:t>;</w:t>
      </w:r>
    </w:p>
    <w:p w14:paraId="5108E24A" w14:textId="5B7E4A46" w:rsidR="000B309C" w:rsidRDefault="00613600" w:rsidP="0011591E">
      <w:pPr>
        <w:pStyle w:val="ListParagraph"/>
        <w:numPr>
          <w:ilvl w:val="0"/>
          <w:numId w:val="29"/>
        </w:numPr>
        <w:spacing w:before="60" w:line="280" w:lineRule="atLeast"/>
        <w:ind w:left="714" w:hanging="357"/>
        <w:contextualSpacing w:val="0"/>
        <w:rPr>
          <w:iCs/>
          <w:sz w:val="21"/>
          <w:szCs w:val="21"/>
        </w:rPr>
      </w:pPr>
      <w:r>
        <w:rPr>
          <w:iCs/>
          <w:sz w:val="21"/>
          <w:szCs w:val="21"/>
        </w:rPr>
        <w:t xml:space="preserve">Common </w:t>
      </w:r>
      <w:r w:rsidR="000B309C">
        <w:rPr>
          <w:iCs/>
          <w:sz w:val="21"/>
          <w:szCs w:val="21"/>
        </w:rPr>
        <w:t xml:space="preserve">use of participatory methods for seeking feedback from local communities </w:t>
      </w:r>
      <w:r w:rsidR="00B93D35">
        <w:rPr>
          <w:iCs/>
          <w:sz w:val="21"/>
          <w:szCs w:val="21"/>
        </w:rPr>
        <w:t xml:space="preserve">and other direct stakeholders, </w:t>
      </w:r>
      <w:r w:rsidR="000B309C">
        <w:rPr>
          <w:iCs/>
          <w:sz w:val="21"/>
          <w:szCs w:val="21"/>
        </w:rPr>
        <w:t>using Accountability to Affected Populations principles and methods</w:t>
      </w:r>
      <w:r w:rsidR="0012339E">
        <w:rPr>
          <w:iCs/>
          <w:sz w:val="21"/>
          <w:szCs w:val="21"/>
        </w:rPr>
        <w:t>; and</w:t>
      </w:r>
    </w:p>
    <w:p w14:paraId="453540AD" w14:textId="552E3437" w:rsidR="00943FB1" w:rsidRPr="002E1DAE" w:rsidRDefault="00613600" w:rsidP="0011591E">
      <w:pPr>
        <w:pStyle w:val="ListParagraph"/>
        <w:numPr>
          <w:ilvl w:val="0"/>
          <w:numId w:val="29"/>
        </w:numPr>
        <w:spacing w:before="60" w:line="280" w:lineRule="atLeast"/>
        <w:ind w:left="714" w:hanging="357"/>
        <w:contextualSpacing w:val="0"/>
        <w:rPr>
          <w:iCs/>
          <w:sz w:val="21"/>
          <w:szCs w:val="21"/>
        </w:rPr>
      </w:pPr>
      <w:r>
        <w:rPr>
          <w:iCs/>
          <w:sz w:val="21"/>
          <w:szCs w:val="21"/>
        </w:rPr>
        <w:t xml:space="preserve">Basic </w:t>
      </w:r>
      <w:r w:rsidR="00943FB1">
        <w:rPr>
          <w:iCs/>
          <w:sz w:val="21"/>
          <w:szCs w:val="21"/>
        </w:rPr>
        <w:t>data collection for program-wide reporting purposes at the activity level.</w:t>
      </w:r>
    </w:p>
    <w:p w14:paraId="26FF1885" w14:textId="7E8B2385" w:rsidR="00943FB1" w:rsidRDefault="00943FB1" w:rsidP="00F100D8">
      <w:pPr>
        <w:pStyle w:val="ListParagraph"/>
        <w:numPr>
          <w:ilvl w:val="0"/>
          <w:numId w:val="12"/>
        </w:numPr>
        <w:tabs>
          <w:tab w:val="left" w:pos="284"/>
        </w:tabs>
        <w:suppressAutoHyphens w:val="0"/>
        <w:spacing w:before="200" w:after="120" w:line="280" w:lineRule="exact"/>
        <w:ind w:left="0" w:firstLine="0"/>
        <w:contextualSpacing w:val="0"/>
        <w:rPr>
          <w:iCs/>
          <w:sz w:val="21"/>
          <w:szCs w:val="21"/>
        </w:rPr>
      </w:pPr>
      <w:r>
        <w:rPr>
          <w:iCs/>
          <w:sz w:val="21"/>
          <w:szCs w:val="21"/>
        </w:rPr>
        <w:t>The approach is summarised in the following framework.</w:t>
      </w:r>
    </w:p>
    <w:p w14:paraId="3ADEABBD" w14:textId="4B497D7A" w:rsidR="00A9318F" w:rsidRDefault="00A9318F" w:rsidP="00A9318F">
      <w:pPr>
        <w:pStyle w:val="ListParagraph"/>
        <w:tabs>
          <w:tab w:val="left" w:pos="284"/>
        </w:tabs>
        <w:suppressAutoHyphens w:val="0"/>
        <w:spacing w:before="200" w:after="120" w:line="280" w:lineRule="exact"/>
        <w:ind w:left="0"/>
        <w:contextualSpacing w:val="0"/>
        <w:rPr>
          <w:iCs/>
          <w:sz w:val="21"/>
          <w:szCs w:val="21"/>
        </w:rPr>
      </w:pPr>
      <w:r w:rsidRPr="00A9318F">
        <w:rPr>
          <w:iCs/>
          <w:sz w:val="21"/>
          <w:szCs w:val="21"/>
        </w:rPr>
        <w:t>Disaster READY MEL Framework</w:t>
      </w:r>
    </w:p>
    <w:tbl>
      <w:tblPr>
        <w:tblStyle w:val="TableGrid"/>
        <w:tblW w:w="0" w:type="auto"/>
        <w:tblLook w:val="04A0" w:firstRow="1" w:lastRow="0" w:firstColumn="1" w:lastColumn="0" w:noHBand="0" w:noVBand="1"/>
      </w:tblPr>
      <w:tblGrid>
        <w:gridCol w:w="2254"/>
        <w:gridCol w:w="2254"/>
        <w:gridCol w:w="2254"/>
        <w:gridCol w:w="2254"/>
      </w:tblGrid>
      <w:tr w:rsidR="00171A10" w14:paraId="3F9F033C" w14:textId="77777777" w:rsidTr="00171A10">
        <w:tc>
          <w:tcPr>
            <w:tcW w:w="2254" w:type="dxa"/>
          </w:tcPr>
          <w:p w14:paraId="528B99C5" w14:textId="7C885C02" w:rsidR="00171A10" w:rsidRDefault="00171A10" w:rsidP="008744FA">
            <w:pPr>
              <w:pStyle w:val="ListParagraph"/>
              <w:tabs>
                <w:tab w:val="left" w:pos="284"/>
              </w:tabs>
              <w:suppressAutoHyphens w:val="0"/>
              <w:spacing w:before="0" w:after="0" w:line="280" w:lineRule="exact"/>
              <w:ind w:left="0"/>
              <w:contextualSpacing w:val="0"/>
              <w:rPr>
                <w:iCs/>
                <w:sz w:val="21"/>
                <w:szCs w:val="21"/>
              </w:rPr>
            </w:pPr>
            <w:r w:rsidRPr="005B092D">
              <w:rPr>
                <w:rFonts w:ascii="Calibri" w:eastAsia="Times New Roman" w:hAnsi="Calibri" w:cs="Calibri"/>
                <w:b/>
                <w:bCs/>
                <w:i/>
                <w:iCs/>
                <w:sz w:val="20"/>
                <w:szCs w:val="20"/>
                <w:lang w:val="en-AU" w:eastAsia="en-AU"/>
              </w:rPr>
              <w:t>Program Logic Outcome hierarchy</w:t>
            </w:r>
          </w:p>
        </w:tc>
        <w:tc>
          <w:tcPr>
            <w:tcW w:w="2254" w:type="dxa"/>
          </w:tcPr>
          <w:p w14:paraId="5096EF16" w14:textId="163EBB41" w:rsidR="00171A10" w:rsidRDefault="00171A10" w:rsidP="008744FA">
            <w:pPr>
              <w:pStyle w:val="ListParagraph"/>
              <w:tabs>
                <w:tab w:val="left" w:pos="284"/>
              </w:tabs>
              <w:suppressAutoHyphens w:val="0"/>
              <w:spacing w:before="0" w:after="0" w:line="280" w:lineRule="exact"/>
              <w:ind w:left="0"/>
              <w:contextualSpacing w:val="0"/>
              <w:rPr>
                <w:iCs/>
                <w:sz w:val="21"/>
                <w:szCs w:val="21"/>
              </w:rPr>
            </w:pPr>
            <w:r w:rsidRPr="005B092D">
              <w:rPr>
                <w:rFonts w:ascii="Calibri" w:eastAsia="Times New Roman" w:hAnsi="Calibri" w:cs="Calibri"/>
                <w:b/>
                <w:bCs/>
                <w:i/>
                <w:iCs/>
                <w:sz w:val="20"/>
                <w:szCs w:val="20"/>
                <w:lang w:val="en-AU" w:eastAsia="en-AU"/>
              </w:rPr>
              <w:t>Methodology and approach</w:t>
            </w:r>
          </w:p>
        </w:tc>
        <w:tc>
          <w:tcPr>
            <w:tcW w:w="2254" w:type="dxa"/>
          </w:tcPr>
          <w:p w14:paraId="495EF4A3" w14:textId="7FA27045" w:rsidR="00171A10" w:rsidRDefault="00171A10" w:rsidP="008744FA">
            <w:pPr>
              <w:pStyle w:val="ListParagraph"/>
              <w:tabs>
                <w:tab w:val="left" w:pos="284"/>
              </w:tabs>
              <w:suppressAutoHyphens w:val="0"/>
              <w:spacing w:before="0" w:after="0" w:line="280" w:lineRule="exact"/>
              <w:ind w:left="0"/>
              <w:contextualSpacing w:val="0"/>
              <w:rPr>
                <w:iCs/>
                <w:sz w:val="21"/>
                <w:szCs w:val="21"/>
              </w:rPr>
            </w:pPr>
            <w:r w:rsidRPr="005B092D">
              <w:rPr>
                <w:rFonts w:ascii="Calibri" w:eastAsia="Times New Roman" w:hAnsi="Calibri" w:cs="Calibri"/>
                <w:b/>
                <w:bCs/>
                <w:i/>
                <w:iCs/>
                <w:sz w:val="20"/>
                <w:szCs w:val="20"/>
                <w:lang w:val="en-AU" w:eastAsia="en-AU"/>
              </w:rPr>
              <w:t>Responsibility</w:t>
            </w:r>
          </w:p>
        </w:tc>
        <w:tc>
          <w:tcPr>
            <w:tcW w:w="2254" w:type="dxa"/>
          </w:tcPr>
          <w:p w14:paraId="5ADBDC4B" w14:textId="15BA0819" w:rsidR="00171A10" w:rsidRDefault="00171A10" w:rsidP="008744FA">
            <w:pPr>
              <w:pStyle w:val="ListParagraph"/>
              <w:tabs>
                <w:tab w:val="left" w:pos="284"/>
              </w:tabs>
              <w:suppressAutoHyphens w:val="0"/>
              <w:spacing w:before="0" w:after="0" w:line="280" w:lineRule="exact"/>
              <w:ind w:left="0"/>
              <w:contextualSpacing w:val="0"/>
              <w:rPr>
                <w:iCs/>
                <w:sz w:val="21"/>
                <w:szCs w:val="21"/>
              </w:rPr>
            </w:pPr>
            <w:r w:rsidRPr="005B092D">
              <w:rPr>
                <w:rFonts w:ascii="Calibri" w:eastAsia="Times New Roman" w:hAnsi="Calibri" w:cs="Calibri"/>
                <w:b/>
                <w:bCs/>
                <w:i/>
                <w:iCs/>
                <w:sz w:val="20"/>
                <w:szCs w:val="20"/>
                <w:lang w:val="en-AU" w:eastAsia="en-AU"/>
              </w:rPr>
              <w:t>Frequency</w:t>
            </w:r>
          </w:p>
        </w:tc>
      </w:tr>
      <w:tr w:rsidR="00171A10" w14:paraId="49967E2F" w14:textId="77777777" w:rsidTr="00171A10">
        <w:tc>
          <w:tcPr>
            <w:tcW w:w="2254" w:type="dxa"/>
          </w:tcPr>
          <w:p w14:paraId="524BF468" w14:textId="52CD5DD2" w:rsidR="00171A10" w:rsidRDefault="00171A10" w:rsidP="008744FA">
            <w:pPr>
              <w:pStyle w:val="ListParagraph"/>
              <w:tabs>
                <w:tab w:val="left" w:pos="284"/>
              </w:tabs>
              <w:suppressAutoHyphens w:val="0"/>
              <w:spacing w:before="0" w:after="0" w:line="280" w:lineRule="exact"/>
              <w:ind w:left="0"/>
              <w:contextualSpacing w:val="0"/>
              <w:rPr>
                <w:iCs/>
                <w:sz w:val="21"/>
                <w:szCs w:val="21"/>
              </w:rPr>
            </w:pPr>
            <w:r w:rsidRPr="005B092D">
              <w:rPr>
                <w:rFonts w:ascii="Calibri" w:eastAsia="Times New Roman" w:hAnsi="Calibri" w:cs="Calibri"/>
                <w:sz w:val="20"/>
                <w:szCs w:val="20"/>
                <w:lang w:val="en-AU" w:eastAsia="en-AU"/>
              </w:rPr>
              <w:t>DR End of Program Outcome</w:t>
            </w:r>
          </w:p>
        </w:tc>
        <w:tc>
          <w:tcPr>
            <w:tcW w:w="2254" w:type="dxa"/>
          </w:tcPr>
          <w:p w14:paraId="46EC0AEE" w14:textId="2B952E9C" w:rsidR="00171A10" w:rsidRDefault="00171A10" w:rsidP="008744FA">
            <w:pPr>
              <w:pStyle w:val="ListParagraph"/>
              <w:tabs>
                <w:tab w:val="left" w:pos="284"/>
              </w:tabs>
              <w:suppressAutoHyphens w:val="0"/>
              <w:spacing w:before="0" w:after="0" w:line="280" w:lineRule="exact"/>
              <w:ind w:left="0"/>
              <w:contextualSpacing w:val="0"/>
              <w:rPr>
                <w:iCs/>
                <w:sz w:val="21"/>
                <w:szCs w:val="21"/>
              </w:rPr>
            </w:pPr>
            <w:r w:rsidRPr="005B092D">
              <w:rPr>
                <w:rFonts w:ascii="Calibri" w:eastAsia="Times New Roman" w:hAnsi="Calibri" w:cs="Calibri"/>
                <w:sz w:val="20"/>
                <w:szCs w:val="20"/>
                <w:lang w:val="en-AU" w:eastAsia="en-AU"/>
              </w:rPr>
              <w:t xml:space="preserve">Evaluations at country and thematic level - </w:t>
            </w:r>
            <w:r w:rsidRPr="005B092D">
              <w:rPr>
                <w:rFonts w:ascii="Calibri" w:eastAsia="Times New Roman" w:hAnsi="Calibri" w:cs="Calibri"/>
                <w:i/>
                <w:iCs/>
                <w:sz w:val="20"/>
                <w:szCs w:val="20"/>
                <w:lang w:val="en-AU" w:eastAsia="en-AU"/>
              </w:rPr>
              <w:t>of relevance, effectiveness, efficiency, gender sustainability and AHP Principles</w:t>
            </w:r>
          </w:p>
        </w:tc>
        <w:tc>
          <w:tcPr>
            <w:tcW w:w="2254" w:type="dxa"/>
          </w:tcPr>
          <w:p w14:paraId="686C1B6F" w14:textId="1529F10A" w:rsidR="00171A10" w:rsidRDefault="00171A10" w:rsidP="008744FA">
            <w:pPr>
              <w:pStyle w:val="ListParagraph"/>
              <w:tabs>
                <w:tab w:val="left" w:pos="284"/>
              </w:tabs>
              <w:suppressAutoHyphens w:val="0"/>
              <w:spacing w:before="0" w:after="0" w:line="280" w:lineRule="exact"/>
              <w:ind w:left="0"/>
              <w:contextualSpacing w:val="0"/>
              <w:rPr>
                <w:iCs/>
                <w:sz w:val="21"/>
                <w:szCs w:val="21"/>
              </w:rPr>
            </w:pPr>
            <w:r w:rsidRPr="005B092D">
              <w:rPr>
                <w:rFonts w:ascii="Calibri" w:eastAsia="Times New Roman" w:hAnsi="Calibri" w:cs="Calibri"/>
                <w:sz w:val="20"/>
                <w:szCs w:val="20"/>
                <w:lang w:val="en-AU" w:eastAsia="en-AU"/>
              </w:rPr>
              <w:t>AHPSU and DRCCs</w:t>
            </w:r>
          </w:p>
        </w:tc>
        <w:tc>
          <w:tcPr>
            <w:tcW w:w="2254" w:type="dxa"/>
          </w:tcPr>
          <w:p w14:paraId="16655C66" w14:textId="0510C25C" w:rsidR="00171A10" w:rsidRDefault="00171A10" w:rsidP="008744FA">
            <w:pPr>
              <w:pStyle w:val="ListParagraph"/>
              <w:tabs>
                <w:tab w:val="left" w:pos="284"/>
              </w:tabs>
              <w:suppressAutoHyphens w:val="0"/>
              <w:spacing w:before="0" w:after="0" w:line="280" w:lineRule="exact"/>
              <w:ind w:left="0"/>
              <w:contextualSpacing w:val="0"/>
              <w:rPr>
                <w:iCs/>
                <w:sz w:val="21"/>
                <w:szCs w:val="21"/>
              </w:rPr>
            </w:pPr>
            <w:r w:rsidRPr="005B092D">
              <w:rPr>
                <w:rFonts w:ascii="Calibri" w:eastAsia="Times New Roman" w:hAnsi="Calibri" w:cs="Calibri"/>
                <w:sz w:val="20"/>
                <w:szCs w:val="20"/>
                <w:lang w:val="en-AU" w:eastAsia="en-AU"/>
              </w:rPr>
              <w:t>At least one every two years</w:t>
            </w:r>
          </w:p>
        </w:tc>
      </w:tr>
      <w:tr w:rsidR="00171A10" w14:paraId="424022DF" w14:textId="77777777" w:rsidTr="00256CCF">
        <w:tc>
          <w:tcPr>
            <w:tcW w:w="2254" w:type="dxa"/>
            <w:tcBorders>
              <w:bottom w:val="nil"/>
            </w:tcBorders>
          </w:tcPr>
          <w:p w14:paraId="2D73B5B4" w14:textId="437F5F65" w:rsidR="00171A10" w:rsidRDefault="00171A10" w:rsidP="008744FA">
            <w:pPr>
              <w:pStyle w:val="ListParagraph"/>
              <w:tabs>
                <w:tab w:val="left" w:pos="284"/>
              </w:tabs>
              <w:suppressAutoHyphens w:val="0"/>
              <w:spacing w:before="0" w:after="0" w:line="280" w:lineRule="exact"/>
              <w:ind w:left="0"/>
              <w:contextualSpacing w:val="0"/>
              <w:rPr>
                <w:iCs/>
                <w:sz w:val="21"/>
                <w:szCs w:val="21"/>
              </w:rPr>
            </w:pPr>
            <w:r w:rsidRPr="005B092D">
              <w:rPr>
                <w:rFonts w:ascii="Calibri" w:eastAsia="Times New Roman" w:hAnsi="Calibri" w:cs="Calibri"/>
                <w:sz w:val="20"/>
                <w:szCs w:val="20"/>
                <w:lang w:val="en-AU" w:eastAsia="en-AU"/>
              </w:rPr>
              <w:lastRenderedPageBreak/>
              <w:t>DR Intermediate Outcomes</w:t>
            </w:r>
          </w:p>
        </w:tc>
        <w:tc>
          <w:tcPr>
            <w:tcW w:w="2254" w:type="dxa"/>
          </w:tcPr>
          <w:p w14:paraId="4B0E920E" w14:textId="068B8DC9" w:rsidR="00171A10" w:rsidRDefault="00171A10" w:rsidP="008744FA">
            <w:pPr>
              <w:pStyle w:val="ListParagraph"/>
              <w:tabs>
                <w:tab w:val="left" w:pos="284"/>
              </w:tabs>
              <w:suppressAutoHyphens w:val="0"/>
              <w:spacing w:before="0" w:after="0" w:line="280" w:lineRule="exact"/>
              <w:ind w:left="0"/>
              <w:contextualSpacing w:val="0"/>
              <w:rPr>
                <w:iCs/>
                <w:sz w:val="21"/>
                <w:szCs w:val="21"/>
              </w:rPr>
            </w:pPr>
            <w:r w:rsidRPr="005B092D">
              <w:rPr>
                <w:rFonts w:ascii="Calibri" w:eastAsia="Times New Roman" w:hAnsi="Calibri" w:cs="Calibri"/>
                <w:sz w:val="20"/>
                <w:szCs w:val="20"/>
                <w:lang w:val="en-AU" w:eastAsia="en-AU"/>
              </w:rPr>
              <w:t>Activity Report and Synthesis (ARS)</w:t>
            </w:r>
          </w:p>
        </w:tc>
        <w:tc>
          <w:tcPr>
            <w:tcW w:w="2254" w:type="dxa"/>
          </w:tcPr>
          <w:p w14:paraId="090610DC" w14:textId="32CB0D72" w:rsidR="00171A10" w:rsidRDefault="00171A10" w:rsidP="008744FA">
            <w:pPr>
              <w:pStyle w:val="ListParagraph"/>
              <w:tabs>
                <w:tab w:val="left" w:pos="284"/>
              </w:tabs>
              <w:suppressAutoHyphens w:val="0"/>
              <w:spacing w:before="0" w:after="0" w:line="280" w:lineRule="exact"/>
              <w:ind w:left="0"/>
              <w:contextualSpacing w:val="0"/>
              <w:rPr>
                <w:iCs/>
                <w:sz w:val="21"/>
                <w:szCs w:val="21"/>
              </w:rPr>
            </w:pPr>
            <w:r w:rsidRPr="005B092D">
              <w:rPr>
                <w:rFonts w:ascii="Calibri" w:eastAsia="Times New Roman" w:hAnsi="Calibri" w:cs="Calibri"/>
                <w:sz w:val="20"/>
                <w:szCs w:val="20"/>
                <w:lang w:val="en-AU" w:eastAsia="en-AU"/>
              </w:rPr>
              <w:t>ANGOs (activity level) and DRCC (synthesis), supported by AHPSU/facilitator</w:t>
            </w:r>
          </w:p>
        </w:tc>
        <w:tc>
          <w:tcPr>
            <w:tcW w:w="2254" w:type="dxa"/>
          </w:tcPr>
          <w:p w14:paraId="48C17F5E" w14:textId="32CF9572" w:rsidR="00171A10" w:rsidRDefault="00171A10" w:rsidP="008744FA">
            <w:pPr>
              <w:pStyle w:val="ListParagraph"/>
              <w:tabs>
                <w:tab w:val="left" w:pos="284"/>
              </w:tabs>
              <w:suppressAutoHyphens w:val="0"/>
              <w:spacing w:before="0" w:after="0" w:line="280" w:lineRule="exact"/>
              <w:ind w:left="0"/>
              <w:contextualSpacing w:val="0"/>
              <w:rPr>
                <w:iCs/>
                <w:sz w:val="21"/>
                <w:szCs w:val="21"/>
              </w:rPr>
            </w:pPr>
            <w:r w:rsidRPr="005B092D">
              <w:rPr>
                <w:rFonts w:ascii="Calibri" w:eastAsia="Times New Roman" w:hAnsi="Calibri" w:cs="Calibri"/>
                <w:sz w:val="20"/>
                <w:szCs w:val="20"/>
                <w:lang w:val="en-AU" w:eastAsia="en-AU"/>
              </w:rPr>
              <w:t>At the mid-point between PRRs</w:t>
            </w:r>
            <w:r>
              <w:rPr>
                <w:rFonts w:ascii="Calibri" w:eastAsia="Times New Roman" w:hAnsi="Calibri" w:cs="Calibri"/>
                <w:sz w:val="20"/>
                <w:szCs w:val="20"/>
                <w:lang w:val="en-AU" w:eastAsia="en-AU"/>
              </w:rPr>
              <w:t xml:space="preserve"> (December/January)</w:t>
            </w:r>
          </w:p>
        </w:tc>
      </w:tr>
      <w:tr w:rsidR="00171A10" w14:paraId="5A44BD77" w14:textId="77777777" w:rsidTr="00256CCF">
        <w:tc>
          <w:tcPr>
            <w:tcW w:w="2254" w:type="dxa"/>
            <w:tcBorders>
              <w:top w:val="nil"/>
            </w:tcBorders>
          </w:tcPr>
          <w:p w14:paraId="3186AA2B" w14:textId="77777777" w:rsidR="00171A10" w:rsidRDefault="00171A10" w:rsidP="008744FA">
            <w:pPr>
              <w:pStyle w:val="ListParagraph"/>
              <w:tabs>
                <w:tab w:val="left" w:pos="284"/>
              </w:tabs>
              <w:suppressAutoHyphens w:val="0"/>
              <w:spacing w:before="0" w:after="0" w:line="280" w:lineRule="exact"/>
              <w:ind w:left="0"/>
              <w:contextualSpacing w:val="0"/>
              <w:rPr>
                <w:iCs/>
                <w:sz w:val="21"/>
                <w:szCs w:val="21"/>
              </w:rPr>
            </w:pPr>
          </w:p>
        </w:tc>
        <w:tc>
          <w:tcPr>
            <w:tcW w:w="2254" w:type="dxa"/>
          </w:tcPr>
          <w:p w14:paraId="163AEF58" w14:textId="60A517BF" w:rsidR="00171A10" w:rsidRDefault="00171A10" w:rsidP="008744FA">
            <w:pPr>
              <w:pStyle w:val="ListParagraph"/>
              <w:tabs>
                <w:tab w:val="left" w:pos="284"/>
              </w:tabs>
              <w:suppressAutoHyphens w:val="0"/>
              <w:spacing w:before="0" w:after="0" w:line="280" w:lineRule="exact"/>
              <w:ind w:left="0"/>
              <w:contextualSpacing w:val="0"/>
              <w:rPr>
                <w:iCs/>
                <w:sz w:val="21"/>
                <w:szCs w:val="21"/>
              </w:rPr>
            </w:pPr>
            <w:r w:rsidRPr="005B092D">
              <w:rPr>
                <w:rFonts w:ascii="Calibri" w:eastAsia="Times New Roman" w:hAnsi="Calibri" w:cs="Calibri"/>
                <w:sz w:val="20"/>
                <w:szCs w:val="20"/>
                <w:lang w:val="en-AU" w:eastAsia="en-AU"/>
              </w:rPr>
              <w:t>Program Report and Reflection (PRR)</w:t>
            </w:r>
          </w:p>
        </w:tc>
        <w:tc>
          <w:tcPr>
            <w:tcW w:w="2254" w:type="dxa"/>
          </w:tcPr>
          <w:p w14:paraId="6DFCAD87" w14:textId="388CD25A" w:rsidR="00171A10" w:rsidRDefault="00171A10" w:rsidP="008744FA">
            <w:pPr>
              <w:pStyle w:val="ListParagraph"/>
              <w:tabs>
                <w:tab w:val="left" w:pos="284"/>
              </w:tabs>
              <w:suppressAutoHyphens w:val="0"/>
              <w:spacing w:before="0" w:after="0" w:line="280" w:lineRule="exact"/>
              <w:ind w:left="0"/>
              <w:contextualSpacing w:val="0"/>
              <w:rPr>
                <w:iCs/>
                <w:sz w:val="21"/>
                <w:szCs w:val="21"/>
              </w:rPr>
            </w:pPr>
            <w:r w:rsidRPr="005B092D">
              <w:rPr>
                <w:rFonts w:ascii="Calibri" w:eastAsia="Times New Roman" w:hAnsi="Calibri" w:cs="Calibri"/>
                <w:sz w:val="20"/>
                <w:szCs w:val="20"/>
                <w:lang w:val="en-AU" w:eastAsia="en-AU"/>
              </w:rPr>
              <w:t>ANGOs (activity level) and DRCC (synthesis), supported by AHPSU/facilitator</w:t>
            </w:r>
          </w:p>
        </w:tc>
        <w:tc>
          <w:tcPr>
            <w:tcW w:w="2254" w:type="dxa"/>
          </w:tcPr>
          <w:p w14:paraId="1199F47B" w14:textId="0D6EA9FB" w:rsidR="00171A10" w:rsidRDefault="00171A10" w:rsidP="008744FA">
            <w:pPr>
              <w:pStyle w:val="ListParagraph"/>
              <w:tabs>
                <w:tab w:val="left" w:pos="284"/>
              </w:tabs>
              <w:suppressAutoHyphens w:val="0"/>
              <w:spacing w:before="0" w:after="0" w:line="280" w:lineRule="exact"/>
              <w:ind w:left="0"/>
              <w:contextualSpacing w:val="0"/>
              <w:rPr>
                <w:iCs/>
                <w:sz w:val="21"/>
                <w:szCs w:val="21"/>
              </w:rPr>
            </w:pPr>
            <w:r w:rsidRPr="005B092D">
              <w:rPr>
                <w:rFonts w:ascii="Calibri" w:eastAsia="Times New Roman" w:hAnsi="Calibri" w:cs="Calibri"/>
                <w:sz w:val="20"/>
                <w:szCs w:val="20"/>
                <w:lang w:val="en-AU" w:eastAsia="en-AU"/>
              </w:rPr>
              <w:t>Annually</w:t>
            </w:r>
            <w:r>
              <w:rPr>
                <w:rFonts w:ascii="Calibri" w:eastAsia="Times New Roman" w:hAnsi="Calibri" w:cs="Calibri"/>
                <w:sz w:val="20"/>
                <w:szCs w:val="20"/>
                <w:lang w:val="en-AU" w:eastAsia="en-AU"/>
              </w:rPr>
              <w:t xml:space="preserve"> in June/July</w:t>
            </w:r>
          </w:p>
        </w:tc>
      </w:tr>
      <w:tr w:rsidR="00256CCF" w14:paraId="3B1533D1" w14:textId="77777777" w:rsidTr="00171A10">
        <w:tc>
          <w:tcPr>
            <w:tcW w:w="2254" w:type="dxa"/>
          </w:tcPr>
          <w:p w14:paraId="1A257392" w14:textId="455769C4" w:rsidR="00256CCF" w:rsidRDefault="00256CCF" w:rsidP="008744FA">
            <w:pPr>
              <w:pStyle w:val="ListParagraph"/>
              <w:tabs>
                <w:tab w:val="left" w:pos="284"/>
              </w:tabs>
              <w:suppressAutoHyphens w:val="0"/>
              <w:spacing w:before="0" w:after="0" w:line="280" w:lineRule="exact"/>
              <w:ind w:left="0"/>
              <w:contextualSpacing w:val="0"/>
              <w:rPr>
                <w:iCs/>
                <w:sz w:val="21"/>
                <w:szCs w:val="21"/>
              </w:rPr>
            </w:pPr>
            <w:r w:rsidRPr="005B092D">
              <w:rPr>
                <w:rFonts w:ascii="Calibri" w:eastAsia="Times New Roman" w:hAnsi="Calibri" w:cs="Calibri"/>
                <w:sz w:val="20"/>
                <w:szCs w:val="20"/>
                <w:lang w:val="en-AU" w:eastAsia="en-AU"/>
              </w:rPr>
              <w:t>DR Activities</w:t>
            </w:r>
          </w:p>
        </w:tc>
        <w:tc>
          <w:tcPr>
            <w:tcW w:w="2254" w:type="dxa"/>
          </w:tcPr>
          <w:p w14:paraId="29CF6CC0" w14:textId="45816ADB" w:rsidR="00256CCF" w:rsidRDefault="00256CCF" w:rsidP="008744FA">
            <w:pPr>
              <w:pStyle w:val="ListParagraph"/>
              <w:tabs>
                <w:tab w:val="left" w:pos="284"/>
              </w:tabs>
              <w:suppressAutoHyphens w:val="0"/>
              <w:spacing w:before="0" w:after="0" w:line="280" w:lineRule="exact"/>
              <w:ind w:left="0"/>
              <w:contextualSpacing w:val="0"/>
              <w:rPr>
                <w:iCs/>
                <w:sz w:val="21"/>
                <w:szCs w:val="21"/>
              </w:rPr>
            </w:pPr>
            <w:r>
              <w:rPr>
                <w:rFonts w:ascii="Calibri" w:eastAsia="Times New Roman" w:hAnsi="Calibri" w:cs="Calibri"/>
                <w:sz w:val="20"/>
                <w:szCs w:val="20"/>
                <w:lang w:val="en-AU" w:eastAsia="en-AU"/>
              </w:rPr>
              <w:t>Core</w:t>
            </w:r>
            <w:r w:rsidRPr="005B092D">
              <w:rPr>
                <w:rFonts w:ascii="Calibri" w:eastAsia="Times New Roman" w:hAnsi="Calibri" w:cs="Calibri"/>
                <w:sz w:val="20"/>
                <w:szCs w:val="20"/>
                <w:lang w:val="en-AU" w:eastAsia="en-AU"/>
              </w:rPr>
              <w:t xml:space="preserve"> data set</w:t>
            </w:r>
          </w:p>
        </w:tc>
        <w:tc>
          <w:tcPr>
            <w:tcW w:w="2254" w:type="dxa"/>
          </w:tcPr>
          <w:p w14:paraId="158BCAE2" w14:textId="10ED278E" w:rsidR="00256CCF" w:rsidRDefault="00256CCF" w:rsidP="008744FA">
            <w:pPr>
              <w:pStyle w:val="ListParagraph"/>
              <w:tabs>
                <w:tab w:val="left" w:pos="284"/>
              </w:tabs>
              <w:suppressAutoHyphens w:val="0"/>
              <w:spacing w:before="0" w:after="0" w:line="280" w:lineRule="exact"/>
              <w:ind w:left="0"/>
              <w:contextualSpacing w:val="0"/>
              <w:rPr>
                <w:iCs/>
                <w:sz w:val="21"/>
                <w:szCs w:val="21"/>
              </w:rPr>
            </w:pPr>
            <w:r w:rsidRPr="005B092D">
              <w:rPr>
                <w:rFonts w:ascii="Calibri" w:eastAsia="Times New Roman" w:hAnsi="Calibri" w:cs="Calibri"/>
                <w:sz w:val="20"/>
                <w:szCs w:val="20"/>
                <w:lang w:val="en-AU" w:eastAsia="en-AU"/>
              </w:rPr>
              <w:t>AHP Partners, reported to DRCC and AHPSU</w:t>
            </w:r>
          </w:p>
        </w:tc>
        <w:tc>
          <w:tcPr>
            <w:tcW w:w="2254" w:type="dxa"/>
          </w:tcPr>
          <w:p w14:paraId="2EF2FE5E" w14:textId="75133DD0" w:rsidR="00256CCF" w:rsidRDefault="00256CCF" w:rsidP="008744FA">
            <w:pPr>
              <w:pStyle w:val="ListParagraph"/>
              <w:tabs>
                <w:tab w:val="left" w:pos="284"/>
              </w:tabs>
              <w:suppressAutoHyphens w:val="0"/>
              <w:spacing w:before="0" w:after="0" w:line="280" w:lineRule="exact"/>
              <w:ind w:left="0"/>
              <w:contextualSpacing w:val="0"/>
              <w:rPr>
                <w:iCs/>
                <w:sz w:val="21"/>
                <w:szCs w:val="21"/>
              </w:rPr>
            </w:pPr>
            <w:r w:rsidRPr="005B092D">
              <w:rPr>
                <w:rFonts w:ascii="Calibri" w:eastAsia="Times New Roman" w:hAnsi="Calibri" w:cs="Calibri"/>
                <w:sz w:val="20"/>
                <w:szCs w:val="20"/>
                <w:lang w:val="en-AU" w:eastAsia="en-AU"/>
              </w:rPr>
              <w:t>Six monthly in the ARS and PRR</w:t>
            </w:r>
          </w:p>
        </w:tc>
      </w:tr>
      <w:tr w:rsidR="00256CCF" w14:paraId="5F0527F0" w14:textId="77777777" w:rsidTr="00171A10">
        <w:tc>
          <w:tcPr>
            <w:tcW w:w="2254" w:type="dxa"/>
          </w:tcPr>
          <w:p w14:paraId="3771A055" w14:textId="7E373C7C" w:rsidR="00256CCF" w:rsidRDefault="00256CCF" w:rsidP="008744FA">
            <w:pPr>
              <w:pStyle w:val="ListParagraph"/>
              <w:tabs>
                <w:tab w:val="left" w:pos="284"/>
              </w:tabs>
              <w:suppressAutoHyphens w:val="0"/>
              <w:spacing w:before="0" w:after="0" w:line="280" w:lineRule="exact"/>
              <w:ind w:left="0"/>
              <w:contextualSpacing w:val="0"/>
              <w:rPr>
                <w:iCs/>
                <w:sz w:val="21"/>
                <w:szCs w:val="21"/>
              </w:rPr>
            </w:pPr>
            <w:r w:rsidRPr="005B092D">
              <w:rPr>
                <w:rFonts w:ascii="Calibri" w:eastAsia="Times New Roman" w:hAnsi="Calibri" w:cs="Calibri"/>
                <w:sz w:val="20"/>
                <w:szCs w:val="20"/>
                <w:lang w:val="en-AU" w:eastAsia="en-AU"/>
              </w:rPr>
              <w:t>Country level feedback from communities</w:t>
            </w:r>
          </w:p>
        </w:tc>
        <w:tc>
          <w:tcPr>
            <w:tcW w:w="2254" w:type="dxa"/>
          </w:tcPr>
          <w:p w14:paraId="1D20BAB1" w14:textId="28185EDA" w:rsidR="00256CCF" w:rsidRDefault="00256CCF" w:rsidP="008744FA">
            <w:pPr>
              <w:pStyle w:val="ListParagraph"/>
              <w:tabs>
                <w:tab w:val="left" w:pos="284"/>
              </w:tabs>
              <w:suppressAutoHyphens w:val="0"/>
              <w:spacing w:before="0" w:after="0" w:line="280" w:lineRule="exact"/>
              <w:ind w:left="0"/>
              <w:contextualSpacing w:val="0"/>
              <w:rPr>
                <w:iCs/>
                <w:sz w:val="21"/>
                <w:szCs w:val="21"/>
              </w:rPr>
            </w:pPr>
            <w:r w:rsidRPr="005B092D">
              <w:rPr>
                <w:rFonts w:ascii="Calibri" w:eastAsia="Times New Roman" w:hAnsi="Calibri" w:cs="Calibri"/>
                <w:sz w:val="20"/>
                <w:szCs w:val="20"/>
                <w:lang w:val="en-AU" w:eastAsia="en-AU"/>
              </w:rPr>
              <w:t>Accountability to Affected Population methods, as developed and agreed at country level</w:t>
            </w:r>
          </w:p>
        </w:tc>
        <w:tc>
          <w:tcPr>
            <w:tcW w:w="2254" w:type="dxa"/>
          </w:tcPr>
          <w:p w14:paraId="0BA6DBAA" w14:textId="49FBAA23" w:rsidR="00256CCF" w:rsidRDefault="00256CCF" w:rsidP="008744FA">
            <w:pPr>
              <w:pStyle w:val="ListParagraph"/>
              <w:tabs>
                <w:tab w:val="left" w:pos="284"/>
              </w:tabs>
              <w:suppressAutoHyphens w:val="0"/>
              <w:spacing w:before="0" w:after="0" w:line="280" w:lineRule="exact"/>
              <w:ind w:left="0"/>
              <w:contextualSpacing w:val="0"/>
              <w:rPr>
                <w:iCs/>
                <w:sz w:val="21"/>
                <w:szCs w:val="21"/>
              </w:rPr>
            </w:pPr>
            <w:r w:rsidRPr="005B092D">
              <w:rPr>
                <w:rFonts w:ascii="Calibri" w:eastAsia="Times New Roman" w:hAnsi="Calibri" w:cs="Calibri"/>
                <w:sz w:val="20"/>
                <w:szCs w:val="20"/>
                <w:lang w:val="en-AU" w:eastAsia="en-AU"/>
              </w:rPr>
              <w:t>AHP Partners</w:t>
            </w:r>
          </w:p>
        </w:tc>
        <w:tc>
          <w:tcPr>
            <w:tcW w:w="2254" w:type="dxa"/>
          </w:tcPr>
          <w:p w14:paraId="1B45C78D" w14:textId="56BACB7E" w:rsidR="00256CCF" w:rsidRDefault="00256CCF" w:rsidP="008744FA">
            <w:pPr>
              <w:pStyle w:val="ListParagraph"/>
              <w:tabs>
                <w:tab w:val="left" w:pos="284"/>
              </w:tabs>
              <w:suppressAutoHyphens w:val="0"/>
              <w:spacing w:before="0" w:after="0" w:line="280" w:lineRule="exact"/>
              <w:ind w:left="0"/>
              <w:contextualSpacing w:val="0"/>
              <w:rPr>
                <w:iCs/>
                <w:sz w:val="21"/>
                <w:szCs w:val="21"/>
              </w:rPr>
            </w:pPr>
            <w:r w:rsidRPr="005B092D">
              <w:rPr>
                <w:rFonts w:ascii="Calibri" w:eastAsia="Times New Roman" w:hAnsi="Calibri" w:cs="Calibri"/>
                <w:sz w:val="20"/>
                <w:szCs w:val="20"/>
                <w:lang w:val="en-AU" w:eastAsia="en-AU"/>
              </w:rPr>
              <w:t>Mid-term and EOP</w:t>
            </w:r>
          </w:p>
        </w:tc>
      </w:tr>
    </w:tbl>
    <w:p w14:paraId="2A646D4C" w14:textId="2B16E361" w:rsidR="00943FB1" w:rsidRDefault="00943FB1" w:rsidP="003E2C60">
      <w:pPr>
        <w:pStyle w:val="ListParagraph"/>
        <w:numPr>
          <w:ilvl w:val="0"/>
          <w:numId w:val="12"/>
        </w:numPr>
        <w:tabs>
          <w:tab w:val="left" w:pos="284"/>
        </w:tabs>
        <w:suppressAutoHyphens w:val="0"/>
        <w:spacing w:before="200" w:after="120" w:line="280" w:lineRule="exact"/>
        <w:ind w:left="0" w:firstLine="0"/>
        <w:contextualSpacing w:val="0"/>
        <w:rPr>
          <w:iCs/>
          <w:sz w:val="21"/>
          <w:szCs w:val="21"/>
        </w:rPr>
      </w:pPr>
      <w:r>
        <w:rPr>
          <w:iCs/>
          <w:sz w:val="21"/>
          <w:szCs w:val="21"/>
        </w:rPr>
        <w:t xml:space="preserve">The </w:t>
      </w:r>
      <w:r w:rsidR="00CB2D43">
        <w:rPr>
          <w:iCs/>
          <w:sz w:val="21"/>
          <w:szCs w:val="21"/>
        </w:rPr>
        <w:t>EOPO</w:t>
      </w:r>
      <w:r>
        <w:rPr>
          <w:iCs/>
          <w:sz w:val="21"/>
          <w:szCs w:val="21"/>
        </w:rPr>
        <w:t xml:space="preserve"> for Disaster READY will be assessed through a cycle of </w:t>
      </w:r>
      <w:r w:rsidR="006961B2">
        <w:rPr>
          <w:iCs/>
          <w:sz w:val="21"/>
          <w:szCs w:val="21"/>
        </w:rPr>
        <w:t xml:space="preserve">participatory </w:t>
      </w:r>
      <w:r>
        <w:rPr>
          <w:iCs/>
          <w:sz w:val="21"/>
          <w:szCs w:val="21"/>
        </w:rPr>
        <w:t xml:space="preserve">evaluations managed by the AHPSU to assess relevance, effectiveness, efficiency, gender and sustainability and performance against the AHP Principles. These evaluations will </w:t>
      </w:r>
      <w:r w:rsidR="005D38D2">
        <w:rPr>
          <w:iCs/>
          <w:sz w:val="21"/>
          <w:szCs w:val="21"/>
        </w:rPr>
        <w:t xml:space="preserve">add rigour and depth to the lighter </w:t>
      </w:r>
      <w:r w:rsidR="00027246">
        <w:rPr>
          <w:iCs/>
          <w:sz w:val="21"/>
          <w:szCs w:val="21"/>
        </w:rPr>
        <w:t xml:space="preserve">activity </w:t>
      </w:r>
      <w:r w:rsidR="0007539B">
        <w:rPr>
          <w:iCs/>
          <w:sz w:val="21"/>
          <w:szCs w:val="21"/>
        </w:rPr>
        <w:t>reporting and</w:t>
      </w:r>
      <w:r w:rsidR="00027246">
        <w:rPr>
          <w:iCs/>
          <w:sz w:val="21"/>
          <w:szCs w:val="21"/>
        </w:rPr>
        <w:t xml:space="preserve"> </w:t>
      </w:r>
      <w:r>
        <w:rPr>
          <w:iCs/>
          <w:sz w:val="21"/>
          <w:szCs w:val="21"/>
        </w:rPr>
        <w:t>draw on the information available from</w:t>
      </w:r>
      <w:r w:rsidR="000B309C">
        <w:rPr>
          <w:iCs/>
          <w:sz w:val="21"/>
          <w:szCs w:val="21"/>
        </w:rPr>
        <w:t xml:space="preserve"> reporting and evaluation processes to seek feedback from</w:t>
      </w:r>
      <w:r>
        <w:rPr>
          <w:iCs/>
          <w:sz w:val="21"/>
          <w:szCs w:val="21"/>
        </w:rPr>
        <w:t xml:space="preserve"> communities, partners, </w:t>
      </w:r>
      <w:r w:rsidR="0007539B">
        <w:rPr>
          <w:iCs/>
          <w:sz w:val="21"/>
          <w:szCs w:val="21"/>
        </w:rPr>
        <w:t>government,</w:t>
      </w:r>
      <w:r>
        <w:rPr>
          <w:iCs/>
          <w:sz w:val="21"/>
          <w:szCs w:val="21"/>
        </w:rPr>
        <w:t xml:space="preserve"> and other stakeholders.</w:t>
      </w:r>
      <w:r w:rsidR="000B309C">
        <w:rPr>
          <w:iCs/>
          <w:sz w:val="21"/>
          <w:szCs w:val="21"/>
        </w:rPr>
        <w:t xml:space="preserve"> The ongoing feedback from affected populations will be a key input to the evaluation process.</w:t>
      </w:r>
    </w:p>
    <w:p w14:paraId="69C1CE34" w14:textId="216C390F" w:rsidR="00943FB1" w:rsidRDefault="00CB2D43" w:rsidP="00411A7D">
      <w:pPr>
        <w:pStyle w:val="ListParagraph"/>
        <w:numPr>
          <w:ilvl w:val="0"/>
          <w:numId w:val="12"/>
        </w:numPr>
        <w:tabs>
          <w:tab w:val="left" w:pos="284"/>
        </w:tabs>
        <w:suppressAutoHyphens w:val="0"/>
        <w:spacing w:before="200" w:after="120" w:line="280" w:lineRule="exact"/>
        <w:ind w:left="0" w:firstLine="0"/>
        <w:contextualSpacing w:val="0"/>
        <w:rPr>
          <w:iCs/>
          <w:sz w:val="21"/>
          <w:szCs w:val="21"/>
        </w:rPr>
      </w:pPr>
      <w:r>
        <w:rPr>
          <w:iCs/>
          <w:sz w:val="21"/>
          <w:szCs w:val="21"/>
        </w:rPr>
        <w:t>IOs</w:t>
      </w:r>
      <w:r w:rsidR="00943FB1">
        <w:rPr>
          <w:iCs/>
          <w:sz w:val="21"/>
          <w:szCs w:val="21"/>
        </w:rPr>
        <w:t xml:space="preserve"> will be assessed through </w:t>
      </w:r>
      <w:r w:rsidR="00883A36">
        <w:rPr>
          <w:iCs/>
          <w:sz w:val="21"/>
          <w:szCs w:val="21"/>
        </w:rPr>
        <w:t>regular</w:t>
      </w:r>
      <w:r w:rsidR="00D5653F">
        <w:rPr>
          <w:iCs/>
          <w:sz w:val="21"/>
          <w:szCs w:val="21"/>
        </w:rPr>
        <w:t xml:space="preserve"> activity and country-level reflection </w:t>
      </w:r>
      <w:r w:rsidR="000630DB">
        <w:rPr>
          <w:iCs/>
          <w:sz w:val="21"/>
          <w:szCs w:val="21"/>
        </w:rPr>
        <w:t xml:space="preserve">and </w:t>
      </w:r>
      <w:r w:rsidR="00A745B7">
        <w:rPr>
          <w:iCs/>
          <w:sz w:val="21"/>
          <w:szCs w:val="21"/>
        </w:rPr>
        <w:t xml:space="preserve">reporting </w:t>
      </w:r>
      <w:r w:rsidR="00943FB1">
        <w:rPr>
          <w:iCs/>
          <w:sz w:val="21"/>
          <w:szCs w:val="21"/>
        </w:rPr>
        <w:t xml:space="preserve">conducted by </w:t>
      </w:r>
      <w:r w:rsidR="00C411DF">
        <w:rPr>
          <w:iCs/>
          <w:sz w:val="21"/>
          <w:szCs w:val="21"/>
        </w:rPr>
        <w:t xml:space="preserve">AHP partners and </w:t>
      </w:r>
      <w:r w:rsidR="00943FB1">
        <w:rPr>
          <w:iCs/>
          <w:sz w:val="21"/>
          <w:szCs w:val="21"/>
        </w:rPr>
        <w:t xml:space="preserve">the </w:t>
      </w:r>
      <w:r w:rsidR="00765B5E">
        <w:rPr>
          <w:iCs/>
          <w:sz w:val="21"/>
          <w:szCs w:val="21"/>
        </w:rPr>
        <w:t>DRCC</w:t>
      </w:r>
      <w:r w:rsidR="00943FB1">
        <w:rPr>
          <w:iCs/>
          <w:sz w:val="21"/>
          <w:szCs w:val="21"/>
        </w:rPr>
        <w:t xml:space="preserve"> with external support (coordinated by AHPSU)</w:t>
      </w:r>
      <w:r w:rsidR="00D5653F">
        <w:rPr>
          <w:iCs/>
          <w:sz w:val="21"/>
          <w:szCs w:val="21"/>
        </w:rPr>
        <w:t xml:space="preserve">. </w:t>
      </w:r>
      <w:r w:rsidR="00943FB1">
        <w:rPr>
          <w:iCs/>
          <w:sz w:val="21"/>
          <w:szCs w:val="21"/>
        </w:rPr>
        <w:t>The DR</w:t>
      </w:r>
      <w:r w:rsidR="00140D4D">
        <w:rPr>
          <w:iCs/>
          <w:sz w:val="21"/>
          <w:szCs w:val="21"/>
        </w:rPr>
        <w:t>CC</w:t>
      </w:r>
      <w:r w:rsidR="00943FB1">
        <w:rPr>
          <w:iCs/>
          <w:sz w:val="21"/>
          <w:szCs w:val="21"/>
        </w:rPr>
        <w:t xml:space="preserve"> Coordinator for each country will be responsible for preparing a summary report of </w:t>
      </w:r>
      <w:r w:rsidR="00571E10">
        <w:rPr>
          <w:iCs/>
          <w:sz w:val="21"/>
          <w:szCs w:val="21"/>
        </w:rPr>
        <w:t xml:space="preserve">all </w:t>
      </w:r>
      <w:r w:rsidR="00943FB1">
        <w:rPr>
          <w:iCs/>
          <w:sz w:val="21"/>
          <w:szCs w:val="21"/>
        </w:rPr>
        <w:t>joint analysis</w:t>
      </w:r>
      <w:r w:rsidR="00916293">
        <w:rPr>
          <w:iCs/>
          <w:sz w:val="21"/>
          <w:szCs w:val="21"/>
        </w:rPr>
        <w:t xml:space="preserve"> (</w:t>
      </w:r>
      <w:r w:rsidR="00943FB1">
        <w:rPr>
          <w:iCs/>
          <w:sz w:val="21"/>
          <w:szCs w:val="21"/>
        </w:rPr>
        <w:t>expected to be 3-5 pp</w:t>
      </w:r>
      <w:r w:rsidR="00916293">
        <w:rPr>
          <w:iCs/>
          <w:sz w:val="21"/>
          <w:szCs w:val="21"/>
        </w:rPr>
        <w:t>)</w:t>
      </w:r>
      <w:r w:rsidR="005F5D87">
        <w:rPr>
          <w:iCs/>
          <w:sz w:val="21"/>
          <w:szCs w:val="21"/>
        </w:rPr>
        <w:t xml:space="preserve">, which will be participatory and include </w:t>
      </w:r>
      <w:r w:rsidR="00D32B9D" w:rsidRPr="00E32F56">
        <w:rPr>
          <w:iCs/>
          <w:sz w:val="21"/>
          <w:szCs w:val="21"/>
        </w:rPr>
        <w:t>local partners</w:t>
      </w:r>
      <w:r w:rsidR="00943FB1">
        <w:rPr>
          <w:iCs/>
          <w:sz w:val="21"/>
          <w:szCs w:val="21"/>
        </w:rPr>
        <w:t>.</w:t>
      </w:r>
    </w:p>
    <w:p w14:paraId="58A3CE3E" w14:textId="7BE6C00C" w:rsidR="001C0D91" w:rsidRPr="001C0D91" w:rsidRDefault="008E4674" w:rsidP="0011591E">
      <w:pPr>
        <w:pStyle w:val="ListParagraph"/>
        <w:numPr>
          <w:ilvl w:val="0"/>
          <w:numId w:val="29"/>
        </w:numPr>
        <w:spacing w:before="60" w:line="280" w:lineRule="atLeast"/>
        <w:ind w:left="714" w:hanging="357"/>
        <w:contextualSpacing w:val="0"/>
        <w:rPr>
          <w:iCs/>
          <w:sz w:val="21"/>
          <w:szCs w:val="21"/>
        </w:rPr>
      </w:pPr>
      <w:r>
        <w:rPr>
          <w:iCs/>
          <w:sz w:val="21"/>
          <w:szCs w:val="21"/>
        </w:rPr>
        <w:t xml:space="preserve">Mid-year </w:t>
      </w:r>
      <w:r w:rsidR="00BB702C">
        <w:rPr>
          <w:iCs/>
          <w:sz w:val="21"/>
          <w:szCs w:val="21"/>
        </w:rPr>
        <w:t xml:space="preserve">Activity Report and Synthesis (ARS) </w:t>
      </w:r>
      <w:r w:rsidR="00571E10">
        <w:rPr>
          <w:iCs/>
          <w:sz w:val="21"/>
          <w:szCs w:val="21"/>
        </w:rPr>
        <w:t>–</w:t>
      </w:r>
      <w:r w:rsidR="00C411DF">
        <w:rPr>
          <w:iCs/>
          <w:sz w:val="21"/>
          <w:szCs w:val="21"/>
        </w:rPr>
        <w:t xml:space="preserve"> </w:t>
      </w:r>
      <w:r w:rsidR="00571E10">
        <w:rPr>
          <w:iCs/>
          <w:sz w:val="21"/>
          <w:szCs w:val="21"/>
        </w:rPr>
        <w:t xml:space="preserve">this will </w:t>
      </w:r>
      <w:r>
        <w:rPr>
          <w:iCs/>
          <w:sz w:val="21"/>
          <w:szCs w:val="21"/>
        </w:rPr>
        <w:t>comprise</w:t>
      </w:r>
      <w:r w:rsidR="00AB03B8" w:rsidRPr="00AB03B8">
        <w:rPr>
          <w:iCs/>
          <w:sz w:val="21"/>
          <w:szCs w:val="21"/>
        </w:rPr>
        <w:t xml:space="preserve"> one light six-month activity</w:t>
      </w:r>
      <w:r w:rsidR="00571E10">
        <w:rPr>
          <w:iCs/>
          <w:sz w:val="21"/>
          <w:szCs w:val="21"/>
        </w:rPr>
        <w:t>-level</w:t>
      </w:r>
      <w:r w:rsidR="00AB03B8" w:rsidRPr="00AB03B8">
        <w:rPr>
          <w:iCs/>
          <w:sz w:val="21"/>
          <w:szCs w:val="21"/>
        </w:rPr>
        <w:t xml:space="preserve"> report (progress update only) </w:t>
      </w:r>
      <w:r w:rsidR="001C0D91" w:rsidRPr="001C0D91">
        <w:rPr>
          <w:iCs/>
          <w:sz w:val="21"/>
          <w:szCs w:val="21"/>
        </w:rPr>
        <w:t xml:space="preserve">combined with a light DRCC </w:t>
      </w:r>
      <w:r w:rsidR="00D32B9D">
        <w:rPr>
          <w:iCs/>
          <w:sz w:val="21"/>
          <w:szCs w:val="21"/>
        </w:rPr>
        <w:t xml:space="preserve">participatory </w:t>
      </w:r>
      <w:r w:rsidR="001C0D91" w:rsidRPr="001C0D91">
        <w:rPr>
          <w:iCs/>
          <w:sz w:val="21"/>
          <w:szCs w:val="21"/>
        </w:rPr>
        <w:t>synthesis flagging any high</w:t>
      </w:r>
      <w:r w:rsidR="00E16AF8">
        <w:rPr>
          <w:iCs/>
          <w:sz w:val="21"/>
          <w:szCs w:val="21"/>
        </w:rPr>
        <w:t>-</w:t>
      </w:r>
      <w:r w:rsidR="001C0D91" w:rsidRPr="001C0D91">
        <w:rPr>
          <w:iCs/>
          <w:sz w:val="21"/>
          <w:szCs w:val="21"/>
        </w:rPr>
        <w:t>level lessons, opportunities, threats e</w:t>
      </w:r>
      <w:r w:rsidR="00722587">
        <w:rPr>
          <w:iCs/>
          <w:sz w:val="21"/>
          <w:szCs w:val="21"/>
        </w:rPr>
        <w:t>tc including against the Localisation Strategy and Learning Action Agenda</w:t>
      </w:r>
      <w:r w:rsidR="001C0D91" w:rsidRPr="001C0D91">
        <w:rPr>
          <w:iCs/>
          <w:sz w:val="21"/>
          <w:szCs w:val="21"/>
        </w:rPr>
        <w:t>.</w:t>
      </w:r>
    </w:p>
    <w:p w14:paraId="534B408E" w14:textId="77C38A6A" w:rsidR="001C0D91" w:rsidRDefault="008E4674" w:rsidP="0011591E">
      <w:pPr>
        <w:pStyle w:val="ListParagraph"/>
        <w:numPr>
          <w:ilvl w:val="0"/>
          <w:numId w:val="29"/>
        </w:numPr>
        <w:spacing w:before="60" w:line="280" w:lineRule="atLeast"/>
        <w:ind w:left="714" w:hanging="357"/>
        <w:contextualSpacing w:val="0"/>
        <w:rPr>
          <w:iCs/>
          <w:sz w:val="21"/>
          <w:szCs w:val="21"/>
        </w:rPr>
      </w:pPr>
      <w:r>
        <w:rPr>
          <w:iCs/>
          <w:sz w:val="21"/>
          <w:szCs w:val="21"/>
        </w:rPr>
        <w:t>A</w:t>
      </w:r>
      <w:r w:rsidR="00883A36">
        <w:rPr>
          <w:iCs/>
          <w:sz w:val="21"/>
          <w:szCs w:val="21"/>
        </w:rPr>
        <w:t>nnual Program Report</w:t>
      </w:r>
      <w:r w:rsidR="007471E2">
        <w:rPr>
          <w:iCs/>
          <w:sz w:val="21"/>
          <w:szCs w:val="21"/>
        </w:rPr>
        <w:t xml:space="preserve"> and Reflection </w:t>
      </w:r>
      <w:r w:rsidR="00883A36">
        <w:rPr>
          <w:iCs/>
          <w:sz w:val="21"/>
          <w:szCs w:val="21"/>
        </w:rPr>
        <w:t xml:space="preserve">(PRR) </w:t>
      </w:r>
      <w:r w:rsidR="00E673A8">
        <w:rPr>
          <w:iCs/>
          <w:sz w:val="21"/>
          <w:szCs w:val="21"/>
        </w:rPr>
        <w:t xml:space="preserve">- </w:t>
      </w:r>
      <w:r w:rsidR="007471E2" w:rsidRPr="007471E2">
        <w:rPr>
          <w:iCs/>
          <w:sz w:val="21"/>
          <w:szCs w:val="21"/>
        </w:rPr>
        <w:t>an annual activity</w:t>
      </w:r>
      <w:r w:rsidR="00140D4D">
        <w:rPr>
          <w:iCs/>
          <w:sz w:val="21"/>
          <w:szCs w:val="21"/>
        </w:rPr>
        <w:t>-level</w:t>
      </w:r>
      <w:r w:rsidR="007471E2" w:rsidRPr="007471E2">
        <w:rPr>
          <w:iCs/>
          <w:sz w:val="21"/>
          <w:szCs w:val="21"/>
        </w:rPr>
        <w:t xml:space="preserve"> report</w:t>
      </w:r>
      <w:r w:rsidR="007471E2">
        <w:rPr>
          <w:iCs/>
          <w:sz w:val="21"/>
          <w:szCs w:val="21"/>
        </w:rPr>
        <w:t xml:space="preserve"> reflecting</w:t>
      </w:r>
      <w:r w:rsidR="007471E2" w:rsidRPr="007471E2">
        <w:rPr>
          <w:iCs/>
          <w:sz w:val="21"/>
          <w:szCs w:val="21"/>
        </w:rPr>
        <w:t xml:space="preserve"> on activity contributions to country plans</w:t>
      </w:r>
      <w:r w:rsidR="00D32B9D">
        <w:rPr>
          <w:iCs/>
          <w:sz w:val="21"/>
          <w:szCs w:val="21"/>
        </w:rPr>
        <w:t xml:space="preserve">, and </w:t>
      </w:r>
      <w:r w:rsidR="00E32F56" w:rsidRPr="00E32F56">
        <w:rPr>
          <w:iCs/>
          <w:sz w:val="21"/>
          <w:szCs w:val="21"/>
        </w:rPr>
        <w:t xml:space="preserve">a participatory </w:t>
      </w:r>
      <w:r w:rsidR="003E0A7D">
        <w:rPr>
          <w:iCs/>
          <w:sz w:val="21"/>
          <w:szCs w:val="21"/>
        </w:rPr>
        <w:t xml:space="preserve">synthesis and </w:t>
      </w:r>
      <w:r w:rsidR="00E32F56" w:rsidRPr="00E32F56">
        <w:rPr>
          <w:iCs/>
          <w:sz w:val="21"/>
          <w:szCs w:val="21"/>
        </w:rPr>
        <w:t xml:space="preserve">analysis of achievements, </w:t>
      </w:r>
      <w:r w:rsidR="0007539B" w:rsidRPr="00E32F56">
        <w:rPr>
          <w:iCs/>
          <w:sz w:val="21"/>
          <w:szCs w:val="21"/>
        </w:rPr>
        <w:t>challenges,</w:t>
      </w:r>
      <w:r w:rsidR="00E32F56" w:rsidRPr="00E32F56">
        <w:rPr>
          <w:iCs/>
          <w:sz w:val="21"/>
          <w:szCs w:val="21"/>
        </w:rPr>
        <w:t xml:space="preserve"> and lessons against each of the DR Intermediate Outcome areas: community preparedness and resilience (IO1.1), localisation (IO1.2)</w:t>
      </w:r>
      <w:r w:rsidR="003E0A7D">
        <w:rPr>
          <w:iCs/>
          <w:sz w:val="21"/>
          <w:szCs w:val="21"/>
        </w:rPr>
        <w:t xml:space="preserve">, </w:t>
      </w:r>
      <w:r w:rsidR="00E32F56" w:rsidRPr="00E32F56">
        <w:rPr>
          <w:iCs/>
          <w:sz w:val="21"/>
          <w:szCs w:val="21"/>
        </w:rPr>
        <w:t>partnerships (IO1.3)</w:t>
      </w:r>
      <w:r w:rsidR="003E0A7D">
        <w:rPr>
          <w:iCs/>
          <w:sz w:val="21"/>
          <w:szCs w:val="21"/>
        </w:rPr>
        <w:t xml:space="preserve"> and strengthening response (IO2.3)</w:t>
      </w:r>
      <w:r w:rsidR="00AD3611">
        <w:rPr>
          <w:iCs/>
          <w:sz w:val="21"/>
          <w:szCs w:val="21"/>
        </w:rPr>
        <w:t>.</w:t>
      </w:r>
      <w:r w:rsidR="009C7B29">
        <w:rPr>
          <w:iCs/>
          <w:sz w:val="21"/>
          <w:szCs w:val="21"/>
        </w:rPr>
        <w:t xml:space="preserve">  This will include reflection on access and participation by women and people </w:t>
      </w:r>
      <w:r w:rsidR="00E03EA0">
        <w:rPr>
          <w:iCs/>
          <w:sz w:val="21"/>
          <w:szCs w:val="21"/>
        </w:rPr>
        <w:t xml:space="preserve">living </w:t>
      </w:r>
      <w:r w:rsidR="009C7B29">
        <w:rPr>
          <w:iCs/>
          <w:sz w:val="21"/>
          <w:szCs w:val="21"/>
        </w:rPr>
        <w:t>with disabilities, and feedback from WROs and OPDs.</w:t>
      </w:r>
    </w:p>
    <w:p w14:paraId="4B1099AD" w14:textId="080FF525" w:rsidR="00943FB1" w:rsidRDefault="00943FB1" w:rsidP="00411A7D">
      <w:pPr>
        <w:pStyle w:val="ListParagraph"/>
        <w:numPr>
          <w:ilvl w:val="0"/>
          <w:numId w:val="12"/>
        </w:numPr>
        <w:tabs>
          <w:tab w:val="left" w:pos="284"/>
        </w:tabs>
        <w:suppressAutoHyphens w:val="0"/>
        <w:spacing w:before="200" w:after="120" w:line="280" w:lineRule="exact"/>
        <w:ind w:left="0" w:firstLine="0"/>
        <w:contextualSpacing w:val="0"/>
        <w:rPr>
          <w:iCs/>
          <w:sz w:val="21"/>
          <w:szCs w:val="21"/>
        </w:rPr>
      </w:pPr>
      <w:r>
        <w:rPr>
          <w:iCs/>
          <w:sz w:val="21"/>
          <w:szCs w:val="21"/>
        </w:rPr>
        <w:t xml:space="preserve">ANGOs will be responsible for developing and maintaining their own internal MEL systems related to their planned activities included in their Activity Plans. This information and analysis will not be reported on a regular basis, but will be made available for </w:t>
      </w:r>
      <w:r w:rsidR="0096312E">
        <w:rPr>
          <w:iCs/>
          <w:sz w:val="21"/>
          <w:szCs w:val="21"/>
        </w:rPr>
        <w:t>ARS, PPR</w:t>
      </w:r>
      <w:r>
        <w:rPr>
          <w:iCs/>
          <w:sz w:val="21"/>
          <w:szCs w:val="21"/>
        </w:rPr>
        <w:t xml:space="preserve"> and evaluations as required.  A </w:t>
      </w:r>
      <w:r w:rsidR="00546190">
        <w:rPr>
          <w:iCs/>
          <w:sz w:val="21"/>
          <w:szCs w:val="21"/>
        </w:rPr>
        <w:t>core</w:t>
      </w:r>
      <w:r>
        <w:rPr>
          <w:iCs/>
          <w:sz w:val="21"/>
          <w:szCs w:val="21"/>
        </w:rPr>
        <w:t xml:space="preserve"> data set related to activity information will be reported to </w:t>
      </w:r>
      <w:r w:rsidR="00276ECE">
        <w:rPr>
          <w:iCs/>
          <w:sz w:val="21"/>
          <w:szCs w:val="21"/>
        </w:rPr>
        <w:t>DRCCs</w:t>
      </w:r>
      <w:r>
        <w:rPr>
          <w:iCs/>
          <w:sz w:val="21"/>
          <w:szCs w:val="21"/>
        </w:rPr>
        <w:t xml:space="preserve"> and the AHPSU on </w:t>
      </w:r>
      <w:r w:rsidR="00A745B7">
        <w:rPr>
          <w:iCs/>
          <w:sz w:val="21"/>
          <w:szCs w:val="21"/>
        </w:rPr>
        <w:t xml:space="preserve">a </w:t>
      </w:r>
      <w:r w:rsidR="00E731FE">
        <w:rPr>
          <w:iCs/>
          <w:sz w:val="21"/>
          <w:szCs w:val="21"/>
        </w:rPr>
        <w:t>six-monthly</w:t>
      </w:r>
      <w:r w:rsidR="000B309C">
        <w:rPr>
          <w:iCs/>
          <w:sz w:val="21"/>
          <w:szCs w:val="21"/>
        </w:rPr>
        <w:t xml:space="preserve"> basis</w:t>
      </w:r>
      <w:r>
        <w:rPr>
          <w:iCs/>
          <w:sz w:val="21"/>
          <w:szCs w:val="21"/>
        </w:rPr>
        <w:t>.</w:t>
      </w:r>
      <w:r w:rsidR="009C7B29">
        <w:rPr>
          <w:iCs/>
          <w:sz w:val="21"/>
          <w:szCs w:val="21"/>
        </w:rPr>
        <w:t xml:space="preserve"> This will include gender disaggregated data</w:t>
      </w:r>
      <w:r w:rsidR="00422966">
        <w:rPr>
          <w:iCs/>
          <w:sz w:val="21"/>
          <w:szCs w:val="21"/>
        </w:rPr>
        <w:t>.</w:t>
      </w:r>
    </w:p>
    <w:p w14:paraId="5662118F" w14:textId="0B986120" w:rsidR="0096312E" w:rsidRDefault="00C33653" w:rsidP="003E2C60">
      <w:pPr>
        <w:pStyle w:val="ListParagraph"/>
        <w:numPr>
          <w:ilvl w:val="0"/>
          <w:numId w:val="12"/>
        </w:numPr>
        <w:tabs>
          <w:tab w:val="left" w:pos="284"/>
        </w:tabs>
        <w:suppressAutoHyphens w:val="0"/>
        <w:spacing w:before="200" w:after="120" w:line="280" w:lineRule="exact"/>
        <w:ind w:left="0" w:firstLine="0"/>
        <w:contextualSpacing w:val="0"/>
        <w:rPr>
          <w:iCs/>
          <w:sz w:val="21"/>
          <w:szCs w:val="21"/>
        </w:rPr>
      </w:pPr>
      <w:r w:rsidRPr="00C33653">
        <w:rPr>
          <w:iCs/>
          <w:sz w:val="21"/>
          <w:szCs w:val="21"/>
        </w:rPr>
        <w:t xml:space="preserve">ANGOs will be responsible for reporting the number and description of activities </w:t>
      </w:r>
      <w:r w:rsidR="00E731FE" w:rsidRPr="00C33653">
        <w:rPr>
          <w:iCs/>
          <w:sz w:val="21"/>
          <w:szCs w:val="21"/>
        </w:rPr>
        <w:t>delivered</w:t>
      </w:r>
      <w:r w:rsidRPr="00C33653">
        <w:rPr>
          <w:iCs/>
          <w:sz w:val="21"/>
          <w:szCs w:val="21"/>
        </w:rPr>
        <w:t>, using the approaches and methods best suited to the nature of the activity (narrative description, case studies, stories from participants, reflections from staff</w:t>
      </w:r>
      <w:r>
        <w:rPr>
          <w:iCs/>
          <w:sz w:val="21"/>
          <w:szCs w:val="21"/>
        </w:rPr>
        <w:t>, photos, video etc</w:t>
      </w:r>
      <w:r w:rsidRPr="00C33653">
        <w:rPr>
          <w:iCs/>
          <w:sz w:val="21"/>
          <w:szCs w:val="21"/>
        </w:rPr>
        <w:t xml:space="preserve">), and providing information against the </w:t>
      </w:r>
      <w:r w:rsidR="00546190">
        <w:rPr>
          <w:iCs/>
          <w:sz w:val="21"/>
          <w:szCs w:val="21"/>
        </w:rPr>
        <w:t>core</w:t>
      </w:r>
      <w:r w:rsidRPr="00C33653">
        <w:rPr>
          <w:iCs/>
          <w:sz w:val="21"/>
          <w:szCs w:val="21"/>
        </w:rPr>
        <w:t xml:space="preserve"> data set.</w:t>
      </w:r>
    </w:p>
    <w:p w14:paraId="4ED16E56" w14:textId="31C061A7" w:rsidR="00B13AD6" w:rsidRPr="006313F3" w:rsidRDefault="00A67A96" w:rsidP="00673397">
      <w:pPr>
        <w:pStyle w:val="ListParagraph"/>
        <w:keepNext/>
        <w:tabs>
          <w:tab w:val="left" w:pos="284"/>
        </w:tabs>
        <w:suppressAutoHyphens w:val="0"/>
        <w:spacing w:before="200" w:after="0" w:line="280" w:lineRule="exact"/>
        <w:ind w:left="0"/>
        <w:contextualSpacing w:val="0"/>
        <w:rPr>
          <w:b/>
          <w:bCs/>
          <w:i/>
          <w:sz w:val="21"/>
          <w:szCs w:val="21"/>
        </w:rPr>
      </w:pPr>
      <w:r w:rsidRPr="006313F3">
        <w:rPr>
          <w:b/>
          <w:bCs/>
          <w:i/>
          <w:sz w:val="21"/>
          <w:szCs w:val="21"/>
        </w:rPr>
        <w:lastRenderedPageBreak/>
        <w:t>Outputs for Component 1</w:t>
      </w:r>
    </w:p>
    <w:p w14:paraId="59EF654A" w14:textId="313879DC" w:rsidR="00B13AD6" w:rsidRDefault="00A67A96" w:rsidP="00673397">
      <w:pPr>
        <w:pStyle w:val="ListParagraph"/>
        <w:keepNext/>
        <w:numPr>
          <w:ilvl w:val="0"/>
          <w:numId w:val="12"/>
        </w:numPr>
        <w:tabs>
          <w:tab w:val="left" w:pos="284"/>
        </w:tabs>
        <w:suppressAutoHyphens w:val="0"/>
        <w:spacing w:before="200" w:after="120" w:line="280" w:lineRule="exact"/>
        <w:ind w:left="0" w:firstLine="0"/>
        <w:contextualSpacing w:val="0"/>
        <w:rPr>
          <w:iCs/>
          <w:sz w:val="21"/>
          <w:szCs w:val="21"/>
        </w:rPr>
      </w:pPr>
      <w:r>
        <w:rPr>
          <w:iCs/>
          <w:sz w:val="21"/>
          <w:szCs w:val="21"/>
        </w:rPr>
        <w:t>The outputs delivered by Partners for this component include:</w:t>
      </w:r>
    </w:p>
    <w:p w14:paraId="256EC941" w14:textId="0EBED3CA" w:rsidR="00A67A96" w:rsidRPr="006313F3" w:rsidRDefault="00403DEA" w:rsidP="0011591E">
      <w:pPr>
        <w:pStyle w:val="ListParagraph"/>
        <w:numPr>
          <w:ilvl w:val="0"/>
          <w:numId w:val="29"/>
        </w:numPr>
        <w:spacing w:before="60" w:line="280" w:lineRule="atLeast"/>
        <w:ind w:left="714" w:hanging="357"/>
        <w:contextualSpacing w:val="0"/>
        <w:rPr>
          <w:iCs/>
          <w:sz w:val="21"/>
          <w:szCs w:val="21"/>
        </w:rPr>
      </w:pPr>
      <w:r>
        <w:rPr>
          <w:iCs/>
          <w:sz w:val="21"/>
          <w:szCs w:val="21"/>
        </w:rPr>
        <w:t>DRCCs</w:t>
      </w:r>
      <w:r w:rsidR="00A67A96" w:rsidRPr="006313F3">
        <w:rPr>
          <w:iCs/>
          <w:sz w:val="21"/>
          <w:szCs w:val="21"/>
        </w:rPr>
        <w:t xml:space="preserve"> and support arrangements </w:t>
      </w:r>
      <w:r w:rsidR="00A3587F">
        <w:rPr>
          <w:iCs/>
          <w:sz w:val="21"/>
          <w:szCs w:val="21"/>
        </w:rPr>
        <w:t xml:space="preserve">established and </w:t>
      </w:r>
      <w:r w:rsidR="00A67A96" w:rsidRPr="006313F3">
        <w:rPr>
          <w:iCs/>
          <w:sz w:val="21"/>
          <w:szCs w:val="21"/>
        </w:rPr>
        <w:t>function effectively</w:t>
      </w:r>
      <w:r>
        <w:rPr>
          <w:iCs/>
          <w:sz w:val="21"/>
          <w:szCs w:val="21"/>
        </w:rPr>
        <w:t>;</w:t>
      </w:r>
    </w:p>
    <w:p w14:paraId="262B7C89" w14:textId="68B2E97B" w:rsidR="00A67A96" w:rsidRPr="006313F3" w:rsidRDefault="00A67A96" w:rsidP="0011591E">
      <w:pPr>
        <w:pStyle w:val="ListParagraph"/>
        <w:numPr>
          <w:ilvl w:val="0"/>
          <w:numId w:val="29"/>
        </w:numPr>
        <w:spacing w:before="60" w:line="280" w:lineRule="atLeast"/>
        <w:ind w:left="714" w:hanging="357"/>
        <w:contextualSpacing w:val="0"/>
        <w:rPr>
          <w:iCs/>
          <w:sz w:val="21"/>
          <w:szCs w:val="21"/>
        </w:rPr>
      </w:pPr>
      <w:r w:rsidRPr="006313F3">
        <w:rPr>
          <w:iCs/>
          <w:sz w:val="21"/>
          <w:szCs w:val="21"/>
        </w:rPr>
        <w:t xml:space="preserve">Country Plans agreed, </w:t>
      </w:r>
      <w:r w:rsidR="00E731FE" w:rsidRPr="006313F3">
        <w:rPr>
          <w:iCs/>
          <w:sz w:val="21"/>
          <w:szCs w:val="21"/>
        </w:rPr>
        <w:t>monitored,</w:t>
      </w:r>
      <w:r w:rsidRPr="006313F3">
        <w:rPr>
          <w:iCs/>
          <w:sz w:val="21"/>
          <w:szCs w:val="21"/>
        </w:rPr>
        <w:t xml:space="preserve"> and evaluated</w:t>
      </w:r>
      <w:r w:rsidR="00403DEA">
        <w:rPr>
          <w:iCs/>
          <w:sz w:val="21"/>
          <w:szCs w:val="21"/>
        </w:rPr>
        <w:t>;</w:t>
      </w:r>
    </w:p>
    <w:p w14:paraId="6D5556E7" w14:textId="30A24663" w:rsidR="00A67A96" w:rsidRPr="006313F3" w:rsidRDefault="00A67A96" w:rsidP="0011591E">
      <w:pPr>
        <w:pStyle w:val="ListParagraph"/>
        <w:numPr>
          <w:ilvl w:val="0"/>
          <w:numId w:val="29"/>
        </w:numPr>
        <w:spacing w:before="60" w:line="280" w:lineRule="atLeast"/>
        <w:ind w:left="714" w:hanging="357"/>
        <w:contextualSpacing w:val="0"/>
        <w:rPr>
          <w:iCs/>
          <w:sz w:val="21"/>
          <w:szCs w:val="21"/>
        </w:rPr>
      </w:pPr>
      <w:r w:rsidRPr="006313F3">
        <w:rPr>
          <w:iCs/>
          <w:sz w:val="21"/>
          <w:szCs w:val="21"/>
        </w:rPr>
        <w:t>Localisation strategy and Learning Action Agenda agreed and implemented by Partners</w:t>
      </w:r>
      <w:r w:rsidR="00403DEA">
        <w:rPr>
          <w:iCs/>
          <w:sz w:val="21"/>
          <w:szCs w:val="21"/>
        </w:rPr>
        <w:t>;</w:t>
      </w:r>
    </w:p>
    <w:p w14:paraId="7DF3D287" w14:textId="52234303" w:rsidR="00A67A96" w:rsidRPr="006313F3" w:rsidRDefault="00A67A96" w:rsidP="0011591E">
      <w:pPr>
        <w:pStyle w:val="ListParagraph"/>
        <w:numPr>
          <w:ilvl w:val="0"/>
          <w:numId w:val="29"/>
        </w:numPr>
        <w:spacing w:before="60" w:line="280" w:lineRule="atLeast"/>
        <w:ind w:left="714" w:hanging="357"/>
        <w:contextualSpacing w:val="0"/>
        <w:rPr>
          <w:iCs/>
          <w:sz w:val="21"/>
          <w:szCs w:val="21"/>
        </w:rPr>
      </w:pPr>
      <w:r w:rsidRPr="006313F3">
        <w:rPr>
          <w:iCs/>
          <w:sz w:val="21"/>
          <w:szCs w:val="21"/>
        </w:rPr>
        <w:t xml:space="preserve">ANGOs and local Partners </w:t>
      </w:r>
      <w:r w:rsidR="00A3587F">
        <w:rPr>
          <w:iCs/>
          <w:sz w:val="21"/>
          <w:szCs w:val="21"/>
        </w:rPr>
        <w:t>implement approved Activity Plans</w:t>
      </w:r>
      <w:r w:rsidRPr="006313F3">
        <w:rPr>
          <w:iCs/>
          <w:sz w:val="21"/>
          <w:szCs w:val="21"/>
        </w:rPr>
        <w:t xml:space="preserve">. </w:t>
      </w:r>
    </w:p>
    <w:p w14:paraId="5EA7B860" w14:textId="0410DB59" w:rsidR="00A67A96" w:rsidRDefault="00A67A96" w:rsidP="006313F3">
      <w:pPr>
        <w:pStyle w:val="ListParagraph"/>
        <w:tabs>
          <w:tab w:val="left" w:pos="284"/>
        </w:tabs>
        <w:suppressAutoHyphens w:val="0"/>
        <w:spacing w:before="0" w:after="120" w:line="280" w:lineRule="exact"/>
        <w:ind w:left="0"/>
        <w:contextualSpacing w:val="0"/>
        <w:rPr>
          <w:iCs/>
          <w:sz w:val="21"/>
          <w:szCs w:val="21"/>
        </w:rPr>
      </w:pPr>
      <w:r>
        <w:rPr>
          <w:iCs/>
          <w:sz w:val="21"/>
          <w:szCs w:val="21"/>
        </w:rPr>
        <w:t xml:space="preserve">The AHPSU will </w:t>
      </w:r>
      <w:r w:rsidR="007F4A11">
        <w:rPr>
          <w:iCs/>
          <w:sz w:val="21"/>
          <w:szCs w:val="21"/>
        </w:rPr>
        <w:t>summarise</w:t>
      </w:r>
      <w:r>
        <w:rPr>
          <w:iCs/>
          <w:sz w:val="21"/>
          <w:szCs w:val="21"/>
        </w:rPr>
        <w:t xml:space="preserve"> progress </w:t>
      </w:r>
      <w:r w:rsidR="00A3587F">
        <w:rPr>
          <w:iCs/>
          <w:sz w:val="21"/>
          <w:szCs w:val="21"/>
        </w:rPr>
        <w:t>against</w:t>
      </w:r>
      <w:r>
        <w:rPr>
          <w:iCs/>
          <w:sz w:val="21"/>
          <w:szCs w:val="21"/>
        </w:rPr>
        <w:t xml:space="preserve"> these outputs in </w:t>
      </w:r>
      <w:r w:rsidR="00A3587F">
        <w:rPr>
          <w:iCs/>
          <w:sz w:val="21"/>
          <w:szCs w:val="21"/>
        </w:rPr>
        <w:t xml:space="preserve">its </w:t>
      </w:r>
      <w:r>
        <w:rPr>
          <w:iCs/>
          <w:sz w:val="21"/>
          <w:szCs w:val="21"/>
        </w:rPr>
        <w:t>six-monthly and annual reporting.</w:t>
      </w:r>
    </w:p>
    <w:p w14:paraId="107ECD8C" w14:textId="7F7FBDC1" w:rsidR="00943FB1" w:rsidRPr="006313F3" w:rsidRDefault="00943FB1" w:rsidP="006313F3">
      <w:pPr>
        <w:pBdr>
          <w:bottom w:val="single" w:sz="4" w:space="1" w:color="auto"/>
        </w:pBdr>
        <w:spacing w:before="200" w:after="0"/>
        <w:outlineLvl w:val="0"/>
        <w:rPr>
          <w:b/>
          <w:bCs/>
        </w:rPr>
      </w:pPr>
      <w:bookmarkStart w:id="39" w:name="_Toc101521660"/>
      <w:r w:rsidRPr="00EA37D5">
        <w:rPr>
          <w:b/>
          <w:bCs/>
        </w:rPr>
        <w:t>EOPO</w:t>
      </w:r>
      <w:r w:rsidR="00A745B7">
        <w:rPr>
          <w:b/>
          <w:bCs/>
        </w:rPr>
        <w:t xml:space="preserve"> </w:t>
      </w:r>
      <w:r w:rsidRPr="00EA37D5">
        <w:rPr>
          <w:b/>
          <w:bCs/>
        </w:rPr>
        <w:t xml:space="preserve">2: </w:t>
      </w:r>
      <w:r w:rsidR="00B213C5" w:rsidRPr="00B213C5">
        <w:rPr>
          <w:b/>
          <w:bCs/>
        </w:rPr>
        <w:t>Rapid Onset and Protracted Crisis Response</w:t>
      </w:r>
      <w:bookmarkEnd w:id="39"/>
      <w:r w:rsidR="00B213C5" w:rsidRPr="00B213C5" w:rsidDel="00B213C5">
        <w:rPr>
          <w:b/>
          <w:bCs/>
        </w:rPr>
        <w:t xml:space="preserve"> </w:t>
      </w:r>
    </w:p>
    <w:p w14:paraId="19345F95" w14:textId="47EB0AFE" w:rsidR="003E1857" w:rsidRPr="003E2C60" w:rsidRDefault="002E7F4E" w:rsidP="003E1857">
      <w:pPr>
        <w:pStyle w:val="ListParagraph"/>
        <w:numPr>
          <w:ilvl w:val="0"/>
          <w:numId w:val="12"/>
        </w:numPr>
        <w:tabs>
          <w:tab w:val="left" w:pos="284"/>
        </w:tabs>
        <w:suppressAutoHyphens w:val="0"/>
        <w:spacing w:before="200" w:after="0" w:line="280" w:lineRule="exact"/>
        <w:ind w:left="0" w:firstLine="0"/>
        <w:contextualSpacing w:val="0"/>
        <w:rPr>
          <w:iCs/>
          <w:sz w:val="21"/>
          <w:szCs w:val="21"/>
        </w:rPr>
      </w:pPr>
      <w:bookmarkStart w:id="40" w:name="_Hlk90309323"/>
      <w:r w:rsidRPr="00D669B6">
        <w:rPr>
          <w:iCs/>
          <w:sz w:val="21"/>
          <w:szCs w:val="21"/>
        </w:rPr>
        <w:t xml:space="preserve">Under this component, DFAT will </w:t>
      </w:r>
      <w:r>
        <w:rPr>
          <w:iCs/>
          <w:sz w:val="21"/>
          <w:szCs w:val="21"/>
        </w:rPr>
        <w:t xml:space="preserve">continue to </w:t>
      </w:r>
      <w:r w:rsidRPr="00D669B6">
        <w:rPr>
          <w:iCs/>
          <w:sz w:val="21"/>
          <w:szCs w:val="21"/>
        </w:rPr>
        <w:t xml:space="preserve">provide funding to ANGOs for </w:t>
      </w:r>
      <w:r w:rsidRPr="00D669B6">
        <w:rPr>
          <w:b/>
          <w:bCs/>
          <w:iCs/>
          <w:sz w:val="21"/>
          <w:szCs w:val="21"/>
        </w:rPr>
        <w:t>humanitarian responses to rapid onset and protracted crises</w:t>
      </w:r>
      <w:r w:rsidRPr="00D669B6">
        <w:rPr>
          <w:iCs/>
          <w:sz w:val="21"/>
          <w:szCs w:val="21"/>
        </w:rPr>
        <w:t>, which are commonly referred to as “</w:t>
      </w:r>
      <w:r w:rsidR="00136A45">
        <w:rPr>
          <w:iCs/>
          <w:sz w:val="21"/>
          <w:szCs w:val="21"/>
        </w:rPr>
        <w:t>a</w:t>
      </w:r>
      <w:r w:rsidRPr="00D669B6">
        <w:rPr>
          <w:iCs/>
          <w:sz w:val="21"/>
          <w:szCs w:val="21"/>
        </w:rPr>
        <w:t>ctivations.”</w:t>
      </w:r>
      <w:r w:rsidRPr="00D669B6">
        <w:rPr>
          <w:b/>
          <w:bCs/>
          <w:iCs/>
          <w:sz w:val="21"/>
          <w:szCs w:val="21"/>
        </w:rPr>
        <w:t xml:space="preserve"> </w:t>
      </w:r>
      <w:bookmarkEnd w:id="40"/>
      <w:r w:rsidR="003E1857">
        <w:rPr>
          <w:iCs/>
          <w:sz w:val="21"/>
          <w:szCs w:val="21"/>
        </w:rPr>
        <w:t xml:space="preserve">As per the revised Program Logic, the intended outcome of </w:t>
      </w:r>
      <w:r w:rsidR="007A6589">
        <w:rPr>
          <w:iCs/>
          <w:sz w:val="21"/>
          <w:szCs w:val="21"/>
        </w:rPr>
        <w:t>C</w:t>
      </w:r>
      <w:r w:rsidR="003E1857">
        <w:rPr>
          <w:iCs/>
          <w:sz w:val="21"/>
          <w:szCs w:val="21"/>
        </w:rPr>
        <w:t xml:space="preserve">omponent 2 in </w:t>
      </w:r>
      <w:r w:rsidR="00406F84">
        <w:rPr>
          <w:iCs/>
          <w:sz w:val="21"/>
          <w:szCs w:val="21"/>
        </w:rPr>
        <w:t>Phase II</w:t>
      </w:r>
      <w:r w:rsidR="003E1857">
        <w:rPr>
          <w:iCs/>
          <w:sz w:val="21"/>
          <w:szCs w:val="21"/>
        </w:rPr>
        <w:t xml:space="preserve"> is that </w:t>
      </w:r>
      <w:r w:rsidR="007501C2">
        <w:rPr>
          <w:i/>
          <w:sz w:val="21"/>
          <w:szCs w:val="21"/>
        </w:rPr>
        <w:t>affected</w:t>
      </w:r>
      <w:r w:rsidR="003D2AD5" w:rsidRPr="003D2AD5">
        <w:rPr>
          <w:i/>
          <w:sz w:val="21"/>
          <w:szCs w:val="21"/>
        </w:rPr>
        <w:t xml:space="preserve"> populations, particularly women</w:t>
      </w:r>
      <w:r w:rsidR="003D2AD5">
        <w:rPr>
          <w:i/>
          <w:sz w:val="21"/>
          <w:szCs w:val="21"/>
        </w:rPr>
        <w:t xml:space="preserve">, people </w:t>
      </w:r>
      <w:r w:rsidR="00E03EA0">
        <w:rPr>
          <w:i/>
          <w:sz w:val="21"/>
          <w:szCs w:val="21"/>
        </w:rPr>
        <w:t xml:space="preserve">living </w:t>
      </w:r>
      <w:r w:rsidR="003D2AD5">
        <w:rPr>
          <w:i/>
          <w:sz w:val="21"/>
          <w:szCs w:val="21"/>
        </w:rPr>
        <w:t>with a disability</w:t>
      </w:r>
      <w:r w:rsidR="003D2AD5" w:rsidRPr="003D2AD5">
        <w:rPr>
          <w:i/>
          <w:sz w:val="21"/>
          <w:szCs w:val="21"/>
        </w:rPr>
        <w:t xml:space="preserve"> and other </w:t>
      </w:r>
      <w:r w:rsidR="00422966">
        <w:rPr>
          <w:i/>
          <w:sz w:val="21"/>
          <w:szCs w:val="21"/>
        </w:rPr>
        <w:t>at-risk</w:t>
      </w:r>
      <w:r w:rsidR="003D2AD5" w:rsidRPr="003D2AD5">
        <w:rPr>
          <w:i/>
          <w:sz w:val="21"/>
          <w:szCs w:val="21"/>
        </w:rPr>
        <w:t xml:space="preserve"> groups, receive timely, high quality and locally led humanitarian assistance </w:t>
      </w:r>
      <w:r w:rsidR="007501C2">
        <w:rPr>
          <w:i/>
          <w:sz w:val="21"/>
          <w:szCs w:val="21"/>
        </w:rPr>
        <w:t xml:space="preserve">that meets priority needs </w:t>
      </w:r>
      <w:r w:rsidR="003D2AD5" w:rsidRPr="003D2AD5">
        <w:rPr>
          <w:i/>
          <w:sz w:val="21"/>
          <w:szCs w:val="21"/>
        </w:rPr>
        <w:t>appropriate to the context</w:t>
      </w:r>
      <w:r w:rsidR="00B213C5" w:rsidRPr="003E2C60">
        <w:rPr>
          <w:i/>
          <w:sz w:val="21"/>
          <w:szCs w:val="21"/>
        </w:rPr>
        <w:t>.</w:t>
      </w:r>
    </w:p>
    <w:p w14:paraId="6BA01CFE" w14:textId="524923D6" w:rsidR="00943FB1" w:rsidRDefault="00AE4C35" w:rsidP="003E2C60">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sidRPr="003E2C60">
        <w:rPr>
          <w:iCs/>
          <w:sz w:val="21"/>
          <w:szCs w:val="21"/>
        </w:rPr>
        <w:t xml:space="preserve">Consistent with </w:t>
      </w:r>
      <w:r w:rsidR="00406F84">
        <w:rPr>
          <w:iCs/>
          <w:sz w:val="21"/>
          <w:szCs w:val="21"/>
        </w:rPr>
        <w:t>Phase I</w:t>
      </w:r>
      <w:r w:rsidRPr="003E2C60">
        <w:rPr>
          <w:iCs/>
          <w:sz w:val="21"/>
          <w:szCs w:val="21"/>
        </w:rPr>
        <w:t xml:space="preserve">, ANGOs </w:t>
      </w:r>
      <w:r>
        <w:rPr>
          <w:iCs/>
          <w:sz w:val="21"/>
          <w:szCs w:val="21"/>
        </w:rPr>
        <w:t>will be</w:t>
      </w:r>
      <w:r w:rsidRPr="003E2C60">
        <w:rPr>
          <w:iCs/>
          <w:sz w:val="21"/>
          <w:szCs w:val="21"/>
        </w:rPr>
        <w:t xml:space="preserve"> selected for funding on a case-by-case basis </w:t>
      </w:r>
      <w:r w:rsidR="00943FB1" w:rsidRPr="00415502">
        <w:rPr>
          <w:iCs/>
          <w:sz w:val="21"/>
          <w:szCs w:val="21"/>
        </w:rPr>
        <w:t xml:space="preserve">guided by </w:t>
      </w:r>
      <w:r w:rsidR="00327244">
        <w:rPr>
          <w:iCs/>
          <w:sz w:val="21"/>
          <w:szCs w:val="21"/>
        </w:rPr>
        <w:t>Standard Operating Procedures</w:t>
      </w:r>
      <w:r w:rsidR="00943FB1" w:rsidRPr="00415502">
        <w:rPr>
          <w:iCs/>
          <w:sz w:val="21"/>
          <w:szCs w:val="21"/>
        </w:rPr>
        <w:t xml:space="preserve"> </w:t>
      </w:r>
      <w:r w:rsidR="002E7F4E">
        <w:rPr>
          <w:iCs/>
          <w:sz w:val="21"/>
          <w:szCs w:val="21"/>
        </w:rPr>
        <w:t xml:space="preserve">(SOPs) </w:t>
      </w:r>
      <w:r w:rsidR="005A12BE">
        <w:rPr>
          <w:iCs/>
          <w:sz w:val="21"/>
          <w:szCs w:val="21"/>
        </w:rPr>
        <w:t>designed to ensure the best value-for-money outcome</w:t>
      </w:r>
      <w:r w:rsidR="00943FB1" w:rsidRPr="00415502">
        <w:rPr>
          <w:iCs/>
          <w:sz w:val="21"/>
          <w:szCs w:val="21"/>
        </w:rPr>
        <w:t xml:space="preserve">. </w:t>
      </w:r>
      <w:r w:rsidR="005353EA">
        <w:rPr>
          <w:iCs/>
          <w:sz w:val="21"/>
          <w:szCs w:val="21"/>
        </w:rPr>
        <w:t xml:space="preserve">The SOPs </w:t>
      </w:r>
      <w:r w:rsidR="00943FB1" w:rsidRPr="00415502">
        <w:rPr>
          <w:iCs/>
          <w:sz w:val="21"/>
          <w:szCs w:val="21"/>
        </w:rPr>
        <w:t xml:space="preserve">will be </w:t>
      </w:r>
      <w:r w:rsidR="00CB2D43">
        <w:rPr>
          <w:iCs/>
          <w:sz w:val="21"/>
          <w:szCs w:val="21"/>
        </w:rPr>
        <w:t>updated</w:t>
      </w:r>
      <w:r w:rsidR="006A7D68">
        <w:rPr>
          <w:iCs/>
          <w:sz w:val="21"/>
          <w:szCs w:val="21"/>
        </w:rPr>
        <w:t xml:space="preserve"> </w:t>
      </w:r>
      <w:r w:rsidR="00943FB1" w:rsidRPr="00415502">
        <w:rPr>
          <w:iCs/>
          <w:sz w:val="21"/>
          <w:szCs w:val="21"/>
        </w:rPr>
        <w:t xml:space="preserve">by the AHPSU </w:t>
      </w:r>
      <w:r w:rsidR="00CB2D43">
        <w:rPr>
          <w:iCs/>
          <w:sz w:val="21"/>
          <w:szCs w:val="21"/>
        </w:rPr>
        <w:t xml:space="preserve">based on the </w:t>
      </w:r>
      <w:r w:rsidR="00406F84">
        <w:rPr>
          <w:iCs/>
          <w:sz w:val="21"/>
          <w:szCs w:val="21"/>
        </w:rPr>
        <w:t>Phase II</w:t>
      </w:r>
      <w:r w:rsidR="00CB2D43">
        <w:rPr>
          <w:iCs/>
          <w:sz w:val="21"/>
          <w:szCs w:val="21"/>
        </w:rPr>
        <w:t xml:space="preserve"> design</w:t>
      </w:r>
      <w:r w:rsidR="00A03358">
        <w:rPr>
          <w:iCs/>
          <w:sz w:val="21"/>
          <w:szCs w:val="21"/>
        </w:rPr>
        <w:t xml:space="preserve"> in consultation </w:t>
      </w:r>
      <w:r w:rsidR="00A20D37">
        <w:rPr>
          <w:iCs/>
          <w:sz w:val="21"/>
          <w:szCs w:val="21"/>
        </w:rPr>
        <w:t>with key stakeholders including</w:t>
      </w:r>
      <w:r w:rsidR="005E3C7D">
        <w:rPr>
          <w:iCs/>
          <w:sz w:val="21"/>
          <w:szCs w:val="21"/>
        </w:rPr>
        <w:t xml:space="preserve"> AHP Partners and </w:t>
      </w:r>
      <w:r w:rsidR="00E731FE">
        <w:rPr>
          <w:iCs/>
          <w:sz w:val="21"/>
          <w:szCs w:val="21"/>
        </w:rPr>
        <w:t>Posts and</w:t>
      </w:r>
      <w:r w:rsidR="00943FB1" w:rsidRPr="00415502">
        <w:rPr>
          <w:iCs/>
          <w:sz w:val="21"/>
          <w:szCs w:val="21"/>
        </w:rPr>
        <w:t xml:space="preserve"> approved by the Steering Committee </w:t>
      </w:r>
      <w:r w:rsidR="00DE1F81">
        <w:rPr>
          <w:iCs/>
          <w:sz w:val="21"/>
          <w:szCs w:val="21"/>
        </w:rPr>
        <w:t>in early implementation</w:t>
      </w:r>
      <w:r w:rsidR="00943FB1" w:rsidRPr="00415502">
        <w:rPr>
          <w:iCs/>
          <w:sz w:val="21"/>
          <w:szCs w:val="21"/>
        </w:rPr>
        <w:t>.</w:t>
      </w:r>
      <w:r w:rsidR="00CB2D43">
        <w:rPr>
          <w:iCs/>
          <w:sz w:val="21"/>
          <w:szCs w:val="21"/>
        </w:rPr>
        <w:t xml:space="preserve"> An illustrative activation proc</w:t>
      </w:r>
      <w:r w:rsidR="00FD5688">
        <w:rPr>
          <w:iCs/>
          <w:sz w:val="21"/>
          <w:szCs w:val="21"/>
        </w:rPr>
        <w:t>edure diagram</w:t>
      </w:r>
      <w:r w:rsidR="00CB2D43">
        <w:rPr>
          <w:iCs/>
          <w:sz w:val="21"/>
          <w:szCs w:val="21"/>
        </w:rPr>
        <w:t xml:space="preserve"> has been provided at </w:t>
      </w:r>
      <w:r w:rsidR="00CB2D43" w:rsidRPr="006374F1">
        <w:rPr>
          <w:iCs/>
          <w:sz w:val="21"/>
          <w:szCs w:val="21"/>
        </w:rPr>
        <w:t>Annex 2</w:t>
      </w:r>
      <w:r w:rsidR="00CB2D43">
        <w:rPr>
          <w:iCs/>
          <w:sz w:val="21"/>
          <w:szCs w:val="21"/>
        </w:rPr>
        <w:t xml:space="preserve"> to reflect the following key changes proposed for </w:t>
      </w:r>
      <w:r w:rsidR="00406F84">
        <w:rPr>
          <w:iCs/>
          <w:sz w:val="21"/>
          <w:szCs w:val="21"/>
        </w:rPr>
        <w:t>Phase II</w:t>
      </w:r>
      <w:r w:rsidR="00CB2D43">
        <w:rPr>
          <w:iCs/>
          <w:sz w:val="21"/>
          <w:szCs w:val="21"/>
        </w:rPr>
        <w:t xml:space="preserve">. </w:t>
      </w:r>
    </w:p>
    <w:p w14:paraId="507D8ECC" w14:textId="696CA14C" w:rsidR="00DE1F81" w:rsidRPr="007E795B" w:rsidRDefault="00724F79" w:rsidP="003E2C60">
      <w:pPr>
        <w:pStyle w:val="ListParagraph"/>
        <w:tabs>
          <w:tab w:val="left" w:pos="284"/>
        </w:tabs>
        <w:suppressAutoHyphens w:val="0"/>
        <w:spacing w:before="200" w:after="0" w:line="280" w:lineRule="exact"/>
        <w:ind w:left="0"/>
        <w:contextualSpacing w:val="0"/>
        <w:rPr>
          <w:b/>
          <w:bCs/>
          <w:i/>
          <w:sz w:val="21"/>
          <w:szCs w:val="21"/>
        </w:rPr>
      </w:pPr>
      <w:r w:rsidRPr="007E795B">
        <w:rPr>
          <w:b/>
          <w:bCs/>
          <w:i/>
          <w:sz w:val="21"/>
          <w:szCs w:val="21"/>
        </w:rPr>
        <w:t xml:space="preserve">Strengthening </w:t>
      </w:r>
      <w:r w:rsidR="007E795B">
        <w:rPr>
          <w:b/>
          <w:bCs/>
          <w:i/>
          <w:sz w:val="21"/>
          <w:szCs w:val="21"/>
        </w:rPr>
        <w:t>local leadership and</w:t>
      </w:r>
      <w:r w:rsidRPr="007E795B">
        <w:rPr>
          <w:b/>
          <w:bCs/>
          <w:i/>
          <w:sz w:val="21"/>
          <w:szCs w:val="21"/>
        </w:rPr>
        <w:t xml:space="preserve"> collaboration</w:t>
      </w:r>
    </w:p>
    <w:p w14:paraId="6F3B0436" w14:textId="0E3696DA" w:rsidR="00FB607A" w:rsidRDefault="00CB586B" w:rsidP="003E2C60">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Pr>
          <w:iCs/>
          <w:sz w:val="21"/>
          <w:szCs w:val="21"/>
        </w:rPr>
        <w:t xml:space="preserve"> The</w:t>
      </w:r>
      <w:r w:rsidR="005507B1">
        <w:rPr>
          <w:iCs/>
          <w:sz w:val="21"/>
          <w:szCs w:val="21"/>
        </w:rPr>
        <w:t xml:space="preserve"> MTE found that the </w:t>
      </w:r>
      <w:r w:rsidR="00406F84">
        <w:rPr>
          <w:iCs/>
          <w:sz w:val="21"/>
          <w:szCs w:val="21"/>
        </w:rPr>
        <w:t>Phase I</w:t>
      </w:r>
      <w:r w:rsidR="00C904C0" w:rsidRPr="00C904C0">
        <w:rPr>
          <w:iCs/>
          <w:sz w:val="21"/>
          <w:szCs w:val="21"/>
        </w:rPr>
        <w:t xml:space="preserve"> </w:t>
      </w:r>
      <w:r w:rsidR="00FD5688">
        <w:rPr>
          <w:iCs/>
          <w:sz w:val="21"/>
          <w:szCs w:val="21"/>
        </w:rPr>
        <w:t>SOPs</w:t>
      </w:r>
      <w:r w:rsidR="00C904C0" w:rsidRPr="00C904C0">
        <w:rPr>
          <w:iCs/>
          <w:sz w:val="21"/>
          <w:szCs w:val="21"/>
        </w:rPr>
        <w:t xml:space="preserve"> for both rapid and protracted responses serve</w:t>
      </w:r>
      <w:r w:rsidR="00C904C0">
        <w:rPr>
          <w:iCs/>
          <w:sz w:val="21"/>
          <w:szCs w:val="21"/>
        </w:rPr>
        <w:t>d</w:t>
      </w:r>
      <w:r w:rsidR="00C904C0" w:rsidRPr="00C904C0">
        <w:rPr>
          <w:iCs/>
          <w:sz w:val="21"/>
          <w:szCs w:val="21"/>
        </w:rPr>
        <w:t xml:space="preserve"> DFAT’s interests and are largely fit for purpose</w:t>
      </w:r>
      <w:r w:rsidR="00C904C0">
        <w:rPr>
          <w:iCs/>
          <w:sz w:val="21"/>
          <w:szCs w:val="21"/>
        </w:rPr>
        <w:t xml:space="preserve"> </w:t>
      </w:r>
      <w:r w:rsidR="00D962CF">
        <w:rPr>
          <w:iCs/>
          <w:sz w:val="21"/>
          <w:szCs w:val="21"/>
        </w:rPr>
        <w:t xml:space="preserve">due </w:t>
      </w:r>
      <w:r w:rsidR="00E14E20">
        <w:rPr>
          <w:iCs/>
          <w:sz w:val="21"/>
          <w:szCs w:val="21"/>
        </w:rPr>
        <w:t>to</w:t>
      </w:r>
      <w:r w:rsidR="00D962CF">
        <w:rPr>
          <w:iCs/>
          <w:sz w:val="21"/>
          <w:szCs w:val="21"/>
        </w:rPr>
        <w:t xml:space="preserve"> continuous improvement</w:t>
      </w:r>
      <w:r w:rsidR="00E14E20">
        <w:rPr>
          <w:iCs/>
          <w:sz w:val="21"/>
          <w:szCs w:val="21"/>
        </w:rPr>
        <w:t xml:space="preserve"> over multiple iterations</w:t>
      </w:r>
      <w:r w:rsidR="00C904C0" w:rsidRPr="00C904C0">
        <w:rPr>
          <w:iCs/>
          <w:sz w:val="21"/>
          <w:szCs w:val="21"/>
        </w:rPr>
        <w:t>.</w:t>
      </w:r>
      <w:r w:rsidR="00FC136A">
        <w:rPr>
          <w:iCs/>
          <w:sz w:val="21"/>
          <w:szCs w:val="21"/>
        </w:rPr>
        <w:t xml:space="preserve"> In addition, t</w:t>
      </w:r>
      <w:r w:rsidR="006C67C2">
        <w:rPr>
          <w:iCs/>
          <w:sz w:val="21"/>
          <w:szCs w:val="21"/>
        </w:rPr>
        <w:t>he introduction of</w:t>
      </w:r>
      <w:r w:rsidR="00E74E85">
        <w:rPr>
          <w:iCs/>
          <w:sz w:val="21"/>
          <w:szCs w:val="21"/>
        </w:rPr>
        <w:t xml:space="preserve"> </w:t>
      </w:r>
      <w:r w:rsidR="006C67C2">
        <w:rPr>
          <w:iCs/>
          <w:sz w:val="21"/>
          <w:szCs w:val="21"/>
        </w:rPr>
        <w:t>collaborative country-led</w:t>
      </w:r>
      <w:r w:rsidR="00023B4E">
        <w:rPr>
          <w:iCs/>
          <w:sz w:val="21"/>
          <w:szCs w:val="21"/>
        </w:rPr>
        <w:t xml:space="preserve"> </w:t>
      </w:r>
      <w:r w:rsidR="00FC136A">
        <w:rPr>
          <w:iCs/>
          <w:sz w:val="21"/>
          <w:szCs w:val="21"/>
        </w:rPr>
        <w:t>proposals</w:t>
      </w:r>
      <w:r w:rsidR="006C67C2">
        <w:rPr>
          <w:iCs/>
          <w:sz w:val="21"/>
          <w:szCs w:val="21"/>
        </w:rPr>
        <w:t xml:space="preserve"> </w:t>
      </w:r>
      <w:r w:rsidR="00FC136A">
        <w:rPr>
          <w:iCs/>
          <w:sz w:val="21"/>
          <w:szCs w:val="21"/>
        </w:rPr>
        <w:t xml:space="preserve">in Disaster READY countries </w:t>
      </w:r>
      <w:r w:rsidR="006046A5">
        <w:rPr>
          <w:iCs/>
          <w:sz w:val="21"/>
          <w:szCs w:val="21"/>
        </w:rPr>
        <w:t>strengthened</w:t>
      </w:r>
      <w:r w:rsidR="00023B4E" w:rsidRPr="00023B4E">
        <w:rPr>
          <w:iCs/>
          <w:sz w:val="21"/>
          <w:szCs w:val="21"/>
        </w:rPr>
        <w:t xml:space="preserve"> </w:t>
      </w:r>
      <w:r w:rsidR="006046A5">
        <w:rPr>
          <w:iCs/>
          <w:sz w:val="21"/>
          <w:szCs w:val="21"/>
        </w:rPr>
        <w:t>ANGOs’ ability</w:t>
      </w:r>
      <w:r w:rsidR="00023B4E" w:rsidRPr="00023B4E">
        <w:rPr>
          <w:iCs/>
          <w:sz w:val="21"/>
          <w:szCs w:val="21"/>
        </w:rPr>
        <w:t xml:space="preserve"> to </w:t>
      </w:r>
      <w:r w:rsidR="00FB607A">
        <w:rPr>
          <w:iCs/>
          <w:sz w:val="21"/>
          <w:szCs w:val="21"/>
        </w:rPr>
        <w:t>coordinat</w:t>
      </w:r>
      <w:r w:rsidR="006046A5">
        <w:rPr>
          <w:iCs/>
          <w:sz w:val="21"/>
          <w:szCs w:val="21"/>
        </w:rPr>
        <w:t>e</w:t>
      </w:r>
      <w:r w:rsidR="00FB607A">
        <w:rPr>
          <w:iCs/>
          <w:sz w:val="21"/>
          <w:szCs w:val="21"/>
        </w:rPr>
        <w:t>,</w:t>
      </w:r>
      <w:r w:rsidR="003B73F0">
        <w:rPr>
          <w:iCs/>
          <w:sz w:val="21"/>
          <w:szCs w:val="21"/>
        </w:rPr>
        <w:t xml:space="preserve"> </w:t>
      </w:r>
      <w:r w:rsidR="006046A5">
        <w:rPr>
          <w:iCs/>
          <w:sz w:val="21"/>
          <w:szCs w:val="21"/>
        </w:rPr>
        <w:t>localise</w:t>
      </w:r>
      <w:r w:rsidR="003B73F0">
        <w:rPr>
          <w:iCs/>
          <w:sz w:val="21"/>
          <w:szCs w:val="21"/>
        </w:rPr>
        <w:t>,</w:t>
      </w:r>
      <w:r w:rsidR="00FB607A">
        <w:rPr>
          <w:iCs/>
          <w:sz w:val="21"/>
          <w:szCs w:val="21"/>
        </w:rPr>
        <w:t xml:space="preserve"> </w:t>
      </w:r>
      <w:r w:rsidR="006046A5">
        <w:rPr>
          <w:iCs/>
          <w:sz w:val="21"/>
          <w:szCs w:val="21"/>
        </w:rPr>
        <w:t xml:space="preserve">and </w:t>
      </w:r>
      <w:r w:rsidR="00023B4E" w:rsidRPr="00023B4E">
        <w:rPr>
          <w:iCs/>
          <w:sz w:val="21"/>
          <w:szCs w:val="21"/>
        </w:rPr>
        <w:t>learn from each other</w:t>
      </w:r>
      <w:r w:rsidR="001667C9">
        <w:rPr>
          <w:iCs/>
          <w:sz w:val="21"/>
          <w:szCs w:val="21"/>
        </w:rPr>
        <w:t>.</w:t>
      </w:r>
      <w:r w:rsidR="00023B4E" w:rsidRPr="00023B4E">
        <w:rPr>
          <w:iCs/>
          <w:sz w:val="21"/>
          <w:szCs w:val="21"/>
        </w:rPr>
        <w:t xml:space="preserve"> </w:t>
      </w:r>
      <w:r w:rsidR="00C5284F">
        <w:rPr>
          <w:iCs/>
          <w:sz w:val="21"/>
          <w:szCs w:val="21"/>
        </w:rPr>
        <w:t>C</w:t>
      </w:r>
      <w:r w:rsidR="00987C7D">
        <w:rPr>
          <w:iCs/>
          <w:sz w:val="21"/>
          <w:szCs w:val="21"/>
        </w:rPr>
        <w:t xml:space="preserve">onsultations </w:t>
      </w:r>
      <w:r w:rsidR="00C5284F">
        <w:rPr>
          <w:iCs/>
          <w:sz w:val="21"/>
          <w:szCs w:val="21"/>
        </w:rPr>
        <w:t xml:space="preserve">for this design </w:t>
      </w:r>
      <w:r w:rsidR="00987C7D">
        <w:rPr>
          <w:iCs/>
          <w:sz w:val="21"/>
          <w:szCs w:val="21"/>
        </w:rPr>
        <w:t xml:space="preserve">confirmed </w:t>
      </w:r>
      <w:r w:rsidR="007328A9">
        <w:rPr>
          <w:iCs/>
          <w:sz w:val="21"/>
          <w:szCs w:val="21"/>
        </w:rPr>
        <w:t xml:space="preserve">the </w:t>
      </w:r>
      <w:r w:rsidR="00E92F20">
        <w:rPr>
          <w:iCs/>
          <w:sz w:val="21"/>
          <w:szCs w:val="21"/>
        </w:rPr>
        <w:t>collaborative model is now preferred</w:t>
      </w:r>
      <w:r w:rsidR="007328A9">
        <w:rPr>
          <w:iCs/>
          <w:sz w:val="21"/>
          <w:szCs w:val="21"/>
        </w:rPr>
        <w:t xml:space="preserve"> in Disaster READY countries, where partners</w:t>
      </w:r>
      <w:r w:rsidR="00026C94">
        <w:rPr>
          <w:iCs/>
          <w:sz w:val="21"/>
          <w:szCs w:val="21"/>
        </w:rPr>
        <w:t xml:space="preserve"> </w:t>
      </w:r>
      <w:r w:rsidR="00AE0437">
        <w:rPr>
          <w:iCs/>
          <w:sz w:val="21"/>
          <w:szCs w:val="21"/>
        </w:rPr>
        <w:t>are more experienced and better resourced for working collaboratively</w:t>
      </w:r>
      <w:r w:rsidR="00026C94">
        <w:rPr>
          <w:iCs/>
          <w:sz w:val="21"/>
          <w:szCs w:val="21"/>
        </w:rPr>
        <w:t>.</w:t>
      </w:r>
      <w:r w:rsidR="008E4A55">
        <w:rPr>
          <w:rStyle w:val="FootnoteReference"/>
          <w:iCs/>
          <w:sz w:val="21"/>
          <w:szCs w:val="21"/>
        </w:rPr>
        <w:footnoteReference w:id="19"/>
      </w:r>
      <w:r w:rsidR="00026C94">
        <w:rPr>
          <w:iCs/>
          <w:sz w:val="21"/>
          <w:szCs w:val="21"/>
        </w:rPr>
        <w:t xml:space="preserve"> </w:t>
      </w:r>
      <w:r w:rsidR="00987C7D">
        <w:rPr>
          <w:iCs/>
          <w:sz w:val="21"/>
          <w:szCs w:val="21"/>
        </w:rPr>
        <w:t xml:space="preserve"> </w:t>
      </w:r>
    </w:p>
    <w:p w14:paraId="3D07ABD3" w14:textId="7A825433" w:rsidR="0039358F" w:rsidRDefault="00AE0437" w:rsidP="0039358F">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Pr>
          <w:iCs/>
          <w:sz w:val="21"/>
          <w:szCs w:val="21"/>
        </w:rPr>
        <w:t>The</w:t>
      </w:r>
      <w:r w:rsidR="00FB607A">
        <w:rPr>
          <w:iCs/>
          <w:sz w:val="21"/>
          <w:szCs w:val="21"/>
        </w:rPr>
        <w:t xml:space="preserve"> SOPs </w:t>
      </w:r>
      <w:r>
        <w:rPr>
          <w:iCs/>
          <w:sz w:val="21"/>
          <w:szCs w:val="21"/>
        </w:rPr>
        <w:t xml:space="preserve">for </w:t>
      </w:r>
      <w:r w:rsidR="00406F84">
        <w:rPr>
          <w:iCs/>
          <w:sz w:val="21"/>
          <w:szCs w:val="21"/>
        </w:rPr>
        <w:t>Phase II</w:t>
      </w:r>
      <w:r>
        <w:rPr>
          <w:iCs/>
          <w:sz w:val="21"/>
          <w:szCs w:val="21"/>
        </w:rPr>
        <w:t xml:space="preserve"> will</w:t>
      </w:r>
      <w:r w:rsidR="00FB607A">
        <w:rPr>
          <w:iCs/>
          <w:sz w:val="21"/>
          <w:szCs w:val="21"/>
        </w:rPr>
        <w:t xml:space="preserve"> be </w:t>
      </w:r>
      <w:r w:rsidR="00987C7D">
        <w:rPr>
          <w:iCs/>
          <w:sz w:val="21"/>
          <w:szCs w:val="21"/>
        </w:rPr>
        <w:t xml:space="preserve">adjusted </w:t>
      </w:r>
      <w:r w:rsidR="0078344B">
        <w:rPr>
          <w:iCs/>
          <w:sz w:val="21"/>
          <w:szCs w:val="21"/>
        </w:rPr>
        <w:t>based on</w:t>
      </w:r>
      <w:r w:rsidR="00BF36FC">
        <w:rPr>
          <w:iCs/>
          <w:sz w:val="21"/>
          <w:szCs w:val="21"/>
        </w:rPr>
        <w:t xml:space="preserve"> these </w:t>
      </w:r>
      <w:r w:rsidR="00BA2DCC">
        <w:rPr>
          <w:iCs/>
          <w:sz w:val="21"/>
          <w:szCs w:val="21"/>
        </w:rPr>
        <w:t>lessons to</w:t>
      </w:r>
      <w:r w:rsidR="00BF36FC">
        <w:rPr>
          <w:iCs/>
          <w:sz w:val="21"/>
          <w:szCs w:val="21"/>
        </w:rPr>
        <w:t xml:space="preserve"> </w:t>
      </w:r>
      <w:r w:rsidR="00C25F4C">
        <w:rPr>
          <w:iCs/>
          <w:sz w:val="21"/>
          <w:szCs w:val="21"/>
        </w:rPr>
        <w:t>encourag</w:t>
      </w:r>
      <w:r w:rsidR="00BA2DCC">
        <w:rPr>
          <w:iCs/>
          <w:sz w:val="21"/>
          <w:szCs w:val="21"/>
        </w:rPr>
        <w:t>e</w:t>
      </w:r>
      <w:r w:rsidR="00C25F4C">
        <w:rPr>
          <w:iCs/>
          <w:sz w:val="21"/>
          <w:szCs w:val="21"/>
        </w:rPr>
        <w:t xml:space="preserve"> </w:t>
      </w:r>
      <w:r w:rsidR="006A5CEC">
        <w:rPr>
          <w:iCs/>
          <w:sz w:val="21"/>
          <w:szCs w:val="21"/>
        </w:rPr>
        <w:t xml:space="preserve">collaborative </w:t>
      </w:r>
      <w:r w:rsidR="00F21098">
        <w:rPr>
          <w:iCs/>
          <w:sz w:val="21"/>
          <w:szCs w:val="21"/>
        </w:rPr>
        <w:t xml:space="preserve">country-led </w:t>
      </w:r>
      <w:r w:rsidR="006A5CEC">
        <w:rPr>
          <w:iCs/>
          <w:sz w:val="21"/>
          <w:szCs w:val="21"/>
        </w:rPr>
        <w:t>proposal</w:t>
      </w:r>
      <w:r w:rsidR="00C25F4C">
        <w:rPr>
          <w:iCs/>
          <w:sz w:val="21"/>
          <w:szCs w:val="21"/>
        </w:rPr>
        <w:t>s</w:t>
      </w:r>
      <w:r w:rsidR="006A5CEC">
        <w:rPr>
          <w:iCs/>
          <w:sz w:val="21"/>
          <w:szCs w:val="21"/>
        </w:rPr>
        <w:t xml:space="preserve"> </w:t>
      </w:r>
      <w:r w:rsidR="00E41F5A">
        <w:rPr>
          <w:iCs/>
          <w:sz w:val="21"/>
          <w:szCs w:val="21"/>
        </w:rPr>
        <w:t xml:space="preserve">as the default </w:t>
      </w:r>
      <w:r w:rsidR="006A5CEC">
        <w:rPr>
          <w:iCs/>
          <w:sz w:val="21"/>
          <w:szCs w:val="21"/>
        </w:rPr>
        <w:t>for humanitarian responses in Disaster READY countries</w:t>
      </w:r>
      <w:r w:rsidR="00C12D28">
        <w:rPr>
          <w:iCs/>
          <w:sz w:val="21"/>
          <w:szCs w:val="21"/>
        </w:rPr>
        <w:t xml:space="preserve">, with competitive activations occurring on an exceptional basis only. ANGOs will also have the option to </w:t>
      </w:r>
      <w:r w:rsidR="00A407B4">
        <w:rPr>
          <w:iCs/>
          <w:sz w:val="21"/>
          <w:szCs w:val="21"/>
        </w:rPr>
        <w:t>propose collaborative proposa</w:t>
      </w:r>
      <w:r w:rsidR="007563E8">
        <w:rPr>
          <w:iCs/>
          <w:sz w:val="21"/>
          <w:szCs w:val="21"/>
        </w:rPr>
        <w:t>ls</w:t>
      </w:r>
      <w:r w:rsidR="00A407B4">
        <w:rPr>
          <w:iCs/>
          <w:sz w:val="21"/>
          <w:szCs w:val="21"/>
        </w:rPr>
        <w:t xml:space="preserve"> for</w:t>
      </w:r>
      <w:r w:rsidR="0039358F">
        <w:rPr>
          <w:iCs/>
          <w:sz w:val="21"/>
          <w:szCs w:val="21"/>
        </w:rPr>
        <w:t xml:space="preserve"> non-Disaster READY countries</w:t>
      </w:r>
      <w:r w:rsidR="0039358F" w:rsidRPr="0039358F">
        <w:rPr>
          <w:iCs/>
          <w:sz w:val="21"/>
          <w:szCs w:val="21"/>
        </w:rPr>
        <w:t xml:space="preserve"> where</w:t>
      </w:r>
      <w:r w:rsidR="0039358F">
        <w:rPr>
          <w:iCs/>
          <w:sz w:val="21"/>
          <w:szCs w:val="21"/>
        </w:rPr>
        <w:t>:</w:t>
      </w:r>
    </w:p>
    <w:p w14:paraId="0AC2227B" w14:textId="1A38B137" w:rsidR="0039358F" w:rsidRPr="00415502" w:rsidRDefault="0039358F" w:rsidP="0011591E">
      <w:pPr>
        <w:pStyle w:val="ListParagraph"/>
        <w:numPr>
          <w:ilvl w:val="0"/>
          <w:numId w:val="29"/>
        </w:numPr>
        <w:spacing w:before="60" w:line="280" w:lineRule="atLeast"/>
        <w:ind w:left="714" w:hanging="357"/>
        <w:contextualSpacing w:val="0"/>
        <w:rPr>
          <w:iCs/>
          <w:sz w:val="21"/>
          <w:szCs w:val="21"/>
        </w:rPr>
      </w:pPr>
      <w:r w:rsidRPr="00415502">
        <w:rPr>
          <w:iCs/>
          <w:sz w:val="21"/>
          <w:szCs w:val="21"/>
        </w:rPr>
        <w:t>the activation is over $3 million (or of lower value for small countries)</w:t>
      </w:r>
      <w:r>
        <w:rPr>
          <w:iCs/>
          <w:sz w:val="21"/>
          <w:szCs w:val="21"/>
        </w:rPr>
        <w:t>;</w:t>
      </w:r>
    </w:p>
    <w:p w14:paraId="54B181C7" w14:textId="0BF34281" w:rsidR="0039358F" w:rsidRPr="0039358F" w:rsidRDefault="0039358F" w:rsidP="0011591E">
      <w:pPr>
        <w:pStyle w:val="ListParagraph"/>
        <w:numPr>
          <w:ilvl w:val="0"/>
          <w:numId w:val="29"/>
        </w:numPr>
        <w:spacing w:before="60" w:line="280" w:lineRule="atLeast"/>
        <w:ind w:left="714" w:hanging="357"/>
        <w:contextualSpacing w:val="0"/>
        <w:rPr>
          <w:iCs/>
          <w:sz w:val="21"/>
          <w:szCs w:val="21"/>
        </w:rPr>
      </w:pPr>
      <w:r w:rsidRPr="0039358F">
        <w:rPr>
          <w:iCs/>
          <w:sz w:val="21"/>
          <w:szCs w:val="21"/>
        </w:rPr>
        <w:t>a number of AHP Partners have footprint and experience in country with existing programs and relationships</w:t>
      </w:r>
      <w:r>
        <w:rPr>
          <w:iCs/>
          <w:sz w:val="21"/>
          <w:szCs w:val="21"/>
        </w:rPr>
        <w:t>;</w:t>
      </w:r>
    </w:p>
    <w:p w14:paraId="38CC98DE" w14:textId="7D889002" w:rsidR="0039358F" w:rsidRPr="0039358F" w:rsidRDefault="0039358F" w:rsidP="0011591E">
      <w:pPr>
        <w:pStyle w:val="ListParagraph"/>
        <w:numPr>
          <w:ilvl w:val="0"/>
          <w:numId w:val="29"/>
        </w:numPr>
        <w:spacing w:before="60" w:line="280" w:lineRule="atLeast"/>
        <w:ind w:left="714" w:hanging="357"/>
        <w:contextualSpacing w:val="0"/>
        <w:rPr>
          <w:iCs/>
          <w:sz w:val="21"/>
          <w:szCs w:val="21"/>
        </w:rPr>
      </w:pPr>
      <w:r w:rsidRPr="0039358F">
        <w:rPr>
          <w:iCs/>
          <w:sz w:val="21"/>
          <w:szCs w:val="21"/>
        </w:rPr>
        <w:t>there is sufficient interest and capacity to respond across the Partnership</w:t>
      </w:r>
      <w:r>
        <w:rPr>
          <w:iCs/>
          <w:sz w:val="21"/>
          <w:szCs w:val="21"/>
        </w:rPr>
        <w:t>; and</w:t>
      </w:r>
    </w:p>
    <w:p w14:paraId="1C1153DE" w14:textId="7023A594" w:rsidR="0039358F" w:rsidRPr="0039358F" w:rsidRDefault="0039358F" w:rsidP="0011591E">
      <w:pPr>
        <w:pStyle w:val="ListParagraph"/>
        <w:numPr>
          <w:ilvl w:val="0"/>
          <w:numId w:val="29"/>
        </w:numPr>
        <w:spacing w:before="60" w:line="280" w:lineRule="atLeast"/>
        <w:ind w:left="714" w:hanging="357"/>
        <w:contextualSpacing w:val="0"/>
        <w:rPr>
          <w:iCs/>
          <w:sz w:val="21"/>
          <w:szCs w:val="21"/>
        </w:rPr>
      </w:pPr>
      <w:r w:rsidRPr="0039358F">
        <w:rPr>
          <w:iCs/>
          <w:sz w:val="21"/>
          <w:szCs w:val="21"/>
        </w:rPr>
        <w:t xml:space="preserve">the country context requires a </w:t>
      </w:r>
      <w:r w:rsidR="00A92CF6">
        <w:rPr>
          <w:iCs/>
          <w:sz w:val="21"/>
          <w:szCs w:val="21"/>
        </w:rPr>
        <w:t xml:space="preserve">more </w:t>
      </w:r>
      <w:r w:rsidRPr="0039358F">
        <w:rPr>
          <w:iCs/>
          <w:sz w:val="21"/>
          <w:szCs w:val="21"/>
        </w:rPr>
        <w:t>coherent Australian response</w:t>
      </w:r>
      <w:r>
        <w:rPr>
          <w:iCs/>
          <w:sz w:val="21"/>
          <w:szCs w:val="21"/>
        </w:rPr>
        <w:t>.</w:t>
      </w:r>
      <w:r w:rsidRPr="0039358F">
        <w:rPr>
          <w:iCs/>
          <w:sz w:val="21"/>
          <w:szCs w:val="21"/>
        </w:rPr>
        <w:t xml:space="preserve"> </w:t>
      </w:r>
    </w:p>
    <w:p w14:paraId="34696579" w14:textId="5CDBE0D4" w:rsidR="004D05B7" w:rsidRDefault="005153BC" w:rsidP="00316E02">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Pr>
          <w:iCs/>
          <w:sz w:val="21"/>
          <w:szCs w:val="21"/>
        </w:rPr>
        <w:t xml:space="preserve">The preferred approach will be discussed during the </w:t>
      </w:r>
      <w:r w:rsidR="00AC1D28">
        <w:rPr>
          <w:iCs/>
          <w:sz w:val="21"/>
          <w:szCs w:val="21"/>
        </w:rPr>
        <w:t>pre-activation call between HPD, Post/desk and ANGOs, and confirmed by DFAT</w:t>
      </w:r>
      <w:r w:rsidR="00AC1D28" w:rsidRPr="00AC1D28">
        <w:rPr>
          <w:iCs/>
          <w:sz w:val="21"/>
          <w:szCs w:val="21"/>
        </w:rPr>
        <w:t xml:space="preserve"> </w:t>
      </w:r>
      <w:r w:rsidR="00AC1D28">
        <w:rPr>
          <w:iCs/>
          <w:sz w:val="21"/>
          <w:szCs w:val="21"/>
        </w:rPr>
        <w:t>along with</w:t>
      </w:r>
      <w:r w:rsidR="00AC1D28" w:rsidRPr="006D3A67">
        <w:rPr>
          <w:iCs/>
          <w:sz w:val="21"/>
          <w:szCs w:val="21"/>
        </w:rPr>
        <w:t xml:space="preserve"> the scope, parameters,</w:t>
      </w:r>
      <w:r w:rsidR="00AC1D28">
        <w:rPr>
          <w:iCs/>
          <w:sz w:val="21"/>
          <w:szCs w:val="21"/>
        </w:rPr>
        <w:t xml:space="preserve"> and</w:t>
      </w:r>
      <w:r w:rsidR="00AC1D28" w:rsidRPr="006D3A67">
        <w:rPr>
          <w:iCs/>
          <w:sz w:val="21"/>
          <w:szCs w:val="21"/>
        </w:rPr>
        <w:t xml:space="preserve"> selection criteria in </w:t>
      </w:r>
      <w:r w:rsidR="00AC1D28">
        <w:rPr>
          <w:iCs/>
          <w:sz w:val="21"/>
          <w:szCs w:val="21"/>
        </w:rPr>
        <w:t>the</w:t>
      </w:r>
      <w:r w:rsidR="00EE7EDE">
        <w:rPr>
          <w:iCs/>
          <w:sz w:val="21"/>
          <w:szCs w:val="21"/>
        </w:rPr>
        <w:t xml:space="preserve"> </w:t>
      </w:r>
      <w:r w:rsidR="00AC1D28" w:rsidRPr="006D3A67">
        <w:rPr>
          <w:iCs/>
          <w:sz w:val="21"/>
          <w:szCs w:val="21"/>
        </w:rPr>
        <w:t xml:space="preserve">formal </w:t>
      </w:r>
      <w:r w:rsidR="00AC1D28" w:rsidRPr="006D3A67">
        <w:rPr>
          <w:iCs/>
          <w:sz w:val="21"/>
          <w:szCs w:val="21"/>
        </w:rPr>
        <w:lastRenderedPageBreak/>
        <w:t>Activation Email to AHP Partners.</w:t>
      </w:r>
      <w:r w:rsidR="00FC4060" w:rsidRPr="00FC4060">
        <w:rPr>
          <w:iCs/>
          <w:sz w:val="21"/>
          <w:szCs w:val="21"/>
        </w:rPr>
        <w:t xml:space="preserve"> </w:t>
      </w:r>
      <w:r w:rsidR="00FC4060">
        <w:rPr>
          <w:iCs/>
          <w:sz w:val="21"/>
          <w:szCs w:val="21"/>
        </w:rPr>
        <w:t>In</w:t>
      </w:r>
      <w:r w:rsidR="00FC4060" w:rsidRPr="00FC4060">
        <w:rPr>
          <w:iCs/>
          <w:sz w:val="21"/>
          <w:szCs w:val="21"/>
        </w:rPr>
        <w:t xml:space="preserve"> selecting the pathway</w:t>
      </w:r>
      <w:r w:rsidR="00A745B7">
        <w:rPr>
          <w:iCs/>
          <w:sz w:val="21"/>
          <w:szCs w:val="21"/>
        </w:rPr>
        <w:t>,</w:t>
      </w:r>
      <w:r w:rsidR="00FC4060" w:rsidRPr="00FC4060">
        <w:rPr>
          <w:iCs/>
          <w:sz w:val="21"/>
          <w:szCs w:val="21"/>
        </w:rPr>
        <w:t xml:space="preserve"> </w:t>
      </w:r>
      <w:r w:rsidR="00FC4060">
        <w:rPr>
          <w:iCs/>
          <w:sz w:val="21"/>
          <w:szCs w:val="21"/>
        </w:rPr>
        <w:t xml:space="preserve">DFAT will consider </w:t>
      </w:r>
      <w:r w:rsidR="00FC3765">
        <w:rPr>
          <w:iCs/>
          <w:sz w:val="21"/>
          <w:szCs w:val="21"/>
        </w:rPr>
        <w:t xml:space="preserve">economies of scale, </w:t>
      </w:r>
      <w:r w:rsidR="00945AD7">
        <w:rPr>
          <w:iCs/>
          <w:sz w:val="21"/>
          <w:szCs w:val="21"/>
        </w:rPr>
        <w:t>the resourcing implications for management and accountability</w:t>
      </w:r>
      <w:r w:rsidR="00FC4060" w:rsidRPr="00415502">
        <w:rPr>
          <w:iCs/>
          <w:sz w:val="21"/>
          <w:szCs w:val="21"/>
        </w:rPr>
        <w:t>, and</w:t>
      </w:r>
      <w:r w:rsidR="00FC4060">
        <w:rPr>
          <w:iCs/>
          <w:sz w:val="21"/>
          <w:szCs w:val="21"/>
        </w:rPr>
        <w:t xml:space="preserve"> </w:t>
      </w:r>
      <w:r w:rsidR="00FC4060" w:rsidRPr="00415502">
        <w:rPr>
          <w:iCs/>
          <w:sz w:val="21"/>
          <w:szCs w:val="21"/>
        </w:rPr>
        <w:t>whether there are clear benefits for response effectiveness and partnership quality from a collaborative approach</w:t>
      </w:r>
      <w:r w:rsidR="001F67B2">
        <w:rPr>
          <w:iCs/>
          <w:sz w:val="21"/>
          <w:szCs w:val="21"/>
        </w:rPr>
        <w:t xml:space="preserve">. </w:t>
      </w:r>
      <w:r w:rsidR="00A77D3C">
        <w:rPr>
          <w:iCs/>
          <w:sz w:val="21"/>
          <w:szCs w:val="21"/>
        </w:rPr>
        <w:t xml:space="preserve">All collaborative </w:t>
      </w:r>
      <w:r w:rsidR="00E44BB7">
        <w:rPr>
          <w:iCs/>
          <w:sz w:val="21"/>
          <w:szCs w:val="21"/>
        </w:rPr>
        <w:t xml:space="preserve">proposals will require clear governance arrangements to ensure all partners understand their </w:t>
      </w:r>
      <w:r w:rsidR="00B22DF0">
        <w:rPr>
          <w:iCs/>
          <w:sz w:val="21"/>
          <w:szCs w:val="21"/>
        </w:rPr>
        <w:t>responsibilities for effective coordination and implementation.</w:t>
      </w:r>
    </w:p>
    <w:p w14:paraId="3ECD45BA" w14:textId="44F135A1" w:rsidR="00610941" w:rsidRDefault="00765B5E" w:rsidP="00610941">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Pr>
          <w:iCs/>
          <w:sz w:val="21"/>
          <w:szCs w:val="21"/>
        </w:rPr>
        <w:t>DRCCs</w:t>
      </w:r>
      <w:r w:rsidR="00433F36" w:rsidRPr="00415502">
        <w:rPr>
          <w:iCs/>
          <w:sz w:val="21"/>
          <w:szCs w:val="21"/>
        </w:rPr>
        <w:t xml:space="preserve"> will </w:t>
      </w:r>
      <w:r w:rsidR="006C2366" w:rsidRPr="00415502">
        <w:rPr>
          <w:iCs/>
          <w:sz w:val="21"/>
          <w:szCs w:val="21"/>
        </w:rPr>
        <w:t>negotiate an</w:t>
      </w:r>
      <w:r w:rsidR="00433F36" w:rsidRPr="00415502">
        <w:rPr>
          <w:iCs/>
          <w:sz w:val="21"/>
          <w:szCs w:val="21"/>
        </w:rPr>
        <w:t xml:space="preserve"> agreed process and criteria to </w:t>
      </w:r>
      <w:r w:rsidR="001F67B2" w:rsidRPr="00415502">
        <w:rPr>
          <w:iCs/>
          <w:sz w:val="21"/>
          <w:szCs w:val="21"/>
        </w:rPr>
        <w:t xml:space="preserve">select the best placed partners and </w:t>
      </w:r>
      <w:r w:rsidR="006C2366" w:rsidRPr="00415502">
        <w:rPr>
          <w:iCs/>
          <w:sz w:val="21"/>
          <w:szCs w:val="21"/>
        </w:rPr>
        <w:t>develop collaborative proposals</w:t>
      </w:r>
      <w:r w:rsidR="00316E02">
        <w:rPr>
          <w:iCs/>
          <w:sz w:val="21"/>
          <w:szCs w:val="21"/>
        </w:rPr>
        <w:t xml:space="preserve"> a</w:t>
      </w:r>
      <w:r w:rsidR="00316E02" w:rsidRPr="00D14B30">
        <w:rPr>
          <w:iCs/>
          <w:sz w:val="21"/>
          <w:szCs w:val="21"/>
        </w:rPr>
        <w:t>s part of the Disaster READY country planning process</w:t>
      </w:r>
      <w:r w:rsidR="00433F36" w:rsidRPr="00415502">
        <w:rPr>
          <w:iCs/>
          <w:sz w:val="21"/>
          <w:szCs w:val="21"/>
        </w:rPr>
        <w:t xml:space="preserve">. </w:t>
      </w:r>
      <w:r w:rsidR="00610941" w:rsidRPr="00610941">
        <w:rPr>
          <w:iCs/>
          <w:sz w:val="21"/>
          <w:szCs w:val="21"/>
        </w:rPr>
        <w:t xml:space="preserve">Standard criteria for selection of partners and allocation of funds </w:t>
      </w:r>
      <w:r w:rsidR="00A86487">
        <w:rPr>
          <w:iCs/>
          <w:sz w:val="21"/>
          <w:szCs w:val="21"/>
        </w:rPr>
        <w:t>will</w:t>
      </w:r>
      <w:r w:rsidR="00724F79">
        <w:rPr>
          <w:iCs/>
          <w:sz w:val="21"/>
          <w:szCs w:val="21"/>
        </w:rPr>
        <w:t xml:space="preserve"> include</w:t>
      </w:r>
      <w:r w:rsidR="00610941" w:rsidRPr="00610941">
        <w:rPr>
          <w:iCs/>
          <w:sz w:val="21"/>
          <w:szCs w:val="21"/>
        </w:rPr>
        <w:t xml:space="preserve"> consideration of:</w:t>
      </w:r>
    </w:p>
    <w:p w14:paraId="0FBFBEB0" w14:textId="7A4CFC61" w:rsidR="00610941" w:rsidRPr="00415502" w:rsidRDefault="00610941" w:rsidP="0011591E">
      <w:pPr>
        <w:pStyle w:val="ListParagraph"/>
        <w:numPr>
          <w:ilvl w:val="0"/>
          <w:numId w:val="29"/>
        </w:numPr>
        <w:spacing w:before="60" w:line="280" w:lineRule="atLeast"/>
        <w:ind w:left="714" w:hanging="357"/>
        <w:contextualSpacing w:val="0"/>
        <w:rPr>
          <w:iCs/>
          <w:sz w:val="21"/>
          <w:szCs w:val="21"/>
        </w:rPr>
      </w:pPr>
      <w:r w:rsidRPr="00415502">
        <w:rPr>
          <w:iCs/>
          <w:sz w:val="21"/>
          <w:szCs w:val="21"/>
        </w:rPr>
        <w:t>existing footprint and community relationships in the affected area</w:t>
      </w:r>
      <w:r w:rsidR="00FC3765">
        <w:rPr>
          <w:iCs/>
          <w:sz w:val="21"/>
          <w:szCs w:val="21"/>
        </w:rPr>
        <w:t>;</w:t>
      </w:r>
    </w:p>
    <w:p w14:paraId="4A032ADF" w14:textId="767B0D7F" w:rsidR="00610941" w:rsidRPr="00610941" w:rsidRDefault="00610941" w:rsidP="0011591E">
      <w:pPr>
        <w:pStyle w:val="ListParagraph"/>
        <w:numPr>
          <w:ilvl w:val="0"/>
          <w:numId w:val="29"/>
        </w:numPr>
        <w:spacing w:before="60" w:line="280" w:lineRule="atLeast"/>
        <w:ind w:left="714" w:hanging="357"/>
        <w:contextualSpacing w:val="0"/>
        <w:rPr>
          <w:iCs/>
          <w:sz w:val="21"/>
          <w:szCs w:val="21"/>
        </w:rPr>
      </w:pPr>
      <w:r w:rsidRPr="00610941">
        <w:rPr>
          <w:iCs/>
          <w:sz w:val="21"/>
          <w:szCs w:val="21"/>
        </w:rPr>
        <w:t>capacity and experience to deliver services required related to needs assessment</w:t>
      </w:r>
      <w:r w:rsidR="00FC3765">
        <w:rPr>
          <w:iCs/>
          <w:sz w:val="21"/>
          <w:szCs w:val="21"/>
        </w:rPr>
        <w:t>;</w:t>
      </w:r>
    </w:p>
    <w:p w14:paraId="76908B0B" w14:textId="44713E1B" w:rsidR="00610941" w:rsidRPr="00610941" w:rsidRDefault="00610941" w:rsidP="0011591E">
      <w:pPr>
        <w:pStyle w:val="ListParagraph"/>
        <w:numPr>
          <w:ilvl w:val="0"/>
          <w:numId w:val="29"/>
        </w:numPr>
        <w:spacing w:before="60" w:line="280" w:lineRule="atLeast"/>
        <w:ind w:left="714" w:hanging="357"/>
        <w:contextualSpacing w:val="0"/>
        <w:rPr>
          <w:iCs/>
          <w:sz w:val="21"/>
          <w:szCs w:val="21"/>
        </w:rPr>
      </w:pPr>
      <w:r w:rsidRPr="00610941">
        <w:rPr>
          <w:iCs/>
          <w:sz w:val="21"/>
          <w:szCs w:val="21"/>
        </w:rPr>
        <w:t>previous experience in delivering similar responses in country (or elsewhere where relevant)</w:t>
      </w:r>
      <w:r w:rsidR="00041D92">
        <w:rPr>
          <w:iCs/>
          <w:sz w:val="21"/>
          <w:szCs w:val="21"/>
        </w:rPr>
        <w:t>, including consideration of performance where available</w:t>
      </w:r>
      <w:r w:rsidR="00FC3765">
        <w:rPr>
          <w:iCs/>
          <w:sz w:val="21"/>
          <w:szCs w:val="21"/>
        </w:rPr>
        <w:t>; and</w:t>
      </w:r>
    </w:p>
    <w:p w14:paraId="10203CF7" w14:textId="47687A2F" w:rsidR="003E4875" w:rsidRPr="00610941" w:rsidRDefault="00610941" w:rsidP="0011591E">
      <w:pPr>
        <w:pStyle w:val="ListParagraph"/>
        <w:numPr>
          <w:ilvl w:val="0"/>
          <w:numId w:val="29"/>
        </w:numPr>
        <w:spacing w:before="60" w:line="280" w:lineRule="atLeast"/>
        <w:ind w:left="714" w:hanging="357"/>
        <w:contextualSpacing w:val="0"/>
        <w:rPr>
          <w:iCs/>
          <w:sz w:val="21"/>
          <w:szCs w:val="21"/>
        </w:rPr>
      </w:pPr>
      <w:r w:rsidRPr="00610941">
        <w:rPr>
          <w:iCs/>
          <w:sz w:val="21"/>
          <w:szCs w:val="21"/>
        </w:rPr>
        <w:t>proposed approach and strategy for delivery</w:t>
      </w:r>
      <w:r w:rsidR="00FC3765">
        <w:rPr>
          <w:iCs/>
          <w:sz w:val="21"/>
          <w:szCs w:val="21"/>
        </w:rPr>
        <w:t>.</w:t>
      </w:r>
    </w:p>
    <w:p w14:paraId="1D24E01F" w14:textId="6D88D4F5" w:rsidR="00A04D4B" w:rsidRDefault="00EE51CA" w:rsidP="005B1D67">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sidRPr="005B092D">
        <w:rPr>
          <w:b/>
          <w:bCs/>
          <w:i/>
          <w:sz w:val="21"/>
          <w:szCs w:val="21"/>
        </w:rPr>
        <w:t>Localisation</w:t>
      </w:r>
      <w:r w:rsidR="00370538" w:rsidRPr="00A04D4B">
        <w:rPr>
          <w:iCs/>
          <w:sz w:val="21"/>
          <w:szCs w:val="21"/>
        </w:rPr>
        <w:t xml:space="preserve"> will continue to be a </w:t>
      </w:r>
      <w:r w:rsidR="00E731FE" w:rsidRPr="00A04D4B">
        <w:rPr>
          <w:iCs/>
          <w:sz w:val="21"/>
          <w:szCs w:val="21"/>
        </w:rPr>
        <w:t>key criterion</w:t>
      </w:r>
      <w:r w:rsidR="00370538" w:rsidRPr="00A04D4B">
        <w:rPr>
          <w:iCs/>
          <w:sz w:val="21"/>
          <w:szCs w:val="21"/>
        </w:rPr>
        <w:t xml:space="preserve"> in DFAT’s assessment of all </w:t>
      </w:r>
      <w:r w:rsidRPr="00A04D4B">
        <w:rPr>
          <w:iCs/>
          <w:sz w:val="21"/>
          <w:szCs w:val="21"/>
        </w:rPr>
        <w:t xml:space="preserve">proposals, including </w:t>
      </w:r>
      <w:r w:rsidR="002151F2" w:rsidRPr="00A04D4B">
        <w:rPr>
          <w:iCs/>
          <w:sz w:val="21"/>
          <w:szCs w:val="21"/>
        </w:rPr>
        <w:t xml:space="preserve">whether proposals provide evidence of meaningful co-design with local partners, </w:t>
      </w:r>
      <w:r w:rsidR="00D748AF" w:rsidRPr="00A04D4B">
        <w:rPr>
          <w:iCs/>
          <w:sz w:val="21"/>
          <w:szCs w:val="21"/>
        </w:rPr>
        <w:t>commit to devolving decision making and/or funds to local partners</w:t>
      </w:r>
      <w:r w:rsidR="00C7063A" w:rsidRPr="00A04D4B">
        <w:rPr>
          <w:iCs/>
          <w:sz w:val="21"/>
          <w:szCs w:val="21"/>
        </w:rPr>
        <w:t xml:space="preserve"> and include a capacity </w:t>
      </w:r>
      <w:r w:rsidR="008446E0">
        <w:rPr>
          <w:iCs/>
          <w:sz w:val="21"/>
          <w:szCs w:val="21"/>
        </w:rPr>
        <w:t>strengthening</w:t>
      </w:r>
      <w:r w:rsidR="00C7063A" w:rsidRPr="00A04D4B">
        <w:rPr>
          <w:iCs/>
          <w:sz w:val="21"/>
          <w:szCs w:val="21"/>
        </w:rPr>
        <w:t xml:space="preserve"> aspect </w:t>
      </w:r>
      <w:r w:rsidR="00E00D7F" w:rsidRPr="00A04D4B">
        <w:rPr>
          <w:iCs/>
          <w:sz w:val="21"/>
          <w:szCs w:val="21"/>
        </w:rPr>
        <w:t>for local partners.</w:t>
      </w:r>
      <w:r w:rsidR="00D748AF" w:rsidRPr="00A04D4B">
        <w:rPr>
          <w:iCs/>
          <w:sz w:val="21"/>
          <w:szCs w:val="21"/>
        </w:rPr>
        <w:t xml:space="preserve"> </w:t>
      </w:r>
      <w:r w:rsidR="009E3524" w:rsidRPr="00A04D4B">
        <w:rPr>
          <w:iCs/>
          <w:sz w:val="21"/>
          <w:szCs w:val="21"/>
        </w:rPr>
        <w:t xml:space="preserve">The Partnership will also work to increase </w:t>
      </w:r>
      <w:r w:rsidR="007C3840" w:rsidRPr="00A04D4B">
        <w:rPr>
          <w:iCs/>
          <w:sz w:val="21"/>
          <w:szCs w:val="21"/>
        </w:rPr>
        <w:t xml:space="preserve">the visibility of local partners’ work in media and </w:t>
      </w:r>
      <w:r w:rsidR="00E731FE" w:rsidRPr="00A04D4B">
        <w:rPr>
          <w:iCs/>
          <w:sz w:val="21"/>
          <w:szCs w:val="21"/>
        </w:rPr>
        <w:t>communications and</w:t>
      </w:r>
      <w:r w:rsidR="002B0D6D" w:rsidRPr="00A04D4B">
        <w:rPr>
          <w:iCs/>
          <w:sz w:val="21"/>
          <w:szCs w:val="21"/>
        </w:rPr>
        <w:t xml:space="preserve"> explore other options to advance localisation in response through the Steering Committee</w:t>
      </w:r>
      <w:r w:rsidR="00453D1D" w:rsidRPr="00A04D4B">
        <w:rPr>
          <w:iCs/>
          <w:sz w:val="21"/>
          <w:szCs w:val="21"/>
        </w:rPr>
        <w:t>.</w:t>
      </w:r>
      <w:r w:rsidR="007C3840" w:rsidRPr="00A04D4B">
        <w:rPr>
          <w:iCs/>
          <w:sz w:val="21"/>
          <w:szCs w:val="21"/>
        </w:rPr>
        <w:t xml:space="preserve"> </w:t>
      </w:r>
      <w:r w:rsidR="00C01540" w:rsidRPr="005B092D">
        <w:rPr>
          <w:b/>
          <w:bCs/>
          <w:i/>
          <w:sz w:val="21"/>
          <w:szCs w:val="21"/>
        </w:rPr>
        <w:t>GEDSI</w:t>
      </w:r>
      <w:r w:rsidR="00C01540">
        <w:rPr>
          <w:iCs/>
          <w:sz w:val="21"/>
          <w:szCs w:val="21"/>
        </w:rPr>
        <w:t xml:space="preserve"> will also remain a key </w:t>
      </w:r>
      <w:r w:rsidR="000A3B11">
        <w:rPr>
          <w:iCs/>
          <w:sz w:val="21"/>
          <w:szCs w:val="21"/>
        </w:rPr>
        <w:t>priority</w:t>
      </w:r>
      <w:r w:rsidR="00C01540">
        <w:rPr>
          <w:iCs/>
          <w:sz w:val="21"/>
          <w:szCs w:val="21"/>
        </w:rPr>
        <w:t>, with</w:t>
      </w:r>
      <w:r w:rsidR="000A3B11">
        <w:rPr>
          <w:iCs/>
          <w:sz w:val="21"/>
          <w:szCs w:val="21"/>
        </w:rPr>
        <w:t xml:space="preserve"> response proposals and plans required to provide analysis and resourced strategies</w:t>
      </w:r>
      <w:r w:rsidR="009A0C80">
        <w:rPr>
          <w:iCs/>
          <w:sz w:val="21"/>
          <w:szCs w:val="21"/>
        </w:rPr>
        <w:t xml:space="preserve"> for GEDSI. C</w:t>
      </w:r>
      <w:r w:rsidR="009A0C80" w:rsidRPr="00ED0A1D">
        <w:rPr>
          <w:iCs/>
          <w:sz w:val="21"/>
          <w:szCs w:val="21"/>
        </w:rPr>
        <w:t xml:space="preserve">onsortia approaches bringing in NGOs with specific skills in </w:t>
      </w:r>
      <w:r w:rsidR="009A0C80">
        <w:rPr>
          <w:iCs/>
          <w:sz w:val="21"/>
          <w:szCs w:val="21"/>
        </w:rPr>
        <w:t>GEDSI will</w:t>
      </w:r>
      <w:r w:rsidR="009A0C80" w:rsidRPr="00ED0A1D">
        <w:rPr>
          <w:iCs/>
          <w:sz w:val="21"/>
          <w:szCs w:val="21"/>
        </w:rPr>
        <w:t xml:space="preserve"> </w:t>
      </w:r>
      <w:r w:rsidR="00CF7CE8">
        <w:rPr>
          <w:iCs/>
          <w:sz w:val="21"/>
          <w:szCs w:val="21"/>
        </w:rPr>
        <w:t xml:space="preserve">be encouraged to </w:t>
      </w:r>
      <w:r w:rsidR="009A0C80" w:rsidRPr="00ED0A1D">
        <w:rPr>
          <w:iCs/>
          <w:sz w:val="21"/>
          <w:szCs w:val="21"/>
        </w:rPr>
        <w:t xml:space="preserve">ensure programming is inclusive and relevant for the context. </w:t>
      </w:r>
      <w:r w:rsidR="00CF7CE8">
        <w:rPr>
          <w:iCs/>
          <w:sz w:val="21"/>
          <w:szCs w:val="21"/>
        </w:rPr>
        <w:t xml:space="preserve">There will also be </w:t>
      </w:r>
      <w:r w:rsidR="00C01540">
        <w:rPr>
          <w:iCs/>
          <w:sz w:val="21"/>
          <w:szCs w:val="21"/>
        </w:rPr>
        <w:t>i</w:t>
      </w:r>
      <w:r w:rsidR="0008331B">
        <w:rPr>
          <w:iCs/>
          <w:sz w:val="21"/>
          <w:szCs w:val="21"/>
        </w:rPr>
        <w:t xml:space="preserve">ncreased resources within DRCCs and the AHPSU for </w:t>
      </w:r>
      <w:r w:rsidR="0008331B" w:rsidRPr="00C01540">
        <w:rPr>
          <w:iCs/>
          <w:sz w:val="21"/>
          <w:szCs w:val="21"/>
        </w:rPr>
        <w:t>GEDSI</w:t>
      </w:r>
      <w:r w:rsidR="0008331B">
        <w:rPr>
          <w:iCs/>
          <w:sz w:val="21"/>
          <w:szCs w:val="21"/>
        </w:rPr>
        <w:t xml:space="preserve"> technical advice </w:t>
      </w:r>
      <w:r w:rsidR="00C01540">
        <w:rPr>
          <w:iCs/>
          <w:sz w:val="21"/>
          <w:szCs w:val="21"/>
        </w:rPr>
        <w:t>to</w:t>
      </w:r>
      <w:r w:rsidR="0008331B">
        <w:rPr>
          <w:iCs/>
          <w:sz w:val="21"/>
          <w:szCs w:val="21"/>
        </w:rPr>
        <w:t xml:space="preserve"> support </w:t>
      </w:r>
      <w:r w:rsidR="00C01540">
        <w:rPr>
          <w:iCs/>
          <w:sz w:val="21"/>
          <w:szCs w:val="21"/>
        </w:rPr>
        <w:t>implementation.</w:t>
      </w:r>
      <w:r w:rsidR="00ED0A1D">
        <w:rPr>
          <w:iCs/>
          <w:sz w:val="21"/>
          <w:szCs w:val="21"/>
        </w:rPr>
        <w:t xml:space="preserve"> </w:t>
      </w:r>
    </w:p>
    <w:p w14:paraId="61E3D37D" w14:textId="210706C9" w:rsidR="00724F79" w:rsidRPr="00893534" w:rsidRDefault="007B375C" w:rsidP="00893534">
      <w:pPr>
        <w:pStyle w:val="ListParagraph"/>
        <w:tabs>
          <w:tab w:val="left" w:pos="284"/>
        </w:tabs>
        <w:suppressAutoHyphens w:val="0"/>
        <w:spacing w:before="200" w:after="0" w:line="280" w:lineRule="exact"/>
        <w:ind w:left="0"/>
        <w:contextualSpacing w:val="0"/>
        <w:rPr>
          <w:b/>
          <w:bCs/>
          <w:i/>
          <w:sz w:val="21"/>
          <w:szCs w:val="21"/>
        </w:rPr>
      </w:pPr>
      <w:r w:rsidRPr="00893534">
        <w:rPr>
          <w:b/>
          <w:bCs/>
          <w:i/>
          <w:sz w:val="21"/>
          <w:szCs w:val="21"/>
        </w:rPr>
        <w:t>Greater</w:t>
      </w:r>
      <w:r w:rsidR="00724F79" w:rsidRPr="00893534">
        <w:rPr>
          <w:b/>
          <w:bCs/>
          <w:i/>
          <w:sz w:val="21"/>
          <w:szCs w:val="21"/>
        </w:rPr>
        <w:t xml:space="preserve"> transparency and </w:t>
      </w:r>
      <w:r w:rsidRPr="00893534">
        <w:rPr>
          <w:b/>
          <w:bCs/>
          <w:i/>
          <w:sz w:val="21"/>
          <w:szCs w:val="21"/>
        </w:rPr>
        <w:t>quality assurance</w:t>
      </w:r>
      <w:r w:rsidR="004E5C37" w:rsidRPr="00893534">
        <w:rPr>
          <w:b/>
          <w:bCs/>
          <w:i/>
          <w:sz w:val="21"/>
          <w:szCs w:val="21"/>
        </w:rPr>
        <w:t xml:space="preserve"> in selection</w:t>
      </w:r>
    </w:p>
    <w:p w14:paraId="39D274B1" w14:textId="6B8E0377" w:rsidR="00882AC1" w:rsidRDefault="007B375C" w:rsidP="00E460CC">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Pr>
          <w:iCs/>
          <w:sz w:val="21"/>
          <w:szCs w:val="21"/>
        </w:rPr>
        <w:t xml:space="preserve"> The MTE </w:t>
      </w:r>
      <w:r w:rsidR="00945C2A">
        <w:rPr>
          <w:iCs/>
          <w:sz w:val="21"/>
          <w:szCs w:val="21"/>
        </w:rPr>
        <w:t xml:space="preserve">and design consultations </w:t>
      </w:r>
      <w:r>
        <w:rPr>
          <w:iCs/>
          <w:sz w:val="21"/>
          <w:szCs w:val="21"/>
        </w:rPr>
        <w:t>found that</w:t>
      </w:r>
      <w:r w:rsidR="00945C2A">
        <w:rPr>
          <w:iCs/>
          <w:sz w:val="21"/>
          <w:szCs w:val="21"/>
        </w:rPr>
        <w:t xml:space="preserve"> there were opportunities to </w:t>
      </w:r>
      <w:r w:rsidR="00732063">
        <w:rPr>
          <w:iCs/>
          <w:sz w:val="21"/>
          <w:szCs w:val="21"/>
        </w:rPr>
        <w:t xml:space="preserve">strengthen </w:t>
      </w:r>
      <w:r w:rsidR="00717BE9">
        <w:rPr>
          <w:iCs/>
          <w:sz w:val="21"/>
          <w:szCs w:val="21"/>
        </w:rPr>
        <w:t xml:space="preserve">the </w:t>
      </w:r>
      <w:r w:rsidR="00A02A65">
        <w:rPr>
          <w:iCs/>
          <w:sz w:val="21"/>
          <w:szCs w:val="21"/>
        </w:rPr>
        <w:t>SOPs</w:t>
      </w:r>
      <w:r w:rsidR="00387C37">
        <w:rPr>
          <w:iCs/>
          <w:sz w:val="21"/>
          <w:szCs w:val="21"/>
        </w:rPr>
        <w:t xml:space="preserve"> </w:t>
      </w:r>
      <w:r w:rsidR="00250C09">
        <w:rPr>
          <w:iCs/>
          <w:sz w:val="21"/>
          <w:szCs w:val="21"/>
        </w:rPr>
        <w:t xml:space="preserve">for </w:t>
      </w:r>
      <w:r w:rsidR="00717BE9">
        <w:rPr>
          <w:iCs/>
          <w:sz w:val="21"/>
          <w:szCs w:val="21"/>
        </w:rPr>
        <w:t>greater transparency</w:t>
      </w:r>
      <w:r w:rsidR="001A36A3">
        <w:rPr>
          <w:iCs/>
          <w:sz w:val="21"/>
          <w:szCs w:val="21"/>
        </w:rPr>
        <w:t xml:space="preserve"> in DFAT decision-making</w:t>
      </w:r>
      <w:r w:rsidR="00387C37">
        <w:rPr>
          <w:iCs/>
          <w:sz w:val="21"/>
          <w:szCs w:val="21"/>
        </w:rPr>
        <w:t xml:space="preserve">, and there is a need to ensure </w:t>
      </w:r>
      <w:r w:rsidR="00490D50">
        <w:rPr>
          <w:iCs/>
          <w:sz w:val="21"/>
          <w:szCs w:val="21"/>
        </w:rPr>
        <w:t>collaborative proposals are appropriately quality assured</w:t>
      </w:r>
      <w:r w:rsidR="008E5E63">
        <w:rPr>
          <w:iCs/>
          <w:sz w:val="21"/>
          <w:szCs w:val="21"/>
        </w:rPr>
        <w:t xml:space="preserve">. </w:t>
      </w:r>
      <w:r w:rsidR="00250C09">
        <w:rPr>
          <w:iCs/>
          <w:sz w:val="21"/>
          <w:szCs w:val="21"/>
        </w:rPr>
        <w:t xml:space="preserve">Consequently, </w:t>
      </w:r>
      <w:r w:rsidR="00E460CC">
        <w:rPr>
          <w:iCs/>
          <w:sz w:val="21"/>
          <w:szCs w:val="21"/>
        </w:rPr>
        <w:t>i</w:t>
      </w:r>
      <w:r w:rsidR="008C1F48" w:rsidRPr="00415502">
        <w:rPr>
          <w:iCs/>
          <w:sz w:val="21"/>
          <w:szCs w:val="21"/>
        </w:rPr>
        <w:t xml:space="preserve">n </w:t>
      </w:r>
      <w:r w:rsidR="00406F84">
        <w:rPr>
          <w:iCs/>
          <w:sz w:val="21"/>
          <w:szCs w:val="21"/>
        </w:rPr>
        <w:t>Phase II</w:t>
      </w:r>
      <w:r w:rsidR="008C1F48" w:rsidRPr="00415502">
        <w:rPr>
          <w:iCs/>
          <w:sz w:val="21"/>
          <w:szCs w:val="21"/>
        </w:rPr>
        <w:t xml:space="preserve"> the AHPSU will maintain a panel of humanitarian, country and sector specialists who </w:t>
      </w:r>
      <w:r w:rsidR="00233AA2" w:rsidRPr="00415502">
        <w:rPr>
          <w:iCs/>
          <w:sz w:val="21"/>
          <w:szCs w:val="21"/>
        </w:rPr>
        <w:t xml:space="preserve">will be </w:t>
      </w:r>
      <w:r w:rsidR="008C1F48" w:rsidRPr="00415502">
        <w:rPr>
          <w:iCs/>
          <w:sz w:val="21"/>
          <w:szCs w:val="21"/>
        </w:rPr>
        <w:t xml:space="preserve">available </w:t>
      </w:r>
      <w:r w:rsidR="00233AA2" w:rsidRPr="00415502">
        <w:rPr>
          <w:iCs/>
          <w:sz w:val="21"/>
          <w:szCs w:val="21"/>
        </w:rPr>
        <w:t>to</w:t>
      </w:r>
      <w:r w:rsidR="008C1F48" w:rsidRPr="00415502">
        <w:rPr>
          <w:iCs/>
          <w:sz w:val="21"/>
          <w:szCs w:val="21"/>
        </w:rPr>
        <w:t xml:space="preserve"> independent</w:t>
      </w:r>
      <w:r w:rsidR="00233AA2" w:rsidRPr="00415502">
        <w:rPr>
          <w:iCs/>
          <w:sz w:val="21"/>
          <w:szCs w:val="21"/>
        </w:rPr>
        <w:t>ly</w:t>
      </w:r>
      <w:r w:rsidR="008C1F48" w:rsidRPr="00415502">
        <w:rPr>
          <w:iCs/>
          <w:sz w:val="21"/>
          <w:szCs w:val="21"/>
        </w:rPr>
        <w:t xml:space="preserve"> apprais</w:t>
      </w:r>
      <w:r w:rsidR="00233AA2" w:rsidRPr="00415502">
        <w:rPr>
          <w:iCs/>
          <w:sz w:val="21"/>
          <w:szCs w:val="21"/>
        </w:rPr>
        <w:t>e</w:t>
      </w:r>
      <w:r w:rsidR="008C1F48" w:rsidRPr="00415502">
        <w:rPr>
          <w:iCs/>
          <w:sz w:val="21"/>
          <w:szCs w:val="21"/>
        </w:rPr>
        <w:t xml:space="preserve"> </w:t>
      </w:r>
      <w:r w:rsidR="006F3807" w:rsidRPr="00415502">
        <w:rPr>
          <w:iCs/>
          <w:sz w:val="21"/>
          <w:szCs w:val="21"/>
        </w:rPr>
        <w:t xml:space="preserve">response proposals </w:t>
      </w:r>
      <w:r w:rsidR="00EE43DA">
        <w:rPr>
          <w:iCs/>
          <w:sz w:val="21"/>
          <w:szCs w:val="21"/>
        </w:rPr>
        <w:t>as part of the selection</w:t>
      </w:r>
      <w:r w:rsidR="00490D50">
        <w:rPr>
          <w:iCs/>
          <w:sz w:val="21"/>
          <w:szCs w:val="21"/>
        </w:rPr>
        <w:t xml:space="preserve"> </w:t>
      </w:r>
      <w:r w:rsidR="00EE43DA">
        <w:rPr>
          <w:iCs/>
          <w:sz w:val="21"/>
          <w:szCs w:val="21"/>
        </w:rPr>
        <w:t xml:space="preserve">process </w:t>
      </w:r>
      <w:r w:rsidR="008C1F48" w:rsidRPr="00415502">
        <w:rPr>
          <w:iCs/>
          <w:sz w:val="21"/>
          <w:szCs w:val="21"/>
        </w:rPr>
        <w:t xml:space="preserve">(subject to urgency, </w:t>
      </w:r>
      <w:r w:rsidR="00E731FE" w:rsidRPr="00415502">
        <w:rPr>
          <w:iCs/>
          <w:sz w:val="21"/>
          <w:szCs w:val="21"/>
        </w:rPr>
        <w:t>risk,</w:t>
      </w:r>
      <w:r w:rsidR="008C1F48" w:rsidRPr="00415502">
        <w:rPr>
          <w:iCs/>
          <w:sz w:val="21"/>
          <w:szCs w:val="21"/>
        </w:rPr>
        <w:t xml:space="preserve"> and value).</w:t>
      </w:r>
      <w:r w:rsidR="006F3807" w:rsidRPr="00415502">
        <w:rPr>
          <w:iCs/>
          <w:sz w:val="21"/>
          <w:szCs w:val="21"/>
        </w:rPr>
        <w:t xml:space="preserve"> </w:t>
      </w:r>
      <w:r w:rsidR="00E108A1">
        <w:rPr>
          <w:iCs/>
          <w:sz w:val="21"/>
          <w:szCs w:val="21"/>
        </w:rPr>
        <w:t xml:space="preserve">These specialists may be </w:t>
      </w:r>
      <w:r w:rsidR="00D86225">
        <w:rPr>
          <w:iCs/>
          <w:sz w:val="21"/>
          <w:szCs w:val="21"/>
        </w:rPr>
        <w:t>engaged</w:t>
      </w:r>
      <w:r w:rsidR="00882AC1">
        <w:rPr>
          <w:iCs/>
          <w:sz w:val="21"/>
          <w:szCs w:val="21"/>
        </w:rPr>
        <w:t>:</w:t>
      </w:r>
    </w:p>
    <w:p w14:paraId="67A0238C" w14:textId="10F904E1" w:rsidR="00882AC1" w:rsidRDefault="00D86225" w:rsidP="0011591E">
      <w:pPr>
        <w:pStyle w:val="ListParagraph"/>
        <w:numPr>
          <w:ilvl w:val="0"/>
          <w:numId w:val="29"/>
        </w:numPr>
        <w:spacing w:before="60" w:line="280" w:lineRule="atLeast"/>
        <w:ind w:left="714" w:hanging="357"/>
        <w:contextualSpacing w:val="0"/>
        <w:rPr>
          <w:iCs/>
          <w:sz w:val="21"/>
          <w:szCs w:val="21"/>
        </w:rPr>
      </w:pPr>
      <w:r>
        <w:rPr>
          <w:iCs/>
          <w:sz w:val="21"/>
          <w:szCs w:val="21"/>
        </w:rPr>
        <w:t xml:space="preserve">as part of the </w:t>
      </w:r>
      <w:r w:rsidR="00B9586B">
        <w:rPr>
          <w:iCs/>
          <w:sz w:val="21"/>
          <w:szCs w:val="21"/>
        </w:rPr>
        <w:t xml:space="preserve">ANGO </w:t>
      </w:r>
      <w:r w:rsidR="00886116">
        <w:rPr>
          <w:iCs/>
          <w:sz w:val="21"/>
          <w:szCs w:val="21"/>
        </w:rPr>
        <w:t xml:space="preserve">Rapid </w:t>
      </w:r>
      <w:r w:rsidR="00E108A1" w:rsidRPr="00AE58F7">
        <w:rPr>
          <w:iCs/>
          <w:sz w:val="21"/>
          <w:szCs w:val="21"/>
        </w:rPr>
        <w:t>Response Committee</w:t>
      </w:r>
      <w:r w:rsidR="00B9586B">
        <w:rPr>
          <w:iCs/>
          <w:sz w:val="21"/>
          <w:szCs w:val="21"/>
        </w:rPr>
        <w:t xml:space="preserve">, </w:t>
      </w:r>
      <w:r>
        <w:rPr>
          <w:iCs/>
          <w:sz w:val="21"/>
          <w:szCs w:val="21"/>
        </w:rPr>
        <w:t>which</w:t>
      </w:r>
      <w:r w:rsidR="00E108A1" w:rsidRPr="00AE58F7">
        <w:rPr>
          <w:iCs/>
          <w:sz w:val="21"/>
          <w:szCs w:val="21"/>
        </w:rPr>
        <w:t xml:space="preserve"> </w:t>
      </w:r>
      <w:r w:rsidR="00320A62">
        <w:rPr>
          <w:iCs/>
          <w:sz w:val="21"/>
          <w:szCs w:val="21"/>
        </w:rPr>
        <w:t>is</w:t>
      </w:r>
      <w:r w:rsidR="00E108A1" w:rsidRPr="00AE58F7">
        <w:rPr>
          <w:iCs/>
          <w:sz w:val="21"/>
          <w:szCs w:val="21"/>
        </w:rPr>
        <w:t xml:space="preserve"> </w:t>
      </w:r>
      <w:r w:rsidR="00C205AC">
        <w:rPr>
          <w:iCs/>
          <w:sz w:val="21"/>
          <w:szCs w:val="21"/>
        </w:rPr>
        <w:t>convened</w:t>
      </w:r>
      <w:r w:rsidR="00E108A1" w:rsidRPr="00AE58F7">
        <w:rPr>
          <w:iCs/>
          <w:sz w:val="21"/>
          <w:szCs w:val="21"/>
        </w:rPr>
        <w:t xml:space="preserve"> to make decisions for </w:t>
      </w:r>
      <w:r w:rsidR="006C4BFF">
        <w:rPr>
          <w:iCs/>
          <w:sz w:val="21"/>
          <w:szCs w:val="21"/>
        </w:rPr>
        <w:t xml:space="preserve">urgent </w:t>
      </w:r>
      <w:r w:rsidR="00882AC1">
        <w:rPr>
          <w:iCs/>
          <w:sz w:val="21"/>
          <w:szCs w:val="21"/>
        </w:rPr>
        <w:t>competitive</w:t>
      </w:r>
      <w:r w:rsidR="00B9586B">
        <w:rPr>
          <w:iCs/>
          <w:sz w:val="21"/>
          <w:szCs w:val="21"/>
        </w:rPr>
        <w:t xml:space="preserve"> </w:t>
      </w:r>
      <w:r w:rsidR="00E108A1" w:rsidRPr="00AE58F7">
        <w:rPr>
          <w:iCs/>
          <w:sz w:val="21"/>
          <w:szCs w:val="21"/>
        </w:rPr>
        <w:t xml:space="preserve">rapid-onset </w:t>
      </w:r>
      <w:r w:rsidR="00882AC1">
        <w:rPr>
          <w:iCs/>
          <w:sz w:val="21"/>
          <w:szCs w:val="21"/>
        </w:rPr>
        <w:t>responses;</w:t>
      </w:r>
      <w:r w:rsidR="00216F73">
        <w:rPr>
          <w:iCs/>
          <w:sz w:val="21"/>
          <w:szCs w:val="21"/>
        </w:rPr>
        <w:t xml:space="preserve"> </w:t>
      </w:r>
    </w:p>
    <w:p w14:paraId="72906CCD" w14:textId="58DA7CAE" w:rsidR="00882AC1" w:rsidRDefault="00B9586B" w:rsidP="0011591E">
      <w:pPr>
        <w:pStyle w:val="ListParagraph"/>
        <w:numPr>
          <w:ilvl w:val="0"/>
          <w:numId w:val="29"/>
        </w:numPr>
        <w:spacing w:before="60" w:line="280" w:lineRule="atLeast"/>
        <w:ind w:left="714" w:hanging="357"/>
        <w:contextualSpacing w:val="0"/>
        <w:rPr>
          <w:iCs/>
          <w:sz w:val="21"/>
          <w:szCs w:val="21"/>
        </w:rPr>
      </w:pPr>
      <w:r>
        <w:rPr>
          <w:iCs/>
          <w:sz w:val="21"/>
          <w:szCs w:val="21"/>
        </w:rPr>
        <w:t>a</w:t>
      </w:r>
      <w:r w:rsidR="00882AC1">
        <w:rPr>
          <w:iCs/>
          <w:sz w:val="21"/>
          <w:szCs w:val="21"/>
        </w:rPr>
        <w:t xml:space="preserve">s part of </w:t>
      </w:r>
      <w:r>
        <w:rPr>
          <w:iCs/>
          <w:sz w:val="21"/>
          <w:szCs w:val="21"/>
        </w:rPr>
        <w:t xml:space="preserve">the DFAT Assessment Committee, which </w:t>
      </w:r>
      <w:r w:rsidR="00320A62">
        <w:rPr>
          <w:iCs/>
          <w:sz w:val="21"/>
          <w:szCs w:val="21"/>
        </w:rPr>
        <w:t>is</w:t>
      </w:r>
      <w:r>
        <w:rPr>
          <w:iCs/>
          <w:sz w:val="21"/>
          <w:szCs w:val="21"/>
        </w:rPr>
        <w:t xml:space="preserve"> convened to make decisions for </w:t>
      </w:r>
      <w:r w:rsidR="006C4BFF">
        <w:rPr>
          <w:iCs/>
          <w:sz w:val="21"/>
          <w:szCs w:val="21"/>
        </w:rPr>
        <w:t>competitive rapid and protracted responses</w:t>
      </w:r>
      <w:r w:rsidR="00216F73">
        <w:rPr>
          <w:iCs/>
          <w:sz w:val="21"/>
          <w:szCs w:val="21"/>
        </w:rPr>
        <w:t>; and/or</w:t>
      </w:r>
      <w:r w:rsidR="006C4BFF">
        <w:rPr>
          <w:iCs/>
          <w:sz w:val="21"/>
          <w:szCs w:val="21"/>
        </w:rPr>
        <w:t xml:space="preserve"> </w:t>
      </w:r>
      <w:r>
        <w:rPr>
          <w:iCs/>
          <w:sz w:val="21"/>
          <w:szCs w:val="21"/>
        </w:rPr>
        <w:t xml:space="preserve"> </w:t>
      </w:r>
    </w:p>
    <w:p w14:paraId="2E428DDB" w14:textId="1F61CF33" w:rsidR="00882AC1" w:rsidRPr="003E2C60" w:rsidRDefault="00C205AC" w:rsidP="0011591E">
      <w:pPr>
        <w:pStyle w:val="ListParagraph"/>
        <w:numPr>
          <w:ilvl w:val="0"/>
          <w:numId w:val="29"/>
        </w:numPr>
        <w:spacing w:before="60" w:line="280" w:lineRule="atLeast"/>
        <w:ind w:left="714" w:hanging="357"/>
        <w:contextualSpacing w:val="0"/>
        <w:rPr>
          <w:iCs/>
          <w:sz w:val="21"/>
          <w:szCs w:val="21"/>
        </w:rPr>
      </w:pPr>
      <w:r>
        <w:rPr>
          <w:iCs/>
          <w:sz w:val="21"/>
          <w:szCs w:val="21"/>
        </w:rPr>
        <w:t>to review</w:t>
      </w:r>
      <w:r w:rsidR="008A4A29">
        <w:rPr>
          <w:iCs/>
          <w:sz w:val="21"/>
          <w:szCs w:val="21"/>
        </w:rPr>
        <w:t xml:space="preserve"> collaborative</w:t>
      </w:r>
      <w:r>
        <w:rPr>
          <w:iCs/>
          <w:sz w:val="21"/>
          <w:szCs w:val="21"/>
        </w:rPr>
        <w:t xml:space="preserve"> proposals</w:t>
      </w:r>
      <w:r w:rsidR="00216F73">
        <w:rPr>
          <w:iCs/>
          <w:sz w:val="21"/>
          <w:szCs w:val="21"/>
        </w:rPr>
        <w:t>.</w:t>
      </w:r>
    </w:p>
    <w:p w14:paraId="637E5E0C" w14:textId="14BBE3FE" w:rsidR="005600DD" w:rsidRPr="00415502" w:rsidRDefault="00A23040" w:rsidP="00415502">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Pr>
          <w:iCs/>
          <w:sz w:val="21"/>
          <w:szCs w:val="21"/>
        </w:rPr>
        <w:t xml:space="preserve">Consistent with </w:t>
      </w:r>
      <w:r w:rsidR="00406F84">
        <w:rPr>
          <w:iCs/>
          <w:sz w:val="21"/>
          <w:szCs w:val="21"/>
        </w:rPr>
        <w:t>Phase I</w:t>
      </w:r>
      <w:r w:rsidR="005600DD">
        <w:rPr>
          <w:iCs/>
          <w:sz w:val="21"/>
          <w:szCs w:val="21"/>
        </w:rPr>
        <w:t xml:space="preserve">, </w:t>
      </w:r>
      <w:r>
        <w:rPr>
          <w:iCs/>
          <w:sz w:val="21"/>
          <w:szCs w:val="21"/>
        </w:rPr>
        <w:t xml:space="preserve">large value or </w:t>
      </w:r>
      <w:r w:rsidR="00725BB4">
        <w:rPr>
          <w:iCs/>
          <w:sz w:val="21"/>
          <w:szCs w:val="21"/>
        </w:rPr>
        <w:t>high-risk</w:t>
      </w:r>
      <w:r>
        <w:rPr>
          <w:iCs/>
          <w:sz w:val="21"/>
          <w:szCs w:val="21"/>
        </w:rPr>
        <w:t xml:space="preserve"> </w:t>
      </w:r>
      <w:r w:rsidR="005600DD">
        <w:rPr>
          <w:iCs/>
          <w:sz w:val="21"/>
          <w:szCs w:val="21"/>
        </w:rPr>
        <w:t xml:space="preserve">responses </w:t>
      </w:r>
      <w:r w:rsidR="008A4A29">
        <w:rPr>
          <w:iCs/>
          <w:sz w:val="21"/>
          <w:szCs w:val="21"/>
        </w:rPr>
        <w:t>may be required</w:t>
      </w:r>
      <w:r w:rsidR="005600DD">
        <w:rPr>
          <w:iCs/>
          <w:sz w:val="21"/>
          <w:szCs w:val="21"/>
        </w:rPr>
        <w:t xml:space="preserve"> to undergo a more comprehensive partner-led design process in line with DFAT</w:t>
      </w:r>
      <w:r w:rsidR="00D33AA9">
        <w:rPr>
          <w:iCs/>
          <w:sz w:val="21"/>
          <w:szCs w:val="21"/>
        </w:rPr>
        <w:t>’</w:t>
      </w:r>
      <w:r w:rsidR="005600DD">
        <w:rPr>
          <w:iCs/>
          <w:sz w:val="21"/>
          <w:szCs w:val="21"/>
        </w:rPr>
        <w:t xml:space="preserve">s Aid </w:t>
      </w:r>
      <w:r w:rsidR="005600DD" w:rsidRPr="00E93683">
        <w:rPr>
          <w:rFonts w:eastAsia="Times New Roman" w:cs="Times New Roman"/>
          <w:sz w:val="21"/>
          <w:szCs w:val="24"/>
          <w:lang w:val="en-AU"/>
        </w:rPr>
        <w:t>Programming</w:t>
      </w:r>
      <w:r w:rsidR="005600DD">
        <w:rPr>
          <w:iCs/>
          <w:sz w:val="21"/>
          <w:szCs w:val="21"/>
        </w:rPr>
        <w:t xml:space="preserve"> Guide, subject to </w:t>
      </w:r>
      <w:r>
        <w:rPr>
          <w:iCs/>
          <w:sz w:val="21"/>
          <w:szCs w:val="21"/>
        </w:rPr>
        <w:t>relevant</w:t>
      </w:r>
      <w:r w:rsidR="005600DD">
        <w:rPr>
          <w:iCs/>
          <w:sz w:val="21"/>
          <w:szCs w:val="21"/>
        </w:rPr>
        <w:t xml:space="preserve"> thresholds. </w:t>
      </w:r>
      <w:r w:rsidR="00F33C7F" w:rsidRPr="00415502">
        <w:rPr>
          <w:iCs/>
          <w:sz w:val="21"/>
          <w:szCs w:val="21"/>
        </w:rPr>
        <w:t xml:space="preserve">DFAT may </w:t>
      </w:r>
      <w:r w:rsidR="006C13E8">
        <w:rPr>
          <w:iCs/>
          <w:sz w:val="21"/>
          <w:szCs w:val="21"/>
        </w:rPr>
        <w:t xml:space="preserve">also </w:t>
      </w:r>
      <w:r w:rsidR="00F33C7F" w:rsidRPr="00415502">
        <w:rPr>
          <w:iCs/>
          <w:sz w:val="21"/>
          <w:szCs w:val="21"/>
        </w:rPr>
        <w:t xml:space="preserve">determine the partner(s) to be funded, or suggest preferred partners for </w:t>
      </w:r>
      <w:r w:rsidR="00CD7B85">
        <w:rPr>
          <w:iCs/>
          <w:sz w:val="21"/>
          <w:szCs w:val="21"/>
        </w:rPr>
        <w:t>an</w:t>
      </w:r>
      <w:r w:rsidR="00F33C7F" w:rsidRPr="00415502">
        <w:rPr>
          <w:iCs/>
          <w:sz w:val="21"/>
          <w:szCs w:val="21"/>
        </w:rPr>
        <w:t xml:space="preserve"> activation</w:t>
      </w:r>
      <w:r w:rsidR="006C13E8">
        <w:rPr>
          <w:iCs/>
          <w:sz w:val="21"/>
          <w:szCs w:val="21"/>
        </w:rPr>
        <w:t>, consistent with</w:t>
      </w:r>
      <w:r w:rsidR="00F33C7F" w:rsidRPr="00415502">
        <w:rPr>
          <w:iCs/>
          <w:sz w:val="21"/>
          <w:szCs w:val="21"/>
        </w:rPr>
        <w:t xml:space="preserve"> the central role to be played by DFAT's country programs (including Posts) in setting the scope of humanitarian response activities, as well as the need for context specific approaches to protracted crises, protracted </w:t>
      </w:r>
      <w:r w:rsidR="00C778E1" w:rsidRPr="00415502">
        <w:rPr>
          <w:iCs/>
          <w:sz w:val="21"/>
          <w:szCs w:val="21"/>
        </w:rPr>
        <w:t>displacement,</w:t>
      </w:r>
      <w:r w:rsidR="00F33C7F" w:rsidRPr="00415502">
        <w:rPr>
          <w:iCs/>
          <w:sz w:val="21"/>
          <w:szCs w:val="21"/>
        </w:rPr>
        <w:t xml:space="preserve"> and natural disasters.</w:t>
      </w:r>
    </w:p>
    <w:p w14:paraId="49B024C8" w14:textId="1C946DEB" w:rsidR="00D73BB6" w:rsidRPr="00CC7B38" w:rsidRDefault="000E5EF3" w:rsidP="00D73BB6">
      <w:pPr>
        <w:pStyle w:val="ListParagraph"/>
        <w:tabs>
          <w:tab w:val="left" w:pos="284"/>
        </w:tabs>
        <w:suppressAutoHyphens w:val="0"/>
        <w:spacing w:before="200" w:after="0" w:line="280" w:lineRule="exact"/>
        <w:ind w:left="0"/>
        <w:contextualSpacing w:val="0"/>
        <w:rPr>
          <w:b/>
          <w:bCs/>
          <w:i/>
          <w:sz w:val="21"/>
          <w:szCs w:val="21"/>
        </w:rPr>
      </w:pPr>
      <w:r w:rsidRPr="00CC7B38">
        <w:rPr>
          <w:b/>
          <w:bCs/>
          <w:i/>
          <w:sz w:val="21"/>
          <w:szCs w:val="21"/>
        </w:rPr>
        <w:t>Ongoing f</w:t>
      </w:r>
      <w:r w:rsidR="00A12971" w:rsidRPr="00CC7B38">
        <w:rPr>
          <w:b/>
          <w:bCs/>
          <w:i/>
          <w:sz w:val="21"/>
          <w:szCs w:val="21"/>
        </w:rPr>
        <w:t>lexibility for immediate response needs</w:t>
      </w:r>
      <w:r w:rsidR="008E075A">
        <w:rPr>
          <w:b/>
          <w:bCs/>
          <w:i/>
          <w:sz w:val="21"/>
          <w:szCs w:val="21"/>
        </w:rPr>
        <w:t>,</w:t>
      </w:r>
      <w:r w:rsidR="00035D92" w:rsidRPr="00CC7B38">
        <w:rPr>
          <w:b/>
          <w:bCs/>
          <w:i/>
          <w:sz w:val="21"/>
          <w:szCs w:val="21"/>
        </w:rPr>
        <w:t xml:space="preserve"> and </w:t>
      </w:r>
      <w:r w:rsidR="008E075A">
        <w:rPr>
          <w:b/>
          <w:bCs/>
          <w:i/>
          <w:sz w:val="21"/>
          <w:szCs w:val="21"/>
        </w:rPr>
        <w:t xml:space="preserve">strengthening resilience and </w:t>
      </w:r>
      <w:r w:rsidR="00035D92" w:rsidRPr="00CC7B38">
        <w:rPr>
          <w:b/>
          <w:bCs/>
          <w:i/>
          <w:sz w:val="21"/>
          <w:szCs w:val="21"/>
        </w:rPr>
        <w:t>early recovery</w:t>
      </w:r>
    </w:p>
    <w:p w14:paraId="6BAFA902" w14:textId="53F1C6B0" w:rsidR="00A12971" w:rsidRDefault="00D07BA8" w:rsidP="005D35B3">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Pr>
          <w:iCs/>
          <w:sz w:val="21"/>
          <w:szCs w:val="21"/>
        </w:rPr>
        <w:t>In the event of a</w:t>
      </w:r>
      <w:r w:rsidR="005D35B3" w:rsidRPr="005D35B3">
        <w:rPr>
          <w:iCs/>
          <w:sz w:val="21"/>
          <w:szCs w:val="21"/>
        </w:rPr>
        <w:t xml:space="preserve"> rapid onset disaster, ANGOs will </w:t>
      </w:r>
      <w:r w:rsidR="00FF3544">
        <w:rPr>
          <w:iCs/>
          <w:sz w:val="21"/>
          <w:szCs w:val="21"/>
        </w:rPr>
        <w:t xml:space="preserve">continue to </w:t>
      </w:r>
      <w:r w:rsidR="005D35B3" w:rsidRPr="005D35B3">
        <w:rPr>
          <w:iCs/>
          <w:sz w:val="21"/>
          <w:szCs w:val="21"/>
        </w:rPr>
        <w:t xml:space="preserve">have the option to seek </w:t>
      </w:r>
      <w:r w:rsidR="00FF3544">
        <w:rPr>
          <w:iCs/>
          <w:sz w:val="21"/>
          <w:szCs w:val="21"/>
        </w:rPr>
        <w:t>DFAT</w:t>
      </w:r>
      <w:r w:rsidR="005D35B3" w:rsidRPr="005D35B3">
        <w:rPr>
          <w:iCs/>
          <w:sz w:val="21"/>
          <w:szCs w:val="21"/>
        </w:rPr>
        <w:t xml:space="preserve"> approval to </w:t>
      </w:r>
      <w:r w:rsidR="00FF3544">
        <w:rPr>
          <w:iCs/>
          <w:sz w:val="21"/>
          <w:szCs w:val="21"/>
        </w:rPr>
        <w:t>pivot</w:t>
      </w:r>
      <w:r w:rsidR="005D35B3" w:rsidRPr="005D35B3">
        <w:rPr>
          <w:iCs/>
          <w:sz w:val="21"/>
          <w:szCs w:val="21"/>
        </w:rPr>
        <w:t xml:space="preserve"> up to $100,000 of </w:t>
      </w:r>
      <w:r>
        <w:rPr>
          <w:iCs/>
          <w:sz w:val="21"/>
          <w:szCs w:val="21"/>
        </w:rPr>
        <w:t>existing AHP</w:t>
      </w:r>
      <w:r w:rsidR="005D35B3" w:rsidRPr="005D35B3">
        <w:rPr>
          <w:iCs/>
          <w:sz w:val="21"/>
          <w:szCs w:val="21"/>
        </w:rPr>
        <w:t xml:space="preserve"> funds for life-saving and other immediate priorities for a response</w:t>
      </w:r>
      <w:r w:rsidR="001252D6">
        <w:rPr>
          <w:iCs/>
          <w:sz w:val="21"/>
          <w:szCs w:val="21"/>
        </w:rPr>
        <w:t xml:space="preserve"> </w:t>
      </w:r>
      <w:r w:rsidR="001252D6">
        <w:rPr>
          <w:iCs/>
          <w:sz w:val="21"/>
          <w:szCs w:val="21"/>
        </w:rPr>
        <w:lastRenderedPageBreak/>
        <w:t>such as needs assessment</w:t>
      </w:r>
      <w:r w:rsidR="005D35B3" w:rsidRPr="005D35B3">
        <w:rPr>
          <w:iCs/>
          <w:sz w:val="21"/>
          <w:szCs w:val="21"/>
        </w:rPr>
        <w:t xml:space="preserve">. </w:t>
      </w:r>
      <w:r w:rsidR="00302864">
        <w:rPr>
          <w:iCs/>
          <w:sz w:val="21"/>
          <w:szCs w:val="21"/>
        </w:rPr>
        <w:t xml:space="preserve">These funds may be drawn from Disaster READY or other existing </w:t>
      </w:r>
      <w:r w:rsidR="001A36A3">
        <w:rPr>
          <w:iCs/>
          <w:sz w:val="21"/>
          <w:szCs w:val="21"/>
        </w:rPr>
        <w:t>AHP</w:t>
      </w:r>
      <w:r w:rsidR="00302864">
        <w:rPr>
          <w:iCs/>
          <w:sz w:val="21"/>
          <w:szCs w:val="21"/>
        </w:rPr>
        <w:t xml:space="preserve"> funds</w:t>
      </w:r>
      <w:r w:rsidR="008B59D3">
        <w:rPr>
          <w:iCs/>
          <w:sz w:val="21"/>
          <w:szCs w:val="21"/>
        </w:rPr>
        <w:t xml:space="preserve"> in the same country where</w:t>
      </w:r>
      <w:r w:rsidR="00672793">
        <w:rPr>
          <w:iCs/>
          <w:sz w:val="21"/>
          <w:szCs w:val="21"/>
        </w:rPr>
        <w:t xml:space="preserve"> the response is required</w:t>
      </w:r>
      <w:r w:rsidR="00302864">
        <w:rPr>
          <w:iCs/>
          <w:sz w:val="21"/>
          <w:szCs w:val="21"/>
        </w:rPr>
        <w:t>, subject to approval</w:t>
      </w:r>
      <w:r w:rsidR="00035D92">
        <w:rPr>
          <w:iCs/>
          <w:sz w:val="21"/>
          <w:szCs w:val="21"/>
        </w:rPr>
        <w:t>.</w:t>
      </w:r>
      <w:r w:rsidR="00302864">
        <w:rPr>
          <w:iCs/>
          <w:sz w:val="21"/>
          <w:szCs w:val="21"/>
        </w:rPr>
        <w:t xml:space="preserve"> </w:t>
      </w:r>
    </w:p>
    <w:p w14:paraId="7433A0E2" w14:textId="76946245" w:rsidR="008E075A" w:rsidRPr="008E075A" w:rsidRDefault="00585375" w:rsidP="00026104">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Pr>
          <w:iCs/>
          <w:sz w:val="21"/>
          <w:szCs w:val="21"/>
        </w:rPr>
        <w:t xml:space="preserve">In Phase </w:t>
      </w:r>
      <w:r w:rsidR="001A36A3">
        <w:rPr>
          <w:iCs/>
          <w:sz w:val="21"/>
          <w:szCs w:val="21"/>
        </w:rPr>
        <w:t>II</w:t>
      </w:r>
      <w:r>
        <w:rPr>
          <w:iCs/>
          <w:sz w:val="21"/>
          <w:szCs w:val="21"/>
        </w:rPr>
        <w:t xml:space="preserve">, </w:t>
      </w:r>
      <w:r w:rsidR="00374537">
        <w:rPr>
          <w:iCs/>
          <w:sz w:val="21"/>
          <w:szCs w:val="21"/>
        </w:rPr>
        <w:t xml:space="preserve">AHP </w:t>
      </w:r>
      <w:r w:rsidR="00035D92">
        <w:rPr>
          <w:iCs/>
          <w:sz w:val="21"/>
          <w:szCs w:val="21"/>
        </w:rPr>
        <w:t xml:space="preserve">ANGOs will </w:t>
      </w:r>
      <w:r>
        <w:rPr>
          <w:iCs/>
          <w:sz w:val="21"/>
          <w:szCs w:val="21"/>
        </w:rPr>
        <w:t xml:space="preserve">also </w:t>
      </w:r>
      <w:r w:rsidR="00035D92">
        <w:rPr>
          <w:iCs/>
          <w:sz w:val="21"/>
          <w:szCs w:val="21"/>
        </w:rPr>
        <w:t xml:space="preserve">be encouraged to </w:t>
      </w:r>
      <w:r>
        <w:rPr>
          <w:iCs/>
          <w:sz w:val="21"/>
          <w:szCs w:val="21"/>
        </w:rPr>
        <w:t>consider opportunities to pivot complementary ANCP or other programming to meet early recovery needs and protect development gains in the wake of a</w:t>
      </w:r>
      <w:r w:rsidRPr="005D35B3">
        <w:rPr>
          <w:iCs/>
          <w:sz w:val="21"/>
          <w:szCs w:val="21"/>
        </w:rPr>
        <w:t xml:space="preserve"> rapid onset disaster</w:t>
      </w:r>
      <w:r>
        <w:rPr>
          <w:iCs/>
          <w:sz w:val="21"/>
          <w:szCs w:val="21"/>
        </w:rPr>
        <w:t>, subject to relevant approvals.</w:t>
      </w:r>
      <w:r w:rsidR="001252D6">
        <w:rPr>
          <w:iCs/>
          <w:sz w:val="21"/>
          <w:szCs w:val="21"/>
        </w:rPr>
        <w:t xml:space="preserve"> </w:t>
      </w:r>
      <w:r w:rsidR="00374537">
        <w:rPr>
          <w:iCs/>
          <w:sz w:val="21"/>
          <w:szCs w:val="21"/>
        </w:rPr>
        <w:t xml:space="preserve">Examples of complementary </w:t>
      </w:r>
      <w:r w:rsidR="00D40F67">
        <w:rPr>
          <w:iCs/>
          <w:sz w:val="21"/>
          <w:szCs w:val="21"/>
        </w:rPr>
        <w:t xml:space="preserve">programming, effective humanitarian-development nexus approaches </w:t>
      </w:r>
      <w:r w:rsidR="00557A81">
        <w:rPr>
          <w:iCs/>
          <w:sz w:val="21"/>
          <w:szCs w:val="21"/>
        </w:rPr>
        <w:t xml:space="preserve">and </w:t>
      </w:r>
      <w:r w:rsidR="007C37C4">
        <w:rPr>
          <w:iCs/>
          <w:sz w:val="21"/>
          <w:szCs w:val="21"/>
        </w:rPr>
        <w:t>relevant research and learning</w:t>
      </w:r>
      <w:r w:rsidR="00557A81">
        <w:rPr>
          <w:iCs/>
          <w:sz w:val="21"/>
          <w:szCs w:val="21"/>
        </w:rPr>
        <w:t xml:space="preserve"> will be </w:t>
      </w:r>
      <w:r w:rsidR="007B5499">
        <w:rPr>
          <w:iCs/>
          <w:sz w:val="21"/>
          <w:szCs w:val="21"/>
        </w:rPr>
        <w:t>searched for and shared, including through relevant AHP and ANCP governance and learning forums.</w:t>
      </w:r>
      <w:r w:rsidR="008E075A">
        <w:rPr>
          <w:iCs/>
          <w:sz w:val="21"/>
          <w:szCs w:val="21"/>
        </w:rPr>
        <w:t xml:space="preserve"> </w:t>
      </w:r>
      <w:r w:rsidR="00D521E3">
        <w:rPr>
          <w:iCs/>
          <w:sz w:val="21"/>
          <w:szCs w:val="21"/>
        </w:rPr>
        <w:t xml:space="preserve">Effective early recovery in rapid response and resilience programming </w:t>
      </w:r>
      <w:r w:rsidR="00422966">
        <w:rPr>
          <w:iCs/>
          <w:sz w:val="21"/>
          <w:szCs w:val="21"/>
        </w:rPr>
        <w:t xml:space="preserve">(including supporting communities to build back better/safer and bounce forward) </w:t>
      </w:r>
      <w:r w:rsidR="00D521E3">
        <w:rPr>
          <w:iCs/>
          <w:sz w:val="21"/>
          <w:szCs w:val="21"/>
        </w:rPr>
        <w:t xml:space="preserve">will be considered as key selection criteria for proposals. </w:t>
      </w:r>
    </w:p>
    <w:p w14:paraId="34EB940B" w14:textId="3D989855" w:rsidR="007F4A11" w:rsidRDefault="007F4A11" w:rsidP="00CD7B85">
      <w:pPr>
        <w:pStyle w:val="ListParagraph"/>
        <w:keepNext/>
        <w:tabs>
          <w:tab w:val="left" w:pos="284"/>
        </w:tabs>
        <w:suppressAutoHyphens w:val="0"/>
        <w:spacing w:before="200" w:after="0" w:line="280" w:lineRule="exact"/>
        <w:ind w:left="0"/>
        <w:contextualSpacing w:val="0"/>
        <w:rPr>
          <w:b/>
          <w:bCs/>
          <w:i/>
          <w:sz w:val="21"/>
          <w:szCs w:val="21"/>
        </w:rPr>
      </w:pPr>
      <w:r>
        <w:rPr>
          <w:b/>
          <w:bCs/>
          <w:i/>
          <w:sz w:val="21"/>
          <w:szCs w:val="21"/>
        </w:rPr>
        <w:t>Considerations in protracted crisis response</w:t>
      </w:r>
    </w:p>
    <w:p w14:paraId="22A82F09" w14:textId="0FB5A2F2" w:rsidR="006468BE" w:rsidRDefault="008D23C0" w:rsidP="005B4E5C">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Pr>
          <w:iCs/>
          <w:sz w:val="21"/>
          <w:szCs w:val="21"/>
        </w:rPr>
        <w:t>L</w:t>
      </w:r>
      <w:r w:rsidR="008D4033" w:rsidRPr="006468BE">
        <w:rPr>
          <w:iCs/>
          <w:sz w:val="21"/>
          <w:szCs w:val="21"/>
        </w:rPr>
        <w:t xml:space="preserve">arge </w:t>
      </w:r>
      <w:r w:rsidR="008D4033">
        <w:rPr>
          <w:iCs/>
          <w:sz w:val="21"/>
          <w:szCs w:val="21"/>
        </w:rPr>
        <w:t>value</w:t>
      </w:r>
      <w:r w:rsidR="008D4033" w:rsidRPr="006468BE">
        <w:rPr>
          <w:iCs/>
          <w:sz w:val="21"/>
          <w:szCs w:val="21"/>
        </w:rPr>
        <w:t xml:space="preserve"> and multi-year activations in Phase </w:t>
      </w:r>
      <w:r w:rsidR="001A36A3">
        <w:rPr>
          <w:iCs/>
          <w:sz w:val="21"/>
          <w:szCs w:val="21"/>
        </w:rPr>
        <w:t>I</w:t>
      </w:r>
      <w:r w:rsidR="008D4033" w:rsidRPr="006468BE">
        <w:rPr>
          <w:iCs/>
          <w:sz w:val="21"/>
          <w:szCs w:val="21"/>
        </w:rPr>
        <w:t xml:space="preserve"> (including Bangladesh, </w:t>
      </w:r>
      <w:r w:rsidR="00C778E1" w:rsidRPr="006468BE">
        <w:rPr>
          <w:iCs/>
          <w:sz w:val="21"/>
          <w:szCs w:val="21"/>
        </w:rPr>
        <w:t>Middle East</w:t>
      </w:r>
      <w:r w:rsidR="008D4033" w:rsidRPr="006468BE">
        <w:rPr>
          <w:iCs/>
          <w:sz w:val="21"/>
          <w:szCs w:val="21"/>
        </w:rPr>
        <w:t xml:space="preserve"> and COVID responses) have </w:t>
      </w:r>
      <w:r>
        <w:rPr>
          <w:iCs/>
          <w:sz w:val="21"/>
          <w:szCs w:val="21"/>
        </w:rPr>
        <w:t>shown that r</w:t>
      </w:r>
      <w:r w:rsidR="00AC4F7C" w:rsidRPr="006468BE">
        <w:rPr>
          <w:iCs/>
          <w:sz w:val="21"/>
          <w:szCs w:val="21"/>
        </w:rPr>
        <w:t>esponses to protracted crises</w:t>
      </w:r>
      <w:r w:rsidR="003C30CA">
        <w:rPr>
          <w:iCs/>
          <w:sz w:val="21"/>
          <w:szCs w:val="21"/>
        </w:rPr>
        <w:t xml:space="preserve"> </w:t>
      </w:r>
      <w:r w:rsidR="00BC274E" w:rsidRPr="006468BE">
        <w:rPr>
          <w:iCs/>
          <w:sz w:val="21"/>
          <w:szCs w:val="21"/>
        </w:rPr>
        <w:t>require design, governance and implementation arrangements that are tailored to the specific needs of the context</w:t>
      </w:r>
      <w:r w:rsidR="007B2659">
        <w:rPr>
          <w:iCs/>
          <w:sz w:val="21"/>
          <w:szCs w:val="21"/>
        </w:rPr>
        <w:t xml:space="preserve">, </w:t>
      </w:r>
      <w:r w:rsidR="00BC274E" w:rsidRPr="006468BE">
        <w:rPr>
          <w:iCs/>
          <w:sz w:val="21"/>
          <w:szCs w:val="21"/>
        </w:rPr>
        <w:t xml:space="preserve">Australia’s </w:t>
      </w:r>
      <w:r w:rsidR="007B2659">
        <w:rPr>
          <w:iCs/>
          <w:sz w:val="21"/>
          <w:szCs w:val="21"/>
        </w:rPr>
        <w:t xml:space="preserve">broader </w:t>
      </w:r>
      <w:r w:rsidR="00BC274E" w:rsidRPr="006468BE">
        <w:rPr>
          <w:iCs/>
          <w:sz w:val="21"/>
          <w:szCs w:val="21"/>
        </w:rPr>
        <w:t>policy</w:t>
      </w:r>
      <w:r w:rsidR="007B2659">
        <w:rPr>
          <w:iCs/>
          <w:sz w:val="21"/>
          <w:szCs w:val="21"/>
        </w:rPr>
        <w:t xml:space="preserve"> and program</w:t>
      </w:r>
      <w:r w:rsidR="00BC274E" w:rsidRPr="006468BE">
        <w:rPr>
          <w:iCs/>
          <w:sz w:val="21"/>
          <w:szCs w:val="21"/>
        </w:rPr>
        <w:t xml:space="preserve"> interests and </w:t>
      </w:r>
      <w:r w:rsidR="007B2659">
        <w:rPr>
          <w:iCs/>
          <w:sz w:val="21"/>
          <w:szCs w:val="21"/>
        </w:rPr>
        <w:t xml:space="preserve">the </w:t>
      </w:r>
      <w:r w:rsidR="00BC274E" w:rsidRPr="006468BE">
        <w:rPr>
          <w:iCs/>
          <w:sz w:val="21"/>
          <w:szCs w:val="21"/>
        </w:rPr>
        <w:t xml:space="preserve">bilateral relationship with Partner Governments. </w:t>
      </w:r>
      <w:r w:rsidR="00EC341B">
        <w:rPr>
          <w:iCs/>
          <w:sz w:val="21"/>
          <w:szCs w:val="21"/>
        </w:rPr>
        <w:t>Fragility and conflict</w:t>
      </w:r>
      <w:r w:rsidR="005B4E5C">
        <w:rPr>
          <w:iCs/>
          <w:sz w:val="21"/>
          <w:szCs w:val="21"/>
        </w:rPr>
        <w:t xml:space="preserve"> </w:t>
      </w:r>
      <w:r w:rsidR="00EC341B">
        <w:rPr>
          <w:iCs/>
          <w:sz w:val="21"/>
          <w:szCs w:val="21"/>
        </w:rPr>
        <w:t>drivers</w:t>
      </w:r>
      <w:r w:rsidR="00AF5324">
        <w:rPr>
          <w:iCs/>
          <w:sz w:val="21"/>
          <w:szCs w:val="21"/>
        </w:rPr>
        <w:t xml:space="preserve"> (including climate change)</w:t>
      </w:r>
      <w:r w:rsidR="00EC341B">
        <w:rPr>
          <w:iCs/>
          <w:sz w:val="21"/>
          <w:szCs w:val="21"/>
        </w:rPr>
        <w:t xml:space="preserve">, </w:t>
      </w:r>
      <w:r w:rsidR="004662E6">
        <w:rPr>
          <w:iCs/>
          <w:sz w:val="21"/>
          <w:szCs w:val="21"/>
        </w:rPr>
        <w:t>a holistic approach to the humanitarian-development nexus</w:t>
      </w:r>
      <w:r w:rsidR="00F4734B">
        <w:rPr>
          <w:iCs/>
          <w:sz w:val="21"/>
          <w:szCs w:val="21"/>
        </w:rPr>
        <w:t>,</w:t>
      </w:r>
      <w:r w:rsidR="00F17535">
        <w:rPr>
          <w:iCs/>
          <w:sz w:val="21"/>
          <w:szCs w:val="21"/>
        </w:rPr>
        <w:t xml:space="preserve"> </w:t>
      </w:r>
      <w:r w:rsidR="00993DD7">
        <w:rPr>
          <w:iCs/>
          <w:sz w:val="21"/>
          <w:szCs w:val="21"/>
        </w:rPr>
        <w:t xml:space="preserve">localisation </w:t>
      </w:r>
      <w:r w:rsidR="00EC341B">
        <w:rPr>
          <w:iCs/>
          <w:sz w:val="21"/>
          <w:szCs w:val="21"/>
        </w:rPr>
        <w:t xml:space="preserve">and sustainability </w:t>
      </w:r>
      <w:r w:rsidR="00993DD7">
        <w:rPr>
          <w:iCs/>
          <w:sz w:val="21"/>
          <w:szCs w:val="21"/>
        </w:rPr>
        <w:t>are</w:t>
      </w:r>
      <w:r w:rsidR="00F17535">
        <w:rPr>
          <w:iCs/>
          <w:sz w:val="21"/>
          <w:szCs w:val="21"/>
        </w:rPr>
        <w:t xml:space="preserve"> </w:t>
      </w:r>
      <w:r w:rsidR="007B37BC">
        <w:rPr>
          <w:iCs/>
          <w:sz w:val="21"/>
          <w:szCs w:val="21"/>
        </w:rPr>
        <w:t>also heightened</w:t>
      </w:r>
      <w:r w:rsidR="00F17535">
        <w:rPr>
          <w:iCs/>
          <w:sz w:val="21"/>
          <w:szCs w:val="21"/>
        </w:rPr>
        <w:t xml:space="preserve"> consideration</w:t>
      </w:r>
      <w:r w:rsidR="00993DD7">
        <w:rPr>
          <w:iCs/>
          <w:sz w:val="21"/>
          <w:szCs w:val="21"/>
        </w:rPr>
        <w:t>s</w:t>
      </w:r>
      <w:r w:rsidR="00BC012B">
        <w:rPr>
          <w:iCs/>
          <w:sz w:val="21"/>
          <w:szCs w:val="21"/>
        </w:rPr>
        <w:t>.</w:t>
      </w:r>
      <w:r w:rsidR="00F17535">
        <w:rPr>
          <w:iCs/>
          <w:sz w:val="21"/>
          <w:szCs w:val="21"/>
        </w:rPr>
        <w:t xml:space="preserve"> </w:t>
      </w:r>
    </w:p>
    <w:p w14:paraId="2218DBFB" w14:textId="03B7E9DF" w:rsidR="007F4A11" w:rsidRPr="006468BE" w:rsidRDefault="00D661A7" w:rsidP="00026104">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Pr>
          <w:iCs/>
          <w:sz w:val="21"/>
          <w:szCs w:val="21"/>
        </w:rPr>
        <w:t>Procedures for</w:t>
      </w:r>
      <w:r w:rsidR="006E2897">
        <w:rPr>
          <w:iCs/>
          <w:sz w:val="21"/>
          <w:szCs w:val="21"/>
        </w:rPr>
        <w:t xml:space="preserve"> protracted crisis </w:t>
      </w:r>
      <w:r w:rsidR="0027632A">
        <w:rPr>
          <w:iCs/>
          <w:sz w:val="21"/>
          <w:szCs w:val="21"/>
        </w:rPr>
        <w:t xml:space="preserve">activations </w:t>
      </w:r>
      <w:r>
        <w:rPr>
          <w:iCs/>
          <w:sz w:val="21"/>
          <w:szCs w:val="21"/>
        </w:rPr>
        <w:t xml:space="preserve">will be updated as part of the </w:t>
      </w:r>
      <w:r w:rsidR="006E2897">
        <w:rPr>
          <w:iCs/>
          <w:sz w:val="21"/>
          <w:szCs w:val="21"/>
        </w:rPr>
        <w:t>SOPs</w:t>
      </w:r>
      <w:r>
        <w:rPr>
          <w:iCs/>
          <w:sz w:val="21"/>
          <w:szCs w:val="21"/>
        </w:rPr>
        <w:t xml:space="preserve"> based on lessons learnt</w:t>
      </w:r>
      <w:r w:rsidR="005635FE">
        <w:rPr>
          <w:iCs/>
          <w:sz w:val="21"/>
          <w:szCs w:val="21"/>
        </w:rPr>
        <w:t xml:space="preserve"> to ensure the following issues are negotiated on a case-by-case basis</w:t>
      </w:r>
      <w:r w:rsidR="00BC274E" w:rsidRPr="006468BE">
        <w:rPr>
          <w:iCs/>
          <w:sz w:val="21"/>
          <w:szCs w:val="21"/>
        </w:rPr>
        <w:t>:</w:t>
      </w:r>
    </w:p>
    <w:p w14:paraId="407836A2" w14:textId="24BCAF30" w:rsidR="005635FE" w:rsidRDefault="00BC274E" w:rsidP="0011591E">
      <w:pPr>
        <w:pStyle w:val="ListParagraph"/>
        <w:numPr>
          <w:ilvl w:val="0"/>
          <w:numId w:val="29"/>
        </w:numPr>
        <w:spacing w:before="60" w:line="280" w:lineRule="atLeast"/>
        <w:ind w:left="714" w:hanging="357"/>
        <w:contextualSpacing w:val="0"/>
        <w:rPr>
          <w:iCs/>
          <w:sz w:val="21"/>
          <w:szCs w:val="21"/>
        </w:rPr>
      </w:pPr>
      <w:r>
        <w:rPr>
          <w:iCs/>
          <w:sz w:val="21"/>
          <w:szCs w:val="21"/>
        </w:rPr>
        <w:t xml:space="preserve">the </w:t>
      </w:r>
      <w:r w:rsidR="005635FE">
        <w:rPr>
          <w:iCs/>
          <w:sz w:val="21"/>
          <w:szCs w:val="21"/>
        </w:rPr>
        <w:t>need for a</w:t>
      </w:r>
      <w:r w:rsidR="00CD130D">
        <w:rPr>
          <w:iCs/>
          <w:sz w:val="21"/>
          <w:szCs w:val="21"/>
        </w:rPr>
        <w:t xml:space="preserve"> dedicated</w:t>
      </w:r>
      <w:r w:rsidR="005635FE">
        <w:rPr>
          <w:iCs/>
          <w:sz w:val="21"/>
          <w:szCs w:val="21"/>
        </w:rPr>
        <w:t xml:space="preserve"> </w:t>
      </w:r>
      <w:r w:rsidR="00CD130D">
        <w:rPr>
          <w:iCs/>
          <w:sz w:val="21"/>
          <w:szCs w:val="21"/>
        </w:rPr>
        <w:t>DFAT or partner-led design process in accordance with DFAT’s Aid Programming Guide</w:t>
      </w:r>
      <w:r w:rsidR="00EC341B">
        <w:rPr>
          <w:iCs/>
          <w:sz w:val="21"/>
          <w:szCs w:val="21"/>
        </w:rPr>
        <w:t xml:space="preserve">, including appropriate </w:t>
      </w:r>
      <w:r w:rsidR="00416D92">
        <w:rPr>
          <w:iCs/>
          <w:sz w:val="21"/>
          <w:szCs w:val="21"/>
        </w:rPr>
        <w:t xml:space="preserve">contextual </w:t>
      </w:r>
      <w:r w:rsidR="00EC341B">
        <w:rPr>
          <w:iCs/>
          <w:sz w:val="21"/>
          <w:szCs w:val="21"/>
        </w:rPr>
        <w:t>analysis</w:t>
      </w:r>
      <w:r w:rsidR="00416D92">
        <w:rPr>
          <w:iCs/>
          <w:sz w:val="21"/>
          <w:szCs w:val="21"/>
        </w:rPr>
        <w:t xml:space="preserve"> and localisation </w:t>
      </w:r>
      <w:r w:rsidR="00C57D5C">
        <w:rPr>
          <w:iCs/>
          <w:sz w:val="21"/>
          <w:szCs w:val="21"/>
        </w:rPr>
        <w:t xml:space="preserve">and sustainability </w:t>
      </w:r>
      <w:r w:rsidR="00416D92">
        <w:rPr>
          <w:iCs/>
          <w:sz w:val="21"/>
          <w:szCs w:val="21"/>
        </w:rPr>
        <w:t>strategies</w:t>
      </w:r>
      <w:r w:rsidR="00CD130D">
        <w:rPr>
          <w:iCs/>
          <w:sz w:val="21"/>
          <w:szCs w:val="21"/>
        </w:rPr>
        <w:t>;</w:t>
      </w:r>
    </w:p>
    <w:p w14:paraId="2C0D17D4" w14:textId="1D29BD0C" w:rsidR="00BC274E" w:rsidRDefault="00864171" w:rsidP="0011591E">
      <w:pPr>
        <w:pStyle w:val="ListParagraph"/>
        <w:numPr>
          <w:ilvl w:val="0"/>
          <w:numId w:val="29"/>
        </w:numPr>
        <w:spacing w:before="60" w:line="280" w:lineRule="atLeast"/>
        <w:ind w:left="714" w:hanging="357"/>
        <w:contextualSpacing w:val="0"/>
        <w:rPr>
          <w:iCs/>
          <w:sz w:val="21"/>
          <w:szCs w:val="21"/>
        </w:rPr>
      </w:pPr>
      <w:r w:rsidRPr="00864171">
        <w:rPr>
          <w:iCs/>
          <w:sz w:val="21"/>
          <w:szCs w:val="21"/>
        </w:rPr>
        <w:t xml:space="preserve">the </w:t>
      </w:r>
      <w:r w:rsidR="00BC274E" w:rsidRPr="00864171">
        <w:rPr>
          <w:iCs/>
          <w:sz w:val="21"/>
          <w:szCs w:val="21"/>
        </w:rPr>
        <w:t xml:space="preserve">level of involvement </w:t>
      </w:r>
      <w:r w:rsidR="009A5E27">
        <w:rPr>
          <w:iCs/>
          <w:sz w:val="21"/>
          <w:szCs w:val="21"/>
        </w:rPr>
        <w:t xml:space="preserve">DFAT stakeholders, including </w:t>
      </w:r>
      <w:r>
        <w:rPr>
          <w:iCs/>
          <w:sz w:val="21"/>
          <w:szCs w:val="21"/>
        </w:rPr>
        <w:t xml:space="preserve">PRS, </w:t>
      </w:r>
      <w:r w:rsidR="00D323AF">
        <w:rPr>
          <w:iCs/>
          <w:sz w:val="21"/>
          <w:szCs w:val="21"/>
        </w:rPr>
        <w:t>geographic desks and posts</w:t>
      </w:r>
      <w:r w:rsidR="00D323AF" w:rsidRPr="00864171">
        <w:rPr>
          <w:iCs/>
          <w:sz w:val="21"/>
          <w:szCs w:val="21"/>
        </w:rPr>
        <w:t xml:space="preserve"> </w:t>
      </w:r>
      <w:r w:rsidR="00BC274E" w:rsidRPr="00864171">
        <w:rPr>
          <w:iCs/>
          <w:sz w:val="21"/>
          <w:szCs w:val="21"/>
        </w:rPr>
        <w:t>will have in design and ongoing management process</w:t>
      </w:r>
      <w:r>
        <w:rPr>
          <w:iCs/>
          <w:sz w:val="21"/>
          <w:szCs w:val="21"/>
        </w:rPr>
        <w:t>es</w:t>
      </w:r>
      <w:r w:rsidR="00D323AF">
        <w:rPr>
          <w:iCs/>
          <w:sz w:val="21"/>
          <w:szCs w:val="21"/>
        </w:rPr>
        <w:t xml:space="preserve"> with clear </w:t>
      </w:r>
      <w:r w:rsidR="00E53AA9">
        <w:rPr>
          <w:iCs/>
          <w:sz w:val="21"/>
          <w:szCs w:val="21"/>
        </w:rPr>
        <w:t xml:space="preserve">roles, </w:t>
      </w:r>
      <w:r w:rsidR="00D323AF">
        <w:rPr>
          <w:iCs/>
          <w:sz w:val="21"/>
          <w:szCs w:val="21"/>
        </w:rPr>
        <w:t>decision-making and communication processes</w:t>
      </w:r>
      <w:r>
        <w:rPr>
          <w:iCs/>
          <w:sz w:val="21"/>
          <w:szCs w:val="21"/>
        </w:rPr>
        <w:t>;</w:t>
      </w:r>
    </w:p>
    <w:p w14:paraId="24673450" w14:textId="6FD9E250" w:rsidR="00E53AA9" w:rsidRDefault="00E53AA9" w:rsidP="0011591E">
      <w:pPr>
        <w:pStyle w:val="ListParagraph"/>
        <w:numPr>
          <w:ilvl w:val="0"/>
          <w:numId w:val="29"/>
        </w:numPr>
        <w:spacing w:before="60" w:line="280" w:lineRule="atLeast"/>
        <w:ind w:left="714" w:hanging="357"/>
        <w:contextualSpacing w:val="0"/>
        <w:rPr>
          <w:iCs/>
          <w:sz w:val="21"/>
          <w:szCs w:val="21"/>
        </w:rPr>
      </w:pPr>
      <w:r>
        <w:rPr>
          <w:iCs/>
          <w:sz w:val="21"/>
          <w:szCs w:val="21"/>
        </w:rPr>
        <w:t xml:space="preserve">expectations of the AHPSU within the scope of </w:t>
      </w:r>
      <w:r w:rsidR="00CD7B85">
        <w:rPr>
          <w:iCs/>
          <w:sz w:val="21"/>
          <w:szCs w:val="21"/>
        </w:rPr>
        <w:t>its</w:t>
      </w:r>
      <w:r>
        <w:rPr>
          <w:iCs/>
          <w:sz w:val="21"/>
          <w:szCs w:val="21"/>
        </w:rPr>
        <w:t xml:space="preserve"> TORs and resourcing;</w:t>
      </w:r>
    </w:p>
    <w:p w14:paraId="65E5D3A5" w14:textId="10F26C1F" w:rsidR="007F0477" w:rsidRDefault="007F0477" w:rsidP="0011591E">
      <w:pPr>
        <w:pStyle w:val="ListParagraph"/>
        <w:numPr>
          <w:ilvl w:val="0"/>
          <w:numId w:val="29"/>
        </w:numPr>
        <w:spacing w:before="60" w:line="280" w:lineRule="atLeast"/>
        <w:ind w:left="714" w:hanging="357"/>
        <w:contextualSpacing w:val="0"/>
        <w:rPr>
          <w:iCs/>
          <w:sz w:val="21"/>
          <w:szCs w:val="21"/>
        </w:rPr>
      </w:pPr>
      <w:r>
        <w:rPr>
          <w:iCs/>
          <w:sz w:val="21"/>
          <w:szCs w:val="21"/>
        </w:rPr>
        <w:t>clear management and accountability arrangements among ANGOs</w:t>
      </w:r>
      <w:r w:rsidR="0076123A">
        <w:rPr>
          <w:iCs/>
          <w:sz w:val="21"/>
          <w:szCs w:val="21"/>
        </w:rPr>
        <w:t xml:space="preserve"> and their consortia and local partners, including any specific </w:t>
      </w:r>
      <w:r w:rsidR="00416D92">
        <w:rPr>
          <w:iCs/>
          <w:sz w:val="21"/>
          <w:szCs w:val="21"/>
        </w:rPr>
        <w:t>resourcing for coordination, partnership brokering, MEL, GEDSI and other priorities</w:t>
      </w:r>
      <w:r w:rsidR="0076123A">
        <w:rPr>
          <w:iCs/>
          <w:sz w:val="21"/>
          <w:szCs w:val="21"/>
        </w:rPr>
        <w:t>;</w:t>
      </w:r>
    </w:p>
    <w:p w14:paraId="5F8440E1" w14:textId="1C044A8D" w:rsidR="00EB3823" w:rsidRDefault="00EB3823" w:rsidP="0011591E">
      <w:pPr>
        <w:pStyle w:val="ListParagraph"/>
        <w:numPr>
          <w:ilvl w:val="0"/>
          <w:numId w:val="29"/>
        </w:numPr>
        <w:spacing w:before="60" w:line="280" w:lineRule="atLeast"/>
        <w:ind w:left="714" w:hanging="357"/>
        <w:contextualSpacing w:val="0"/>
        <w:rPr>
          <w:iCs/>
          <w:sz w:val="21"/>
          <w:szCs w:val="21"/>
        </w:rPr>
      </w:pPr>
      <w:r>
        <w:rPr>
          <w:iCs/>
          <w:sz w:val="21"/>
          <w:szCs w:val="21"/>
        </w:rPr>
        <w:t>appropriate activity and budget reporting</w:t>
      </w:r>
      <w:r w:rsidR="002F6301">
        <w:rPr>
          <w:iCs/>
          <w:sz w:val="21"/>
          <w:szCs w:val="21"/>
        </w:rPr>
        <w:t xml:space="preserve"> and any performance conditions for payment of tranches</w:t>
      </w:r>
      <w:r w:rsidR="00416D92">
        <w:rPr>
          <w:iCs/>
          <w:sz w:val="21"/>
          <w:szCs w:val="21"/>
        </w:rPr>
        <w:t>; and</w:t>
      </w:r>
    </w:p>
    <w:p w14:paraId="68286A10" w14:textId="17CD3A62" w:rsidR="00416D92" w:rsidRPr="00416D92" w:rsidRDefault="00416D92" w:rsidP="0011591E">
      <w:pPr>
        <w:pStyle w:val="ListParagraph"/>
        <w:numPr>
          <w:ilvl w:val="0"/>
          <w:numId w:val="29"/>
        </w:numPr>
        <w:spacing w:before="60" w:line="280" w:lineRule="atLeast"/>
        <w:ind w:left="714" w:hanging="357"/>
        <w:contextualSpacing w:val="0"/>
        <w:rPr>
          <w:iCs/>
          <w:sz w:val="21"/>
          <w:szCs w:val="21"/>
        </w:rPr>
      </w:pPr>
      <w:r w:rsidRPr="00416D92">
        <w:rPr>
          <w:iCs/>
          <w:sz w:val="21"/>
          <w:szCs w:val="21"/>
        </w:rPr>
        <w:t>any additional technical</w:t>
      </w:r>
      <w:r>
        <w:rPr>
          <w:iCs/>
          <w:sz w:val="21"/>
          <w:szCs w:val="21"/>
        </w:rPr>
        <w:t xml:space="preserve"> </w:t>
      </w:r>
      <w:r w:rsidRPr="00416D92">
        <w:rPr>
          <w:iCs/>
          <w:sz w:val="21"/>
          <w:szCs w:val="21"/>
        </w:rPr>
        <w:t xml:space="preserve">or oversight functions that may be required, </w:t>
      </w:r>
      <w:r>
        <w:rPr>
          <w:iCs/>
          <w:sz w:val="21"/>
          <w:szCs w:val="21"/>
        </w:rPr>
        <w:t>including for</w:t>
      </w:r>
      <w:r w:rsidRPr="00416D92">
        <w:rPr>
          <w:iCs/>
          <w:sz w:val="21"/>
          <w:szCs w:val="21"/>
        </w:rPr>
        <w:t xml:space="preserve"> </w:t>
      </w:r>
      <w:r w:rsidR="0032060E">
        <w:rPr>
          <w:iCs/>
          <w:sz w:val="21"/>
          <w:szCs w:val="21"/>
        </w:rPr>
        <w:t>GEDSI</w:t>
      </w:r>
      <w:r w:rsidRPr="00416D92">
        <w:rPr>
          <w:iCs/>
          <w:sz w:val="21"/>
          <w:szCs w:val="21"/>
        </w:rPr>
        <w:t xml:space="preserve"> or climate change</w:t>
      </w:r>
      <w:r>
        <w:rPr>
          <w:iCs/>
          <w:sz w:val="21"/>
          <w:szCs w:val="21"/>
        </w:rPr>
        <w:t>.</w:t>
      </w:r>
    </w:p>
    <w:p w14:paraId="41990F67" w14:textId="496980AD" w:rsidR="004D531C" w:rsidRDefault="007A1017" w:rsidP="00026104">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Pr>
          <w:iCs/>
          <w:sz w:val="21"/>
          <w:szCs w:val="21"/>
        </w:rPr>
        <w:t xml:space="preserve">In negotiating the </w:t>
      </w:r>
      <w:r w:rsidR="00F62A8B">
        <w:rPr>
          <w:iCs/>
          <w:sz w:val="21"/>
          <w:szCs w:val="21"/>
        </w:rPr>
        <w:t>issues outlined above, the following</w:t>
      </w:r>
      <w:r w:rsidR="006C6F04">
        <w:rPr>
          <w:iCs/>
          <w:sz w:val="21"/>
          <w:szCs w:val="21"/>
        </w:rPr>
        <w:t xml:space="preserve"> principles</w:t>
      </w:r>
      <w:r w:rsidR="00940DBA">
        <w:rPr>
          <w:iCs/>
          <w:sz w:val="21"/>
          <w:szCs w:val="21"/>
        </w:rPr>
        <w:t xml:space="preserve"> will remain constant</w:t>
      </w:r>
      <w:r w:rsidR="006C6F04">
        <w:rPr>
          <w:iCs/>
          <w:sz w:val="21"/>
          <w:szCs w:val="21"/>
        </w:rPr>
        <w:t>:</w:t>
      </w:r>
    </w:p>
    <w:p w14:paraId="4F02D1CF" w14:textId="16FCC178" w:rsidR="006C6F04" w:rsidRDefault="00F62A8B" w:rsidP="0011591E">
      <w:pPr>
        <w:pStyle w:val="ListParagraph"/>
        <w:numPr>
          <w:ilvl w:val="0"/>
          <w:numId w:val="29"/>
        </w:numPr>
        <w:spacing w:before="60" w:line="280" w:lineRule="atLeast"/>
        <w:ind w:left="714" w:hanging="357"/>
        <w:contextualSpacing w:val="0"/>
        <w:rPr>
          <w:iCs/>
          <w:sz w:val="21"/>
          <w:szCs w:val="21"/>
        </w:rPr>
      </w:pPr>
      <w:r>
        <w:rPr>
          <w:i/>
          <w:sz w:val="21"/>
          <w:szCs w:val="21"/>
        </w:rPr>
        <w:t>A</w:t>
      </w:r>
      <w:r w:rsidR="006C6F04" w:rsidRPr="005B092D">
        <w:rPr>
          <w:i/>
          <w:sz w:val="21"/>
          <w:szCs w:val="21"/>
        </w:rPr>
        <w:t>ccountability for performance</w:t>
      </w:r>
      <w:r w:rsidR="006C6F04">
        <w:rPr>
          <w:iCs/>
          <w:sz w:val="21"/>
          <w:szCs w:val="21"/>
        </w:rPr>
        <w:t xml:space="preserve"> </w:t>
      </w:r>
      <w:r w:rsidR="00F25E68">
        <w:rPr>
          <w:iCs/>
          <w:sz w:val="21"/>
          <w:szCs w:val="21"/>
        </w:rPr>
        <w:t>rests with the</w:t>
      </w:r>
      <w:r>
        <w:rPr>
          <w:iCs/>
          <w:sz w:val="21"/>
          <w:szCs w:val="21"/>
        </w:rPr>
        <w:t xml:space="preserve"> </w:t>
      </w:r>
      <w:r w:rsidR="006C6F04">
        <w:rPr>
          <w:iCs/>
          <w:sz w:val="21"/>
          <w:szCs w:val="21"/>
        </w:rPr>
        <w:t>ANGOs</w:t>
      </w:r>
      <w:r>
        <w:rPr>
          <w:iCs/>
          <w:sz w:val="21"/>
          <w:szCs w:val="21"/>
        </w:rPr>
        <w:t xml:space="preserve"> </w:t>
      </w:r>
      <w:r w:rsidR="00F25E68">
        <w:rPr>
          <w:iCs/>
          <w:sz w:val="21"/>
          <w:szCs w:val="21"/>
        </w:rPr>
        <w:t xml:space="preserve">who </w:t>
      </w:r>
      <w:r>
        <w:rPr>
          <w:iCs/>
          <w:sz w:val="21"/>
          <w:szCs w:val="21"/>
        </w:rPr>
        <w:t xml:space="preserve">are responsible for ensuring </w:t>
      </w:r>
      <w:r w:rsidR="00C312EC">
        <w:rPr>
          <w:iCs/>
          <w:sz w:val="21"/>
          <w:szCs w:val="21"/>
        </w:rPr>
        <w:t xml:space="preserve">approved proposals are implemented to a high standard. </w:t>
      </w:r>
      <w:r w:rsidR="006C6F04">
        <w:rPr>
          <w:iCs/>
          <w:sz w:val="21"/>
          <w:szCs w:val="21"/>
        </w:rPr>
        <w:t>Monitoring of performance is undertaken by Posts through review of reporting and engagement with local stakeholders,</w:t>
      </w:r>
      <w:r w:rsidR="00FE678C">
        <w:rPr>
          <w:iCs/>
          <w:sz w:val="21"/>
          <w:szCs w:val="21"/>
        </w:rPr>
        <w:t xml:space="preserve"> supported by HDS and the AHPSU</w:t>
      </w:r>
      <w:r w:rsidR="00D36638">
        <w:rPr>
          <w:iCs/>
          <w:sz w:val="21"/>
          <w:szCs w:val="21"/>
        </w:rPr>
        <w:t xml:space="preserve"> who assist with issue identification</w:t>
      </w:r>
      <w:r w:rsidR="006C6F04">
        <w:rPr>
          <w:iCs/>
          <w:sz w:val="21"/>
          <w:szCs w:val="21"/>
        </w:rPr>
        <w:t xml:space="preserve"> and </w:t>
      </w:r>
      <w:r w:rsidR="00F25E68">
        <w:rPr>
          <w:iCs/>
          <w:sz w:val="21"/>
          <w:szCs w:val="21"/>
        </w:rPr>
        <w:t xml:space="preserve">recommendations for </w:t>
      </w:r>
      <w:r w:rsidR="00D36638">
        <w:rPr>
          <w:iCs/>
          <w:sz w:val="21"/>
          <w:szCs w:val="21"/>
        </w:rPr>
        <w:t xml:space="preserve">management. Performance </w:t>
      </w:r>
      <w:r w:rsidR="006C6F04">
        <w:rPr>
          <w:iCs/>
          <w:sz w:val="21"/>
          <w:szCs w:val="21"/>
        </w:rPr>
        <w:t>issues are raised directly with ANGOs</w:t>
      </w:r>
      <w:r w:rsidR="000349C1">
        <w:rPr>
          <w:iCs/>
          <w:sz w:val="21"/>
          <w:szCs w:val="21"/>
        </w:rPr>
        <w:t xml:space="preserve"> by DFAT</w:t>
      </w:r>
      <w:r w:rsidR="006C6F04">
        <w:rPr>
          <w:iCs/>
          <w:sz w:val="21"/>
          <w:szCs w:val="21"/>
        </w:rPr>
        <w:t xml:space="preserve"> </w:t>
      </w:r>
      <w:r w:rsidR="002E084F">
        <w:rPr>
          <w:iCs/>
          <w:sz w:val="21"/>
          <w:szCs w:val="21"/>
        </w:rPr>
        <w:t>including through</w:t>
      </w:r>
      <w:r w:rsidR="006C6F04">
        <w:rPr>
          <w:iCs/>
          <w:sz w:val="21"/>
          <w:szCs w:val="21"/>
        </w:rPr>
        <w:t xml:space="preserve"> the Steering Committee </w:t>
      </w:r>
      <w:r w:rsidR="002E084F">
        <w:rPr>
          <w:iCs/>
          <w:sz w:val="21"/>
          <w:szCs w:val="21"/>
        </w:rPr>
        <w:t>where appropriate</w:t>
      </w:r>
      <w:r w:rsidR="006C6F04">
        <w:rPr>
          <w:iCs/>
          <w:sz w:val="21"/>
          <w:szCs w:val="21"/>
        </w:rPr>
        <w:t>.</w:t>
      </w:r>
    </w:p>
    <w:p w14:paraId="5E9B61B5" w14:textId="50602770" w:rsidR="006C6F04" w:rsidRDefault="00CB7586" w:rsidP="0011591E">
      <w:pPr>
        <w:pStyle w:val="ListParagraph"/>
        <w:numPr>
          <w:ilvl w:val="0"/>
          <w:numId w:val="29"/>
        </w:numPr>
        <w:spacing w:before="60" w:line="280" w:lineRule="atLeast"/>
        <w:ind w:left="714" w:hanging="357"/>
        <w:contextualSpacing w:val="0"/>
        <w:rPr>
          <w:iCs/>
          <w:sz w:val="21"/>
          <w:szCs w:val="21"/>
        </w:rPr>
      </w:pPr>
      <w:r>
        <w:rPr>
          <w:i/>
          <w:sz w:val="21"/>
          <w:szCs w:val="21"/>
        </w:rPr>
        <w:t>MEL</w:t>
      </w:r>
      <w:r w:rsidR="006C6F04">
        <w:rPr>
          <w:iCs/>
          <w:sz w:val="21"/>
          <w:szCs w:val="21"/>
        </w:rPr>
        <w:t xml:space="preserve"> will be carried out primarily by ANGOs throughout implementation</w:t>
      </w:r>
      <w:r w:rsidR="00B77CC6">
        <w:rPr>
          <w:iCs/>
          <w:sz w:val="21"/>
          <w:szCs w:val="21"/>
        </w:rPr>
        <w:t xml:space="preserve"> in accordance with approved Frameworks and Plans</w:t>
      </w:r>
      <w:r w:rsidR="006C6F04">
        <w:rPr>
          <w:iCs/>
          <w:sz w:val="21"/>
          <w:szCs w:val="21"/>
        </w:rPr>
        <w:t xml:space="preserve">. </w:t>
      </w:r>
      <w:r w:rsidR="00465BDE">
        <w:rPr>
          <w:iCs/>
          <w:sz w:val="21"/>
          <w:szCs w:val="21"/>
        </w:rPr>
        <w:t xml:space="preserve">The AHPSU will provide technical </w:t>
      </w:r>
      <w:r w:rsidR="00070348">
        <w:rPr>
          <w:iCs/>
          <w:sz w:val="21"/>
          <w:szCs w:val="21"/>
        </w:rPr>
        <w:t>MEL</w:t>
      </w:r>
      <w:r w:rsidR="00465BDE">
        <w:rPr>
          <w:iCs/>
          <w:sz w:val="21"/>
          <w:szCs w:val="21"/>
        </w:rPr>
        <w:t xml:space="preserve"> support and advice to country/program level </w:t>
      </w:r>
      <w:r w:rsidR="00070348">
        <w:rPr>
          <w:iCs/>
          <w:sz w:val="21"/>
          <w:szCs w:val="21"/>
        </w:rPr>
        <w:t>MEL</w:t>
      </w:r>
      <w:r w:rsidR="00465BDE">
        <w:rPr>
          <w:iCs/>
          <w:sz w:val="21"/>
          <w:szCs w:val="21"/>
        </w:rPr>
        <w:t xml:space="preserve"> functions as agreed in the design/proposal. </w:t>
      </w:r>
    </w:p>
    <w:p w14:paraId="190B0163" w14:textId="1023C82E" w:rsidR="002B101E" w:rsidRDefault="002B101E" w:rsidP="0011591E">
      <w:pPr>
        <w:pStyle w:val="ListParagraph"/>
        <w:numPr>
          <w:ilvl w:val="0"/>
          <w:numId w:val="29"/>
        </w:numPr>
        <w:spacing w:before="60" w:line="280" w:lineRule="atLeast"/>
        <w:ind w:left="714" w:hanging="357"/>
        <w:contextualSpacing w:val="0"/>
        <w:rPr>
          <w:iCs/>
          <w:sz w:val="21"/>
          <w:szCs w:val="21"/>
        </w:rPr>
      </w:pPr>
      <w:r w:rsidRPr="00026104">
        <w:rPr>
          <w:i/>
          <w:sz w:val="21"/>
          <w:szCs w:val="21"/>
        </w:rPr>
        <w:t>engagement with the Partner Government</w:t>
      </w:r>
      <w:r>
        <w:rPr>
          <w:iCs/>
          <w:sz w:val="21"/>
          <w:szCs w:val="21"/>
        </w:rPr>
        <w:t xml:space="preserve"> will continue to be led by DFAT Post, and clear lines of communication </w:t>
      </w:r>
      <w:r w:rsidR="00026104">
        <w:rPr>
          <w:iCs/>
          <w:sz w:val="21"/>
          <w:szCs w:val="21"/>
        </w:rPr>
        <w:t xml:space="preserve">will be </w:t>
      </w:r>
      <w:r>
        <w:rPr>
          <w:iCs/>
          <w:sz w:val="21"/>
          <w:szCs w:val="21"/>
        </w:rPr>
        <w:t>established between Posts and AHP Partners for policy dialogue.</w:t>
      </w:r>
    </w:p>
    <w:p w14:paraId="39E16186" w14:textId="5338F7C5" w:rsidR="00A12971" w:rsidRPr="00026104" w:rsidRDefault="000E5EF3" w:rsidP="003E2C60">
      <w:pPr>
        <w:pStyle w:val="ListParagraph"/>
        <w:tabs>
          <w:tab w:val="left" w:pos="284"/>
        </w:tabs>
        <w:suppressAutoHyphens w:val="0"/>
        <w:spacing w:before="200" w:after="0" w:line="280" w:lineRule="exact"/>
        <w:ind w:left="0"/>
        <w:contextualSpacing w:val="0"/>
        <w:rPr>
          <w:b/>
          <w:bCs/>
          <w:i/>
          <w:sz w:val="21"/>
          <w:szCs w:val="21"/>
        </w:rPr>
      </w:pPr>
      <w:r w:rsidRPr="00026104">
        <w:rPr>
          <w:b/>
          <w:bCs/>
          <w:i/>
          <w:sz w:val="21"/>
          <w:szCs w:val="21"/>
        </w:rPr>
        <w:lastRenderedPageBreak/>
        <w:t>Opportunities for a</w:t>
      </w:r>
      <w:r w:rsidR="00A12971" w:rsidRPr="00026104">
        <w:rPr>
          <w:b/>
          <w:bCs/>
          <w:i/>
          <w:sz w:val="21"/>
          <w:szCs w:val="21"/>
        </w:rPr>
        <w:t xml:space="preserve">nticipatory </w:t>
      </w:r>
      <w:r w:rsidRPr="00026104">
        <w:rPr>
          <w:b/>
          <w:bCs/>
          <w:i/>
          <w:sz w:val="21"/>
          <w:szCs w:val="21"/>
        </w:rPr>
        <w:t>a</w:t>
      </w:r>
      <w:r w:rsidR="00585375" w:rsidRPr="00026104">
        <w:rPr>
          <w:b/>
          <w:bCs/>
          <w:i/>
          <w:sz w:val="21"/>
          <w:szCs w:val="21"/>
        </w:rPr>
        <w:t>ction</w:t>
      </w:r>
    </w:p>
    <w:p w14:paraId="13C0D70B" w14:textId="3BA1CF06" w:rsidR="00020266" w:rsidRPr="002F374C" w:rsidRDefault="00B47954" w:rsidP="00026104">
      <w:pPr>
        <w:pStyle w:val="ListParagraph"/>
        <w:numPr>
          <w:ilvl w:val="0"/>
          <w:numId w:val="12"/>
        </w:numPr>
        <w:tabs>
          <w:tab w:val="left" w:pos="284"/>
        </w:tabs>
        <w:suppressAutoHyphens w:val="0"/>
        <w:spacing w:before="200" w:after="0" w:line="280" w:lineRule="exact"/>
        <w:ind w:left="0" w:firstLine="0"/>
        <w:contextualSpacing w:val="0"/>
        <w:rPr>
          <w:b/>
          <w:bCs/>
          <w:i/>
          <w:iCs/>
          <w:sz w:val="21"/>
          <w:szCs w:val="21"/>
        </w:rPr>
      </w:pPr>
      <w:r>
        <w:rPr>
          <w:iCs/>
          <w:sz w:val="21"/>
          <w:szCs w:val="21"/>
        </w:rPr>
        <w:t>I</w:t>
      </w:r>
      <w:r w:rsidRPr="003A50BD">
        <w:rPr>
          <w:iCs/>
          <w:sz w:val="21"/>
          <w:szCs w:val="21"/>
        </w:rPr>
        <w:t>njecting funding before a humanitarian crisis occurs is an emerging tool within the disaster risk reduction</w:t>
      </w:r>
      <w:r w:rsidR="005D3BDC">
        <w:rPr>
          <w:iCs/>
          <w:sz w:val="21"/>
          <w:szCs w:val="21"/>
        </w:rPr>
        <w:t xml:space="preserve"> and adaptation</w:t>
      </w:r>
      <w:r w:rsidRPr="003A50BD">
        <w:rPr>
          <w:iCs/>
          <w:sz w:val="21"/>
          <w:szCs w:val="21"/>
        </w:rPr>
        <w:t xml:space="preserve"> toolbox</w:t>
      </w:r>
      <w:r>
        <w:rPr>
          <w:iCs/>
          <w:sz w:val="21"/>
          <w:szCs w:val="21"/>
        </w:rPr>
        <w:t xml:space="preserve"> that can</w:t>
      </w:r>
      <w:r w:rsidR="003A50BD" w:rsidRPr="003A50BD">
        <w:rPr>
          <w:iCs/>
          <w:sz w:val="21"/>
          <w:szCs w:val="21"/>
        </w:rPr>
        <w:t xml:space="preserve"> reduce the impacts of disasters on communities</w:t>
      </w:r>
      <w:r>
        <w:rPr>
          <w:iCs/>
          <w:sz w:val="21"/>
          <w:szCs w:val="21"/>
        </w:rPr>
        <w:t xml:space="preserve">. </w:t>
      </w:r>
      <w:r w:rsidR="00832AD2">
        <w:rPr>
          <w:iCs/>
          <w:sz w:val="21"/>
          <w:szCs w:val="21"/>
        </w:rPr>
        <w:t>There is potential for the AHP to pilot anticipatory action subject to the development of</w:t>
      </w:r>
      <w:r w:rsidR="00DA1979">
        <w:rPr>
          <w:iCs/>
          <w:sz w:val="21"/>
          <w:szCs w:val="21"/>
        </w:rPr>
        <w:t xml:space="preserve"> appropriate</w:t>
      </w:r>
      <w:r w:rsidRPr="003A50BD">
        <w:rPr>
          <w:iCs/>
          <w:sz w:val="21"/>
          <w:szCs w:val="21"/>
        </w:rPr>
        <w:t xml:space="preserve"> models for forecast-based financing</w:t>
      </w:r>
      <w:r w:rsidR="00DA1979">
        <w:rPr>
          <w:iCs/>
          <w:sz w:val="21"/>
          <w:szCs w:val="21"/>
        </w:rPr>
        <w:t>. Opportunities in this area</w:t>
      </w:r>
      <w:r w:rsidR="003A50BD" w:rsidRPr="003A50BD">
        <w:rPr>
          <w:iCs/>
          <w:sz w:val="21"/>
          <w:szCs w:val="21"/>
        </w:rPr>
        <w:t xml:space="preserve"> </w:t>
      </w:r>
      <w:r w:rsidR="00FC6796">
        <w:rPr>
          <w:iCs/>
          <w:sz w:val="21"/>
          <w:szCs w:val="21"/>
        </w:rPr>
        <w:t>will be explored</w:t>
      </w:r>
      <w:r w:rsidR="003A50BD" w:rsidRPr="003A50BD">
        <w:rPr>
          <w:iCs/>
          <w:sz w:val="21"/>
          <w:szCs w:val="21"/>
        </w:rPr>
        <w:t xml:space="preserve"> throughout the life of AHP </w:t>
      </w:r>
      <w:r w:rsidR="00406F84">
        <w:rPr>
          <w:iCs/>
          <w:sz w:val="21"/>
          <w:szCs w:val="21"/>
        </w:rPr>
        <w:t>Phase II</w:t>
      </w:r>
      <w:r w:rsidR="00DA1979">
        <w:rPr>
          <w:iCs/>
          <w:sz w:val="21"/>
          <w:szCs w:val="21"/>
        </w:rPr>
        <w:t xml:space="preserve"> in consultation with the AHP Steering </w:t>
      </w:r>
      <w:r w:rsidR="007E33CF">
        <w:rPr>
          <w:iCs/>
          <w:sz w:val="21"/>
          <w:szCs w:val="21"/>
        </w:rPr>
        <w:t>Committee</w:t>
      </w:r>
      <w:r w:rsidR="003A50BD" w:rsidRPr="003A50BD">
        <w:rPr>
          <w:iCs/>
          <w:sz w:val="21"/>
          <w:szCs w:val="21"/>
        </w:rPr>
        <w:t>.</w:t>
      </w:r>
    </w:p>
    <w:p w14:paraId="3A2A6EAE" w14:textId="06D8494B" w:rsidR="000A76FF" w:rsidRPr="00AC29A6" w:rsidRDefault="000A76FF" w:rsidP="008F2934">
      <w:pPr>
        <w:pStyle w:val="ListParagraph"/>
        <w:keepNext/>
        <w:tabs>
          <w:tab w:val="left" w:pos="284"/>
        </w:tabs>
        <w:suppressAutoHyphens w:val="0"/>
        <w:spacing w:before="200" w:after="0" w:line="280" w:lineRule="exact"/>
        <w:ind w:left="0"/>
        <w:contextualSpacing w:val="0"/>
        <w:rPr>
          <w:b/>
          <w:bCs/>
          <w:i/>
          <w:sz w:val="21"/>
          <w:szCs w:val="21"/>
        </w:rPr>
      </w:pPr>
      <w:r w:rsidRPr="00AC29A6">
        <w:rPr>
          <w:b/>
          <w:bCs/>
          <w:i/>
          <w:sz w:val="21"/>
          <w:szCs w:val="21"/>
        </w:rPr>
        <w:t>Greening humanitarian response</w:t>
      </w:r>
    </w:p>
    <w:p w14:paraId="328083F6" w14:textId="31346675" w:rsidR="000A76FF" w:rsidRDefault="00473512" w:rsidP="008F2934">
      <w:pPr>
        <w:pStyle w:val="ListParagraph"/>
        <w:keepNext/>
        <w:numPr>
          <w:ilvl w:val="0"/>
          <w:numId w:val="12"/>
        </w:numPr>
        <w:tabs>
          <w:tab w:val="left" w:pos="284"/>
        </w:tabs>
        <w:suppressAutoHyphens w:val="0"/>
        <w:spacing w:before="200" w:after="0" w:line="280" w:lineRule="exact"/>
        <w:ind w:left="0" w:firstLine="0"/>
        <w:contextualSpacing w:val="0"/>
        <w:rPr>
          <w:sz w:val="21"/>
          <w:szCs w:val="21"/>
        </w:rPr>
      </w:pPr>
      <w:r>
        <w:rPr>
          <w:b/>
          <w:bCs/>
          <w:i/>
          <w:iCs/>
          <w:sz w:val="21"/>
          <w:szCs w:val="21"/>
        </w:rPr>
        <w:t xml:space="preserve"> </w:t>
      </w:r>
      <w:r w:rsidR="001153FE" w:rsidRPr="003E2C60">
        <w:rPr>
          <w:sz w:val="21"/>
          <w:szCs w:val="21"/>
        </w:rPr>
        <w:t xml:space="preserve">There is growing recognition and awareness </w:t>
      </w:r>
      <w:r w:rsidR="0010396C">
        <w:rPr>
          <w:sz w:val="21"/>
          <w:szCs w:val="21"/>
        </w:rPr>
        <w:t>in the humanitarian sector</w:t>
      </w:r>
      <w:r w:rsidR="001E0460">
        <w:rPr>
          <w:sz w:val="21"/>
          <w:szCs w:val="21"/>
        </w:rPr>
        <w:t xml:space="preserve"> </w:t>
      </w:r>
      <w:r w:rsidR="001153FE" w:rsidRPr="003E2C60">
        <w:rPr>
          <w:sz w:val="21"/>
          <w:szCs w:val="21"/>
        </w:rPr>
        <w:t>of the importance of addressing the environmental impacts of humanitarian</w:t>
      </w:r>
      <w:r w:rsidR="001E0460">
        <w:rPr>
          <w:sz w:val="21"/>
          <w:szCs w:val="21"/>
        </w:rPr>
        <w:t xml:space="preserve"> response</w:t>
      </w:r>
      <w:r w:rsidR="00AC29A6">
        <w:rPr>
          <w:sz w:val="21"/>
          <w:szCs w:val="21"/>
        </w:rPr>
        <w:t xml:space="preserve"> and recovery</w:t>
      </w:r>
      <w:r w:rsidR="00462F87">
        <w:rPr>
          <w:sz w:val="21"/>
          <w:szCs w:val="21"/>
        </w:rPr>
        <w:t xml:space="preserve"> activities</w:t>
      </w:r>
      <w:r w:rsidR="001153FE" w:rsidRPr="003E2C60">
        <w:rPr>
          <w:sz w:val="21"/>
          <w:szCs w:val="21"/>
        </w:rPr>
        <w:t>.</w:t>
      </w:r>
      <w:r w:rsidR="001153FE" w:rsidRPr="003E2C60" w:rsidDel="001153FE">
        <w:rPr>
          <w:sz w:val="21"/>
          <w:szCs w:val="21"/>
        </w:rPr>
        <w:t xml:space="preserve"> </w:t>
      </w:r>
      <w:r w:rsidR="00462F87">
        <w:rPr>
          <w:sz w:val="21"/>
          <w:szCs w:val="21"/>
        </w:rPr>
        <w:t xml:space="preserve">In </w:t>
      </w:r>
      <w:r w:rsidR="00406F84">
        <w:rPr>
          <w:sz w:val="21"/>
          <w:szCs w:val="21"/>
        </w:rPr>
        <w:t>Phase II</w:t>
      </w:r>
      <w:r w:rsidR="00462F87">
        <w:rPr>
          <w:sz w:val="21"/>
          <w:szCs w:val="21"/>
        </w:rPr>
        <w:t>, the Partnership will explor</w:t>
      </w:r>
      <w:r w:rsidR="003835B4">
        <w:rPr>
          <w:sz w:val="21"/>
          <w:szCs w:val="21"/>
        </w:rPr>
        <w:t xml:space="preserve">e areas to strengthen environmental protection and safeguards </w:t>
      </w:r>
      <w:r w:rsidR="006F248C">
        <w:rPr>
          <w:sz w:val="21"/>
          <w:szCs w:val="21"/>
        </w:rPr>
        <w:t>in response</w:t>
      </w:r>
      <w:r w:rsidR="00AC29A6">
        <w:rPr>
          <w:sz w:val="21"/>
          <w:szCs w:val="21"/>
        </w:rPr>
        <w:t xml:space="preserve"> and recovery</w:t>
      </w:r>
      <w:r w:rsidR="006F248C">
        <w:rPr>
          <w:sz w:val="21"/>
          <w:szCs w:val="21"/>
        </w:rPr>
        <w:t xml:space="preserve">, which may include initiatives such as </w:t>
      </w:r>
      <w:r w:rsidR="00A5361F">
        <w:rPr>
          <w:sz w:val="21"/>
          <w:szCs w:val="21"/>
        </w:rPr>
        <w:t xml:space="preserve">increased </w:t>
      </w:r>
      <w:r w:rsidR="00701103">
        <w:rPr>
          <w:sz w:val="21"/>
          <w:szCs w:val="21"/>
        </w:rPr>
        <w:t>local procurement</w:t>
      </w:r>
      <w:r w:rsidR="00A5361F">
        <w:rPr>
          <w:sz w:val="21"/>
          <w:szCs w:val="21"/>
        </w:rPr>
        <w:t xml:space="preserve"> of humanitarian supplies</w:t>
      </w:r>
      <w:r w:rsidR="00701103">
        <w:rPr>
          <w:sz w:val="21"/>
          <w:szCs w:val="21"/>
        </w:rPr>
        <w:t xml:space="preserve">, </w:t>
      </w:r>
      <w:r w:rsidR="006F248C">
        <w:rPr>
          <w:sz w:val="21"/>
          <w:szCs w:val="21"/>
        </w:rPr>
        <w:t xml:space="preserve">environmental impact assessments </w:t>
      </w:r>
      <w:r w:rsidR="0010396C">
        <w:rPr>
          <w:sz w:val="21"/>
          <w:szCs w:val="21"/>
        </w:rPr>
        <w:t>or carbon reporting.</w:t>
      </w:r>
    </w:p>
    <w:p w14:paraId="3DA3FC4F" w14:textId="005F94D8" w:rsidR="00943FB1" w:rsidRPr="00D265E3" w:rsidRDefault="00943FB1" w:rsidP="009D4ED5">
      <w:pPr>
        <w:spacing w:before="200" w:after="0" w:line="280" w:lineRule="atLeast"/>
        <w:rPr>
          <w:b/>
          <w:bCs/>
          <w:i/>
          <w:sz w:val="21"/>
          <w:szCs w:val="21"/>
        </w:rPr>
      </w:pPr>
      <w:r w:rsidRPr="009D4ED5">
        <w:rPr>
          <w:b/>
          <w:bCs/>
          <w:i/>
          <w:sz w:val="21"/>
          <w:szCs w:val="21"/>
        </w:rPr>
        <w:t>Specific</w:t>
      </w:r>
      <w:r>
        <w:rPr>
          <w:b/>
          <w:bCs/>
          <w:i/>
          <w:sz w:val="21"/>
          <w:szCs w:val="21"/>
        </w:rPr>
        <w:t xml:space="preserve"> </w:t>
      </w:r>
      <w:r w:rsidR="00765B5E">
        <w:rPr>
          <w:b/>
          <w:bCs/>
          <w:i/>
          <w:sz w:val="21"/>
          <w:szCs w:val="21"/>
        </w:rPr>
        <w:t>m</w:t>
      </w:r>
      <w:r w:rsidRPr="00D265E3">
        <w:rPr>
          <w:b/>
          <w:bCs/>
          <w:i/>
          <w:sz w:val="21"/>
          <w:szCs w:val="21"/>
        </w:rPr>
        <w:t>onitoring</w:t>
      </w:r>
      <w:r>
        <w:rPr>
          <w:b/>
          <w:bCs/>
          <w:i/>
          <w:sz w:val="21"/>
          <w:szCs w:val="21"/>
        </w:rPr>
        <w:t>, evaluation and learning</w:t>
      </w:r>
      <w:r w:rsidRPr="00D265E3">
        <w:rPr>
          <w:b/>
          <w:bCs/>
          <w:i/>
          <w:sz w:val="21"/>
          <w:szCs w:val="21"/>
        </w:rPr>
        <w:t xml:space="preserve"> arrangements</w:t>
      </w:r>
      <w:r>
        <w:rPr>
          <w:b/>
          <w:bCs/>
          <w:i/>
          <w:sz w:val="21"/>
          <w:szCs w:val="21"/>
        </w:rPr>
        <w:t xml:space="preserve"> for Responses</w:t>
      </w:r>
    </w:p>
    <w:p w14:paraId="57134B00" w14:textId="02249DCE" w:rsidR="00943FB1" w:rsidRDefault="00943FB1" w:rsidP="00E93683">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sidRPr="00E93683">
        <w:rPr>
          <w:rFonts w:eastAsia="Times New Roman" w:cs="Times New Roman"/>
          <w:sz w:val="21"/>
          <w:szCs w:val="24"/>
          <w:lang w:val="en-AU"/>
        </w:rPr>
        <w:t>Specific</w:t>
      </w:r>
      <w:r>
        <w:rPr>
          <w:iCs/>
          <w:sz w:val="21"/>
          <w:szCs w:val="21"/>
        </w:rPr>
        <w:t xml:space="preserve"> </w:t>
      </w:r>
      <w:r w:rsidR="00DC4C4E">
        <w:rPr>
          <w:rFonts w:eastAsia="Times New Roman" w:cs="Times New Roman"/>
          <w:sz w:val="21"/>
          <w:szCs w:val="24"/>
          <w:lang w:val="en-AU"/>
        </w:rPr>
        <w:t>MEL</w:t>
      </w:r>
      <w:r>
        <w:rPr>
          <w:iCs/>
          <w:sz w:val="21"/>
          <w:szCs w:val="21"/>
        </w:rPr>
        <w:t xml:space="preserve"> arrangements for responses include:</w:t>
      </w:r>
    </w:p>
    <w:p w14:paraId="1A3112D9" w14:textId="4CD36B09" w:rsidR="00943FB1" w:rsidRDefault="00943FB1" w:rsidP="0011591E">
      <w:pPr>
        <w:pStyle w:val="ListParagraph"/>
        <w:numPr>
          <w:ilvl w:val="0"/>
          <w:numId w:val="29"/>
        </w:numPr>
        <w:spacing w:before="60" w:line="280" w:lineRule="atLeast"/>
        <w:ind w:left="714" w:hanging="357"/>
        <w:contextualSpacing w:val="0"/>
        <w:rPr>
          <w:iCs/>
          <w:sz w:val="21"/>
          <w:szCs w:val="21"/>
        </w:rPr>
      </w:pPr>
      <w:r>
        <w:rPr>
          <w:iCs/>
          <w:sz w:val="21"/>
          <w:szCs w:val="21"/>
        </w:rPr>
        <w:t>Response Proposals (collaborative or individual ANGO proposal</w:t>
      </w:r>
      <w:r w:rsidR="00273E11">
        <w:rPr>
          <w:iCs/>
          <w:sz w:val="21"/>
          <w:szCs w:val="21"/>
        </w:rPr>
        <w:t>s</w:t>
      </w:r>
      <w:r>
        <w:rPr>
          <w:iCs/>
          <w:sz w:val="21"/>
          <w:szCs w:val="21"/>
        </w:rPr>
        <w:t xml:space="preserve">) will include </w:t>
      </w:r>
      <w:r w:rsidR="00CB7586">
        <w:rPr>
          <w:iCs/>
          <w:sz w:val="21"/>
          <w:szCs w:val="21"/>
        </w:rPr>
        <w:t>MEL</w:t>
      </w:r>
      <w:r>
        <w:rPr>
          <w:iCs/>
          <w:sz w:val="21"/>
          <w:szCs w:val="21"/>
        </w:rPr>
        <w:t xml:space="preserve"> arrangements related to the objectives and activities of the response.  For collaborative proposals, sufficient resources and allocation of responsibilities for data collection, analysis and reporting will be included in the design and proposal. For </w:t>
      </w:r>
      <w:r w:rsidR="0021650C">
        <w:rPr>
          <w:iCs/>
          <w:sz w:val="21"/>
          <w:szCs w:val="21"/>
        </w:rPr>
        <w:t>competitive</w:t>
      </w:r>
      <w:r>
        <w:rPr>
          <w:iCs/>
          <w:sz w:val="21"/>
          <w:szCs w:val="21"/>
        </w:rPr>
        <w:t xml:space="preserve"> proposals, the </w:t>
      </w:r>
      <w:r w:rsidR="0021650C">
        <w:rPr>
          <w:iCs/>
          <w:sz w:val="21"/>
          <w:szCs w:val="21"/>
        </w:rPr>
        <w:t xml:space="preserve">selected </w:t>
      </w:r>
      <w:r>
        <w:rPr>
          <w:iCs/>
          <w:sz w:val="21"/>
          <w:szCs w:val="21"/>
        </w:rPr>
        <w:t>ANGO</w:t>
      </w:r>
      <w:r w:rsidR="0021650C">
        <w:rPr>
          <w:iCs/>
          <w:sz w:val="21"/>
          <w:szCs w:val="21"/>
        </w:rPr>
        <w:t>/consortia lead</w:t>
      </w:r>
      <w:r>
        <w:rPr>
          <w:iCs/>
          <w:sz w:val="21"/>
          <w:szCs w:val="21"/>
        </w:rPr>
        <w:t xml:space="preserve"> will be accountable for MEL.</w:t>
      </w:r>
    </w:p>
    <w:p w14:paraId="67ACCC1F" w14:textId="50E0D347" w:rsidR="00943FB1" w:rsidRDefault="00943FB1" w:rsidP="0011591E">
      <w:pPr>
        <w:pStyle w:val="ListParagraph"/>
        <w:numPr>
          <w:ilvl w:val="0"/>
          <w:numId w:val="29"/>
        </w:numPr>
        <w:spacing w:before="60" w:line="280" w:lineRule="atLeast"/>
        <w:ind w:left="714" w:hanging="357"/>
        <w:contextualSpacing w:val="0"/>
        <w:rPr>
          <w:iCs/>
          <w:sz w:val="21"/>
          <w:szCs w:val="21"/>
        </w:rPr>
      </w:pPr>
      <w:r>
        <w:rPr>
          <w:iCs/>
          <w:sz w:val="21"/>
          <w:szCs w:val="21"/>
        </w:rPr>
        <w:t>The AHPSU will commission independent evaluations for all responses over $3 million</w:t>
      </w:r>
      <w:r w:rsidR="00F46905">
        <w:rPr>
          <w:iCs/>
          <w:sz w:val="21"/>
          <w:szCs w:val="21"/>
        </w:rPr>
        <w:t xml:space="preserve"> </w:t>
      </w:r>
      <w:r w:rsidR="00685ABC">
        <w:rPr>
          <w:iCs/>
          <w:sz w:val="21"/>
          <w:szCs w:val="21"/>
        </w:rPr>
        <w:t>unles</w:t>
      </w:r>
      <w:r w:rsidR="00F46905">
        <w:rPr>
          <w:iCs/>
          <w:sz w:val="21"/>
          <w:szCs w:val="21"/>
        </w:rPr>
        <w:t>s otherwise agreed with DFAT</w:t>
      </w:r>
      <w:r w:rsidR="00E14E20">
        <w:rPr>
          <w:iCs/>
          <w:sz w:val="21"/>
          <w:szCs w:val="21"/>
        </w:rPr>
        <w:t xml:space="preserve"> (</w:t>
      </w:r>
      <w:r w:rsidR="00685ABC">
        <w:rPr>
          <w:iCs/>
          <w:sz w:val="21"/>
          <w:szCs w:val="21"/>
        </w:rPr>
        <w:t xml:space="preserve">for example, </w:t>
      </w:r>
      <w:r w:rsidR="00DA5AD4">
        <w:rPr>
          <w:iCs/>
          <w:sz w:val="21"/>
          <w:szCs w:val="21"/>
        </w:rPr>
        <w:t>i</w:t>
      </w:r>
      <w:r w:rsidR="00EA2ADE">
        <w:rPr>
          <w:iCs/>
          <w:sz w:val="21"/>
          <w:szCs w:val="21"/>
        </w:rPr>
        <w:t>f</w:t>
      </w:r>
      <w:r w:rsidR="00DA5AD4">
        <w:rPr>
          <w:iCs/>
          <w:sz w:val="21"/>
          <w:szCs w:val="21"/>
        </w:rPr>
        <w:t xml:space="preserve"> a</w:t>
      </w:r>
      <w:r w:rsidR="00EA2ADE">
        <w:rPr>
          <w:iCs/>
          <w:sz w:val="21"/>
          <w:szCs w:val="21"/>
        </w:rPr>
        <w:t xml:space="preserve"> whole-of-package evaluation is planned</w:t>
      </w:r>
      <w:r w:rsidR="00E14E20">
        <w:rPr>
          <w:iCs/>
          <w:sz w:val="21"/>
          <w:szCs w:val="21"/>
        </w:rPr>
        <w:t>)</w:t>
      </w:r>
      <w:r>
        <w:rPr>
          <w:iCs/>
          <w:sz w:val="21"/>
          <w:szCs w:val="21"/>
        </w:rPr>
        <w:t xml:space="preserve">. DFAT </w:t>
      </w:r>
      <w:r w:rsidR="000F3DA7">
        <w:rPr>
          <w:iCs/>
          <w:sz w:val="21"/>
          <w:szCs w:val="21"/>
        </w:rPr>
        <w:t>may utilise up to 2.5% of funding</w:t>
      </w:r>
      <w:r w:rsidR="00085776">
        <w:rPr>
          <w:iCs/>
          <w:sz w:val="21"/>
          <w:szCs w:val="21"/>
        </w:rPr>
        <w:t xml:space="preserve"> </w:t>
      </w:r>
      <w:r w:rsidR="000F3DA7">
        <w:rPr>
          <w:iCs/>
          <w:sz w:val="21"/>
          <w:szCs w:val="21"/>
        </w:rPr>
        <w:t xml:space="preserve">for activations </w:t>
      </w:r>
      <w:r>
        <w:rPr>
          <w:iCs/>
          <w:sz w:val="21"/>
          <w:szCs w:val="21"/>
        </w:rPr>
        <w:t xml:space="preserve">over $3 million </w:t>
      </w:r>
      <w:r w:rsidR="000F3DA7">
        <w:rPr>
          <w:iCs/>
          <w:sz w:val="21"/>
          <w:szCs w:val="21"/>
        </w:rPr>
        <w:t>to enable</w:t>
      </w:r>
      <w:r>
        <w:rPr>
          <w:iCs/>
          <w:sz w:val="21"/>
          <w:szCs w:val="21"/>
        </w:rPr>
        <w:t xml:space="preserve"> the AHPSU to </w:t>
      </w:r>
      <w:r w:rsidR="00FE780B">
        <w:rPr>
          <w:iCs/>
          <w:sz w:val="21"/>
          <w:szCs w:val="21"/>
        </w:rPr>
        <w:t xml:space="preserve">manage and </w:t>
      </w:r>
      <w:r>
        <w:rPr>
          <w:iCs/>
          <w:sz w:val="21"/>
          <w:szCs w:val="21"/>
        </w:rPr>
        <w:t xml:space="preserve">conduct </w:t>
      </w:r>
      <w:r w:rsidR="00FE780B">
        <w:rPr>
          <w:iCs/>
          <w:sz w:val="21"/>
          <w:szCs w:val="21"/>
        </w:rPr>
        <w:t xml:space="preserve">independent </w:t>
      </w:r>
      <w:r>
        <w:rPr>
          <w:iCs/>
          <w:sz w:val="21"/>
          <w:szCs w:val="21"/>
        </w:rPr>
        <w:t>evaluations.</w:t>
      </w:r>
      <w:r w:rsidR="00101BD5">
        <w:rPr>
          <w:iCs/>
          <w:sz w:val="21"/>
          <w:szCs w:val="21"/>
        </w:rPr>
        <w:t xml:space="preserve"> Evaluations of activations in Disaster READY countries will consider the </w:t>
      </w:r>
      <w:r w:rsidR="009E774B">
        <w:rPr>
          <w:iCs/>
          <w:sz w:val="21"/>
          <w:szCs w:val="21"/>
        </w:rPr>
        <w:t>impact of Disaster READY activities on the response.</w:t>
      </w:r>
    </w:p>
    <w:p w14:paraId="6C5022E0" w14:textId="56E4059A" w:rsidR="004359A1" w:rsidRDefault="004359A1" w:rsidP="004359A1">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Pr>
          <w:iCs/>
          <w:sz w:val="21"/>
          <w:szCs w:val="21"/>
        </w:rPr>
        <w:t xml:space="preserve">Opportunities for shared indicators with ANCP and other </w:t>
      </w:r>
      <w:r w:rsidR="00AC7C36">
        <w:rPr>
          <w:iCs/>
          <w:sz w:val="21"/>
          <w:szCs w:val="21"/>
        </w:rPr>
        <w:t xml:space="preserve">DFAT programs will continue to be identified building on the experience </w:t>
      </w:r>
      <w:r w:rsidR="00DA2C67">
        <w:rPr>
          <w:iCs/>
          <w:sz w:val="21"/>
          <w:szCs w:val="21"/>
        </w:rPr>
        <w:t>piloted during COVID.</w:t>
      </w:r>
    </w:p>
    <w:p w14:paraId="25133719" w14:textId="0BF955BE" w:rsidR="007F4A11" w:rsidRPr="00377091" w:rsidRDefault="007F4A11" w:rsidP="00FE6F0C">
      <w:pPr>
        <w:spacing w:before="200" w:after="0" w:line="280" w:lineRule="atLeast"/>
        <w:rPr>
          <w:b/>
          <w:bCs/>
          <w:i/>
          <w:sz w:val="21"/>
          <w:szCs w:val="21"/>
        </w:rPr>
      </w:pPr>
      <w:r w:rsidRPr="00377091">
        <w:rPr>
          <w:b/>
          <w:bCs/>
          <w:i/>
          <w:sz w:val="21"/>
          <w:szCs w:val="21"/>
        </w:rPr>
        <w:t>Outputs for Component 2</w:t>
      </w:r>
    </w:p>
    <w:p w14:paraId="698F2BE2" w14:textId="160CC424" w:rsidR="007F4A11" w:rsidRDefault="007F4A11" w:rsidP="00FE6F0C">
      <w:pPr>
        <w:pStyle w:val="ListParagraph"/>
        <w:numPr>
          <w:ilvl w:val="0"/>
          <w:numId w:val="12"/>
        </w:numPr>
        <w:tabs>
          <w:tab w:val="left" w:pos="284"/>
        </w:tabs>
        <w:suppressAutoHyphens w:val="0"/>
        <w:spacing w:before="200" w:after="120" w:line="280" w:lineRule="exact"/>
        <w:ind w:left="0" w:firstLine="0"/>
        <w:contextualSpacing w:val="0"/>
        <w:rPr>
          <w:iCs/>
          <w:sz w:val="21"/>
          <w:szCs w:val="21"/>
        </w:rPr>
      </w:pPr>
      <w:r>
        <w:rPr>
          <w:iCs/>
          <w:sz w:val="21"/>
          <w:szCs w:val="21"/>
        </w:rPr>
        <w:t>The outputs delivered by Partners for this component include:</w:t>
      </w:r>
    </w:p>
    <w:p w14:paraId="0A3ECB69" w14:textId="6F3BBAFF" w:rsidR="00F32232" w:rsidRPr="00F32232" w:rsidRDefault="00E22CA8" w:rsidP="0011591E">
      <w:pPr>
        <w:pStyle w:val="ListParagraph"/>
        <w:numPr>
          <w:ilvl w:val="0"/>
          <w:numId w:val="29"/>
        </w:numPr>
        <w:spacing w:before="60" w:line="280" w:lineRule="atLeast"/>
        <w:ind w:left="714" w:hanging="357"/>
        <w:contextualSpacing w:val="0"/>
        <w:rPr>
          <w:iCs/>
          <w:sz w:val="21"/>
          <w:szCs w:val="21"/>
          <w:lang w:val="en-AU"/>
        </w:rPr>
      </w:pPr>
      <w:r>
        <w:rPr>
          <w:iCs/>
          <w:sz w:val="21"/>
          <w:szCs w:val="21"/>
          <w:lang w:val="en-AU"/>
        </w:rPr>
        <w:t xml:space="preserve">SOPs </w:t>
      </w:r>
      <w:r w:rsidR="00EA53B7">
        <w:rPr>
          <w:iCs/>
          <w:sz w:val="21"/>
          <w:szCs w:val="21"/>
          <w:lang w:val="en-AU"/>
        </w:rPr>
        <w:t>updated in consultation with stakeholders and agreed with the Steering Committee</w:t>
      </w:r>
      <w:r w:rsidR="00487E86">
        <w:rPr>
          <w:iCs/>
          <w:sz w:val="21"/>
          <w:szCs w:val="21"/>
          <w:lang w:val="en-AU"/>
        </w:rPr>
        <w:t>;</w:t>
      </w:r>
    </w:p>
    <w:p w14:paraId="260E1FC9" w14:textId="7EA84C50" w:rsidR="00F32232" w:rsidRPr="00F32232" w:rsidRDefault="00EA53B7" w:rsidP="0011591E">
      <w:pPr>
        <w:pStyle w:val="ListParagraph"/>
        <w:numPr>
          <w:ilvl w:val="0"/>
          <w:numId w:val="29"/>
        </w:numPr>
        <w:spacing w:before="60" w:line="280" w:lineRule="atLeast"/>
        <w:ind w:left="714" w:hanging="357"/>
        <w:contextualSpacing w:val="0"/>
        <w:rPr>
          <w:iCs/>
          <w:sz w:val="21"/>
          <w:szCs w:val="21"/>
          <w:lang w:val="en-AU"/>
        </w:rPr>
      </w:pPr>
      <w:r>
        <w:rPr>
          <w:iCs/>
          <w:sz w:val="21"/>
          <w:szCs w:val="21"/>
          <w:lang w:val="en-AU"/>
        </w:rPr>
        <w:t xml:space="preserve">Panel of </w:t>
      </w:r>
      <w:r w:rsidR="00487E86">
        <w:rPr>
          <w:iCs/>
          <w:sz w:val="21"/>
          <w:szCs w:val="21"/>
          <w:lang w:val="en-AU"/>
        </w:rPr>
        <w:t>technical specialists established by the AHPSU;</w:t>
      </w:r>
    </w:p>
    <w:p w14:paraId="06E6350B" w14:textId="78E01BF9" w:rsidR="00F32232" w:rsidRDefault="001E5316" w:rsidP="0011591E">
      <w:pPr>
        <w:pStyle w:val="ListParagraph"/>
        <w:numPr>
          <w:ilvl w:val="0"/>
          <w:numId w:val="29"/>
        </w:numPr>
        <w:spacing w:before="60" w:line="280" w:lineRule="atLeast"/>
        <w:ind w:left="714" w:hanging="357"/>
        <w:contextualSpacing w:val="0"/>
        <w:rPr>
          <w:iCs/>
          <w:sz w:val="21"/>
          <w:szCs w:val="21"/>
          <w:lang w:val="en-AU"/>
        </w:rPr>
      </w:pPr>
      <w:r>
        <w:rPr>
          <w:iCs/>
          <w:sz w:val="21"/>
          <w:szCs w:val="21"/>
          <w:lang w:val="en-AU"/>
        </w:rPr>
        <w:t xml:space="preserve">AHP NGO Partners </w:t>
      </w:r>
      <w:r w:rsidR="00A04D3A">
        <w:rPr>
          <w:iCs/>
          <w:sz w:val="21"/>
          <w:szCs w:val="21"/>
          <w:lang w:val="en-AU"/>
        </w:rPr>
        <w:t>submit activation proposals that</w:t>
      </w:r>
      <w:r w:rsidR="00A17FD1">
        <w:rPr>
          <w:iCs/>
          <w:sz w:val="21"/>
          <w:szCs w:val="21"/>
          <w:lang w:val="en-AU"/>
        </w:rPr>
        <w:t xml:space="preserve"> are</w:t>
      </w:r>
      <w:r w:rsidR="00F32232" w:rsidRPr="00F32232">
        <w:rPr>
          <w:iCs/>
          <w:sz w:val="21"/>
          <w:szCs w:val="21"/>
          <w:lang w:val="en-AU"/>
        </w:rPr>
        <w:t xml:space="preserve"> </w:t>
      </w:r>
      <w:r w:rsidR="00A17FD1">
        <w:rPr>
          <w:iCs/>
          <w:sz w:val="21"/>
          <w:szCs w:val="21"/>
          <w:lang w:val="en-AU"/>
        </w:rPr>
        <w:t>in accordance with the Program Principles and MELF</w:t>
      </w:r>
      <w:r w:rsidR="00F32232" w:rsidRPr="00F32232">
        <w:rPr>
          <w:iCs/>
          <w:sz w:val="21"/>
          <w:szCs w:val="21"/>
          <w:lang w:val="en-AU"/>
        </w:rPr>
        <w:t>.</w:t>
      </w:r>
    </w:p>
    <w:p w14:paraId="1D7301FA" w14:textId="65E38B9F" w:rsidR="00CE1A52" w:rsidRPr="00F32232" w:rsidRDefault="00CE1A52" w:rsidP="0011591E">
      <w:pPr>
        <w:pStyle w:val="ListParagraph"/>
        <w:numPr>
          <w:ilvl w:val="0"/>
          <w:numId w:val="29"/>
        </w:numPr>
        <w:spacing w:before="60" w:line="280" w:lineRule="atLeast"/>
        <w:ind w:left="714" w:hanging="357"/>
        <w:contextualSpacing w:val="0"/>
        <w:rPr>
          <w:iCs/>
          <w:sz w:val="21"/>
          <w:szCs w:val="21"/>
          <w:lang w:val="en-AU"/>
        </w:rPr>
      </w:pPr>
      <w:r>
        <w:rPr>
          <w:iCs/>
          <w:sz w:val="21"/>
          <w:szCs w:val="21"/>
          <w:lang w:val="en-AU"/>
        </w:rPr>
        <w:t>AHP NGO Partners implement and monitor approved proposals</w:t>
      </w:r>
      <w:r w:rsidR="001E47DA">
        <w:rPr>
          <w:iCs/>
          <w:sz w:val="21"/>
          <w:szCs w:val="21"/>
          <w:lang w:val="en-AU"/>
        </w:rPr>
        <w:t xml:space="preserve"> in accordance with the Program Principles and MELF</w:t>
      </w:r>
      <w:r>
        <w:rPr>
          <w:iCs/>
          <w:sz w:val="21"/>
          <w:szCs w:val="21"/>
          <w:lang w:val="en-AU"/>
        </w:rPr>
        <w:t>.</w:t>
      </w:r>
    </w:p>
    <w:p w14:paraId="52A756F3" w14:textId="4653AFB8" w:rsidR="007F4A11" w:rsidRPr="00A04D3A" w:rsidRDefault="00F32232" w:rsidP="00A04D3A">
      <w:pPr>
        <w:pStyle w:val="ListParagraph"/>
        <w:numPr>
          <w:ilvl w:val="0"/>
          <w:numId w:val="12"/>
        </w:numPr>
        <w:tabs>
          <w:tab w:val="left" w:pos="284"/>
        </w:tabs>
        <w:suppressAutoHyphens w:val="0"/>
        <w:spacing w:before="200" w:after="120" w:line="280" w:lineRule="exact"/>
        <w:ind w:left="0" w:firstLine="0"/>
        <w:contextualSpacing w:val="0"/>
        <w:rPr>
          <w:iCs/>
          <w:sz w:val="21"/>
          <w:szCs w:val="21"/>
          <w:lang w:val="en-AU"/>
        </w:rPr>
      </w:pPr>
      <w:r w:rsidRPr="00A04D3A">
        <w:rPr>
          <w:iCs/>
          <w:sz w:val="21"/>
          <w:szCs w:val="21"/>
        </w:rPr>
        <w:t>The</w:t>
      </w:r>
      <w:r>
        <w:rPr>
          <w:iCs/>
          <w:sz w:val="21"/>
          <w:szCs w:val="21"/>
          <w:lang w:val="en-AU"/>
        </w:rPr>
        <w:t xml:space="preserve"> AHPSU will summarise progress on these outputs in six monthly and annual reporting.</w:t>
      </w:r>
    </w:p>
    <w:p w14:paraId="6B1FB16D" w14:textId="7F23BBD5" w:rsidR="00943FB1" w:rsidRPr="00A04D3A" w:rsidRDefault="00943FB1" w:rsidP="00A04D3A">
      <w:pPr>
        <w:pBdr>
          <w:bottom w:val="single" w:sz="4" w:space="1" w:color="auto"/>
        </w:pBdr>
        <w:spacing w:before="200" w:after="0"/>
        <w:outlineLvl w:val="0"/>
        <w:rPr>
          <w:b/>
          <w:bCs/>
        </w:rPr>
      </w:pPr>
      <w:bookmarkStart w:id="41" w:name="_Toc101521661"/>
      <w:r w:rsidRPr="004753AF">
        <w:rPr>
          <w:b/>
          <w:bCs/>
        </w:rPr>
        <w:t>EOPO</w:t>
      </w:r>
      <w:r w:rsidR="00FB3C96">
        <w:rPr>
          <w:b/>
          <w:bCs/>
        </w:rPr>
        <w:t xml:space="preserve"> </w:t>
      </w:r>
      <w:r w:rsidRPr="004753AF">
        <w:rPr>
          <w:b/>
          <w:bCs/>
        </w:rPr>
        <w:t xml:space="preserve">3: </w:t>
      </w:r>
      <w:r w:rsidR="001D51DF" w:rsidRPr="004753AF">
        <w:rPr>
          <w:b/>
          <w:bCs/>
        </w:rPr>
        <w:t>Partnership</w:t>
      </w:r>
      <w:r w:rsidRPr="004753AF">
        <w:rPr>
          <w:b/>
          <w:bCs/>
        </w:rPr>
        <w:t xml:space="preserve"> Learning and Practice</w:t>
      </w:r>
      <w:bookmarkEnd w:id="41"/>
    </w:p>
    <w:p w14:paraId="6DF607BF" w14:textId="18102DB0" w:rsidR="00327888" w:rsidRPr="00D14B30" w:rsidRDefault="00327888" w:rsidP="003E2C60">
      <w:pPr>
        <w:pStyle w:val="ListParagraph"/>
        <w:numPr>
          <w:ilvl w:val="0"/>
          <w:numId w:val="12"/>
        </w:numPr>
        <w:tabs>
          <w:tab w:val="left" w:pos="284"/>
        </w:tabs>
        <w:suppressAutoHyphens w:val="0"/>
        <w:spacing w:before="200" w:after="0" w:line="280" w:lineRule="exact"/>
        <w:ind w:left="0" w:firstLine="0"/>
        <w:contextualSpacing w:val="0"/>
        <w:rPr>
          <w:rFonts w:eastAsia="Times New Roman"/>
          <w:sz w:val="21"/>
          <w:lang w:val="en-AU"/>
        </w:rPr>
      </w:pPr>
      <w:r>
        <w:rPr>
          <w:iCs/>
          <w:sz w:val="21"/>
          <w:szCs w:val="21"/>
        </w:rPr>
        <w:t xml:space="preserve"> The EOPO for Component 3 is that </w:t>
      </w:r>
      <w:r w:rsidRPr="003E2C60">
        <w:rPr>
          <w:rFonts w:eastAsia="Times New Roman"/>
          <w:i/>
          <w:iCs/>
          <w:sz w:val="21"/>
          <w:lang w:val="en-AU"/>
        </w:rPr>
        <w:t>AHP Partners and other humanitarian stakeholders in Australia and the region strengthen policy and practice through collaboration and lessons learnt.</w:t>
      </w:r>
    </w:p>
    <w:p w14:paraId="640418E2" w14:textId="4A4FBDB6" w:rsidR="00943FB1" w:rsidRDefault="00327888" w:rsidP="004753AF">
      <w:pPr>
        <w:pStyle w:val="ListParagraph"/>
        <w:numPr>
          <w:ilvl w:val="0"/>
          <w:numId w:val="12"/>
        </w:numPr>
        <w:tabs>
          <w:tab w:val="left" w:pos="284"/>
        </w:tabs>
        <w:suppressAutoHyphens w:val="0"/>
        <w:spacing w:before="200" w:after="0" w:line="280" w:lineRule="exact"/>
        <w:ind w:left="0" w:firstLine="0"/>
        <w:contextualSpacing w:val="0"/>
        <w:rPr>
          <w:iCs/>
          <w:sz w:val="21"/>
          <w:szCs w:val="21"/>
        </w:rPr>
      </w:pPr>
      <w:r>
        <w:rPr>
          <w:rFonts w:eastAsia="Times New Roman" w:cs="Times New Roman"/>
          <w:sz w:val="21"/>
          <w:szCs w:val="24"/>
          <w:lang w:val="en-AU"/>
        </w:rPr>
        <w:lastRenderedPageBreak/>
        <w:t xml:space="preserve"> </w:t>
      </w:r>
      <w:r w:rsidR="00943FB1" w:rsidRPr="004753AF">
        <w:rPr>
          <w:rFonts w:eastAsia="Times New Roman" w:cs="Times New Roman"/>
          <w:sz w:val="21"/>
          <w:szCs w:val="24"/>
          <w:lang w:val="en-AU"/>
        </w:rPr>
        <w:t>DFATs</w:t>
      </w:r>
      <w:r w:rsidR="00943FB1" w:rsidRPr="004753AF">
        <w:rPr>
          <w:iCs/>
          <w:sz w:val="21"/>
          <w:szCs w:val="21"/>
        </w:rPr>
        <w:t xml:space="preserve"> engagement with </w:t>
      </w:r>
      <w:r w:rsidR="00FE780B">
        <w:rPr>
          <w:iCs/>
          <w:sz w:val="21"/>
          <w:szCs w:val="21"/>
        </w:rPr>
        <w:t>A</w:t>
      </w:r>
      <w:r w:rsidR="00943FB1" w:rsidRPr="004753AF">
        <w:rPr>
          <w:iCs/>
          <w:sz w:val="21"/>
          <w:szCs w:val="21"/>
        </w:rPr>
        <w:t>NGOs through a Partnership approach is structured to leverage greater benefit from working together rather than by working separately</w:t>
      </w:r>
      <w:r w:rsidR="009D4ED5" w:rsidRPr="004753AF">
        <w:rPr>
          <w:iCs/>
          <w:sz w:val="21"/>
          <w:szCs w:val="21"/>
        </w:rPr>
        <w:t xml:space="preserve">. </w:t>
      </w:r>
      <w:r w:rsidR="00943FB1" w:rsidRPr="004753AF">
        <w:rPr>
          <w:iCs/>
          <w:sz w:val="21"/>
          <w:szCs w:val="21"/>
        </w:rPr>
        <w:t xml:space="preserve">Expected benefits </w:t>
      </w:r>
      <w:r w:rsidR="00943FB1" w:rsidRPr="004753AF">
        <w:rPr>
          <w:i/>
          <w:sz w:val="21"/>
          <w:szCs w:val="21"/>
        </w:rPr>
        <w:t>may</w:t>
      </w:r>
      <w:r w:rsidR="00943FB1" w:rsidRPr="004753AF">
        <w:rPr>
          <w:iCs/>
          <w:sz w:val="21"/>
          <w:szCs w:val="21"/>
        </w:rPr>
        <w:t xml:space="preserve"> include improved policies, </w:t>
      </w:r>
      <w:r w:rsidR="00C778E1" w:rsidRPr="004753AF">
        <w:rPr>
          <w:iCs/>
          <w:sz w:val="21"/>
          <w:szCs w:val="21"/>
        </w:rPr>
        <w:t>systems,</w:t>
      </w:r>
      <w:r w:rsidR="00943FB1" w:rsidRPr="004753AF">
        <w:rPr>
          <w:iCs/>
          <w:sz w:val="21"/>
          <w:szCs w:val="21"/>
        </w:rPr>
        <w:t xml:space="preserve"> and practices of the</w:t>
      </w:r>
      <w:r w:rsidR="004753AF">
        <w:rPr>
          <w:iCs/>
          <w:sz w:val="21"/>
          <w:szCs w:val="21"/>
        </w:rPr>
        <w:t xml:space="preserve"> AHP Partners and other</w:t>
      </w:r>
      <w:r w:rsidR="00943FB1" w:rsidRPr="004753AF">
        <w:rPr>
          <w:iCs/>
          <w:sz w:val="21"/>
          <w:szCs w:val="21"/>
        </w:rPr>
        <w:t xml:space="preserve"> humanitarian </w:t>
      </w:r>
      <w:r w:rsidR="004753AF">
        <w:rPr>
          <w:iCs/>
          <w:sz w:val="21"/>
          <w:szCs w:val="21"/>
        </w:rPr>
        <w:t>stakeholders</w:t>
      </w:r>
      <w:r w:rsidR="00943FB1" w:rsidRPr="004753AF">
        <w:rPr>
          <w:iCs/>
          <w:sz w:val="21"/>
          <w:szCs w:val="21"/>
        </w:rPr>
        <w:t xml:space="preserve"> at regional and country level, including regional organisations, </w:t>
      </w:r>
      <w:r w:rsidR="00C778E1" w:rsidRPr="004753AF">
        <w:rPr>
          <w:iCs/>
          <w:sz w:val="21"/>
          <w:szCs w:val="21"/>
        </w:rPr>
        <w:t>governments,</w:t>
      </w:r>
      <w:r w:rsidR="00943FB1" w:rsidRPr="004753AF">
        <w:rPr>
          <w:iCs/>
          <w:sz w:val="21"/>
          <w:szCs w:val="21"/>
        </w:rPr>
        <w:t xml:space="preserve"> and civil society organisations. The Partnership works as an integral </w:t>
      </w:r>
      <w:r w:rsidR="004B59C2">
        <w:rPr>
          <w:iCs/>
          <w:sz w:val="21"/>
          <w:szCs w:val="21"/>
        </w:rPr>
        <w:t xml:space="preserve">part </w:t>
      </w:r>
      <w:r w:rsidR="00943FB1" w:rsidRPr="004753AF">
        <w:rPr>
          <w:iCs/>
          <w:sz w:val="21"/>
          <w:szCs w:val="21"/>
        </w:rPr>
        <w:t xml:space="preserve">of Australia’s global humanitarian </w:t>
      </w:r>
      <w:r w:rsidR="00BA3E5E" w:rsidRPr="004753AF">
        <w:rPr>
          <w:iCs/>
          <w:sz w:val="21"/>
          <w:szCs w:val="21"/>
        </w:rPr>
        <w:t>engagement and</w:t>
      </w:r>
      <w:r w:rsidR="00943FB1" w:rsidRPr="004753AF">
        <w:rPr>
          <w:iCs/>
          <w:sz w:val="21"/>
          <w:szCs w:val="21"/>
        </w:rPr>
        <w:t xml:space="preserve"> contributes to </w:t>
      </w:r>
      <w:r w:rsidR="00507BE6">
        <w:rPr>
          <w:iCs/>
          <w:sz w:val="21"/>
          <w:szCs w:val="21"/>
        </w:rPr>
        <w:t>DFATs</w:t>
      </w:r>
      <w:r w:rsidR="00943FB1" w:rsidRPr="004753AF">
        <w:rPr>
          <w:iCs/>
          <w:sz w:val="21"/>
          <w:szCs w:val="21"/>
        </w:rPr>
        <w:t xml:space="preserve"> broader policy and strategic goals that contribute to stability and prosperity in the region.</w:t>
      </w:r>
      <w:r w:rsidR="004753AF" w:rsidRPr="004753AF">
        <w:rPr>
          <w:iCs/>
          <w:sz w:val="21"/>
          <w:szCs w:val="21"/>
        </w:rPr>
        <w:t xml:space="preserve"> </w:t>
      </w:r>
      <w:r w:rsidR="004753AF">
        <w:rPr>
          <w:iCs/>
          <w:sz w:val="21"/>
          <w:szCs w:val="21"/>
        </w:rPr>
        <w:t>T</w:t>
      </w:r>
      <w:r w:rsidR="00943FB1" w:rsidRPr="004753AF">
        <w:rPr>
          <w:iCs/>
          <w:sz w:val="21"/>
          <w:szCs w:val="21"/>
        </w:rPr>
        <w:t xml:space="preserve">here are three </w:t>
      </w:r>
      <w:r w:rsidR="004753AF">
        <w:rPr>
          <w:iCs/>
          <w:sz w:val="21"/>
          <w:szCs w:val="21"/>
        </w:rPr>
        <w:t>strategies for leveraging outcomes from the partnership approach:</w:t>
      </w:r>
    </w:p>
    <w:p w14:paraId="6297FBD0" w14:textId="021B6FAA" w:rsidR="00943FB1" w:rsidRDefault="004753AF" w:rsidP="0011591E">
      <w:pPr>
        <w:pStyle w:val="ListParagraph"/>
        <w:numPr>
          <w:ilvl w:val="0"/>
          <w:numId w:val="29"/>
        </w:numPr>
        <w:spacing w:before="60" w:line="280" w:lineRule="atLeast"/>
        <w:ind w:left="714" w:hanging="357"/>
        <w:contextualSpacing w:val="0"/>
        <w:rPr>
          <w:iCs/>
          <w:sz w:val="21"/>
          <w:szCs w:val="21"/>
        </w:rPr>
      </w:pPr>
      <w:r>
        <w:rPr>
          <w:b/>
          <w:bCs/>
          <w:i/>
          <w:sz w:val="21"/>
          <w:szCs w:val="21"/>
        </w:rPr>
        <w:tab/>
      </w:r>
      <w:r w:rsidR="00EF3273">
        <w:rPr>
          <w:b/>
          <w:bCs/>
          <w:i/>
          <w:sz w:val="21"/>
          <w:szCs w:val="21"/>
        </w:rPr>
        <w:t>A</w:t>
      </w:r>
      <w:r>
        <w:rPr>
          <w:b/>
          <w:bCs/>
          <w:i/>
          <w:sz w:val="21"/>
          <w:szCs w:val="21"/>
        </w:rPr>
        <w:t xml:space="preserve"> commitment to</w:t>
      </w:r>
      <w:r w:rsidRPr="004753AF">
        <w:rPr>
          <w:b/>
          <w:bCs/>
          <w:i/>
          <w:sz w:val="21"/>
          <w:szCs w:val="21"/>
        </w:rPr>
        <w:t xml:space="preserve"> shared reflection and learning from experience</w:t>
      </w:r>
      <w:r w:rsidRPr="004753AF">
        <w:rPr>
          <w:iCs/>
          <w:sz w:val="21"/>
          <w:szCs w:val="21"/>
        </w:rPr>
        <w:t xml:space="preserve">: </w:t>
      </w:r>
      <w:r w:rsidR="00943FB1" w:rsidRPr="004753AF">
        <w:rPr>
          <w:iCs/>
          <w:sz w:val="21"/>
          <w:szCs w:val="21"/>
        </w:rPr>
        <w:t xml:space="preserve">This reflects the commitment of partners to continuous improvement and the need to </w:t>
      </w:r>
      <w:r w:rsidR="00EF3273">
        <w:rPr>
          <w:iCs/>
          <w:sz w:val="21"/>
          <w:szCs w:val="21"/>
        </w:rPr>
        <w:t xml:space="preserve">continuously </w:t>
      </w:r>
      <w:r w:rsidR="00943FB1" w:rsidRPr="004753AF">
        <w:rPr>
          <w:iCs/>
          <w:sz w:val="21"/>
          <w:szCs w:val="21"/>
        </w:rPr>
        <w:t xml:space="preserve">adapt to local context and a changing and complex environment. </w:t>
      </w:r>
    </w:p>
    <w:p w14:paraId="65F6BF87" w14:textId="211751E8" w:rsidR="00943FB1" w:rsidRPr="00507BE6" w:rsidRDefault="004753AF" w:rsidP="0011591E">
      <w:pPr>
        <w:pStyle w:val="ListParagraph"/>
        <w:numPr>
          <w:ilvl w:val="0"/>
          <w:numId w:val="29"/>
        </w:numPr>
        <w:spacing w:before="60" w:line="280" w:lineRule="atLeast"/>
        <w:ind w:left="714" w:hanging="357"/>
        <w:contextualSpacing w:val="0"/>
        <w:rPr>
          <w:iCs/>
          <w:sz w:val="21"/>
          <w:szCs w:val="21"/>
        </w:rPr>
      </w:pPr>
      <w:r>
        <w:rPr>
          <w:b/>
          <w:bCs/>
          <w:i/>
          <w:sz w:val="21"/>
          <w:szCs w:val="21"/>
        </w:rPr>
        <w:tab/>
      </w:r>
      <w:r w:rsidR="00EF3273">
        <w:rPr>
          <w:b/>
          <w:bCs/>
          <w:i/>
          <w:sz w:val="21"/>
          <w:szCs w:val="21"/>
        </w:rPr>
        <w:t>I</w:t>
      </w:r>
      <w:r>
        <w:rPr>
          <w:b/>
          <w:bCs/>
          <w:i/>
          <w:sz w:val="21"/>
          <w:szCs w:val="21"/>
        </w:rPr>
        <w:t xml:space="preserve">dentifying areas for quality </w:t>
      </w:r>
      <w:r w:rsidR="00BA3E5E">
        <w:rPr>
          <w:b/>
          <w:bCs/>
          <w:i/>
          <w:sz w:val="21"/>
          <w:szCs w:val="21"/>
        </w:rPr>
        <w:t>improvement and</w:t>
      </w:r>
      <w:r>
        <w:rPr>
          <w:b/>
          <w:bCs/>
          <w:i/>
          <w:sz w:val="21"/>
          <w:szCs w:val="21"/>
        </w:rPr>
        <w:t xml:space="preserve"> working together to strengthen practices and shared capacity</w:t>
      </w:r>
      <w:r w:rsidRPr="004753AF">
        <w:rPr>
          <w:iCs/>
          <w:sz w:val="21"/>
          <w:szCs w:val="21"/>
        </w:rPr>
        <w:t>:</w:t>
      </w:r>
      <w:r>
        <w:rPr>
          <w:iCs/>
          <w:sz w:val="21"/>
          <w:szCs w:val="21"/>
        </w:rPr>
        <w:t xml:space="preserve"> </w:t>
      </w:r>
      <w:r w:rsidR="00943FB1" w:rsidRPr="004753AF">
        <w:rPr>
          <w:iCs/>
          <w:sz w:val="21"/>
          <w:szCs w:val="21"/>
          <w:lang w:val="en-AU"/>
        </w:rPr>
        <w:t xml:space="preserve">This </w:t>
      </w:r>
      <w:r w:rsidR="00EF3273">
        <w:rPr>
          <w:iCs/>
          <w:sz w:val="21"/>
          <w:szCs w:val="21"/>
          <w:lang w:val="en-AU"/>
        </w:rPr>
        <w:t>includes</w:t>
      </w:r>
      <w:r w:rsidR="00EF3273" w:rsidRPr="004753AF">
        <w:rPr>
          <w:iCs/>
          <w:sz w:val="21"/>
          <w:szCs w:val="21"/>
          <w:lang w:val="en-AU"/>
        </w:rPr>
        <w:t xml:space="preserve"> </w:t>
      </w:r>
      <w:r w:rsidR="00943FB1" w:rsidRPr="004753AF">
        <w:rPr>
          <w:iCs/>
          <w:sz w:val="21"/>
          <w:szCs w:val="21"/>
          <w:lang w:val="en-AU"/>
        </w:rPr>
        <w:t>the key cross-cutting issues</w:t>
      </w:r>
      <w:r w:rsidR="007935E5">
        <w:rPr>
          <w:iCs/>
          <w:sz w:val="21"/>
          <w:szCs w:val="21"/>
          <w:lang w:val="en-AU"/>
        </w:rPr>
        <w:t xml:space="preserve"> such as GEDSI</w:t>
      </w:r>
      <w:r w:rsidR="0073008A">
        <w:rPr>
          <w:iCs/>
          <w:sz w:val="21"/>
          <w:szCs w:val="21"/>
          <w:lang w:val="en-AU"/>
        </w:rPr>
        <w:t xml:space="preserve"> and </w:t>
      </w:r>
      <w:r w:rsidR="007501C2">
        <w:rPr>
          <w:iCs/>
          <w:sz w:val="21"/>
          <w:szCs w:val="21"/>
          <w:lang w:val="en-AU"/>
        </w:rPr>
        <w:t>localisation</w:t>
      </w:r>
      <w:r w:rsidR="00943FB1" w:rsidRPr="004753AF">
        <w:rPr>
          <w:iCs/>
          <w:sz w:val="21"/>
          <w:szCs w:val="21"/>
          <w:lang w:val="en-AU"/>
        </w:rPr>
        <w:t xml:space="preserve"> that are priorities for AHP </w:t>
      </w:r>
      <w:r w:rsidR="00BA3E5E" w:rsidRPr="004753AF">
        <w:rPr>
          <w:iCs/>
          <w:sz w:val="21"/>
          <w:szCs w:val="21"/>
          <w:lang w:val="en-AU"/>
        </w:rPr>
        <w:t>Partners and</w:t>
      </w:r>
      <w:r w:rsidR="00943FB1" w:rsidRPr="004753AF">
        <w:rPr>
          <w:iCs/>
          <w:sz w:val="21"/>
          <w:szCs w:val="21"/>
          <w:lang w:val="en-AU"/>
        </w:rPr>
        <w:t xml:space="preserve"> </w:t>
      </w:r>
      <w:r w:rsidR="00EF3273">
        <w:rPr>
          <w:iCs/>
          <w:sz w:val="21"/>
          <w:szCs w:val="21"/>
          <w:lang w:val="en-AU"/>
        </w:rPr>
        <w:t>provides for</w:t>
      </w:r>
      <w:r w:rsidR="00EF3273" w:rsidRPr="004753AF">
        <w:rPr>
          <w:iCs/>
          <w:sz w:val="21"/>
          <w:szCs w:val="21"/>
          <w:lang w:val="en-AU"/>
        </w:rPr>
        <w:t xml:space="preserve"> </w:t>
      </w:r>
      <w:r w:rsidR="00943FB1" w:rsidRPr="004753AF">
        <w:rPr>
          <w:iCs/>
          <w:sz w:val="21"/>
          <w:szCs w:val="21"/>
          <w:lang w:val="en-AU"/>
        </w:rPr>
        <w:t xml:space="preserve">joint effort and collective action to improve individual performance funded in addition to annual funding allocation available to ANGOs for Disaster </w:t>
      </w:r>
      <w:r w:rsidR="00BA3E5E" w:rsidRPr="004753AF">
        <w:rPr>
          <w:iCs/>
          <w:sz w:val="21"/>
          <w:szCs w:val="21"/>
          <w:lang w:val="en-AU"/>
        </w:rPr>
        <w:t>READY</w:t>
      </w:r>
      <w:r w:rsidR="00943FB1" w:rsidRPr="004753AF">
        <w:rPr>
          <w:iCs/>
          <w:sz w:val="21"/>
          <w:szCs w:val="21"/>
          <w:lang w:val="en-AU"/>
        </w:rPr>
        <w:t>.</w:t>
      </w:r>
    </w:p>
    <w:p w14:paraId="1C0C1234" w14:textId="146CA580" w:rsidR="00943FB1" w:rsidRPr="00507BE6" w:rsidRDefault="00507BE6" w:rsidP="0011591E">
      <w:pPr>
        <w:pStyle w:val="ListParagraph"/>
        <w:numPr>
          <w:ilvl w:val="0"/>
          <w:numId w:val="29"/>
        </w:numPr>
        <w:spacing w:before="60" w:line="280" w:lineRule="atLeast"/>
        <w:ind w:left="714" w:hanging="357"/>
        <w:contextualSpacing w:val="0"/>
        <w:rPr>
          <w:iCs/>
          <w:sz w:val="21"/>
          <w:szCs w:val="21"/>
          <w:lang w:val="en-AU"/>
        </w:rPr>
      </w:pPr>
      <w:r>
        <w:rPr>
          <w:b/>
          <w:bCs/>
          <w:i/>
          <w:sz w:val="21"/>
          <w:szCs w:val="21"/>
        </w:rPr>
        <w:t xml:space="preserve"> </w:t>
      </w:r>
      <w:r w:rsidR="00EF3273">
        <w:rPr>
          <w:b/>
          <w:bCs/>
          <w:i/>
          <w:sz w:val="21"/>
          <w:szCs w:val="21"/>
        </w:rPr>
        <w:t xml:space="preserve">Recognition </w:t>
      </w:r>
      <w:r>
        <w:rPr>
          <w:b/>
          <w:bCs/>
          <w:i/>
          <w:sz w:val="21"/>
          <w:szCs w:val="21"/>
        </w:rPr>
        <w:t xml:space="preserve">that AHP is part of a broader humanitarian system, and </w:t>
      </w:r>
      <w:r w:rsidR="00EF3273">
        <w:rPr>
          <w:b/>
          <w:bCs/>
          <w:i/>
          <w:sz w:val="21"/>
          <w:szCs w:val="21"/>
        </w:rPr>
        <w:t xml:space="preserve">that </w:t>
      </w:r>
      <w:r>
        <w:rPr>
          <w:b/>
          <w:bCs/>
          <w:i/>
          <w:sz w:val="21"/>
          <w:szCs w:val="21"/>
        </w:rPr>
        <w:t>partners need to work with others (particularly other DFAT efforts) to improve overall effectiveness and efficiency</w:t>
      </w:r>
      <w:r w:rsidRPr="00507BE6">
        <w:rPr>
          <w:iCs/>
          <w:sz w:val="21"/>
          <w:szCs w:val="21"/>
        </w:rPr>
        <w:t xml:space="preserve">: </w:t>
      </w:r>
      <w:r w:rsidR="00943FB1" w:rsidRPr="00507BE6">
        <w:rPr>
          <w:iCs/>
          <w:sz w:val="21"/>
          <w:szCs w:val="21"/>
          <w:lang w:val="en-AU"/>
        </w:rPr>
        <w:t xml:space="preserve">This reflects the priority for AHP Partners to actively engage with external stakeholders in a coordinated and policy-directed way, and </w:t>
      </w:r>
      <w:r w:rsidR="00943FB1" w:rsidRPr="003E2C60">
        <w:rPr>
          <w:iCs/>
          <w:sz w:val="21"/>
          <w:szCs w:val="21"/>
        </w:rPr>
        <w:t>enables</w:t>
      </w:r>
      <w:r w:rsidR="00943FB1" w:rsidRPr="00507BE6">
        <w:rPr>
          <w:iCs/>
          <w:sz w:val="21"/>
          <w:szCs w:val="21"/>
          <w:lang w:val="en-AU"/>
        </w:rPr>
        <w:t xml:space="preserve"> a structure and responsibilities for communications, public </w:t>
      </w:r>
      <w:r w:rsidR="00BA3E5E" w:rsidRPr="00507BE6">
        <w:rPr>
          <w:iCs/>
          <w:sz w:val="21"/>
          <w:szCs w:val="21"/>
          <w:lang w:val="en-AU"/>
        </w:rPr>
        <w:t>diplomacy,</w:t>
      </w:r>
      <w:r w:rsidR="00943FB1" w:rsidRPr="00507BE6">
        <w:rPr>
          <w:iCs/>
          <w:sz w:val="21"/>
          <w:szCs w:val="21"/>
          <w:lang w:val="en-AU"/>
        </w:rPr>
        <w:t xml:space="preserve"> and representation.</w:t>
      </w:r>
    </w:p>
    <w:p w14:paraId="16231E8C" w14:textId="77777777" w:rsidR="00943FB1" w:rsidRPr="00B1392F" w:rsidRDefault="00943FB1" w:rsidP="00021566">
      <w:pPr>
        <w:keepNext/>
        <w:spacing w:before="200" w:after="0" w:line="280" w:lineRule="atLeast"/>
        <w:rPr>
          <w:b/>
          <w:bCs/>
          <w:i/>
          <w:sz w:val="21"/>
          <w:szCs w:val="21"/>
          <w:lang w:val="en-AU"/>
        </w:rPr>
      </w:pPr>
      <w:r w:rsidRPr="00B1392F">
        <w:rPr>
          <w:b/>
          <w:bCs/>
          <w:i/>
          <w:sz w:val="21"/>
          <w:szCs w:val="21"/>
          <w:lang w:val="en-AU"/>
        </w:rPr>
        <w:t xml:space="preserve">Adaptation </w:t>
      </w:r>
      <w:r w:rsidRPr="00507BE6">
        <w:rPr>
          <w:b/>
          <w:bCs/>
          <w:i/>
          <w:sz w:val="21"/>
          <w:szCs w:val="21"/>
        </w:rPr>
        <w:t>and</w:t>
      </w:r>
      <w:r w:rsidRPr="00B1392F">
        <w:rPr>
          <w:b/>
          <w:bCs/>
          <w:i/>
          <w:sz w:val="21"/>
          <w:szCs w:val="21"/>
          <w:lang w:val="en-AU"/>
        </w:rPr>
        <w:t xml:space="preserve"> learning</w:t>
      </w:r>
    </w:p>
    <w:p w14:paraId="5C57A98A" w14:textId="77777777" w:rsidR="00943FB1" w:rsidRDefault="00943FB1" w:rsidP="00021566">
      <w:pPr>
        <w:pStyle w:val="ListParagraph"/>
        <w:keepNext/>
        <w:numPr>
          <w:ilvl w:val="0"/>
          <w:numId w:val="12"/>
        </w:numPr>
        <w:tabs>
          <w:tab w:val="left" w:pos="284"/>
        </w:tabs>
        <w:suppressAutoHyphens w:val="0"/>
        <w:spacing w:before="200" w:after="0" w:line="280" w:lineRule="exact"/>
        <w:ind w:left="0" w:firstLine="0"/>
        <w:contextualSpacing w:val="0"/>
        <w:rPr>
          <w:iCs/>
          <w:sz w:val="21"/>
          <w:szCs w:val="21"/>
          <w:lang w:val="en-AU"/>
        </w:rPr>
      </w:pPr>
      <w:r>
        <w:rPr>
          <w:iCs/>
          <w:sz w:val="21"/>
          <w:szCs w:val="21"/>
          <w:lang w:val="en-AU"/>
        </w:rPr>
        <w:t xml:space="preserve">The </w:t>
      </w:r>
      <w:r w:rsidRPr="00E93683">
        <w:rPr>
          <w:rFonts w:eastAsia="Times New Roman" w:cs="Times New Roman"/>
          <w:sz w:val="21"/>
          <w:szCs w:val="24"/>
          <w:lang w:val="en-AU"/>
        </w:rPr>
        <w:t>Partnership</w:t>
      </w:r>
      <w:r>
        <w:rPr>
          <w:iCs/>
          <w:sz w:val="21"/>
          <w:szCs w:val="21"/>
          <w:lang w:val="en-AU"/>
        </w:rPr>
        <w:t xml:space="preserve"> incorporates several mechanisms to promote learning and adaptation:</w:t>
      </w:r>
    </w:p>
    <w:p w14:paraId="28E6E74F" w14:textId="77777777" w:rsidR="00A97D28" w:rsidRDefault="00A97D28" w:rsidP="0011591E">
      <w:pPr>
        <w:pStyle w:val="ListParagraph"/>
        <w:numPr>
          <w:ilvl w:val="0"/>
          <w:numId w:val="29"/>
        </w:numPr>
        <w:spacing w:before="60" w:line="280" w:lineRule="atLeast"/>
        <w:ind w:left="714" w:hanging="357"/>
        <w:contextualSpacing w:val="0"/>
        <w:rPr>
          <w:iCs/>
          <w:sz w:val="21"/>
          <w:szCs w:val="21"/>
          <w:lang w:val="en-AU"/>
        </w:rPr>
      </w:pPr>
      <w:r>
        <w:rPr>
          <w:iCs/>
          <w:sz w:val="21"/>
          <w:szCs w:val="21"/>
          <w:lang w:val="en-AU"/>
        </w:rPr>
        <w:t xml:space="preserve">The Steering Committee will have opportunity to review and reflect on performance of both the Disaster </w:t>
      </w:r>
      <w:r w:rsidRPr="003E2C60">
        <w:rPr>
          <w:iCs/>
          <w:sz w:val="21"/>
          <w:szCs w:val="21"/>
          <w:lang w:val="en-AU"/>
        </w:rPr>
        <w:t>READY</w:t>
      </w:r>
      <w:r>
        <w:rPr>
          <w:iCs/>
          <w:sz w:val="21"/>
          <w:szCs w:val="21"/>
          <w:lang w:val="en-AU"/>
        </w:rPr>
        <w:t xml:space="preserve"> program and AHP response activations, and will provide feedback and recommendations to DFAT, the AHPSU and ANGOs to improve program performance.</w:t>
      </w:r>
    </w:p>
    <w:p w14:paraId="2A0FF451" w14:textId="48733DD2" w:rsidR="00943FB1" w:rsidRPr="001A1701" w:rsidRDefault="00943FB1" w:rsidP="0011591E">
      <w:pPr>
        <w:pStyle w:val="ListParagraph"/>
        <w:numPr>
          <w:ilvl w:val="0"/>
          <w:numId w:val="29"/>
        </w:numPr>
        <w:spacing w:before="60" w:line="280" w:lineRule="atLeast"/>
        <w:ind w:left="714" w:hanging="357"/>
        <w:contextualSpacing w:val="0"/>
        <w:rPr>
          <w:iCs/>
          <w:sz w:val="21"/>
          <w:szCs w:val="21"/>
        </w:rPr>
      </w:pPr>
      <w:r>
        <w:rPr>
          <w:iCs/>
          <w:sz w:val="21"/>
          <w:szCs w:val="21"/>
          <w:lang w:val="en-AU"/>
        </w:rPr>
        <w:t xml:space="preserve">The </w:t>
      </w:r>
      <w:r w:rsidR="000A130F">
        <w:rPr>
          <w:iCs/>
          <w:sz w:val="21"/>
          <w:szCs w:val="21"/>
          <w:lang w:val="en-AU"/>
        </w:rPr>
        <w:t>MELF</w:t>
      </w:r>
      <w:r>
        <w:rPr>
          <w:iCs/>
          <w:sz w:val="21"/>
          <w:szCs w:val="21"/>
          <w:lang w:val="en-AU"/>
        </w:rPr>
        <w:t xml:space="preserve"> (see later section)</w:t>
      </w:r>
      <w:r w:rsidR="000349C1">
        <w:rPr>
          <w:iCs/>
          <w:sz w:val="21"/>
          <w:szCs w:val="21"/>
          <w:lang w:val="en-AU"/>
        </w:rPr>
        <w:t xml:space="preserve"> </w:t>
      </w:r>
      <w:r>
        <w:rPr>
          <w:iCs/>
          <w:sz w:val="21"/>
          <w:szCs w:val="21"/>
          <w:lang w:val="en-AU"/>
        </w:rPr>
        <w:t xml:space="preserve">includes collaborative approaches at country level for Disaster READY </w:t>
      </w:r>
      <w:r w:rsidR="00FB3C96">
        <w:rPr>
          <w:iCs/>
          <w:sz w:val="21"/>
          <w:szCs w:val="21"/>
          <w:lang w:val="en-AU"/>
        </w:rPr>
        <w:t>reporting processes</w:t>
      </w:r>
      <w:r w:rsidRPr="001A1701">
        <w:rPr>
          <w:iCs/>
          <w:sz w:val="21"/>
          <w:szCs w:val="21"/>
        </w:rPr>
        <w:t xml:space="preserve"> and evaluations, while recognising the ongoing individual accountability for MEL </w:t>
      </w:r>
      <w:r w:rsidR="003F5A8B">
        <w:rPr>
          <w:iCs/>
          <w:sz w:val="21"/>
          <w:szCs w:val="21"/>
        </w:rPr>
        <w:t>in</w:t>
      </w:r>
      <w:r w:rsidRPr="001A1701">
        <w:rPr>
          <w:iCs/>
          <w:sz w:val="21"/>
          <w:szCs w:val="21"/>
        </w:rPr>
        <w:t xml:space="preserve"> Activity Plans</w:t>
      </w:r>
      <w:r w:rsidR="00FB3C96">
        <w:rPr>
          <w:iCs/>
          <w:sz w:val="21"/>
          <w:szCs w:val="21"/>
        </w:rPr>
        <w:t>.</w:t>
      </w:r>
    </w:p>
    <w:p w14:paraId="411C9175" w14:textId="790B8D3F" w:rsidR="00943FB1" w:rsidRPr="001A1701" w:rsidRDefault="00943FB1" w:rsidP="0011591E">
      <w:pPr>
        <w:pStyle w:val="ListParagraph"/>
        <w:numPr>
          <w:ilvl w:val="0"/>
          <w:numId w:val="29"/>
        </w:numPr>
        <w:spacing w:before="60" w:line="280" w:lineRule="atLeast"/>
        <w:ind w:left="714" w:hanging="357"/>
        <w:contextualSpacing w:val="0"/>
        <w:rPr>
          <w:iCs/>
          <w:sz w:val="21"/>
          <w:szCs w:val="21"/>
        </w:rPr>
      </w:pPr>
      <w:r w:rsidRPr="001A1701">
        <w:rPr>
          <w:iCs/>
          <w:sz w:val="21"/>
          <w:szCs w:val="21"/>
        </w:rPr>
        <w:t xml:space="preserve">The ongoing cycle of Disaster READY country evaluations (tailored for country context, and cross-cutting or thematic approaches) </w:t>
      </w:r>
      <w:r w:rsidR="00020650">
        <w:rPr>
          <w:iCs/>
          <w:sz w:val="21"/>
          <w:szCs w:val="21"/>
        </w:rPr>
        <w:t xml:space="preserve">which </w:t>
      </w:r>
      <w:r w:rsidRPr="001A1701">
        <w:rPr>
          <w:iCs/>
          <w:sz w:val="21"/>
          <w:szCs w:val="21"/>
        </w:rPr>
        <w:t>will contribute to shared learning and reflection to improve performance.</w:t>
      </w:r>
      <w:r w:rsidR="00DE5BCA">
        <w:rPr>
          <w:iCs/>
          <w:sz w:val="21"/>
          <w:szCs w:val="21"/>
        </w:rPr>
        <w:t xml:space="preserve"> This will include sharing analysis and lessons from resilience building and climate related programming.</w:t>
      </w:r>
    </w:p>
    <w:p w14:paraId="0004FAAB" w14:textId="409FFB68" w:rsidR="00943FB1" w:rsidRPr="001A1701" w:rsidRDefault="00943FB1" w:rsidP="0011591E">
      <w:pPr>
        <w:pStyle w:val="ListParagraph"/>
        <w:numPr>
          <w:ilvl w:val="0"/>
          <w:numId w:val="29"/>
        </w:numPr>
        <w:spacing w:before="60" w:line="280" w:lineRule="atLeast"/>
        <w:ind w:left="714" w:hanging="357"/>
        <w:contextualSpacing w:val="0"/>
        <w:rPr>
          <w:iCs/>
          <w:sz w:val="21"/>
          <w:szCs w:val="21"/>
        </w:rPr>
      </w:pPr>
      <w:r w:rsidRPr="001A1701">
        <w:rPr>
          <w:iCs/>
          <w:sz w:val="21"/>
          <w:szCs w:val="21"/>
        </w:rPr>
        <w:t>Evaluations conducted for activations over $3 million</w:t>
      </w:r>
      <w:r w:rsidR="00020650">
        <w:rPr>
          <w:iCs/>
          <w:sz w:val="21"/>
          <w:szCs w:val="21"/>
        </w:rPr>
        <w:t xml:space="preserve"> which</w:t>
      </w:r>
      <w:r w:rsidRPr="001A1701">
        <w:rPr>
          <w:iCs/>
          <w:sz w:val="21"/>
          <w:szCs w:val="21"/>
        </w:rPr>
        <w:t xml:space="preserve"> will be shared and recommendations made to the Steering Committee and AHP Partners for future responses.</w:t>
      </w:r>
      <w:r w:rsidR="00552F7C" w:rsidRPr="00552F7C">
        <w:t xml:space="preserve"> </w:t>
      </w:r>
      <w:r w:rsidR="00552F7C" w:rsidRPr="00552F7C">
        <w:rPr>
          <w:iCs/>
          <w:sz w:val="21"/>
          <w:szCs w:val="21"/>
        </w:rPr>
        <w:t>There is potential for the AHPSU to engage routinely with the Humanitarian Reference Group (HRG) to present and discuss evaluation finding</w:t>
      </w:r>
      <w:r w:rsidR="00FB3C96">
        <w:rPr>
          <w:iCs/>
          <w:sz w:val="21"/>
          <w:szCs w:val="21"/>
        </w:rPr>
        <w:t>s</w:t>
      </w:r>
      <w:r w:rsidR="00552F7C" w:rsidRPr="00552F7C">
        <w:rPr>
          <w:iCs/>
          <w:sz w:val="21"/>
          <w:szCs w:val="21"/>
        </w:rPr>
        <w:t xml:space="preserve"> and their relevance to the humanitarian sector.</w:t>
      </w:r>
    </w:p>
    <w:p w14:paraId="24763855" w14:textId="01895A94" w:rsidR="0019165D" w:rsidRPr="003E2C60" w:rsidRDefault="00943FB1" w:rsidP="0011591E">
      <w:pPr>
        <w:pStyle w:val="ListParagraph"/>
        <w:numPr>
          <w:ilvl w:val="0"/>
          <w:numId w:val="29"/>
        </w:numPr>
        <w:spacing w:before="60" w:line="280" w:lineRule="atLeast"/>
        <w:ind w:left="714" w:hanging="357"/>
        <w:contextualSpacing w:val="0"/>
        <w:rPr>
          <w:iCs/>
          <w:sz w:val="21"/>
          <w:szCs w:val="21"/>
          <w:lang w:val="en-AU"/>
        </w:rPr>
      </w:pPr>
      <w:r w:rsidRPr="001A1701">
        <w:rPr>
          <w:iCs/>
          <w:sz w:val="21"/>
          <w:szCs w:val="21"/>
        </w:rPr>
        <w:t xml:space="preserve">Funds set aside for </w:t>
      </w:r>
      <w:r w:rsidR="002C28C1">
        <w:rPr>
          <w:iCs/>
          <w:sz w:val="21"/>
          <w:szCs w:val="21"/>
        </w:rPr>
        <w:t xml:space="preserve">implementation of </w:t>
      </w:r>
      <w:r w:rsidR="000A130F">
        <w:rPr>
          <w:iCs/>
          <w:sz w:val="21"/>
          <w:szCs w:val="21"/>
        </w:rPr>
        <w:t>the</w:t>
      </w:r>
      <w:r w:rsidR="002C28C1">
        <w:rPr>
          <w:iCs/>
          <w:sz w:val="21"/>
          <w:szCs w:val="21"/>
        </w:rPr>
        <w:t xml:space="preserve"> Learning </w:t>
      </w:r>
      <w:r w:rsidR="000A130F">
        <w:rPr>
          <w:iCs/>
          <w:sz w:val="21"/>
          <w:szCs w:val="21"/>
        </w:rPr>
        <w:t xml:space="preserve">Action </w:t>
      </w:r>
      <w:r w:rsidR="002C28C1">
        <w:rPr>
          <w:iCs/>
          <w:sz w:val="21"/>
          <w:szCs w:val="21"/>
        </w:rPr>
        <w:t xml:space="preserve">Agenda in Disaster READY countries </w:t>
      </w:r>
      <w:r w:rsidRPr="001A1701">
        <w:rPr>
          <w:iCs/>
          <w:sz w:val="21"/>
          <w:szCs w:val="21"/>
        </w:rPr>
        <w:t xml:space="preserve">of </w:t>
      </w:r>
      <w:r w:rsidR="003F5A8B">
        <w:rPr>
          <w:iCs/>
          <w:sz w:val="21"/>
          <w:szCs w:val="21"/>
        </w:rPr>
        <w:t xml:space="preserve">a minimum of </w:t>
      </w:r>
      <w:r w:rsidRPr="001A1701">
        <w:rPr>
          <w:iCs/>
          <w:sz w:val="21"/>
          <w:szCs w:val="21"/>
        </w:rPr>
        <w:t xml:space="preserve">$50,000 per </w:t>
      </w:r>
      <w:r w:rsidR="002C28C1">
        <w:rPr>
          <w:iCs/>
          <w:sz w:val="21"/>
          <w:szCs w:val="21"/>
        </w:rPr>
        <w:t xml:space="preserve">country per </w:t>
      </w:r>
      <w:r w:rsidRPr="001A1701">
        <w:rPr>
          <w:iCs/>
          <w:sz w:val="21"/>
          <w:szCs w:val="21"/>
        </w:rPr>
        <w:t xml:space="preserve">year. </w:t>
      </w:r>
    </w:p>
    <w:p w14:paraId="2EE1B672" w14:textId="65416F3A" w:rsidR="00496300" w:rsidRPr="00496300" w:rsidRDefault="004410EE" w:rsidP="0011591E">
      <w:pPr>
        <w:pStyle w:val="ListParagraph"/>
        <w:numPr>
          <w:ilvl w:val="0"/>
          <w:numId w:val="29"/>
        </w:numPr>
        <w:spacing w:before="60" w:line="280" w:lineRule="atLeast"/>
        <w:ind w:left="714" w:hanging="357"/>
        <w:contextualSpacing w:val="0"/>
        <w:rPr>
          <w:iCs/>
          <w:sz w:val="21"/>
          <w:szCs w:val="21"/>
          <w:lang w:val="en-AU"/>
        </w:rPr>
      </w:pPr>
      <w:r>
        <w:rPr>
          <w:iCs/>
          <w:sz w:val="21"/>
          <w:szCs w:val="21"/>
        </w:rPr>
        <w:t xml:space="preserve">The AHPSU will </w:t>
      </w:r>
      <w:r w:rsidR="004C61F5">
        <w:rPr>
          <w:iCs/>
          <w:sz w:val="21"/>
          <w:szCs w:val="21"/>
        </w:rPr>
        <w:t xml:space="preserve">also </w:t>
      </w:r>
      <w:r>
        <w:rPr>
          <w:iCs/>
          <w:sz w:val="21"/>
          <w:szCs w:val="21"/>
        </w:rPr>
        <w:t xml:space="preserve">manage </w:t>
      </w:r>
      <w:r w:rsidR="00BB0CF8">
        <w:rPr>
          <w:iCs/>
          <w:sz w:val="21"/>
          <w:szCs w:val="21"/>
        </w:rPr>
        <w:t>flexible</w:t>
      </w:r>
      <w:r>
        <w:rPr>
          <w:iCs/>
          <w:sz w:val="21"/>
          <w:szCs w:val="21"/>
        </w:rPr>
        <w:t xml:space="preserve"> Activity </w:t>
      </w:r>
      <w:r w:rsidR="005C03EC">
        <w:rPr>
          <w:iCs/>
          <w:sz w:val="21"/>
          <w:szCs w:val="21"/>
        </w:rPr>
        <w:t>Funds</w:t>
      </w:r>
      <w:r>
        <w:rPr>
          <w:iCs/>
          <w:sz w:val="21"/>
          <w:szCs w:val="21"/>
        </w:rPr>
        <w:t xml:space="preserve"> to </w:t>
      </w:r>
      <w:r w:rsidR="005831C9">
        <w:rPr>
          <w:iCs/>
          <w:sz w:val="21"/>
          <w:szCs w:val="21"/>
        </w:rPr>
        <w:t>support</w:t>
      </w:r>
      <w:r>
        <w:rPr>
          <w:iCs/>
          <w:sz w:val="21"/>
          <w:szCs w:val="21"/>
        </w:rPr>
        <w:t xml:space="preserve"> </w:t>
      </w:r>
      <w:r w:rsidR="00A0254A">
        <w:rPr>
          <w:iCs/>
          <w:sz w:val="21"/>
          <w:szCs w:val="21"/>
        </w:rPr>
        <w:t xml:space="preserve">program-relevant </w:t>
      </w:r>
      <w:r w:rsidR="00D46C87">
        <w:rPr>
          <w:iCs/>
          <w:sz w:val="21"/>
          <w:szCs w:val="21"/>
        </w:rPr>
        <w:t>research</w:t>
      </w:r>
      <w:r w:rsidR="005C03EC">
        <w:rPr>
          <w:iCs/>
          <w:sz w:val="21"/>
          <w:szCs w:val="21"/>
        </w:rPr>
        <w:t xml:space="preserve">, </w:t>
      </w:r>
      <w:r w:rsidR="003D742D">
        <w:rPr>
          <w:iCs/>
          <w:sz w:val="21"/>
          <w:szCs w:val="21"/>
        </w:rPr>
        <w:t xml:space="preserve">learning needs </w:t>
      </w:r>
      <w:r w:rsidR="005C03EC">
        <w:rPr>
          <w:iCs/>
          <w:sz w:val="21"/>
          <w:szCs w:val="21"/>
        </w:rPr>
        <w:t xml:space="preserve">and joint action activities </w:t>
      </w:r>
      <w:r w:rsidR="003D742D">
        <w:rPr>
          <w:iCs/>
          <w:sz w:val="21"/>
          <w:szCs w:val="21"/>
        </w:rPr>
        <w:t xml:space="preserve">as proposed by </w:t>
      </w:r>
      <w:r w:rsidR="00445ADA">
        <w:rPr>
          <w:iCs/>
          <w:sz w:val="21"/>
          <w:szCs w:val="21"/>
        </w:rPr>
        <w:t xml:space="preserve">the AHPSU and/or </w:t>
      </w:r>
      <w:r w:rsidR="003D742D">
        <w:rPr>
          <w:iCs/>
          <w:sz w:val="21"/>
          <w:szCs w:val="21"/>
        </w:rPr>
        <w:t>ANGOs</w:t>
      </w:r>
      <w:r w:rsidR="00A0254A">
        <w:rPr>
          <w:iCs/>
          <w:sz w:val="21"/>
          <w:szCs w:val="21"/>
        </w:rPr>
        <w:t xml:space="preserve"> and approved by DFAT.</w:t>
      </w:r>
      <w:r w:rsidR="00496300" w:rsidRPr="00496300">
        <w:rPr>
          <w:iCs/>
          <w:sz w:val="21"/>
          <w:szCs w:val="21"/>
          <w:lang w:val="en-AU"/>
        </w:rPr>
        <w:t xml:space="preserve"> </w:t>
      </w:r>
      <w:r w:rsidR="009444F2" w:rsidRPr="006D1CE9">
        <w:rPr>
          <w:iCs/>
          <w:sz w:val="21"/>
          <w:szCs w:val="21"/>
        </w:rPr>
        <w:t>The AHPSU may sub-contract/grant</w:t>
      </w:r>
      <w:r w:rsidR="009444F2">
        <w:rPr>
          <w:iCs/>
          <w:sz w:val="21"/>
          <w:szCs w:val="21"/>
        </w:rPr>
        <w:t xml:space="preserve"> Activity Funds</w:t>
      </w:r>
      <w:r w:rsidR="009444F2" w:rsidRPr="006D1CE9">
        <w:rPr>
          <w:iCs/>
          <w:sz w:val="21"/>
          <w:szCs w:val="21"/>
        </w:rPr>
        <w:t xml:space="preserve"> to ANGOs</w:t>
      </w:r>
      <w:r w:rsidR="009444F2">
        <w:rPr>
          <w:iCs/>
          <w:sz w:val="21"/>
          <w:szCs w:val="21"/>
        </w:rPr>
        <w:t xml:space="preserve"> or other organisations</w:t>
      </w:r>
      <w:r w:rsidR="009444F2" w:rsidRPr="006D1CE9">
        <w:rPr>
          <w:iCs/>
          <w:sz w:val="21"/>
          <w:szCs w:val="21"/>
        </w:rPr>
        <w:t xml:space="preserve"> for implementation as appropriate to the needs.</w:t>
      </w:r>
      <w:r w:rsidR="005C03EC">
        <w:rPr>
          <w:iCs/>
          <w:sz w:val="21"/>
          <w:szCs w:val="21"/>
        </w:rPr>
        <w:t xml:space="preserve"> </w:t>
      </w:r>
      <w:r w:rsidR="00496300" w:rsidRPr="00496300">
        <w:rPr>
          <w:iCs/>
          <w:sz w:val="21"/>
          <w:szCs w:val="21"/>
          <w:lang w:val="en-AU"/>
        </w:rPr>
        <w:t xml:space="preserve">Initial priorities for </w:t>
      </w:r>
      <w:r w:rsidR="00496300">
        <w:rPr>
          <w:iCs/>
          <w:sz w:val="21"/>
          <w:szCs w:val="21"/>
          <w:lang w:val="en-AU"/>
        </w:rPr>
        <w:t xml:space="preserve">relevant research and learning products </w:t>
      </w:r>
      <w:r w:rsidR="00B1106B">
        <w:rPr>
          <w:iCs/>
          <w:sz w:val="21"/>
          <w:szCs w:val="21"/>
          <w:lang w:val="en-AU"/>
        </w:rPr>
        <w:t xml:space="preserve">or events </w:t>
      </w:r>
      <w:r w:rsidR="00496300">
        <w:rPr>
          <w:iCs/>
          <w:sz w:val="21"/>
          <w:szCs w:val="21"/>
          <w:lang w:val="en-AU"/>
        </w:rPr>
        <w:t>may</w:t>
      </w:r>
      <w:r w:rsidR="00496300" w:rsidRPr="00496300">
        <w:rPr>
          <w:iCs/>
          <w:sz w:val="21"/>
          <w:szCs w:val="21"/>
          <w:lang w:val="en-AU"/>
        </w:rPr>
        <w:t xml:space="preserve"> be in the areas of:</w:t>
      </w:r>
    </w:p>
    <w:p w14:paraId="2FC3C13F" w14:textId="4C4FB87D" w:rsidR="00026C52" w:rsidRDefault="00026C52" w:rsidP="0011591E">
      <w:pPr>
        <w:pStyle w:val="ListParagraph"/>
        <w:numPr>
          <w:ilvl w:val="1"/>
          <w:numId w:val="34"/>
        </w:numPr>
        <w:suppressAutoHyphens w:val="0"/>
        <w:spacing w:before="60" w:line="280" w:lineRule="exact"/>
        <w:contextualSpacing w:val="0"/>
      </w:pPr>
      <w:r>
        <w:t>Multi-country reflections on innovations and lessons learned;</w:t>
      </w:r>
    </w:p>
    <w:p w14:paraId="68848636" w14:textId="22FD07B5" w:rsidR="00F545A5" w:rsidRDefault="00F545A5" w:rsidP="0011591E">
      <w:pPr>
        <w:pStyle w:val="ListParagraph"/>
        <w:numPr>
          <w:ilvl w:val="1"/>
          <w:numId w:val="34"/>
        </w:numPr>
        <w:suppressAutoHyphens w:val="0"/>
        <w:spacing w:before="60" w:line="280" w:lineRule="exact"/>
        <w:contextualSpacing w:val="0"/>
      </w:pPr>
      <w:r>
        <w:t>Sustainability in protracted crisis;</w:t>
      </w:r>
    </w:p>
    <w:p w14:paraId="24210131" w14:textId="169B8D32" w:rsidR="00496300" w:rsidRPr="003E2C60" w:rsidRDefault="00496300" w:rsidP="0011591E">
      <w:pPr>
        <w:pStyle w:val="ListParagraph"/>
        <w:numPr>
          <w:ilvl w:val="1"/>
          <w:numId w:val="34"/>
        </w:numPr>
        <w:suppressAutoHyphens w:val="0"/>
        <w:spacing w:before="60" w:line="280" w:lineRule="exact"/>
        <w:contextualSpacing w:val="0"/>
      </w:pPr>
      <w:r w:rsidRPr="003E2C60">
        <w:lastRenderedPageBreak/>
        <w:t>Localisation</w:t>
      </w:r>
      <w:r>
        <w:t>;</w:t>
      </w:r>
      <w:r w:rsidRPr="003E2C60">
        <w:t xml:space="preserve"> </w:t>
      </w:r>
    </w:p>
    <w:p w14:paraId="21377D1C" w14:textId="43C959C2" w:rsidR="00496300" w:rsidRPr="003E2C60" w:rsidRDefault="00496300" w:rsidP="0011591E">
      <w:pPr>
        <w:pStyle w:val="ListParagraph"/>
        <w:numPr>
          <w:ilvl w:val="1"/>
          <w:numId w:val="34"/>
        </w:numPr>
        <w:suppressAutoHyphens w:val="0"/>
        <w:spacing w:before="60" w:line="280" w:lineRule="exact"/>
        <w:contextualSpacing w:val="0"/>
      </w:pPr>
      <w:r w:rsidRPr="003E2C60">
        <w:t>Accountability to affected populations</w:t>
      </w:r>
      <w:r>
        <w:t>;</w:t>
      </w:r>
    </w:p>
    <w:p w14:paraId="7BFCDAFE" w14:textId="188E8F51" w:rsidR="00A95269" w:rsidRDefault="0032060E" w:rsidP="0011591E">
      <w:pPr>
        <w:pStyle w:val="ListParagraph"/>
        <w:numPr>
          <w:ilvl w:val="1"/>
          <w:numId w:val="34"/>
        </w:numPr>
        <w:suppressAutoHyphens w:val="0"/>
        <w:spacing w:before="60" w:line="280" w:lineRule="exact"/>
        <w:contextualSpacing w:val="0"/>
      </w:pPr>
      <w:r>
        <w:t>GEDSI</w:t>
      </w:r>
      <w:r w:rsidR="00496300">
        <w:t xml:space="preserve">; </w:t>
      </w:r>
    </w:p>
    <w:p w14:paraId="68C75983" w14:textId="159A3263" w:rsidR="00496300" w:rsidRPr="003E2C60" w:rsidRDefault="00A95269" w:rsidP="0011591E">
      <w:pPr>
        <w:pStyle w:val="ListParagraph"/>
        <w:numPr>
          <w:ilvl w:val="1"/>
          <w:numId w:val="34"/>
        </w:numPr>
        <w:suppressAutoHyphens w:val="0"/>
        <w:spacing w:before="60" w:line="280" w:lineRule="exact"/>
        <w:contextualSpacing w:val="0"/>
      </w:pPr>
      <w:r>
        <w:t xml:space="preserve">human-centred design and behaviour change related to climate and disaster risk reduction, </w:t>
      </w:r>
      <w:r w:rsidR="00496300">
        <w:t>and</w:t>
      </w:r>
    </w:p>
    <w:p w14:paraId="42C1D539" w14:textId="2A364548" w:rsidR="00496300" w:rsidRPr="003E2C60" w:rsidRDefault="00496300" w:rsidP="0011591E">
      <w:pPr>
        <w:pStyle w:val="ListParagraph"/>
        <w:numPr>
          <w:ilvl w:val="1"/>
          <w:numId w:val="34"/>
        </w:numPr>
        <w:suppressAutoHyphens w:val="0"/>
        <w:spacing w:before="60" w:line="280" w:lineRule="exact"/>
        <w:contextualSpacing w:val="0"/>
      </w:pPr>
      <w:r w:rsidRPr="003E2C60">
        <w:t xml:space="preserve">Other cross-cutting, </w:t>
      </w:r>
      <w:r w:rsidR="00643003" w:rsidRPr="003E2C60">
        <w:t>sectoral,</w:t>
      </w:r>
      <w:r w:rsidRPr="003E2C60">
        <w:t xml:space="preserve"> or thematic areas as identified by the steering committee</w:t>
      </w:r>
      <w:r w:rsidR="002B101E">
        <w:t xml:space="preserve"> (such as joint risk assessments, or conflict analysis)</w:t>
      </w:r>
    </w:p>
    <w:p w14:paraId="40778CC2" w14:textId="6B9D0568" w:rsidR="00A97D28" w:rsidRDefault="004C61F5" w:rsidP="003E2C60">
      <w:pPr>
        <w:pStyle w:val="ListParagraph"/>
        <w:spacing w:before="60" w:line="280" w:lineRule="atLeast"/>
        <w:ind w:left="714"/>
        <w:contextualSpacing w:val="0"/>
        <w:rPr>
          <w:iCs/>
          <w:sz w:val="21"/>
          <w:szCs w:val="21"/>
          <w:lang w:val="en-AU"/>
        </w:rPr>
      </w:pPr>
      <w:r>
        <w:rPr>
          <w:iCs/>
          <w:sz w:val="21"/>
          <w:szCs w:val="21"/>
        </w:rPr>
        <w:t xml:space="preserve">Any research and learning activities must </w:t>
      </w:r>
      <w:r w:rsidR="003F43EB">
        <w:rPr>
          <w:iCs/>
          <w:sz w:val="21"/>
          <w:szCs w:val="21"/>
        </w:rPr>
        <w:t xml:space="preserve">respond to the problem analysis at a country and activity level, </w:t>
      </w:r>
      <w:r w:rsidR="001B76A4">
        <w:rPr>
          <w:iCs/>
          <w:sz w:val="21"/>
          <w:szCs w:val="21"/>
        </w:rPr>
        <w:t xml:space="preserve">not be duplicative </w:t>
      </w:r>
      <w:r w:rsidR="004B0D83">
        <w:rPr>
          <w:iCs/>
          <w:sz w:val="21"/>
          <w:szCs w:val="21"/>
        </w:rPr>
        <w:t>of</w:t>
      </w:r>
      <w:r w:rsidR="001B76A4">
        <w:rPr>
          <w:iCs/>
          <w:sz w:val="21"/>
          <w:szCs w:val="21"/>
        </w:rPr>
        <w:t xml:space="preserve"> existing </w:t>
      </w:r>
      <w:r w:rsidR="004B0D83">
        <w:rPr>
          <w:iCs/>
          <w:sz w:val="21"/>
          <w:szCs w:val="21"/>
        </w:rPr>
        <w:t xml:space="preserve">data, </w:t>
      </w:r>
      <w:r>
        <w:rPr>
          <w:iCs/>
          <w:sz w:val="21"/>
          <w:szCs w:val="21"/>
        </w:rPr>
        <w:t>a</w:t>
      </w:r>
      <w:r w:rsidR="00A97D28" w:rsidRPr="00A97D28">
        <w:rPr>
          <w:iCs/>
          <w:sz w:val="21"/>
          <w:szCs w:val="21"/>
        </w:rPr>
        <w:t>dd value to the individual activities of AHP Partners in Disaster READY or response activations (not be ad hoc, isolated activities</w:t>
      </w:r>
      <w:r w:rsidR="00213486">
        <w:rPr>
          <w:iCs/>
          <w:sz w:val="21"/>
          <w:szCs w:val="21"/>
        </w:rPr>
        <w:t xml:space="preserve">), and include </w:t>
      </w:r>
      <w:r w:rsidR="00213486" w:rsidRPr="00213486">
        <w:rPr>
          <w:iCs/>
          <w:sz w:val="21"/>
          <w:szCs w:val="21"/>
        </w:rPr>
        <w:t>embedded learning and uptake strategies and/or products</w:t>
      </w:r>
      <w:r w:rsidR="00213486">
        <w:rPr>
          <w:iCs/>
          <w:sz w:val="21"/>
          <w:szCs w:val="21"/>
        </w:rPr>
        <w:t>.</w:t>
      </w:r>
      <w:r w:rsidR="00213486" w:rsidRPr="00213486">
        <w:rPr>
          <w:iCs/>
          <w:sz w:val="21"/>
          <w:szCs w:val="21"/>
        </w:rPr>
        <w:t xml:space="preserve">  </w:t>
      </w:r>
    </w:p>
    <w:p w14:paraId="1531BBBE" w14:textId="77777777" w:rsidR="00943FB1" w:rsidRDefault="00943FB1" w:rsidP="00507BE6">
      <w:pPr>
        <w:spacing w:before="200" w:after="0" w:line="280" w:lineRule="atLeast"/>
        <w:rPr>
          <w:b/>
          <w:bCs/>
          <w:iCs/>
          <w:sz w:val="21"/>
          <w:szCs w:val="21"/>
          <w:lang w:val="en-AU"/>
        </w:rPr>
      </w:pPr>
      <w:r w:rsidRPr="00644602">
        <w:rPr>
          <w:b/>
          <w:bCs/>
          <w:i/>
          <w:sz w:val="21"/>
          <w:szCs w:val="21"/>
          <w:lang w:val="en-AU"/>
        </w:rPr>
        <w:t>External</w:t>
      </w:r>
      <w:r w:rsidRPr="0079597E">
        <w:rPr>
          <w:b/>
          <w:bCs/>
          <w:iCs/>
          <w:sz w:val="21"/>
          <w:szCs w:val="21"/>
          <w:lang w:val="en-AU"/>
        </w:rPr>
        <w:t xml:space="preserve"> </w:t>
      </w:r>
      <w:r w:rsidRPr="00507BE6">
        <w:rPr>
          <w:b/>
          <w:bCs/>
          <w:i/>
          <w:sz w:val="21"/>
          <w:szCs w:val="21"/>
        </w:rPr>
        <w:t>engagement</w:t>
      </w:r>
      <w:r w:rsidRPr="0079597E">
        <w:rPr>
          <w:b/>
          <w:bCs/>
          <w:iCs/>
          <w:sz w:val="21"/>
          <w:szCs w:val="21"/>
          <w:lang w:val="en-AU"/>
        </w:rPr>
        <w:t xml:space="preserve"> </w:t>
      </w:r>
    </w:p>
    <w:p w14:paraId="2FFC2C83" w14:textId="2979575B" w:rsidR="00943FB1" w:rsidRDefault="00943FB1" w:rsidP="00E93683">
      <w:pPr>
        <w:pStyle w:val="ListParagraph"/>
        <w:numPr>
          <w:ilvl w:val="0"/>
          <w:numId w:val="12"/>
        </w:numPr>
        <w:tabs>
          <w:tab w:val="left" w:pos="284"/>
        </w:tabs>
        <w:suppressAutoHyphens w:val="0"/>
        <w:spacing w:before="200" w:after="0" w:line="280" w:lineRule="exact"/>
        <w:ind w:left="0" w:firstLine="0"/>
        <w:contextualSpacing w:val="0"/>
        <w:rPr>
          <w:iCs/>
          <w:sz w:val="21"/>
          <w:szCs w:val="21"/>
          <w:lang w:val="en-AU"/>
        </w:rPr>
      </w:pPr>
      <w:r w:rsidRPr="00752BAD">
        <w:rPr>
          <w:iCs/>
          <w:sz w:val="21"/>
          <w:szCs w:val="21"/>
          <w:lang w:val="en-AU"/>
        </w:rPr>
        <w:t xml:space="preserve">There are significant opportunities </w:t>
      </w:r>
      <w:r w:rsidR="003F0E8D">
        <w:rPr>
          <w:iCs/>
          <w:sz w:val="21"/>
          <w:szCs w:val="21"/>
          <w:lang w:val="en-AU"/>
        </w:rPr>
        <w:t xml:space="preserve">at the Partnership-level </w:t>
      </w:r>
      <w:r w:rsidRPr="00752BAD">
        <w:rPr>
          <w:iCs/>
          <w:sz w:val="21"/>
          <w:szCs w:val="21"/>
          <w:lang w:val="en-AU"/>
        </w:rPr>
        <w:t xml:space="preserve">for AHP Partners to engage with external stakeholders. </w:t>
      </w:r>
      <w:r w:rsidR="00FC0E1B">
        <w:rPr>
          <w:iCs/>
          <w:sz w:val="21"/>
          <w:szCs w:val="21"/>
          <w:lang w:val="en-AU"/>
        </w:rPr>
        <w:t>E</w:t>
      </w:r>
      <w:r w:rsidR="00FC0E1B" w:rsidRPr="00752BAD">
        <w:rPr>
          <w:iCs/>
          <w:sz w:val="21"/>
          <w:szCs w:val="21"/>
          <w:lang w:val="en-AU"/>
        </w:rPr>
        <w:t xml:space="preserve">xternal stakeholders important to the Partnership include the HRG, </w:t>
      </w:r>
      <w:r w:rsidR="002E6492">
        <w:rPr>
          <w:iCs/>
          <w:sz w:val="21"/>
          <w:szCs w:val="21"/>
          <w:lang w:val="en-AU"/>
        </w:rPr>
        <w:t>ARC</w:t>
      </w:r>
      <w:r w:rsidR="00FC0E1B" w:rsidRPr="00752BAD">
        <w:rPr>
          <w:iCs/>
          <w:sz w:val="21"/>
          <w:szCs w:val="21"/>
          <w:lang w:val="en-AU"/>
        </w:rPr>
        <w:t xml:space="preserve">, RedR, the Australian Civil Military Centre, the </w:t>
      </w:r>
      <w:r w:rsidR="00377B39">
        <w:rPr>
          <w:iCs/>
          <w:sz w:val="21"/>
          <w:szCs w:val="21"/>
          <w:lang w:val="en-AU"/>
        </w:rPr>
        <w:t>APCP</w:t>
      </w:r>
      <w:r w:rsidR="00020650">
        <w:rPr>
          <w:iCs/>
          <w:sz w:val="21"/>
          <w:szCs w:val="21"/>
          <w:lang w:val="en-AU"/>
        </w:rPr>
        <w:t xml:space="preserve">, </w:t>
      </w:r>
      <w:r w:rsidR="00E16246">
        <w:rPr>
          <w:iCs/>
          <w:sz w:val="21"/>
          <w:szCs w:val="21"/>
          <w:lang w:val="en-AU"/>
        </w:rPr>
        <w:t>P4SP</w:t>
      </w:r>
      <w:r w:rsidR="00020650">
        <w:rPr>
          <w:iCs/>
          <w:sz w:val="21"/>
          <w:szCs w:val="21"/>
          <w:lang w:val="en-AU"/>
        </w:rPr>
        <w:t>,</w:t>
      </w:r>
      <w:r w:rsidR="00FC0E1B" w:rsidRPr="00752BAD">
        <w:rPr>
          <w:iCs/>
          <w:sz w:val="21"/>
          <w:szCs w:val="21"/>
          <w:lang w:val="en-AU"/>
        </w:rPr>
        <w:t xml:space="preserve"> </w:t>
      </w:r>
      <w:r w:rsidR="00E14E20">
        <w:rPr>
          <w:iCs/>
          <w:sz w:val="21"/>
          <w:szCs w:val="21"/>
          <w:lang w:val="en-AU"/>
        </w:rPr>
        <w:t>PACMAS</w:t>
      </w:r>
      <w:r w:rsidR="008960F7">
        <w:rPr>
          <w:iCs/>
          <w:sz w:val="21"/>
          <w:szCs w:val="21"/>
          <w:lang w:val="en-AU"/>
        </w:rPr>
        <w:t>,</w:t>
      </w:r>
      <w:r w:rsidR="00E14E20">
        <w:rPr>
          <w:iCs/>
          <w:sz w:val="21"/>
          <w:szCs w:val="21"/>
          <w:lang w:val="en-AU"/>
        </w:rPr>
        <w:t xml:space="preserve"> </w:t>
      </w:r>
      <w:r w:rsidR="00FC0E1B" w:rsidRPr="00752BAD">
        <w:rPr>
          <w:iCs/>
          <w:sz w:val="21"/>
          <w:szCs w:val="21"/>
          <w:lang w:val="en-AU"/>
        </w:rPr>
        <w:t>Pacific Women Lead</w:t>
      </w:r>
      <w:r w:rsidR="008960F7">
        <w:rPr>
          <w:iCs/>
          <w:sz w:val="21"/>
          <w:szCs w:val="21"/>
          <w:lang w:val="en-AU"/>
        </w:rPr>
        <w:t>, Water for Women</w:t>
      </w:r>
      <w:r w:rsidR="00284190">
        <w:rPr>
          <w:iCs/>
          <w:sz w:val="21"/>
          <w:szCs w:val="21"/>
          <w:lang w:val="en-AU"/>
        </w:rPr>
        <w:t>,</w:t>
      </w:r>
      <w:r w:rsidR="0093103C">
        <w:rPr>
          <w:iCs/>
          <w:sz w:val="21"/>
          <w:szCs w:val="21"/>
          <w:lang w:val="en-AU"/>
        </w:rPr>
        <w:t xml:space="preserve"> the Pacific Community, </w:t>
      </w:r>
      <w:r w:rsidR="002E6492">
        <w:rPr>
          <w:iCs/>
          <w:sz w:val="21"/>
          <w:szCs w:val="21"/>
          <w:lang w:val="en-AU"/>
        </w:rPr>
        <w:t xml:space="preserve">the </w:t>
      </w:r>
      <w:r w:rsidR="00E16246">
        <w:rPr>
          <w:iCs/>
          <w:sz w:val="21"/>
          <w:szCs w:val="21"/>
          <w:lang w:val="en-AU"/>
        </w:rPr>
        <w:t>EAA</w:t>
      </w:r>
      <w:r w:rsidR="002E6492">
        <w:rPr>
          <w:iCs/>
          <w:sz w:val="21"/>
          <w:szCs w:val="21"/>
          <w:lang w:val="en-AU"/>
        </w:rPr>
        <w:t xml:space="preserve"> </w:t>
      </w:r>
      <w:r w:rsidR="00284190">
        <w:rPr>
          <w:iCs/>
          <w:sz w:val="21"/>
          <w:szCs w:val="21"/>
          <w:lang w:val="en-AU"/>
        </w:rPr>
        <w:t>and ANCP</w:t>
      </w:r>
      <w:r w:rsidR="00FC0E1B">
        <w:rPr>
          <w:iCs/>
          <w:sz w:val="21"/>
          <w:szCs w:val="21"/>
          <w:lang w:val="en-AU"/>
        </w:rPr>
        <w:t xml:space="preserve">. </w:t>
      </w:r>
      <w:r w:rsidRPr="00752BAD">
        <w:rPr>
          <w:iCs/>
          <w:sz w:val="21"/>
          <w:szCs w:val="21"/>
          <w:lang w:val="en-AU"/>
        </w:rPr>
        <w:t xml:space="preserve">A key priority for </w:t>
      </w:r>
      <w:r w:rsidR="00406F84">
        <w:rPr>
          <w:iCs/>
          <w:sz w:val="21"/>
          <w:szCs w:val="21"/>
          <w:lang w:val="en-AU"/>
        </w:rPr>
        <w:t>Phase II</w:t>
      </w:r>
      <w:r w:rsidRPr="00752BAD">
        <w:rPr>
          <w:iCs/>
          <w:sz w:val="21"/>
          <w:szCs w:val="21"/>
          <w:lang w:val="en-AU"/>
        </w:rPr>
        <w:t xml:space="preserve"> of the Partnership is to </w:t>
      </w:r>
      <w:r w:rsidR="002F7186">
        <w:rPr>
          <w:iCs/>
          <w:sz w:val="21"/>
          <w:szCs w:val="21"/>
          <w:lang w:val="en-AU"/>
        </w:rPr>
        <w:t>identify</w:t>
      </w:r>
      <w:r w:rsidRPr="00752BAD">
        <w:rPr>
          <w:iCs/>
          <w:sz w:val="21"/>
          <w:szCs w:val="21"/>
          <w:lang w:val="en-AU"/>
        </w:rPr>
        <w:t xml:space="preserve"> the lessons and practice experience</w:t>
      </w:r>
      <w:r w:rsidR="00C013FF">
        <w:rPr>
          <w:iCs/>
          <w:sz w:val="21"/>
          <w:szCs w:val="21"/>
          <w:lang w:val="en-AU"/>
        </w:rPr>
        <w:t xml:space="preserve"> from</w:t>
      </w:r>
      <w:r w:rsidRPr="00752BAD">
        <w:rPr>
          <w:iCs/>
          <w:sz w:val="21"/>
          <w:szCs w:val="21"/>
          <w:lang w:val="en-AU"/>
        </w:rPr>
        <w:t xml:space="preserve"> implementation and to share lessons </w:t>
      </w:r>
      <w:r w:rsidR="00C013FF">
        <w:rPr>
          <w:iCs/>
          <w:sz w:val="21"/>
          <w:szCs w:val="21"/>
          <w:lang w:val="en-AU"/>
        </w:rPr>
        <w:t xml:space="preserve">with </w:t>
      </w:r>
      <w:r w:rsidRPr="00752BAD">
        <w:rPr>
          <w:iCs/>
          <w:sz w:val="21"/>
          <w:szCs w:val="21"/>
          <w:lang w:val="en-AU"/>
        </w:rPr>
        <w:t>and influence the policy and practice of others.</w:t>
      </w:r>
      <w:r w:rsidR="00DE5BCA">
        <w:rPr>
          <w:iCs/>
          <w:sz w:val="21"/>
          <w:szCs w:val="21"/>
          <w:lang w:val="en-AU"/>
        </w:rPr>
        <w:t xml:space="preserve"> This includes a focus in this Phase on collaboration with DFAT and other climate change programs with a civil society and community resilience focus.</w:t>
      </w:r>
      <w:r w:rsidRPr="00752BAD">
        <w:rPr>
          <w:iCs/>
          <w:sz w:val="21"/>
          <w:szCs w:val="21"/>
          <w:lang w:val="en-AU"/>
        </w:rPr>
        <w:t xml:space="preserve">  While the AHPSU has a coordinating role for information sharing and knowledge exchange, ANGOs are also expected to actively participate in key forums and maintain key relationships, particularly at country level.</w:t>
      </w:r>
      <w:r w:rsidR="00D60B70">
        <w:rPr>
          <w:iCs/>
          <w:sz w:val="21"/>
          <w:szCs w:val="21"/>
          <w:lang w:val="en-AU"/>
        </w:rPr>
        <w:t xml:space="preserve"> </w:t>
      </w:r>
      <w:r w:rsidR="00EC0F05">
        <w:rPr>
          <w:iCs/>
          <w:sz w:val="21"/>
          <w:szCs w:val="21"/>
          <w:lang w:val="en-AU"/>
        </w:rPr>
        <w:t>Posts can play an important role in e</w:t>
      </w:r>
      <w:r w:rsidR="00EC0F05" w:rsidRPr="008A7CC7">
        <w:rPr>
          <w:iCs/>
          <w:sz w:val="21"/>
          <w:szCs w:val="21"/>
          <w:lang w:val="en-AU"/>
        </w:rPr>
        <w:t>nsur</w:t>
      </w:r>
      <w:r w:rsidR="00EC0F05">
        <w:rPr>
          <w:iCs/>
          <w:sz w:val="21"/>
          <w:szCs w:val="21"/>
          <w:lang w:val="en-AU"/>
        </w:rPr>
        <w:t>ing</w:t>
      </w:r>
      <w:r w:rsidR="00EC0F05" w:rsidRPr="008A7CC7">
        <w:rPr>
          <w:iCs/>
          <w:sz w:val="21"/>
          <w:szCs w:val="21"/>
          <w:lang w:val="en-AU"/>
        </w:rPr>
        <w:t xml:space="preserve"> </w:t>
      </w:r>
      <w:r w:rsidR="00EC0F05">
        <w:rPr>
          <w:iCs/>
          <w:sz w:val="21"/>
          <w:szCs w:val="21"/>
          <w:lang w:val="en-AU"/>
        </w:rPr>
        <w:t>key</w:t>
      </w:r>
      <w:r w:rsidR="0093103C">
        <w:rPr>
          <w:iCs/>
          <w:sz w:val="21"/>
          <w:szCs w:val="21"/>
          <w:lang w:val="en-AU"/>
        </w:rPr>
        <w:t xml:space="preserve"> regional and</w:t>
      </w:r>
      <w:r w:rsidR="00EC0F05">
        <w:rPr>
          <w:iCs/>
          <w:sz w:val="21"/>
          <w:szCs w:val="21"/>
          <w:lang w:val="en-AU"/>
        </w:rPr>
        <w:t xml:space="preserve"> country-level</w:t>
      </w:r>
      <w:r w:rsidR="00EC0F05" w:rsidRPr="008A7CC7">
        <w:rPr>
          <w:iCs/>
          <w:sz w:val="21"/>
          <w:szCs w:val="21"/>
          <w:lang w:val="en-AU"/>
        </w:rPr>
        <w:t xml:space="preserve"> stakeholders are included in engagement opportunities</w:t>
      </w:r>
      <w:r w:rsidR="00EC0F05">
        <w:rPr>
          <w:iCs/>
          <w:sz w:val="21"/>
          <w:szCs w:val="21"/>
          <w:lang w:val="en-AU"/>
        </w:rPr>
        <w:t xml:space="preserve">, including </w:t>
      </w:r>
      <w:r w:rsidR="006707DC">
        <w:rPr>
          <w:iCs/>
          <w:sz w:val="21"/>
          <w:szCs w:val="21"/>
          <w:lang w:val="en-AU"/>
        </w:rPr>
        <w:t xml:space="preserve">Partner Governments, </w:t>
      </w:r>
      <w:r w:rsidR="000817D4">
        <w:rPr>
          <w:iCs/>
          <w:sz w:val="21"/>
          <w:szCs w:val="21"/>
          <w:lang w:val="en-AU"/>
        </w:rPr>
        <w:t xml:space="preserve">regional bodies, </w:t>
      </w:r>
      <w:r w:rsidR="006707DC">
        <w:rPr>
          <w:iCs/>
          <w:sz w:val="21"/>
          <w:szCs w:val="21"/>
          <w:lang w:val="en-AU"/>
        </w:rPr>
        <w:t xml:space="preserve">donors, multilateral </w:t>
      </w:r>
      <w:r w:rsidR="00643003">
        <w:rPr>
          <w:iCs/>
          <w:sz w:val="21"/>
          <w:szCs w:val="21"/>
          <w:lang w:val="en-AU"/>
        </w:rPr>
        <w:t>organisations,</w:t>
      </w:r>
      <w:r w:rsidR="006707DC">
        <w:rPr>
          <w:iCs/>
          <w:sz w:val="21"/>
          <w:szCs w:val="21"/>
          <w:lang w:val="en-AU"/>
        </w:rPr>
        <w:t xml:space="preserve"> and other development actors</w:t>
      </w:r>
      <w:r w:rsidR="00EC0F05">
        <w:rPr>
          <w:iCs/>
          <w:sz w:val="21"/>
          <w:szCs w:val="21"/>
          <w:lang w:val="en-AU"/>
        </w:rPr>
        <w:t>.</w:t>
      </w:r>
    </w:p>
    <w:p w14:paraId="78445D50" w14:textId="77777777" w:rsidR="00943FB1" w:rsidRDefault="00943FB1" w:rsidP="00E93683">
      <w:pPr>
        <w:pStyle w:val="ListParagraph"/>
        <w:numPr>
          <w:ilvl w:val="0"/>
          <w:numId w:val="12"/>
        </w:numPr>
        <w:tabs>
          <w:tab w:val="left" w:pos="284"/>
        </w:tabs>
        <w:suppressAutoHyphens w:val="0"/>
        <w:spacing w:before="200" w:after="0" w:line="280" w:lineRule="exact"/>
        <w:ind w:left="0" w:firstLine="0"/>
        <w:contextualSpacing w:val="0"/>
        <w:rPr>
          <w:iCs/>
          <w:sz w:val="21"/>
          <w:szCs w:val="21"/>
          <w:lang w:val="en-AU"/>
        </w:rPr>
      </w:pPr>
      <w:r w:rsidRPr="00E93683">
        <w:rPr>
          <w:rFonts w:eastAsia="Times New Roman" w:cs="Times New Roman"/>
          <w:sz w:val="21"/>
          <w:szCs w:val="24"/>
          <w:lang w:val="en-AU"/>
        </w:rPr>
        <w:t>Mechanisms</w:t>
      </w:r>
      <w:r>
        <w:rPr>
          <w:iCs/>
          <w:sz w:val="21"/>
          <w:szCs w:val="21"/>
          <w:lang w:val="en-AU"/>
        </w:rPr>
        <w:t xml:space="preserve"> to facilitate engagement with other stakeholders include:</w:t>
      </w:r>
    </w:p>
    <w:p w14:paraId="71BCC5B3" w14:textId="4E4E9B89" w:rsidR="00943FB1" w:rsidRPr="003E2C60" w:rsidRDefault="00FA234D" w:rsidP="0011591E">
      <w:pPr>
        <w:pStyle w:val="ListParagraph"/>
        <w:numPr>
          <w:ilvl w:val="0"/>
          <w:numId w:val="29"/>
        </w:numPr>
        <w:spacing w:before="60" w:line="280" w:lineRule="atLeast"/>
        <w:ind w:left="714" w:hanging="357"/>
        <w:contextualSpacing w:val="0"/>
        <w:rPr>
          <w:iCs/>
          <w:sz w:val="21"/>
          <w:szCs w:val="21"/>
        </w:rPr>
      </w:pPr>
      <w:r>
        <w:rPr>
          <w:iCs/>
          <w:sz w:val="21"/>
          <w:szCs w:val="21"/>
          <w:lang w:val="en-AU"/>
        </w:rPr>
        <w:t>T</w:t>
      </w:r>
      <w:r w:rsidR="00943FB1">
        <w:rPr>
          <w:iCs/>
          <w:sz w:val="21"/>
          <w:szCs w:val="21"/>
          <w:lang w:val="en-AU"/>
        </w:rPr>
        <w:t xml:space="preserve">he </w:t>
      </w:r>
      <w:r w:rsidR="00943FB1" w:rsidRPr="003E2C60">
        <w:rPr>
          <w:iCs/>
          <w:sz w:val="21"/>
          <w:szCs w:val="21"/>
        </w:rPr>
        <w:t>Steering Committee, where AHP Partners can engage formally with DFAT</w:t>
      </w:r>
    </w:p>
    <w:p w14:paraId="2EF54230" w14:textId="3CA64FC3" w:rsidR="00FA234D" w:rsidRPr="003E2C60" w:rsidRDefault="00FA234D" w:rsidP="0011591E">
      <w:pPr>
        <w:pStyle w:val="ListParagraph"/>
        <w:numPr>
          <w:ilvl w:val="0"/>
          <w:numId w:val="29"/>
        </w:numPr>
        <w:spacing w:before="60" w:line="280" w:lineRule="atLeast"/>
        <w:ind w:left="714" w:hanging="357"/>
        <w:contextualSpacing w:val="0"/>
        <w:rPr>
          <w:iCs/>
          <w:sz w:val="21"/>
          <w:szCs w:val="21"/>
        </w:rPr>
      </w:pPr>
      <w:r w:rsidRPr="003E2C60">
        <w:rPr>
          <w:iCs/>
          <w:sz w:val="21"/>
          <w:szCs w:val="21"/>
        </w:rPr>
        <w:t>The HRG</w:t>
      </w:r>
      <w:r w:rsidR="00D71FD2" w:rsidRPr="00D71FD2">
        <w:t xml:space="preserve"> </w:t>
      </w:r>
      <w:r w:rsidR="00D71FD2" w:rsidRPr="00D71FD2">
        <w:rPr>
          <w:iCs/>
          <w:sz w:val="21"/>
          <w:szCs w:val="21"/>
        </w:rPr>
        <w:t>with opportunities for more integrated learning agendas with the AHPSU.</w:t>
      </w:r>
    </w:p>
    <w:p w14:paraId="71F96161" w14:textId="51A66874" w:rsidR="00943FB1" w:rsidRPr="003E2C60" w:rsidRDefault="00765B5E" w:rsidP="0011591E">
      <w:pPr>
        <w:pStyle w:val="ListParagraph"/>
        <w:numPr>
          <w:ilvl w:val="0"/>
          <w:numId w:val="29"/>
        </w:numPr>
        <w:spacing w:before="60" w:line="280" w:lineRule="atLeast"/>
        <w:ind w:left="714" w:hanging="357"/>
        <w:contextualSpacing w:val="0"/>
        <w:rPr>
          <w:iCs/>
          <w:sz w:val="21"/>
          <w:szCs w:val="21"/>
        </w:rPr>
      </w:pPr>
      <w:r>
        <w:rPr>
          <w:iCs/>
          <w:sz w:val="21"/>
          <w:szCs w:val="21"/>
        </w:rPr>
        <w:t>DRCCs</w:t>
      </w:r>
      <w:r w:rsidR="00943FB1" w:rsidRPr="003E2C60">
        <w:rPr>
          <w:iCs/>
          <w:sz w:val="21"/>
          <w:szCs w:val="21"/>
        </w:rPr>
        <w:t xml:space="preserve">, </w:t>
      </w:r>
      <w:r w:rsidR="00954939" w:rsidRPr="003E2C60">
        <w:rPr>
          <w:iCs/>
          <w:sz w:val="21"/>
          <w:szCs w:val="21"/>
        </w:rPr>
        <w:t xml:space="preserve">where </w:t>
      </w:r>
      <w:r w:rsidR="00943FB1" w:rsidRPr="003E2C60">
        <w:rPr>
          <w:iCs/>
          <w:sz w:val="21"/>
          <w:szCs w:val="21"/>
        </w:rPr>
        <w:t>ongoing working relationships can be maintained with partner government coordination mechanisms and other humanitarian actors</w:t>
      </w:r>
      <w:r w:rsidR="00954939" w:rsidRPr="003E2C60">
        <w:rPr>
          <w:iCs/>
          <w:sz w:val="21"/>
          <w:szCs w:val="21"/>
        </w:rPr>
        <w:t xml:space="preserve"> through the Coordinator.</w:t>
      </w:r>
    </w:p>
    <w:p w14:paraId="0719C219" w14:textId="5C2DAE4B" w:rsidR="00943FB1" w:rsidRPr="003E2C60" w:rsidRDefault="00954939" w:rsidP="0011591E">
      <w:pPr>
        <w:pStyle w:val="ListParagraph"/>
        <w:numPr>
          <w:ilvl w:val="0"/>
          <w:numId w:val="29"/>
        </w:numPr>
        <w:spacing w:before="60" w:line="280" w:lineRule="atLeast"/>
        <w:ind w:left="714" w:hanging="357"/>
        <w:contextualSpacing w:val="0"/>
        <w:rPr>
          <w:iCs/>
          <w:sz w:val="21"/>
          <w:szCs w:val="21"/>
        </w:rPr>
      </w:pPr>
      <w:r w:rsidRPr="003E2C60">
        <w:rPr>
          <w:iCs/>
          <w:sz w:val="21"/>
          <w:szCs w:val="21"/>
        </w:rPr>
        <w:t>J</w:t>
      </w:r>
      <w:r w:rsidR="00943FB1" w:rsidRPr="003E2C60">
        <w:rPr>
          <w:iCs/>
          <w:sz w:val="21"/>
          <w:szCs w:val="21"/>
        </w:rPr>
        <w:t>oint activities</w:t>
      </w:r>
      <w:r w:rsidR="0026006D" w:rsidRPr="003E2C60">
        <w:rPr>
          <w:iCs/>
          <w:sz w:val="21"/>
          <w:szCs w:val="21"/>
        </w:rPr>
        <w:t>,</w:t>
      </w:r>
      <w:r w:rsidR="00943FB1" w:rsidRPr="003E2C60">
        <w:rPr>
          <w:iCs/>
          <w:sz w:val="21"/>
          <w:szCs w:val="21"/>
        </w:rPr>
        <w:t xml:space="preserve"> which may have stakeholder engagement as key feature</w:t>
      </w:r>
    </w:p>
    <w:p w14:paraId="0237F64D" w14:textId="78E498AF" w:rsidR="00943FB1" w:rsidRPr="003E2C60" w:rsidRDefault="0026006D" w:rsidP="0011591E">
      <w:pPr>
        <w:pStyle w:val="ListParagraph"/>
        <w:numPr>
          <w:ilvl w:val="0"/>
          <w:numId w:val="29"/>
        </w:numPr>
        <w:spacing w:before="60" w:line="280" w:lineRule="atLeast"/>
        <w:ind w:left="714" w:hanging="357"/>
        <w:contextualSpacing w:val="0"/>
        <w:rPr>
          <w:iCs/>
          <w:sz w:val="21"/>
          <w:szCs w:val="21"/>
        </w:rPr>
      </w:pPr>
      <w:r w:rsidRPr="003E2C60">
        <w:rPr>
          <w:iCs/>
          <w:sz w:val="21"/>
          <w:szCs w:val="21"/>
        </w:rPr>
        <w:t>P</w:t>
      </w:r>
      <w:r w:rsidR="00943FB1" w:rsidRPr="003E2C60">
        <w:rPr>
          <w:iCs/>
          <w:sz w:val="21"/>
          <w:szCs w:val="21"/>
        </w:rPr>
        <w:t xml:space="preserve">ublic diplomacy events, </w:t>
      </w:r>
      <w:r w:rsidR="00643003" w:rsidRPr="003E2C60">
        <w:rPr>
          <w:iCs/>
          <w:sz w:val="21"/>
          <w:szCs w:val="21"/>
        </w:rPr>
        <w:t>materials,</w:t>
      </w:r>
      <w:r w:rsidR="00943FB1" w:rsidRPr="003E2C60">
        <w:rPr>
          <w:iCs/>
          <w:sz w:val="21"/>
          <w:szCs w:val="21"/>
        </w:rPr>
        <w:t xml:space="preserve"> and publications</w:t>
      </w:r>
    </w:p>
    <w:p w14:paraId="37F0AACF" w14:textId="25043F9D" w:rsidR="00943FB1" w:rsidRPr="003E2C60" w:rsidRDefault="00943FB1" w:rsidP="0011591E">
      <w:pPr>
        <w:pStyle w:val="ListParagraph"/>
        <w:numPr>
          <w:ilvl w:val="0"/>
          <w:numId w:val="29"/>
        </w:numPr>
        <w:spacing w:before="60" w:line="280" w:lineRule="atLeast"/>
        <w:ind w:left="714" w:hanging="357"/>
        <w:contextualSpacing w:val="0"/>
        <w:rPr>
          <w:iCs/>
          <w:sz w:val="21"/>
          <w:szCs w:val="21"/>
        </w:rPr>
      </w:pPr>
      <w:r w:rsidRPr="003E2C60">
        <w:rPr>
          <w:iCs/>
          <w:sz w:val="21"/>
          <w:szCs w:val="21"/>
        </w:rPr>
        <w:t>ANGO international networks, and attendance at conferences</w:t>
      </w:r>
      <w:r w:rsidR="0026006D" w:rsidRPr="003E2C60">
        <w:rPr>
          <w:iCs/>
          <w:sz w:val="21"/>
          <w:szCs w:val="21"/>
        </w:rPr>
        <w:t xml:space="preserve"> and</w:t>
      </w:r>
      <w:r w:rsidRPr="003E2C60">
        <w:rPr>
          <w:iCs/>
          <w:sz w:val="21"/>
          <w:szCs w:val="21"/>
        </w:rPr>
        <w:t xml:space="preserve"> events</w:t>
      </w:r>
    </w:p>
    <w:p w14:paraId="26D5A1F1" w14:textId="4CDCCF49" w:rsidR="00943FB1" w:rsidRPr="003E2C60" w:rsidRDefault="0026006D" w:rsidP="0011591E">
      <w:pPr>
        <w:pStyle w:val="ListParagraph"/>
        <w:numPr>
          <w:ilvl w:val="0"/>
          <w:numId w:val="29"/>
        </w:numPr>
        <w:spacing w:before="60" w:line="280" w:lineRule="atLeast"/>
        <w:ind w:left="714" w:hanging="357"/>
        <w:contextualSpacing w:val="0"/>
        <w:rPr>
          <w:iCs/>
          <w:sz w:val="21"/>
          <w:szCs w:val="21"/>
        </w:rPr>
      </w:pPr>
      <w:r w:rsidRPr="003E2C60">
        <w:rPr>
          <w:iCs/>
          <w:sz w:val="21"/>
          <w:szCs w:val="21"/>
        </w:rPr>
        <w:t>L</w:t>
      </w:r>
      <w:r w:rsidR="00943FB1" w:rsidRPr="003E2C60">
        <w:rPr>
          <w:iCs/>
          <w:sz w:val="21"/>
          <w:szCs w:val="21"/>
        </w:rPr>
        <w:t>earning events and training opportunities implemented by the AHPSU and other AHP Partners where external stakeholders are participants.</w:t>
      </w:r>
    </w:p>
    <w:p w14:paraId="6CB263C1" w14:textId="37948330" w:rsidR="00943FB1" w:rsidRPr="003E2C60" w:rsidRDefault="00943FB1" w:rsidP="0011591E">
      <w:pPr>
        <w:pStyle w:val="ListParagraph"/>
        <w:numPr>
          <w:ilvl w:val="0"/>
          <w:numId w:val="29"/>
        </w:numPr>
        <w:spacing w:before="60" w:line="280" w:lineRule="atLeast"/>
        <w:ind w:left="714" w:hanging="357"/>
        <w:contextualSpacing w:val="0"/>
        <w:rPr>
          <w:iCs/>
          <w:sz w:val="21"/>
          <w:szCs w:val="21"/>
        </w:rPr>
      </w:pPr>
      <w:r w:rsidRPr="003E2C60">
        <w:rPr>
          <w:iCs/>
          <w:sz w:val="21"/>
          <w:szCs w:val="21"/>
        </w:rPr>
        <w:t xml:space="preserve">DFAT-led bilateral, </w:t>
      </w:r>
      <w:r w:rsidR="00643003" w:rsidRPr="003E2C60">
        <w:rPr>
          <w:iCs/>
          <w:sz w:val="21"/>
          <w:szCs w:val="21"/>
        </w:rPr>
        <w:t>regional,</w:t>
      </w:r>
      <w:r w:rsidRPr="003E2C60">
        <w:rPr>
          <w:iCs/>
          <w:sz w:val="21"/>
          <w:szCs w:val="21"/>
        </w:rPr>
        <w:t xml:space="preserve"> and global events or meetings.</w:t>
      </w:r>
    </w:p>
    <w:p w14:paraId="71035927" w14:textId="492EBF02" w:rsidR="00943FB1" w:rsidRPr="00C63085" w:rsidRDefault="004B749C" w:rsidP="00E93683">
      <w:pPr>
        <w:pStyle w:val="ListParagraph"/>
        <w:numPr>
          <w:ilvl w:val="0"/>
          <w:numId w:val="12"/>
        </w:numPr>
        <w:tabs>
          <w:tab w:val="left" w:pos="284"/>
        </w:tabs>
        <w:suppressAutoHyphens w:val="0"/>
        <w:spacing w:before="200" w:after="0" w:line="280" w:lineRule="exact"/>
        <w:ind w:left="0" w:firstLine="0"/>
        <w:contextualSpacing w:val="0"/>
        <w:rPr>
          <w:iCs/>
        </w:rPr>
      </w:pPr>
      <w:r>
        <w:rPr>
          <w:iCs/>
          <w:sz w:val="21"/>
          <w:szCs w:val="21"/>
          <w:lang w:val="en-AU"/>
        </w:rPr>
        <w:t xml:space="preserve"> </w:t>
      </w:r>
      <w:r w:rsidR="00943FB1" w:rsidRPr="00C63085">
        <w:rPr>
          <w:iCs/>
          <w:sz w:val="21"/>
          <w:szCs w:val="21"/>
          <w:lang w:val="en-AU"/>
        </w:rPr>
        <w:t xml:space="preserve">Each year, the AHPSU will include significant stakeholder engagement opportunities as part of its Annual Plan. </w:t>
      </w:r>
    </w:p>
    <w:bookmarkEnd w:id="34"/>
    <w:p w14:paraId="485C85E7" w14:textId="2862C61D" w:rsidR="00A32858" w:rsidRPr="00E93683" w:rsidRDefault="00A32858" w:rsidP="00507BE6">
      <w:pPr>
        <w:spacing w:before="200" w:after="0" w:line="280" w:lineRule="atLeast"/>
        <w:rPr>
          <w:b/>
          <w:bCs/>
          <w:i/>
          <w:iCs/>
        </w:rPr>
      </w:pPr>
      <w:r w:rsidRPr="00E93683">
        <w:rPr>
          <w:b/>
          <w:bCs/>
          <w:i/>
          <w:iCs/>
        </w:rPr>
        <w:t xml:space="preserve">Profile </w:t>
      </w:r>
      <w:r w:rsidRPr="00507BE6">
        <w:rPr>
          <w:b/>
          <w:bCs/>
          <w:i/>
          <w:sz w:val="21"/>
          <w:szCs w:val="21"/>
        </w:rPr>
        <w:t>and</w:t>
      </w:r>
      <w:r w:rsidRPr="00E93683">
        <w:rPr>
          <w:b/>
          <w:bCs/>
          <w:i/>
          <w:iCs/>
        </w:rPr>
        <w:t xml:space="preserve"> Public Diplomacy</w:t>
      </w:r>
      <w:r w:rsidR="00D41594" w:rsidRPr="00E93683">
        <w:rPr>
          <w:b/>
          <w:bCs/>
          <w:i/>
          <w:iCs/>
        </w:rPr>
        <w:t xml:space="preserve"> </w:t>
      </w:r>
    </w:p>
    <w:p w14:paraId="67488098" w14:textId="3FA640A6" w:rsidR="000078CE" w:rsidRPr="003E2C60" w:rsidRDefault="00C17A24" w:rsidP="00E93683">
      <w:pPr>
        <w:pStyle w:val="ListParagraph"/>
        <w:numPr>
          <w:ilvl w:val="0"/>
          <w:numId w:val="12"/>
        </w:numPr>
        <w:tabs>
          <w:tab w:val="left" w:pos="284"/>
        </w:tabs>
        <w:suppressAutoHyphens w:val="0"/>
        <w:spacing w:before="200" w:after="0" w:line="280" w:lineRule="exact"/>
        <w:ind w:left="0" w:firstLine="0"/>
        <w:contextualSpacing w:val="0"/>
        <w:rPr>
          <w:sz w:val="21"/>
          <w:szCs w:val="21"/>
          <w:lang w:val="en-AU"/>
        </w:rPr>
      </w:pPr>
      <w:r w:rsidRPr="00E82C78">
        <w:rPr>
          <w:rFonts w:eastAsia="Times New Roman" w:cs="Times New Roman"/>
          <w:sz w:val="21"/>
          <w:szCs w:val="24"/>
          <w:lang w:val="en-AU"/>
        </w:rPr>
        <w:t xml:space="preserve"> </w:t>
      </w:r>
      <w:r w:rsidR="000078CE" w:rsidRPr="003E2C60">
        <w:rPr>
          <w:sz w:val="21"/>
          <w:szCs w:val="21"/>
        </w:rPr>
        <w:t xml:space="preserve">Strategic communications, public diplomacy and engagement with external stakeholders is a key </w:t>
      </w:r>
      <w:r w:rsidR="00E82C78" w:rsidRPr="003E2C60">
        <w:rPr>
          <w:sz w:val="21"/>
          <w:szCs w:val="21"/>
        </w:rPr>
        <w:t xml:space="preserve">element </w:t>
      </w:r>
      <w:r w:rsidR="000078CE" w:rsidRPr="003E2C60">
        <w:rPr>
          <w:sz w:val="21"/>
          <w:szCs w:val="21"/>
        </w:rPr>
        <w:t xml:space="preserve">of the </w:t>
      </w:r>
      <w:r w:rsidR="00E82C78" w:rsidRPr="00412E98">
        <w:rPr>
          <w:iCs/>
          <w:sz w:val="21"/>
          <w:szCs w:val="21"/>
          <w:lang w:val="en-AU"/>
        </w:rPr>
        <w:t>P</w:t>
      </w:r>
      <w:r w:rsidR="000078CE" w:rsidRPr="00412E98">
        <w:rPr>
          <w:iCs/>
          <w:sz w:val="21"/>
          <w:szCs w:val="21"/>
          <w:lang w:val="en-AU"/>
        </w:rPr>
        <w:t>artnership</w:t>
      </w:r>
      <w:r w:rsidR="000078CE" w:rsidRPr="003E2C60">
        <w:rPr>
          <w:sz w:val="21"/>
          <w:szCs w:val="21"/>
        </w:rPr>
        <w:t xml:space="preserve">. This work </w:t>
      </w:r>
      <w:r w:rsidR="00E82C78" w:rsidRPr="003E2C60">
        <w:rPr>
          <w:sz w:val="21"/>
          <w:szCs w:val="21"/>
        </w:rPr>
        <w:t xml:space="preserve">builds </w:t>
      </w:r>
      <w:r w:rsidR="000078CE" w:rsidRPr="003E2C60">
        <w:rPr>
          <w:sz w:val="21"/>
          <w:szCs w:val="21"/>
        </w:rPr>
        <w:t xml:space="preserve">awareness and understanding of </w:t>
      </w:r>
      <w:r w:rsidR="00E82C78" w:rsidRPr="003E2C60">
        <w:rPr>
          <w:sz w:val="21"/>
          <w:szCs w:val="21"/>
        </w:rPr>
        <w:t>Australia’s</w:t>
      </w:r>
      <w:r w:rsidR="000078CE" w:rsidRPr="003E2C60">
        <w:rPr>
          <w:sz w:val="21"/>
          <w:szCs w:val="21"/>
        </w:rPr>
        <w:t xml:space="preserve"> support </w:t>
      </w:r>
      <w:r w:rsidR="00E82C78" w:rsidRPr="003E2C60">
        <w:rPr>
          <w:sz w:val="21"/>
          <w:szCs w:val="21"/>
        </w:rPr>
        <w:t xml:space="preserve">for </w:t>
      </w:r>
      <w:r w:rsidR="000078CE" w:rsidRPr="003E2C60">
        <w:rPr>
          <w:sz w:val="21"/>
          <w:szCs w:val="21"/>
        </w:rPr>
        <w:t>humanitarian response and preparedness among the Australian public, partner governments, and other key stakeholders</w:t>
      </w:r>
      <w:r w:rsidR="00E82C78" w:rsidRPr="003E2C60">
        <w:rPr>
          <w:sz w:val="21"/>
          <w:szCs w:val="21"/>
        </w:rPr>
        <w:t xml:space="preserve">. </w:t>
      </w:r>
      <w:r w:rsidR="00C277AE" w:rsidRPr="003E2C60">
        <w:rPr>
          <w:sz w:val="21"/>
          <w:szCs w:val="21"/>
        </w:rPr>
        <w:t>Communications resources and support provided by the AHPSU also supports achievement of program outcomes by promoting</w:t>
      </w:r>
      <w:r w:rsidR="000078CE" w:rsidRPr="003E2C60">
        <w:rPr>
          <w:sz w:val="21"/>
          <w:szCs w:val="21"/>
        </w:rPr>
        <w:t xml:space="preserve"> program transparency and accountability; strengthen</w:t>
      </w:r>
      <w:r w:rsidR="00C277AE" w:rsidRPr="003E2C60">
        <w:rPr>
          <w:sz w:val="21"/>
          <w:szCs w:val="21"/>
        </w:rPr>
        <w:t>ing</w:t>
      </w:r>
      <w:r w:rsidR="000078CE" w:rsidRPr="003E2C60">
        <w:rPr>
          <w:sz w:val="21"/>
          <w:szCs w:val="21"/>
        </w:rPr>
        <w:t xml:space="preserve"> </w:t>
      </w:r>
      <w:r w:rsidR="000078CE" w:rsidRPr="003E2C60">
        <w:rPr>
          <w:sz w:val="21"/>
          <w:szCs w:val="21"/>
        </w:rPr>
        <w:lastRenderedPageBreak/>
        <w:t xml:space="preserve">communications production capacity within partner organisations; </w:t>
      </w:r>
      <w:r w:rsidR="00C277AE" w:rsidRPr="003E2C60">
        <w:rPr>
          <w:sz w:val="21"/>
          <w:szCs w:val="21"/>
        </w:rPr>
        <w:t xml:space="preserve">providing </w:t>
      </w:r>
      <w:r w:rsidR="000078CE" w:rsidRPr="003E2C60">
        <w:rPr>
          <w:sz w:val="21"/>
          <w:szCs w:val="21"/>
        </w:rPr>
        <w:t xml:space="preserve">quality assurance and brand coherence for communications products on the </w:t>
      </w:r>
      <w:r w:rsidR="00C277AE" w:rsidRPr="003E2C60">
        <w:rPr>
          <w:sz w:val="21"/>
          <w:szCs w:val="21"/>
        </w:rPr>
        <w:t>P</w:t>
      </w:r>
      <w:r w:rsidR="000078CE" w:rsidRPr="003E2C60">
        <w:rPr>
          <w:sz w:val="21"/>
          <w:szCs w:val="21"/>
        </w:rPr>
        <w:t>artnership; and support</w:t>
      </w:r>
      <w:r w:rsidR="00C277AE" w:rsidRPr="003E2C60">
        <w:rPr>
          <w:sz w:val="21"/>
          <w:szCs w:val="21"/>
        </w:rPr>
        <w:t>ing</w:t>
      </w:r>
      <w:r w:rsidR="000078CE" w:rsidRPr="003E2C60">
        <w:rPr>
          <w:sz w:val="21"/>
          <w:szCs w:val="21"/>
        </w:rPr>
        <w:t xml:space="preserve"> the dissemination of learning and evaluative material from the program in user-friendly formats that encourage knowledge uptake. </w:t>
      </w:r>
      <w:r w:rsidR="00C260CB" w:rsidRPr="003E2C60">
        <w:rPr>
          <w:sz w:val="21"/>
          <w:szCs w:val="21"/>
        </w:rPr>
        <w:t>The AHPSU will coordinate communications support across all AHP Partners to support DFAT’s communications needs.</w:t>
      </w:r>
    </w:p>
    <w:p w14:paraId="302FC464" w14:textId="4D1B7661" w:rsidR="00D41594" w:rsidRPr="00E82C78" w:rsidRDefault="00C17A24" w:rsidP="00E82C78">
      <w:pPr>
        <w:pStyle w:val="ListParagraph"/>
        <w:numPr>
          <w:ilvl w:val="0"/>
          <w:numId w:val="12"/>
        </w:numPr>
        <w:tabs>
          <w:tab w:val="left" w:pos="284"/>
        </w:tabs>
        <w:suppressAutoHyphens w:val="0"/>
        <w:spacing w:before="200" w:after="0" w:line="280" w:lineRule="exact"/>
        <w:ind w:left="0" w:firstLine="0"/>
        <w:contextualSpacing w:val="0"/>
        <w:rPr>
          <w:rFonts w:eastAsia="Times New Roman" w:cs="Times New Roman"/>
          <w:iCs/>
          <w:sz w:val="21"/>
          <w:szCs w:val="24"/>
          <w:lang w:val="en-AU" w:eastAsia="en-AU"/>
        </w:rPr>
      </w:pPr>
      <w:r w:rsidRPr="00E82C78">
        <w:rPr>
          <w:rFonts w:eastAsia="Times New Roman" w:cs="Times New Roman"/>
          <w:sz w:val="21"/>
          <w:szCs w:val="24"/>
          <w:lang w:val="en-AU"/>
        </w:rPr>
        <w:t xml:space="preserve">  Some of the activities to be coordinated by the Support Unit include:</w:t>
      </w:r>
    </w:p>
    <w:p w14:paraId="44F9E3CB" w14:textId="680AF63F" w:rsidR="000078CE" w:rsidRPr="003E2C60" w:rsidRDefault="002F2041" w:rsidP="0011591E">
      <w:pPr>
        <w:pStyle w:val="ListParagraph"/>
        <w:numPr>
          <w:ilvl w:val="0"/>
          <w:numId w:val="29"/>
        </w:numPr>
        <w:spacing w:before="60" w:line="280" w:lineRule="atLeast"/>
        <w:ind w:left="714" w:hanging="357"/>
        <w:contextualSpacing w:val="0"/>
        <w:rPr>
          <w:iCs/>
          <w:sz w:val="21"/>
          <w:szCs w:val="21"/>
        </w:rPr>
      </w:pPr>
      <w:r w:rsidRPr="003E2C60">
        <w:rPr>
          <w:iCs/>
          <w:sz w:val="21"/>
          <w:szCs w:val="21"/>
        </w:rPr>
        <w:t>P</w:t>
      </w:r>
      <w:r w:rsidR="000078CE" w:rsidRPr="003E2C60">
        <w:rPr>
          <w:iCs/>
          <w:sz w:val="21"/>
          <w:szCs w:val="21"/>
        </w:rPr>
        <w:t>ublish materials that report progress and highlight outcomes and achievements, share lessons and research, and analyse implications for humanitarian action</w:t>
      </w:r>
      <w:r w:rsidR="00412E98">
        <w:rPr>
          <w:iCs/>
          <w:sz w:val="21"/>
          <w:szCs w:val="21"/>
        </w:rPr>
        <w:t>.</w:t>
      </w:r>
    </w:p>
    <w:p w14:paraId="65FDCE05" w14:textId="50BDF30C" w:rsidR="000078CE" w:rsidRPr="003E2C60" w:rsidRDefault="00BB389D" w:rsidP="0011591E">
      <w:pPr>
        <w:pStyle w:val="ListParagraph"/>
        <w:numPr>
          <w:ilvl w:val="0"/>
          <w:numId w:val="29"/>
        </w:numPr>
        <w:spacing w:before="60" w:line="280" w:lineRule="atLeast"/>
        <w:ind w:left="714" w:hanging="357"/>
        <w:contextualSpacing w:val="0"/>
        <w:rPr>
          <w:iCs/>
          <w:sz w:val="21"/>
          <w:szCs w:val="21"/>
        </w:rPr>
      </w:pPr>
      <w:r w:rsidRPr="003E2C60">
        <w:rPr>
          <w:iCs/>
          <w:sz w:val="21"/>
          <w:szCs w:val="21"/>
        </w:rPr>
        <w:t>P</w:t>
      </w:r>
      <w:r w:rsidR="000078CE" w:rsidRPr="003E2C60">
        <w:rPr>
          <w:iCs/>
          <w:sz w:val="21"/>
          <w:szCs w:val="21"/>
        </w:rPr>
        <w:t xml:space="preserve">articipate in domestic, </w:t>
      </w:r>
      <w:r w:rsidR="00643003" w:rsidRPr="003E2C60">
        <w:rPr>
          <w:iCs/>
          <w:sz w:val="21"/>
          <w:szCs w:val="21"/>
        </w:rPr>
        <w:t>regional,</w:t>
      </w:r>
      <w:r w:rsidR="000078CE" w:rsidRPr="003E2C60">
        <w:rPr>
          <w:iCs/>
          <w:sz w:val="21"/>
          <w:szCs w:val="21"/>
        </w:rPr>
        <w:t xml:space="preserve"> and international events to showcase Australian policy interests and perspectives as well as achievements and lessons learned from AHP activities and practice</w:t>
      </w:r>
      <w:r w:rsidR="00412E98">
        <w:rPr>
          <w:iCs/>
          <w:sz w:val="21"/>
          <w:szCs w:val="21"/>
        </w:rPr>
        <w:t>.</w:t>
      </w:r>
    </w:p>
    <w:p w14:paraId="54D57520" w14:textId="6596D696" w:rsidR="000078CE" w:rsidRPr="003E2C60" w:rsidRDefault="00BB389D" w:rsidP="0011591E">
      <w:pPr>
        <w:pStyle w:val="ListParagraph"/>
        <w:numPr>
          <w:ilvl w:val="0"/>
          <w:numId w:val="29"/>
        </w:numPr>
        <w:spacing w:before="60" w:line="280" w:lineRule="atLeast"/>
        <w:ind w:left="714" w:hanging="357"/>
        <w:contextualSpacing w:val="0"/>
        <w:rPr>
          <w:iCs/>
          <w:sz w:val="21"/>
          <w:szCs w:val="21"/>
        </w:rPr>
      </w:pPr>
      <w:r w:rsidRPr="003E2C60">
        <w:rPr>
          <w:iCs/>
          <w:sz w:val="21"/>
          <w:szCs w:val="21"/>
        </w:rPr>
        <w:t>P</w:t>
      </w:r>
      <w:r w:rsidR="000078CE" w:rsidRPr="003E2C60">
        <w:rPr>
          <w:iCs/>
          <w:sz w:val="21"/>
          <w:szCs w:val="21"/>
        </w:rPr>
        <w:t>rovide information and briefing material for DFAT officials and elected representatives in formal policy dialogue at bilateral and regional events</w:t>
      </w:r>
      <w:r w:rsidR="00412E98">
        <w:rPr>
          <w:iCs/>
          <w:sz w:val="21"/>
          <w:szCs w:val="21"/>
        </w:rPr>
        <w:t>.</w:t>
      </w:r>
    </w:p>
    <w:p w14:paraId="1BFB2844" w14:textId="055562FB" w:rsidR="000078CE" w:rsidRPr="003E2C60" w:rsidRDefault="000078CE" w:rsidP="0011591E">
      <w:pPr>
        <w:pStyle w:val="ListParagraph"/>
        <w:numPr>
          <w:ilvl w:val="0"/>
          <w:numId w:val="29"/>
        </w:numPr>
        <w:spacing w:before="60" w:line="280" w:lineRule="atLeast"/>
        <w:ind w:left="714" w:hanging="357"/>
        <w:contextualSpacing w:val="0"/>
        <w:rPr>
          <w:iCs/>
          <w:sz w:val="21"/>
          <w:szCs w:val="21"/>
        </w:rPr>
      </w:pPr>
      <w:r w:rsidRPr="003E2C60">
        <w:rPr>
          <w:iCs/>
          <w:sz w:val="21"/>
          <w:szCs w:val="21"/>
        </w:rPr>
        <w:t xml:space="preserve">Support humanitarian content production within DFAT for social media, </w:t>
      </w:r>
      <w:r w:rsidR="00643003" w:rsidRPr="003E2C60">
        <w:rPr>
          <w:iCs/>
          <w:sz w:val="21"/>
          <w:szCs w:val="21"/>
        </w:rPr>
        <w:t>events,</w:t>
      </w:r>
      <w:r w:rsidRPr="003E2C60">
        <w:rPr>
          <w:iCs/>
          <w:sz w:val="21"/>
          <w:szCs w:val="21"/>
        </w:rPr>
        <w:t xml:space="preserve"> and other visibility opportunities by maintaining a library of curated content (photo, video, stories, data) </w:t>
      </w:r>
      <w:r w:rsidR="00404DD4" w:rsidRPr="003E2C60">
        <w:rPr>
          <w:iCs/>
          <w:sz w:val="21"/>
          <w:szCs w:val="21"/>
        </w:rPr>
        <w:t xml:space="preserve">about </w:t>
      </w:r>
      <w:r w:rsidRPr="003E2C60">
        <w:rPr>
          <w:iCs/>
          <w:sz w:val="21"/>
          <w:szCs w:val="21"/>
        </w:rPr>
        <w:t>the program, and providing direct support on content production.</w:t>
      </w:r>
    </w:p>
    <w:p w14:paraId="61575713" w14:textId="4A891463" w:rsidR="000817D4" w:rsidRDefault="000078CE" w:rsidP="0011591E">
      <w:pPr>
        <w:pStyle w:val="ListParagraph"/>
        <w:numPr>
          <w:ilvl w:val="0"/>
          <w:numId w:val="29"/>
        </w:numPr>
        <w:spacing w:before="60" w:line="280" w:lineRule="atLeast"/>
        <w:ind w:left="714" w:hanging="357"/>
        <w:contextualSpacing w:val="0"/>
        <w:rPr>
          <w:iCs/>
          <w:sz w:val="21"/>
          <w:szCs w:val="21"/>
        </w:rPr>
      </w:pPr>
      <w:r w:rsidRPr="003E2C60">
        <w:rPr>
          <w:iCs/>
          <w:sz w:val="21"/>
          <w:szCs w:val="21"/>
        </w:rPr>
        <w:t xml:space="preserve">Support partners and </w:t>
      </w:r>
      <w:r w:rsidR="00C63085" w:rsidRPr="003E2C60">
        <w:rPr>
          <w:iCs/>
          <w:sz w:val="21"/>
          <w:szCs w:val="21"/>
        </w:rPr>
        <w:t xml:space="preserve">Country Committees </w:t>
      </w:r>
      <w:r w:rsidRPr="003E2C60">
        <w:rPr>
          <w:iCs/>
          <w:sz w:val="21"/>
          <w:szCs w:val="21"/>
        </w:rPr>
        <w:t xml:space="preserve">to produce communications on joint AHP/Disaster READY initiatives, rather than on individual partner efforts or activities alone, </w:t>
      </w:r>
      <w:r w:rsidR="00643003" w:rsidRPr="003E2C60">
        <w:rPr>
          <w:iCs/>
          <w:sz w:val="21"/>
          <w:szCs w:val="21"/>
        </w:rPr>
        <w:t>to</w:t>
      </w:r>
      <w:r w:rsidRPr="003E2C60">
        <w:rPr>
          <w:iCs/>
          <w:sz w:val="21"/>
          <w:szCs w:val="21"/>
        </w:rPr>
        <w:t xml:space="preserve"> tell the story of AHP’s coordination and broader influence. </w:t>
      </w:r>
    </w:p>
    <w:p w14:paraId="0D4471CD" w14:textId="3BD7D01A" w:rsidR="000078CE" w:rsidRPr="003E2C60" w:rsidRDefault="000078CE" w:rsidP="0011591E">
      <w:pPr>
        <w:pStyle w:val="ListParagraph"/>
        <w:numPr>
          <w:ilvl w:val="0"/>
          <w:numId w:val="29"/>
        </w:numPr>
        <w:spacing w:before="60" w:line="280" w:lineRule="atLeast"/>
        <w:ind w:left="714" w:hanging="357"/>
        <w:contextualSpacing w:val="0"/>
        <w:rPr>
          <w:iCs/>
          <w:sz w:val="21"/>
          <w:szCs w:val="21"/>
        </w:rPr>
      </w:pPr>
      <w:r w:rsidRPr="003E2C60">
        <w:rPr>
          <w:iCs/>
          <w:sz w:val="21"/>
          <w:szCs w:val="21"/>
        </w:rPr>
        <w:t xml:space="preserve">Support capacity development </w:t>
      </w:r>
      <w:r w:rsidR="004715F1" w:rsidRPr="003E2C60">
        <w:rPr>
          <w:iCs/>
          <w:sz w:val="21"/>
          <w:szCs w:val="21"/>
        </w:rPr>
        <w:t xml:space="preserve">about </w:t>
      </w:r>
      <w:r w:rsidRPr="003E2C60">
        <w:rPr>
          <w:iCs/>
          <w:sz w:val="21"/>
          <w:szCs w:val="21"/>
        </w:rPr>
        <w:t>in-country storytelling and communications production, and in-country coordination between partners</w:t>
      </w:r>
      <w:r w:rsidR="004715F1" w:rsidRPr="003E2C60">
        <w:rPr>
          <w:iCs/>
          <w:sz w:val="21"/>
          <w:szCs w:val="21"/>
        </w:rPr>
        <w:t>,</w:t>
      </w:r>
      <w:r w:rsidRPr="003E2C60">
        <w:rPr>
          <w:iCs/>
          <w:sz w:val="21"/>
          <w:szCs w:val="21"/>
        </w:rPr>
        <w:t xml:space="preserve"> to ensure a steady flow of timely communications inputs and products.</w:t>
      </w:r>
    </w:p>
    <w:p w14:paraId="15CE88B0" w14:textId="77777777" w:rsidR="000078CE" w:rsidRPr="003E2C60" w:rsidRDefault="000078CE" w:rsidP="0011591E">
      <w:pPr>
        <w:pStyle w:val="ListParagraph"/>
        <w:numPr>
          <w:ilvl w:val="0"/>
          <w:numId w:val="29"/>
        </w:numPr>
        <w:spacing w:before="60" w:line="280" w:lineRule="atLeast"/>
        <w:ind w:left="714" w:hanging="357"/>
        <w:contextualSpacing w:val="0"/>
        <w:rPr>
          <w:iCs/>
          <w:sz w:val="21"/>
          <w:szCs w:val="21"/>
        </w:rPr>
      </w:pPr>
      <w:r w:rsidRPr="003E2C60">
        <w:rPr>
          <w:iCs/>
          <w:sz w:val="21"/>
          <w:szCs w:val="21"/>
        </w:rPr>
        <w:t>Support partners to increase in-country visibility of AHP and Disaster READY initiatives in line with the public diplomacy objectives of DFAT Posts.</w:t>
      </w:r>
    </w:p>
    <w:p w14:paraId="2F5E78CB" w14:textId="4F031D25" w:rsidR="000078CE" w:rsidRPr="003E2C60" w:rsidRDefault="000078CE" w:rsidP="0011591E">
      <w:pPr>
        <w:pStyle w:val="ListParagraph"/>
        <w:numPr>
          <w:ilvl w:val="0"/>
          <w:numId w:val="29"/>
        </w:numPr>
        <w:spacing w:before="60" w:line="280" w:lineRule="atLeast"/>
        <w:ind w:left="714" w:hanging="357"/>
        <w:contextualSpacing w:val="0"/>
        <w:rPr>
          <w:iCs/>
          <w:sz w:val="21"/>
          <w:szCs w:val="21"/>
        </w:rPr>
      </w:pPr>
      <w:r w:rsidRPr="003E2C60">
        <w:rPr>
          <w:iCs/>
          <w:sz w:val="21"/>
          <w:szCs w:val="21"/>
        </w:rPr>
        <w:t>Produce strategic communications products such as interactives, videos, web page content</w:t>
      </w:r>
      <w:r w:rsidR="00BC12AD">
        <w:rPr>
          <w:iCs/>
          <w:sz w:val="21"/>
          <w:szCs w:val="21"/>
        </w:rPr>
        <w:t>, radio</w:t>
      </w:r>
      <w:r w:rsidR="008960F7">
        <w:rPr>
          <w:iCs/>
          <w:sz w:val="21"/>
          <w:szCs w:val="21"/>
        </w:rPr>
        <w:t>/audio products</w:t>
      </w:r>
      <w:r w:rsidRPr="003E2C60">
        <w:rPr>
          <w:iCs/>
          <w:sz w:val="21"/>
          <w:szCs w:val="21"/>
        </w:rPr>
        <w:t xml:space="preserve"> and briefing documents that build on the communications materials provided by partners to situate the AHP’s work within Australia’s wider foreign policy objectives, as well as global initiatives such as those led by the UN or regional bodies.</w:t>
      </w:r>
    </w:p>
    <w:p w14:paraId="089C37F1" w14:textId="278C8D3E" w:rsidR="00567E20" w:rsidRDefault="00567E20" w:rsidP="00E82C78">
      <w:pPr>
        <w:pStyle w:val="ListParagraph"/>
        <w:numPr>
          <w:ilvl w:val="0"/>
          <w:numId w:val="12"/>
        </w:numPr>
        <w:tabs>
          <w:tab w:val="left" w:pos="284"/>
        </w:tabs>
        <w:suppressAutoHyphens w:val="0"/>
        <w:spacing w:before="200" w:after="0" w:line="280" w:lineRule="exact"/>
        <w:ind w:left="0" w:firstLine="0"/>
        <w:contextualSpacing w:val="0"/>
        <w:rPr>
          <w:rFonts w:eastAsia="Times New Roman" w:cs="Times New Roman"/>
          <w:iCs/>
          <w:sz w:val="21"/>
          <w:szCs w:val="24"/>
          <w:lang w:val="en-AU" w:eastAsia="en-AU"/>
        </w:rPr>
      </w:pPr>
      <w:r w:rsidRPr="00E82C78">
        <w:rPr>
          <w:rFonts w:eastAsia="Times New Roman" w:cs="Times New Roman"/>
          <w:iCs/>
          <w:sz w:val="21"/>
          <w:szCs w:val="24"/>
          <w:lang w:val="en-AU" w:eastAsia="en-AU"/>
        </w:rPr>
        <w:t>T</w:t>
      </w:r>
      <w:r w:rsidR="00C17A24" w:rsidRPr="00E82C78">
        <w:rPr>
          <w:rFonts w:eastAsia="Times New Roman" w:cs="Times New Roman"/>
          <w:iCs/>
          <w:sz w:val="21"/>
          <w:szCs w:val="24"/>
          <w:lang w:val="en-AU" w:eastAsia="en-AU"/>
        </w:rPr>
        <w:t>he AHPSU will provide guidelines and ongoing guidance to AHP Partners on branding and visibility to appropriately acknowledge and communicate Australia’s humanitarian efforts</w:t>
      </w:r>
      <w:r w:rsidRPr="00E82C78">
        <w:rPr>
          <w:rFonts w:eastAsia="Times New Roman" w:cs="Times New Roman"/>
          <w:iCs/>
          <w:sz w:val="21"/>
          <w:szCs w:val="24"/>
          <w:lang w:val="en-AU" w:eastAsia="en-AU"/>
        </w:rPr>
        <w:t>.</w:t>
      </w:r>
    </w:p>
    <w:p w14:paraId="5E2A4CBC" w14:textId="04A3DF27" w:rsidR="00C15765" w:rsidRPr="009231B3" w:rsidRDefault="00C15765" w:rsidP="00C15765">
      <w:pPr>
        <w:spacing w:before="200" w:after="0" w:line="280" w:lineRule="atLeast"/>
        <w:rPr>
          <w:b/>
          <w:bCs/>
          <w:i/>
          <w:sz w:val="21"/>
          <w:szCs w:val="21"/>
        </w:rPr>
      </w:pPr>
      <w:r w:rsidRPr="009231B3">
        <w:rPr>
          <w:b/>
          <w:bCs/>
          <w:i/>
          <w:sz w:val="21"/>
          <w:szCs w:val="21"/>
        </w:rPr>
        <w:t xml:space="preserve">Outputs for Component </w:t>
      </w:r>
      <w:r>
        <w:rPr>
          <w:b/>
          <w:bCs/>
          <w:i/>
          <w:sz w:val="21"/>
          <w:szCs w:val="21"/>
        </w:rPr>
        <w:t>3</w:t>
      </w:r>
    </w:p>
    <w:p w14:paraId="17CEBE3D" w14:textId="77777777" w:rsidR="00C15765" w:rsidRDefault="00C15765" w:rsidP="00C15765">
      <w:pPr>
        <w:pStyle w:val="ListParagraph"/>
        <w:numPr>
          <w:ilvl w:val="0"/>
          <w:numId w:val="12"/>
        </w:numPr>
        <w:tabs>
          <w:tab w:val="left" w:pos="284"/>
        </w:tabs>
        <w:suppressAutoHyphens w:val="0"/>
        <w:spacing w:before="200" w:after="120" w:line="280" w:lineRule="exact"/>
        <w:ind w:left="0" w:firstLine="0"/>
        <w:contextualSpacing w:val="0"/>
        <w:rPr>
          <w:iCs/>
          <w:sz w:val="21"/>
          <w:szCs w:val="21"/>
        </w:rPr>
      </w:pPr>
      <w:r>
        <w:rPr>
          <w:iCs/>
          <w:sz w:val="21"/>
          <w:szCs w:val="21"/>
        </w:rPr>
        <w:t>The outputs delivered by Partners for this component include:</w:t>
      </w:r>
    </w:p>
    <w:p w14:paraId="402BCDFD" w14:textId="70F92097" w:rsidR="000160DC" w:rsidRPr="00E22AF1" w:rsidRDefault="000160DC" w:rsidP="0011591E">
      <w:pPr>
        <w:pStyle w:val="ListParagraph"/>
        <w:numPr>
          <w:ilvl w:val="0"/>
          <w:numId w:val="29"/>
        </w:numPr>
        <w:spacing w:before="60" w:line="280" w:lineRule="atLeast"/>
        <w:ind w:left="714" w:hanging="357"/>
        <w:contextualSpacing w:val="0"/>
        <w:rPr>
          <w:iCs/>
          <w:sz w:val="21"/>
          <w:szCs w:val="21"/>
        </w:rPr>
      </w:pPr>
      <w:r w:rsidRPr="00E22AF1">
        <w:rPr>
          <w:iCs/>
          <w:sz w:val="21"/>
          <w:szCs w:val="21"/>
        </w:rPr>
        <w:t>Partnership principles and practices maintained through the Steering Committee and effective working relationships between ANGOs and DFAT.</w:t>
      </w:r>
    </w:p>
    <w:p w14:paraId="6B8A3182" w14:textId="53BA5DD7" w:rsidR="000160DC" w:rsidRPr="00E22AF1" w:rsidRDefault="000160DC" w:rsidP="0011591E">
      <w:pPr>
        <w:pStyle w:val="ListParagraph"/>
        <w:numPr>
          <w:ilvl w:val="0"/>
          <w:numId w:val="29"/>
        </w:numPr>
        <w:spacing w:before="60" w:line="280" w:lineRule="atLeast"/>
        <w:ind w:left="714" w:hanging="357"/>
        <w:contextualSpacing w:val="0"/>
        <w:rPr>
          <w:iCs/>
          <w:sz w:val="21"/>
          <w:szCs w:val="21"/>
        </w:rPr>
      </w:pPr>
      <w:r w:rsidRPr="00E22AF1">
        <w:rPr>
          <w:iCs/>
          <w:sz w:val="21"/>
          <w:szCs w:val="21"/>
        </w:rPr>
        <w:t xml:space="preserve">Coordination and technical support for MEL, </w:t>
      </w:r>
      <w:r w:rsidR="00C50CFB">
        <w:rPr>
          <w:iCs/>
          <w:sz w:val="21"/>
          <w:szCs w:val="21"/>
        </w:rPr>
        <w:t>reflection</w:t>
      </w:r>
      <w:r w:rsidRPr="00E22AF1">
        <w:rPr>
          <w:iCs/>
          <w:sz w:val="21"/>
          <w:szCs w:val="21"/>
        </w:rPr>
        <w:t xml:space="preserve"> and research at partnership and country level supported by AHPSU.</w:t>
      </w:r>
    </w:p>
    <w:p w14:paraId="2F9A36D2" w14:textId="4CA7E45C" w:rsidR="000160DC" w:rsidRPr="00E22AF1" w:rsidRDefault="000160DC" w:rsidP="0011591E">
      <w:pPr>
        <w:pStyle w:val="ListParagraph"/>
        <w:numPr>
          <w:ilvl w:val="0"/>
          <w:numId w:val="29"/>
        </w:numPr>
        <w:spacing w:before="60" w:line="280" w:lineRule="atLeast"/>
        <w:ind w:left="714" w:hanging="357"/>
        <w:contextualSpacing w:val="0"/>
        <w:rPr>
          <w:iCs/>
          <w:sz w:val="21"/>
          <w:szCs w:val="21"/>
        </w:rPr>
      </w:pPr>
      <w:r w:rsidRPr="00E22AF1">
        <w:rPr>
          <w:iCs/>
          <w:sz w:val="21"/>
          <w:szCs w:val="21"/>
        </w:rPr>
        <w:t>Partners actively contribute to communications</w:t>
      </w:r>
      <w:r w:rsidR="00690632">
        <w:rPr>
          <w:iCs/>
          <w:sz w:val="21"/>
          <w:szCs w:val="21"/>
        </w:rPr>
        <w:t xml:space="preserve">, </w:t>
      </w:r>
      <w:r w:rsidRPr="00E22AF1">
        <w:rPr>
          <w:iCs/>
          <w:sz w:val="21"/>
          <w:szCs w:val="21"/>
        </w:rPr>
        <w:t xml:space="preserve">public diplomacy </w:t>
      </w:r>
      <w:r w:rsidR="00690632">
        <w:rPr>
          <w:iCs/>
          <w:sz w:val="21"/>
          <w:szCs w:val="21"/>
        </w:rPr>
        <w:t xml:space="preserve">and external engagement </w:t>
      </w:r>
      <w:r w:rsidRPr="00E22AF1">
        <w:rPr>
          <w:iCs/>
          <w:sz w:val="21"/>
          <w:szCs w:val="21"/>
        </w:rPr>
        <w:t>efforts coordinated by the AHPSU.</w:t>
      </w:r>
    </w:p>
    <w:p w14:paraId="4A35F406" w14:textId="470BAA2B" w:rsidR="000160DC" w:rsidRPr="00E22AF1" w:rsidRDefault="000160DC" w:rsidP="0011591E">
      <w:pPr>
        <w:pStyle w:val="ListParagraph"/>
        <w:numPr>
          <w:ilvl w:val="0"/>
          <w:numId w:val="29"/>
        </w:numPr>
        <w:spacing w:before="60" w:line="280" w:lineRule="atLeast"/>
        <w:ind w:left="714" w:hanging="357"/>
        <w:contextualSpacing w:val="0"/>
        <w:rPr>
          <w:iCs/>
          <w:sz w:val="21"/>
          <w:szCs w:val="21"/>
        </w:rPr>
      </w:pPr>
      <w:r w:rsidRPr="00E22AF1">
        <w:rPr>
          <w:iCs/>
          <w:sz w:val="21"/>
          <w:szCs w:val="21"/>
        </w:rPr>
        <w:t>DFAT provides policy direction and facilitates engagement with existing programs and partners.</w:t>
      </w:r>
    </w:p>
    <w:p w14:paraId="06BE3DA6" w14:textId="77777777" w:rsidR="00C15765" w:rsidRPr="009231B3" w:rsidRDefault="00C15765" w:rsidP="00C15765">
      <w:pPr>
        <w:tabs>
          <w:tab w:val="left" w:pos="284"/>
        </w:tabs>
        <w:suppressAutoHyphens w:val="0"/>
        <w:spacing w:before="60" w:line="280" w:lineRule="exact"/>
        <w:rPr>
          <w:iCs/>
          <w:sz w:val="21"/>
          <w:szCs w:val="21"/>
          <w:lang w:val="en-AU"/>
        </w:rPr>
      </w:pPr>
      <w:r>
        <w:rPr>
          <w:iCs/>
          <w:sz w:val="21"/>
          <w:szCs w:val="21"/>
          <w:lang w:val="en-AU"/>
        </w:rPr>
        <w:t>The AHPSU will summarise progress on these outputs in six monthly and annual reporting.</w:t>
      </w:r>
    </w:p>
    <w:p w14:paraId="24EE21DC" w14:textId="77777777" w:rsidR="00A32858" w:rsidRPr="00851A62" w:rsidRDefault="00A32858" w:rsidP="0011591E">
      <w:pPr>
        <w:pStyle w:val="Heading1"/>
        <w:numPr>
          <w:ilvl w:val="0"/>
          <w:numId w:val="22"/>
        </w:numPr>
        <w:pBdr>
          <w:top w:val="single" w:sz="4" w:space="1" w:color="auto"/>
          <w:left w:val="single" w:sz="4" w:space="4" w:color="auto"/>
          <w:bottom w:val="single" w:sz="4" w:space="1" w:color="auto"/>
          <w:right w:val="single" w:sz="4" w:space="4" w:color="auto"/>
        </w:pBdr>
        <w:shd w:val="clear" w:color="auto" w:fill="E0F3EF" w:themeFill="accent1" w:themeFillTint="33"/>
        <w:spacing w:before="200" w:after="0"/>
        <w:contextualSpacing w:val="0"/>
        <w:rPr>
          <w:rFonts w:eastAsiaTheme="minorHAnsi" w:cstheme="minorBidi"/>
          <w:bCs w:val="0"/>
          <w:sz w:val="22"/>
          <w:szCs w:val="21"/>
        </w:rPr>
      </w:pPr>
      <w:bookmarkStart w:id="42" w:name="_Toc101521662"/>
      <w:bookmarkStart w:id="43" w:name="_Hlk87007648"/>
      <w:r w:rsidRPr="00851A62">
        <w:rPr>
          <w:rFonts w:eastAsiaTheme="minorHAnsi" w:cstheme="minorBidi"/>
          <w:bCs w:val="0"/>
          <w:sz w:val="22"/>
          <w:szCs w:val="21"/>
        </w:rPr>
        <w:t>Monitoring and Evaluation (How will DFAT measure performance?)</w:t>
      </w:r>
      <w:bookmarkEnd w:id="42"/>
    </w:p>
    <w:p w14:paraId="10E1532F" w14:textId="0BE117FC" w:rsidR="0021075B" w:rsidRDefault="00754E90" w:rsidP="00E93683">
      <w:pPr>
        <w:pStyle w:val="ListParagraph"/>
        <w:numPr>
          <w:ilvl w:val="0"/>
          <w:numId w:val="12"/>
        </w:numPr>
        <w:tabs>
          <w:tab w:val="left" w:pos="284"/>
        </w:tabs>
        <w:suppressAutoHyphens w:val="0"/>
        <w:spacing w:before="200" w:after="0" w:line="280" w:lineRule="exact"/>
        <w:ind w:left="0" w:firstLine="0"/>
        <w:contextualSpacing w:val="0"/>
        <w:rPr>
          <w:rFonts w:eastAsia="Times New Roman" w:cs="Times New Roman"/>
          <w:iCs/>
          <w:sz w:val="21"/>
          <w:szCs w:val="24"/>
          <w:lang w:val="en-AU" w:eastAsia="en-AU"/>
        </w:rPr>
      </w:pPr>
      <w:r>
        <w:rPr>
          <w:rFonts w:eastAsia="Times New Roman" w:cs="Times New Roman"/>
          <w:iCs/>
          <w:sz w:val="21"/>
          <w:szCs w:val="24"/>
          <w:lang w:val="en-AU" w:eastAsia="en-AU"/>
        </w:rPr>
        <w:t xml:space="preserve"> The MEL strategies and approaches</w:t>
      </w:r>
      <w:r w:rsidR="00B2677E">
        <w:rPr>
          <w:rFonts w:eastAsia="Times New Roman" w:cs="Times New Roman"/>
          <w:iCs/>
          <w:sz w:val="21"/>
          <w:szCs w:val="24"/>
          <w:lang w:val="en-AU" w:eastAsia="en-AU"/>
        </w:rPr>
        <w:t xml:space="preserve"> for </w:t>
      </w:r>
      <w:r w:rsidR="00406F84">
        <w:rPr>
          <w:rFonts w:eastAsia="Times New Roman" w:cs="Times New Roman"/>
          <w:iCs/>
          <w:sz w:val="21"/>
          <w:szCs w:val="24"/>
          <w:lang w:val="en-AU" w:eastAsia="en-AU"/>
        </w:rPr>
        <w:t>Phase II</w:t>
      </w:r>
      <w:r>
        <w:rPr>
          <w:rFonts w:eastAsia="Times New Roman" w:cs="Times New Roman"/>
          <w:iCs/>
          <w:sz w:val="21"/>
          <w:szCs w:val="24"/>
          <w:lang w:val="en-AU" w:eastAsia="en-AU"/>
        </w:rPr>
        <w:t xml:space="preserve"> will build on the practice and lessons of the previous </w:t>
      </w:r>
      <w:r w:rsidR="00412E98">
        <w:rPr>
          <w:rFonts w:eastAsia="Times New Roman" w:cs="Times New Roman"/>
          <w:iCs/>
          <w:sz w:val="21"/>
          <w:szCs w:val="24"/>
          <w:lang w:val="en-AU" w:eastAsia="en-AU"/>
        </w:rPr>
        <w:t>p</w:t>
      </w:r>
      <w:r>
        <w:rPr>
          <w:rFonts w:eastAsia="Times New Roman" w:cs="Times New Roman"/>
          <w:iCs/>
          <w:sz w:val="21"/>
          <w:szCs w:val="24"/>
          <w:lang w:val="en-AU" w:eastAsia="en-AU"/>
        </w:rPr>
        <w:t>hase</w:t>
      </w:r>
      <w:r w:rsidR="0021075B">
        <w:rPr>
          <w:rFonts w:eastAsia="Times New Roman" w:cs="Times New Roman"/>
          <w:iCs/>
          <w:sz w:val="21"/>
          <w:szCs w:val="24"/>
          <w:lang w:val="en-AU" w:eastAsia="en-AU"/>
        </w:rPr>
        <w:t>.</w:t>
      </w:r>
      <w:r w:rsidR="00AB4142">
        <w:rPr>
          <w:rFonts w:eastAsia="Times New Roman" w:cs="Times New Roman"/>
          <w:iCs/>
          <w:sz w:val="21"/>
          <w:szCs w:val="24"/>
          <w:lang w:val="en-AU" w:eastAsia="en-AU"/>
        </w:rPr>
        <w:t xml:space="preserve"> Under Component 1, Disaster READY had a separate program logic and MEL expectations with the </w:t>
      </w:r>
      <w:r w:rsidR="00AB4142">
        <w:rPr>
          <w:rFonts w:eastAsia="Times New Roman" w:cs="Times New Roman"/>
          <w:iCs/>
          <w:sz w:val="21"/>
          <w:szCs w:val="24"/>
          <w:lang w:val="en-AU" w:eastAsia="en-AU"/>
        </w:rPr>
        <w:lastRenderedPageBreak/>
        <w:t xml:space="preserve">added complexity of jointly implemented country level plans. Under Component 2, </w:t>
      </w:r>
      <w:r w:rsidR="009E6967">
        <w:rPr>
          <w:rFonts w:eastAsia="Times New Roman" w:cs="Times New Roman"/>
          <w:iCs/>
          <w:sz w:val="21"/>
          <w:szCs w:val="24"/>
          <w:lang w:val="en-AU" w:eastAsia="en-AU"/>
        </w:rPr>
        <w:t xml:space="preserve">MEL was </w:t>
      </w:r>
      <w:r w:rsidR="00DA7D63">
        <w:rPr>
          <w:rFonts w:eastAsia="Times New Roman" w:cs="Times New Roman"/>
          <w:iCs/>
          <w:sz w:val="21"/>
          <w:szCs w:val="24"/>
          <w:lang w:val="en-AU" w:eastAsia="en-AU"/>
        </w:rPr>
        <w:t xml:space="preserve">largely </w:t>
      </w:r>
      <w:r w:rsidR="009E6967">
        <w:rPr>
          <w:rFonts w:eastAsia="Times New Roman" w:cs="Times New Roman"/>
          <w:iCs/>
          <w:sz w:val="21"/>
          <w:szCs w:val="24"/>
          <w:lang w:val="en-AU" w:eastAsia="en-AU"/>
        </w:rPr>
        <w:t xml:space="preserve">focused and developed from </w:t>
      </w:r>
      <w:r w:rsidR="00DA7D63">
        <w:rPr>
          <w:rFonts w:eastAsia="Times New Roman" w:cs="Times New Roman"/>
          <w:iCs/>
          <w:sz w:val="21"/>
          <w:szCs w:val="24"/>
          <w:lang w:val="en-AU" w:eastAsia="en-AU"/>
        </w:rPr>
        <w:t>an individual</w:t>
      </w:r>
      <w:r w:rsidR="009E6967">
        <w:rPr>
          <w:rFonts w:eastAsia="Times New Roman" w:cs="Times New Roman"/>
          <w:iCs/>
          <w:sz w:val="21"/>
          <w:szCs w:val="24"/>
          <w:lang w:val="en-AU" w:eastAsia="en-AU"/>
        </w:rPr>
        <w:t xml:space="preserve"> activation focus</w:t>
      </w:r>
      <w:r w:rsidR="00AB4142">
        <w:rPr>
          <w:rFonts w:eastAsia="Times New Roman" w:cs="Times New Roman"/>
          <w:iCs/>
          <w:sz w:val="21"/>
          <w:szCs w:val="24"/>
          <w:lang w:val="en-AU" w:eastAsia="en-AU"/>
        </w:rPr>
        <w:t>. As a result,</w:t>
      </w:r>
      <w:r w:rsidR="00DA7D63">
        <w:rPr>
          <w:rFonts w:eastAsia="Times New Roman" w:cs="Times New Roman"/>
          <w:iCs/>
          <w:sz w:val="21"/>
          <w:szCs w:val="24"/>
          <w:lang w:val="en-AU" w:eastAsia="en-AU"/>
        </w:rPr>
        <w:t xml:space="preserve"> </w:t>
      </w:r>
      <w:r w:rsidR="00AB4142">
        <w:rPr>
          <w:rFonts w:eastAsia="Times New Roman" w:cs="Times New Roman"/>
          <w:iCs/>
          <w:sz w:val="21"/>
          <w:szCs w:val="24"/>
          <w:lang w:val="en-AU" w:eastAsia="en-AU"/>
        </w:rPr>
        <w:t xml:space="preserve">good practice MEL for accountability to affected populations, mainstreaming </w:t>
      </w:r>
      <w:r w:rsidR="0032060E">
        <w:rPr>
          <w:rFonts w:eastAsia="Times New Roman" w:cs="Times New Roman"/>
          <w:iCs/>
          <w:sz w:val="21"/>
          <w:szCs w:val="24"/>
          <w:lang w:val="en-AU" w:eastAsia="en-AU"/>
        </w:rPr>
        <w:t>GEDSI</w:t>
      </w:r>
      <w:r w:rsidR="00AB4142">
        <w:rPr>
          <w:rFonts w:eastAsia="Times New Roman" w:cs="Times New Roman"/>
          <w:iCs/>
          <w:sz w:val="21"/>
          <w:szCs w:val="24"/>
          <w:lang w:val="en-AU" w:eastAsia="en-AU"/>
        </w:rPr>
        <w:t xml:space="preserve"> into </w:t>
      </w:r>
      <w:r w:rsidR="00070348">
        <w:rPr>
          <w:rFonts w:eastAsia="Times New Roman" w:cs="Times New Roman"/>
          <w:iCs/>
          <w:sz w:val="21"/>
          <w:szCs w:val="24"/>
          <w:lang w:val="en-AU" w:eastAsia="en-AU"/>
        </w:rPr>
        <w:t>MEL</w:t>
      </w:r>
      <w:r w:rsidR="00AB4142">
        <w:rPr>
          <w:rFonts w:eastAsia="Times New Roman" w:cs="Times New Roman"/>
          <w:iCs/>
          <w:sz w:val="21"/>
          <w:szCs w:val="24"/>
          <w:lang w:val="en-AU" w:eastAsia="en-AU"/>
        </w:rPr>
        <w:t xml:space="preserve">, and using </w:t>
      </w:r>
      <w:r w:rsidR="00070348">
        <w:rPr>
          <w:rFonts w:eastAsia="Times New Roman" w:cs="Times New Roman"/>
          <w:iCs/>
          <w:sz w:val="21"/>
          <w:szCs w:val="24"/>
          <w:lang w:val="en-AU" w:eastAsia="en-AU"/>
        </w:rPr>
        <w:t>MEL</w:t>
      </w:r>
      <w:r w:rsidR="00AB4142">
        <w:rPr>
          <w:rFonts w:eastAsia="Times New Roman" w:cs="Times New Roman"/>
          <w:iCs/>
          <w:sz w:val="21"/>
          <w:szCs w:val="24"/>
          <w:lang w:val="en-AU" w:eastAsia="en-AU"/>
        </w:rPr>
        <w:t xml:space="preserve"> data and analysis for quality improvement and adaptive programming, have not been as visible at the whole-of-program level. </w:t>
      </w:r>
    </w:p>
    <w:p w14:paraId="6AF46D0C" w14:textId="0A8F8331" w:rsidR="00AB2469" w:rsidRDefault="00AB2469" w:rsidP="00AB2469">
      <w:pPr>
        <w:pStyle w:val="ListParagraph"/>
        <w:numPr>
          <w:ilvl w:val="0"/>
          <w:numId w:val="12"/>
        </w:numPr>
        <w:tabs>
          <w:tab w:val="left" w:pos="284"/>
        </w:tabs>
        <w:suppressAutoHyphens w:val="0"/>
        <w:spacing w:before="200" w:after="0" w:line="280" w:lineRule="exact"/>
        <w:ind w:left="0" w:firstLine="0"/>
        <w:contextualSpacing w:val="0"/>
        <w:rPr>
          <w:rFonts w:eastAsia="Times New Roman" w:cs="Times New Roman"/>
          <w:iCs/>
          <w:sz w:val="21"/>
          <w:szCs w:val="24"/>
          <w:lang w:val="en-AU" w:eastAsia="en-AU"/>
        </w:rPr>
      </w:pPr>
      <w:r>
        <w:rPr>
          <w:rFonts w:eastAsia="Times New Roman" w:cs="Times New Roman"/>
          <w:iCs/>
          <w:sz w:val="21"/>
          <w:szCs w:val="24"/>
          <w:lang w:val="en-AU" w:eastAsia="en-AU"/>
        </w:rPr>
        <w:t xml:space="preserve">As the Partnership has matured Partners have come to appreciate the advantages </w:t>
      </w:r>
      <w:r w:rsidR="008817E2">
        <w:rPr>
          <w:rFonts w:eastAsia="Times New Roman" w:cs="Times New Roman"/>
          <w:iCs/>
          <w:sz w:val="21"/>
          <w:szCs w:val="24"/>
          <w:lang w:val="en-AU" w:eastAsia="en-AU"/>
        </w:rPr>
        <w:t>of</w:t>
      </w:r>
      <w:r>
        <w:rPr>
          <w:rFonts w:eastAsia="Times New Roman" w:cs="Times New Roman"/>
          <w:iCs/>
          <w:sz w:val="21"/>
          <w:szCs w:val="24"/>
          <w:lang w:val="en-AU" w:eastAsia="en-AU"/>
        </w:rPr>
        <w:t xml:space="preserve"> common methods, clear responsibilities, common reporting processes and data collection, while acknowledging the challenges of working within existing ANGO systems. There has been clear benefit from coordinated and AHPSU-led MEL processes in particular for evaluations commissioned for activations &gt;$3 million, for processes of Partnership Health Checks (conducted at AHP level and country level), and country level joint reporting. </w:t>
      </w:r>
    </w:p>
    <w:p w14:paraId="47D6AF8A" w14:textId="6CA45437" w:rsidR="00754E90" w:rsidRPr="00AF31C7" w:rsidRDefault="00754E90" w:rsidP="00AF31C7">
      <w:pPr>
        <w:pStyle w:val="ListParagraph"/>
        <w:numPr>
          <w:ilvl w:val="0"/>
          <w:numId w:val="12"/>
        </w:numPr>
        <w:tabs>
          <w:tab w:val="left" w:pos="284"/>
        </w:tabs>
        <w:suppressAutoHyphens w:val="0"/>
        <w:spacing w:before="200" w:after="0" w:line="280" w:lineRule="exact"/>
        <w:ind w:left="0" w:firstLine="0"/>
        <w:contextualSpacing w:val="0"/>
        <w:rPr>
          <w:rFonts w:eastAsia="Times New Roman" w:cs="Times New Roman"/>
          <w:iCs/>
          <w:sz w:val="21"/>
          <w:szCs w:val="24"/>
          <w:lang w:val="en-AU" w:eastAsia="en-AU"/>
        </w:rPr>
      </w:pPr>
      <w:r w:rsidRPr="00213479">
        <w:rPr>
          <w:rFonts w:eastAsia="Times New Roman" w:cs="Times New Roman"/>
          <w:iCs/>
          <w:sz w:val="21"/>
          <w:szCs w:val="24"/>
          <w:lang w:val="en-AU" w:eastAsia="en-AU"/>
        </w:rPr>
        <w:t xml:space="preserve"> </w:t>
      </w:r>
      <w:r w:rsidR="00D94452" w:rsidRPr="00213479">
        <w:rPr>
          <w:rFonts w:eastAsia="Times New Roman" w:cs="Times New Roman"/>
          <w:iCs/>
          <w:sz w:val="21"/>
          <w:szCs w:val="24"/>
          <w:lang w:val="en-AU" w:eastAsia="en-AU"/>
        </w:rPr>
        <w:t xml:space="preserve">In </w:t>
      </w:r>
      <w:r w:rsidR="00406F84">
        <w:rPr>
          <w:rFonts w:eastAsia="Times New Roman" w:cs="Times New Roman"/>
          <w:iCs/>
          <w:sz w:val="21"/>
          <w:szCs w:val="24"/>
          <w:lang w:val="en-AU" w:eastAsia="en-AU"/>
        </w:rPr>
        <w:t>Phase II</w:t>
      </w:r>
      <w:r w:rsidR="00D94452" w:rsidRPr="00213479">
        <w:rPr>
          <w:rFonts w:eastAsia="Times New Roman" w:cs="Times New Roman"/>
          <w:iCs/>
          <w:sz w:val="21"/>
          <w:szCs w:val="24"/>
          <w:lang w:val="en-AU" w:eastAsia="en-AU"/>
        </w:rPr>
        <w:t xml:space="preserve">, the </w:t>
      </w:r>
      <w:r w:rsidR="006A06F1" w:rsidRPr="00213479">
        <w:rPr>
          <w:rFonts w:eastAsia="Times New Roman" w:cs="Times New Roman"/>
          <w:iCs/>
          <w:sz w:val="21"/>
          <w:szCs w:val="24"/>
          <w:lang w:val="en-AU" w:eastAsia="en-AU"/>
        </w:rPr>
        <w:t xml:space="preserve">MEL </w:t>
      </w:r>
      <w:r w:rsidR="00E22CF0" w:rsidRPr="00213479">
        <w:rPr>
          <w:rFonts w:eastAsia="Times New Roman" w:cs="Times New Roman"/>
          <w:iCs/>
          <w:sz w:val="21"/>
          <w:szCs w:val="24"/>
          <w:lang w:val="en-AU" w:eastAsia="en-AU"/>
        </w:rPr>
        <w:t>strategy</w:t>
      </w:r>
      <w:r w:rsidR="006A06F1" w:rsidRPr="00213479">
        <w:rPr>
          <w:rFonts w:eastAsia="Times New Roman" w:cs="Times New Roman"/>
          <w:iCs/>
          <w:sz w:val="21"/>
          <w:szCs w:val="24"/>
          <w:lang w:val="en-AU" w:eastAsia="en-AU"/>
        </w:rPr>
        <w:t xml:space="preserve"> will more coherently address the Partnership’s </w:t>
      </w:r>
      <w:r w:rsidR="00C85FDA" w:rsidRPr="00213479">
        <w:rPr>
          <w:rFonts w:eastAsia="Times New Roman" w:cs="Times New Roman"/>
          <w:iCs/>
          <w:sz w:val="21"/>
          <w:szCs w:val="24"/>
          <w:lang w:val="en-AU" w:eastAsia="en-AU"/>
        </w:rPr>
        <w:t xml:space="preserve">multiple and diverse programs (at country level and consortia level) and activities (in different national and community settings), implemented by multiple organisational </w:t>
      </w:r>
      <w:r w:rsidR="00DB6319" w:rsidRPr="00213479">
        <w:rPr>
          <w:rFonts w:eastAsia="Times New Roman" w:cs="Times New Roman"/>
          <w:iCs/>
          <w:sz w:val="21"/>
          <w:szCs w:val="24"/>
          <w:lang w:val="en-AU" w:eastAsia="en-AU"/>
        </w:rPr>
        <w:t>p</w:t>
      </w:r>
      <w:r w:rsidR="00C85FDA" w:rsidRPr="00213479">
        <w:rPr>
          <w:rFonts w:eastAsia="Times New Roman" w:cs="Times New Roman"/>
          <w:iCs/>
          <w:sz w:val="21"/>
          <w:szCs w:val="24"/>
          <w:lang w:val="en-AU" w:eastAsia="en-AU"/>
        </w:rPr>
        <w:t xml:space="preserve">artners who utilise their own systems for data collection, </w:t>
      </w:r>
      <w:r w:rsidR="0019055E" w:rsidRPr="00213479">
        <w:rPr>
          <w:rFonts w:eastAsia="Times New Roman" w:cs="Times New Roman"/>
          <w:iCs/>
          <w:sz w:val="21"/>
          <w:szCs w:val="24"/>
          <w:lang w:val="en-AU" w:eastAsia="en-AU"/>
        </w:rPr>
        <w:t>analysis,</w:t>
      </w:r>
      <w:r w:rsidR="00C85FDA" w:rsidRPr="00213479">
        <w:rPr>
          <w:rFonts w:eastAsia="Times New Roman" w:cs="Times New Roman"/>
          <w:iCs/>
          <w:sz w:val="21"/>
          <w:szCs w:val="24"/>
          <w:lang w:val="en-AU" w:eastAsia="en-AU"/>
        </w:rPr>
        <w:t xml:space="preserve"> and reporting.</w:t>
      </w:r>
      <w:r w:rsidR="00AF31C7">
        <w:rPr>
          <w:rFonts w:eastAsia="Times New Roman" w:cs="Times New Roman"/>
          <w:iCs/>
          <w:sz w:val="21"/>
          <w:szCs w:val="24"/>
          <w:lang w:val="en-AU" w:eastAsia="en-AU"/>
        </w:rPr>
        <w:t xml:space="preserve"> </w:t>
      </w:r>
      <w:r w:rsidR="003022AE" w:rsidRPr="00AF31C7">
        <w:rPr>
          <w:rFonts w:eastAsia="Times New Roman" w:cs="Times New Roman"/>
          <w:iCs/>
          <w:sz w:val="21"/>
          <w:szCs w:val="24"/>
          <w:lang w:val="en-AU" w:eastAsia="en-AU"/>
        </w:rPr>
        <w:t xml:space="preserve">The </w:t>
      </w:r>
      <w:r w:rsidR="00380066" w:rsidRPr="00AF31C7">
        <w:rPr>
          <w:rFonts w:eastAsia="Times New Roman" w:cs="Times New Roman"/>
          <w:iCs/>
          <w:sz w:val="21"/>
          <w:szCs w:val="24"/>
          <w:lang w:val="en-AU" w:eastAsia="en-AU"/>
        </w:rPr>
        <w:t>existing MELF</w:t>
      </w:r>
      <w:r w:rsidR="00E22CF0" w:rsidRPr="00AF31C7">
        <w:rPr>
          <w:rFonts w:eastAsia="Times New Roman" w:cs="Times New Roman"/>
          <w:iCs/>
          <w:sz w:val="21"/>
          <w:szCs w:val="24"/>
          <w:lang w:val="en-AU" w:eastAsia="en-AU"/>
        </w:rPr>
        <w:t xml:space="preserve"> will be refined and strengthened by the AHPSU in consultation with ANGOs in early implementation</w:t>
      </w:r>
      <w:r w:rsidR="00380066" w:rsidRPr="00AF31C7">
        <w:rPr>
          <w:rFonts w:eastAsia="Times New Roman" w:cs="Times New Roman"/>
          <w:iCs/>
          <w:sz w:val="21"/>
          <w:szCs w:val="24"/>
          <w:lang w:val="en-AU" w:eastAsia="en-AU"/>
        </w:rPr>
        <w:t xml:space="preserve"> </w:t>
      </w:r>
      <w:r w:rsidR="0019055E" w:rsidRPr="00AF31C7">
        <w:rPr>
          <w:rFonts w:eastAsia="Times New Roman" w:cs="Times New Roman"/>
          <w:iCs/>
          <w:sz w:val="21"/>
          <w:szCs w:val="24"/>
          <w:lang w:val="en-AU" w:eastAsia="en-AU"/>
        </w:rPr>
        <w:t>to</w:t>
      </w:r>
      <w:r w:rsidR="003022AE" w:rsidRPr="00AF31C7">
        <w:rPr>
          <w:rFonts w:eastAsia="Times New Roman" w:cs="Times New Roman"/>
          <w:iCs/>
          <w:sz w:val="21"/>
          <w:szCs w:val="24"/>
          <w:lang w:val="en-AU" w:eastAsia="en-AU"/>
        </w:rPr>
        <w:t>:</w:t>
      </w:r>
    </w:p>
    <w:p w14:paraId="11C68B86" w14:textId="38F57C10" w:rsidR="003022AE" w:rsidRDefault="00120FD8" w:rsidP="0011591E">
      <w:pPr>
        <w:pStyle w:val="ListParagraph"/>
        <w:numPr>
          <w:ilvl w:val="0"/>
          <w:numId w:val="21"/>
        </w:numPr>
        <w:tabs>
          <w:tab w:val="left" w:pos="284"/>
        </w:tabs>
        <w:suppressAutoHyphens w:val="0"/>
        <w:spacing w:before="200" w:after="0" w:line="280" w:lineRule="exact"/>
        <w:contextualSpacing w:val="0"/>
        <w:rPr>
          <w:rFonts w:eastAsia="Times New Roman" w:cs="Times New Roman"/>
          <w:iCs/>
          <w:sz w:val="21"/>
          <w:szCs w:val="24"/>
          <w:lang w:val="en-AU" w:eastAsia="en-AU"/>
        </w:rPr>
      </w:pPr>
      <w:r>
        <w:rPr>
          <w:rFonts w:eastAsia="Times New Roman" w:cs="Times New Roman"/>
          <w:iCs/>
          <w:sz w:val="21"/>
          <w:szCs w:val="24"/>
          <w:lang w:val="en-AU" w:eastAsia="en-AU"/>
        </w:rPr>
        <w:t xml:space="preserve">Adopt </w:t>
      </w:r>
      <w:r w:rsidR="00330F5C">
        <w:rPr>
          <w:rFonts w:eastAsia="Times New Roman" w:cs="Times New Roman"/>
          <w:iCs/>
          <w:sz w:val="21"/>
          <w:szCs w:val="24"/>
          <w:lang w:val="en-AU" w:eastAsia="en-AU"/>
        </w:rPr>
        <w:t xml:space="preserve">a stronger focus on whole-of-program outcomes at the partnership level (relating to the </w:t>
      </w:r>
      <w:r>
        <w:rPr>
          <w:rFonts w:eastAsia="Times New Roman" w:cs="Times New Roman"/>
          <w:iCs/>
          <w:sz w:val="21"/>
          <w:szCs w:val="24"/>
          <w:lang w:val="en-AU" w:eastAsia="en-AU"/>
        </w:rPr>
        <w:t xml:space="preserve">EOPOs </w:t>
      </w:r>
      <w:r w:rsidR="00330F5C">
        <w:rPr>
          <w:rFonts w:eastAsia="Times New Roman" w:cs="Times New Roman"/>
          <w:iCs/>
          <w:sz w:val="21"/>
          <w:szCs w:val="24"/>
          <w:lang w:val="en-AU" w:eastAsia="en-AU"/>
        </w:rPr>
        <w:t xml:space="preserve">and </w:t>
      </w:r>
      <w:r>
        <w:rPr>
          <w:rFonts w:eastAsia="Times New Roman" w:cs="Times New Roman"/>
          <w:iCs/>
          <w:sz w:val="21"/>
          <w:szCs w:val="24"/>
          <w:lang w:val="en-AU" w:eastAsia="en-AU"/>
        </w:rPr>
        <w:t xml:space="preserve">IOs </w:t>
      </w:r>
      <w:r w:rsidR="00330F5C">
        <w:rPr>
          <w:rFonts w:eastAsia="Times New Roman" w:cs="Times New Roman"/>
          <w:iCs/>
          <w:sz w:val="21"/>
          <w:szCs w:val="24"/>
          <w:lang w:val="en-AU" w:eastAsia="en-AU"/>
        </w:rPr>
        <w:t>of the program logic);</w:t>
      </w:r>
    </w:p>
    <w:p w14:paraId="5A41C8B6" w14:textId="77777777" w:rsidR="00CD0C25" w:rsidRPr="00CD0C25" w:rsidRDefault="00CD0C25" w:rsidP="0011591E">
      <w:pPr>
        <w:pStyle w:val="ListParagraph"/>
        <w:numPr>
          <w:ilvl w:val="0"/>
          <w:numId w:val="21"/>
        </w:numPr>
        <w:tabs>
          <w:tab w:val="left" w:pos="284"/>
        </w:tabs>
        <w:suppressAutoHyphens w:val="0"/>
        <w:spacing w:before="200" w:after="0" w:line="280" w:lineRule="exact"/>
        <w:contextualSpacing w:val="0"/>
        <w:rPr>
          <w:rFonts w:eastAsia="Times New Roman" w:cs="Times New Roman"/>
          <w:iCs/>
          <w:sz w:val="21"/>
          <w:szCs w:val="24"/>
          <w:lang w:val="en-AU" w:eastAsia="en-AU"/>
        </w:rPr>
      </w:pPr>
      <w:r w:rsidRPr="00CD0C25">
        <w:rPr>
          <w:rFonts w:eastAsia="Times New Roman" w:cs="Times New Roman"/>
          <w:iCs/>
          <w:sz w:val="21"/>
          <w:szCs w:val="24"/>
          <w:lang w:val="en-AU" w:eastAsia="en-AU"/>
        </w:rPr>
        <w:t xml:space="preserve">promote adaption, program improvement and learning through MEL activities;  </w:t>
      </w:r>
    </w:p>
    <w:p w14:paraId="28BDCA81" w14:textId="77777777" w:rsidR="00CD0C25" w:rsidRPr="00CD0C25" w:rsidRDefault="00CD0C25" w:rsidP="0011591E">
      <w:pPr>
        <w:pStyle w:val="ListParagraph"/>
        <w:numPr>
          <w:ilvl w:val="0"/>
          <w:numId w:val="21"/>
        </w:numPr>
        <w:tabs>
          <w:tab w:val="left" w:pos="284"/>
        </w:tabs>
        <w:suppressAutoHyphens w:val="0"/>
        <w:spacing w:before="200" w:after="0" w:line="280" w:lineRule="exact"/>
        <w:contextualSpacing w:val="0"/>
        <w:rPr>
          <w:rFonts w:eastAsia="Times New Roman" w:cs="Times New Roman"/>
          <w:iCs/>
          <w:sz w:val="21"/>
          <w:szCs w:val="24"/>
          <w:lang w:val="en-AU" w:eastAsia="en-AU"/>
        </w:rPr>
      </w:pPr>
      <w:r w:rsidRPr="00CD0C25">
        <w:rPr>
          <w:rFonts w:eastAsia="Times New Roman" w:cs="Times New Roman"/>
          <w:iCs/>
          <w:sz w:val="21"/>
          <w:szCs w:val="24"/>
          <w:lang w:val="en-AU" w:eastAsia="en-AU"/>
        </w:rPr>
        <w:t>support AHP ANGO Partners to enable communities and affected populations to engage in and make decisions that improves implementation;</w:t>
      </w:r>
    </w:p>
    <w:p w14:paraId="140E8F48" w14:textId="77777777" w:rsidR="00CD0C25" w:rsidRPr="00CD0C25" w:rsidRDefault="00CD0C25" w:rsidP="0011591E">
      <w:pPr>
        <w:pStyle w:val="ListParagraph"/>
        <w:numPr>
          <w:ilvl w:val="0"/>
          <w:numId w:val="21"/>
        </w:numPr>
        <w:tabs>
          <w:tab w:val="left" w:pos="284"/>
        </w:tabs>
        <w:suppressAutoHyphens w:val="0"/>
        <w:spacing w:before="200" w:after="0" w:line="280" w:lineRule="exact"/>
        <w:contextualSpacing w:val="0"/>
        <w:rPr>
          <w:rFonts w:eastAsia="Times New Roman" w:cs="Times New Roman"/>
          <w:iCs/>
          <w:sz w:val="21"/>
          <w:szCs w:val="24"/>
          <w:lang w:val="en-AU" w:eastAsia="en-AU"/>
        </w:rPr>
      </w:pPr>
      <w:r w:rsidRPr="00CD0C25">
        <w:rPr>
          <w:rFonts w:eastAsia="Times New Roman" w:cs="Times New Roman"/>
          <w:iCs/>
          <w:sz w:val="21"/>
          <w:szCs w:val="24"/>
          <w:lang w:val="en-AU" w:eastAsia="en-AU"/>
        </w:rPr>
        <w:t>ensure that a core data set is available, so that reporting and information can be made available to different stakeholders as required; and</w:t>
      </w:r>
    </w:p>
    <w:p w14:paraId="28FAE492" w14:textId="0F9EDCED" w:rsidR="00CD0C25" w:rsidRDefault="00CD0C25" w:rsidP="0011591E">
      <w:pPr>
        <w:pStyle w:val="ListParagraph"/>
        <w:numPr>
          <w:ilvl w:val="0"/>
          <w:numId w:val="21"/>
        </w:numPr>
        <w:tabs>
          <w:tab w:val="left" w:pos="284"/>
        </w:tabs>
        <w:suppressAutoHyphens w:val="0"/>
        <w:spacing w:before="200" w:after="0" w:line="280" w:lineRule="exact"/>
        <w:contextualSpacing w:val="0"/>
        <w:rPr>
          <w:rFonts w:eastAsia="Times New Roman" w:cs="Times New Roman"/>
          <w:iCs/>
          <w:sz w:val="21"/>
          <w:szCs w:val="24"/>
          <w:lang w:val="en-AU" w:eastAsia="en-AU"/>
        </w:rPr>
      </w:pPr>
      <w:r w:rsidRPr="00CD0C25">
        <w:rPr>
          <w:rFonts w:eastAsia="Times New Roman" w:cs="Times New Roman"/>
          <w:iCs/>
          <w:sz w:val="21"/>
          <w:szCs w:val="24"/>
          <w:lang w:val="en-AU" w:eastAsia="en-AU"/>
        </w:rPr>
        <w:t>reinforce inherent incentives and accountability</w:t>
      </w:r>
      <w:r w:rsidRPr="00C10B17">
        <w:rPr>
          <w:rFonts w:eastAsia="Times New Roman" w:cs="Times New Roman"/>
          <w:sz w:val="21"/>
          <w:szCs w:val="24"/>
          <w:lang w:val="en-AU"/>
        </w:rPr>
        <w:t xml:space="preserve"> for strong performance of ANGOs to undertake good </w:t>
      </w:r>
      <w:r w:rsidR="00070348">
        <w:rPr>
          <w:rFonts w:eastAsia="Times New Roman" w:cs="Times New Roman"/>
          <w:sz w:val="21"/>
          <w:szCs w:val="24"/>
          <w:lang w:val="en-AU"/>
        </w:rPr>
        <w:t>MEL</w:t>
      </w:r>
      <w:r w:rsidRPr="00C10B17">
        <w:rPr>
          <w:rFonts w:eastAsia="Times New Roman" w:cs="Times New Roman"/>
          <w:sz w:val="21"/>
          <w:szCs w:val="24"/>
          <w:lang w:val="en-AU"/>
        </w:rPr>
        <w:t xml:space="preserve"> practice, and meet international humanitarian and DFAT standards.</w:t>
      </w:r>
    </w:p>
    <w:p w14:paraId="2A7ADECE" w14:textId="0F0CECD6" w:rsidR="00213479" w:rsidRPr="00FF4115" w:rsidRDefault="00AF31C7" w:rsidP="00FF4115">
      <w:pPr>
        <w:pStyle w:val="ListParagraph"/>
        <w:numPr>
          <w:ilvl w:val="0"/>
          <w:numId w:val="12"/>
        </w:numPr>
        <w:tabs>
          <w:tab w:val="left" w:pos="0"/>
          <w:tab w:val="left" w:pos="284"/>
        </w:tabs>
        <w:suppressAutoHyphens w:val="0"/>
        <w:spacing w:before="200" w:after="0" w:line="280" w:lineRule="exact"/>
        <w:ind w:left="0" w:firstLine="0"/>
        <w:contextualSpacing w:val="0"/>
        <w:rPr>
          <w:rFonts w:eastAsia="Times New Roman" w:cs="Times New Roman"/>
          <w:b/>
          <w:bCs/>
          <w:iCs/>
          <w:sz w:val="21"/>
          <w:szCs w:val="24"/>
          <w:lang w:val="en-AU" w:eastAsia="en-AU"/>
        </w:rPr>
      </w:pPr>
      <w:r>
        <w:rPr>
          <w:rFonts w:eastAsia="Times New Roman" w:cs="Times New Roman"/>
          <w:iCs/>
          <w:sz w:val="21"/>
          <w:szCs w:val="24"/>
          <w:lang w:val="en-AU" w:eastAsia="en-AU"/>
        </w:rPr>
        <w:t xml:space="preserve">The MELF </w:t>
      </w:r>
      <w:r w:rsidRPr="00213479">
        <w:rPr>
          <w:rFonts w:eastAsia="Times New Roman" w:cs="Times New Roman"/>
          <w:iCs/>
          <w:sz w:val="21"/>
          <w:szCs w:val="24"/>
          <w:lang w:val="en-AU" w:eastAsia="en-AU"/>
        </w:rPr>
        <w:t xml:space="preserve">will continue to </w:t>
      </w:r>
      <w:r>
        <w:rPr>
          <w:rFonts w:eastAsia="Times New Roman" w:cs="Times New Roman"/>
          <w:iCs/>
          <w:sz w:val="21"/>
          <w:szCs w:val="24"/>
          <w:lang w:val="en-AU" w:eastAsia="en-AU"/>
        </w:rPr>
        <w:t>serve</w:t>
      </w:r>
      <w:r w:rsidRPr="00213479">
        <w:rPr>
          <w:rFonts w:eastAsia="Times New Roman" w:cs="Times New Roman"/>
          <w:iCs/>
          <w:sz w:val="21"/>
          <w:szCs w:val="24"/>
          <w:lang w:val="en-AU" w:eastAsia="en-AU"/>
        </w:rPr>
        <w:t xml:space="preserve"> multiple audiences for reporting including Posts, DFAT Canberra, and external parties who have an interest in learning lessons and considering policy and practice implications, such as national Governments, regional </w:t>
      </w:r>
      <w:r w:rsidR="0019055E" w:rsidRPr="00213479">
        <w:rPr>
          <w:rFonts w:eastAsia="Times New Roman" w:cs="Times New Roman"/>
          <w:iCs/>
          <w:sz w:val="21"/>
          <w:szCs w:val="24"/>
          <w:lang w:val="en-AU" w:eastAsia="en-AU"/>
        </w:rPr>
        <w:t>organisations,</w:t>
      </w:r>
      <w:r w:rsidRPr="00213479">
        <w:rPr>
          <w:rFonts w:eastAsia="Times New Roman" w:cs="Times New Roman"/>
          <w:iCs/>
          <w:sz w:val="21"/>
          <w:szCs w:val="24"/>
          <w:lang w:val="en-AU" w:eastAsia="en-AU"/>
        </w:rPr>
        <w:t xml:space="preserve"> and international humanitarian actors.</w:t>
      </w:r>
      <w:r w:rsidR="00180021" w:rsidRPr="00213479">
        <w:rPr>
          <w:rFonts w:eastAsia="Times New Roman" w:cs="Times New Roman"/>
          <w:iCs/>
          <w:sz w:val="21"/>
          <w:szCs w:val="24"/>
          <w:lang w:val="en-AU" w:eastAsia="en-AU"/>
        </w:rPr>
        <w:t xml:space="preserve"> </w:t>
      </w:r>
      <w:r w:rsidR="00180021" w:rsidRPr="00FF4115">
        <w:rPr>
          <w:rFonts w:eastAsia="Times New Roman" w:cs="Times New Roman"/>
          <w:iCs/>
          <w:sz w:val="21"/>
          <w:szCs w:val="24"/>
          <w:lang w:val="en-AU" w:eastAsia="en-AU"/>
        </w:rPr>
        <w:t>A</w:t>
      </w:r>
      <w:r w:rsidR="00F91FC8">
        <w:rPr>
          <w:rFonts w:eastAsia="Times New Roman" w:cs="Times New Roman"/>
          <w:iCs/>
          <w:sz w:val="21"/>
          <w:szCs w:val="24"/>
          <w:lang w:val="en-AU" w:eastAsia="en-AU"/>
        </w:rPr>
        <w:t xml:space="preserve"> draft</w:t>
      </w:r>
      <w:r w:rsidR="00180021" w:rsidRPr="00FF4115">
        <w:rPr>
          <w:rFonts w:eastAsia="Times New Roman" w:cs="Times New Roman"/>
          <w:iCs/>
          <w:sz w:val="21"/>
          <w:szCs w:val="24"/>
          <w:lang w:val="en-AU" w:eastAsia="en-AU"/>
        </w:rPr>
        <w:t xml:space="preserve"> indicative </w:t>
      </w:r>
      <w:r w:rsidR="008564F0" w:rsidRPr="00FF4115">
        <w:rPr>
          <w:rFonts w:eastAsia="Times New Roman" w:cs="Times New Roman"/>
          <w:iCs/>
          <w:sz w:val="21"/>
          <w:szCs w:val="24"/>
          <w:lang w:val="en-AU" w:eastAsia="en-AU"/>
        </w:rPr>
        <w:t xml:space="preserve">MELF is included at Annex 4, which will be reviewed, </w:t>
      </w:r>
      <w:r w:rsidR="0019055E" w:rsidRPr="00FF4115">
        <w:rPr>
          <w:rFonts w:eastAsia="Times New Roman" w:cs="Times New Roman"/>
          <w:iCs/>
          <w:sz w:val="21"/>
          <w:szCs w:val="24"/>
          <w:lang w:val="en-AU" w:eastAsia="en-AU"/>
        </w:rPr>
        <w:t>adjusted,</w:t>
      </w:r>
      <w:r w:rsidR="008564F0" w:rsidRPr="00FF4115">
        <w:rPr>
          <w:rFonts w:eastAsia="Times New Roman" w:cs="Times New Roman"/>
          <w:iCs/>
          <w:sz w:val="21"/>
          <w:szCs w:val="24"/>
          <w:lang w:val="en-AU" w:eastAsia="en-AU"/>
        </w:rPr>
        <w:t xml:space="preserve"> and </w:t>
      </w:r>
      <w:r w:rsidR="00213479" w:rsidRPr="00FF4115">
        <w:rPr>
          <w:rFonts w:eastAsia="Times New Roman" w:cs="Times New Roman"/>
          <w:iCs/>
          <w:sz w:val="21"/>
          <w:szCs w:val="24"/>
          <w:lang w:val="en-AU" w:eastAsia="en-AU"/>
        </w:rPr>
        <w:t>finalised by the AHPSU in consultation with ANGOs in the first half of 2022</w:t>
      </w:r>
      <w:r w:rsidR="00707FE0">
        <w:rPr>
          <w:rFonts w:eastAsia="Times New Roman" w:cs="Times New Roman"/>
          <w:iCs/>
          <w:sz w:val="21"/>
          <w:szCs w:val="24"/>
          <w:lang w:val="en-AU" w:eastAsia="en-AU"/>
        </w:rPr>
        <w:t xml:space="preserve"> following finalisation of Disaster READY MEL</w:t>
      </w:r>
      <w:r w:rsidR="000817D4">
        <w:rPr>
          <w:rFonts w:eastAsia="Times New Roman" w:cs="Times New Roman"/>
          <w:iCs/>
          <w:sz w:val="21"/>
          <w:szCs w:val="24"/>
          <w:lang w:val="en-AU" w:eastAsia="en-AU"/>
        </w:rPr>
        <w:t xml:space="preserve"> arrangements</w:t>
      </w:r>
      <w:r w:rsidR="00213479" w:rsidRPr="00FF4115">
        <w:rPr>
          <w:rFonts w:eastAsia="Times New Roman" w:cs="Times New Roman"/>
          <w:iCs/>
          <w:sz w:val="21"/>
          <w:szCs w:val="24"/>
          <w:lang w:val="en-AU" w:eastAsia="en-AU"/>
        </w:rPr>
        <w:t xml:space="preserve">. </w:t>
      </w:r>
    </w:p>
    <w:p w14:paraId="379616CE" w14:textId="79E39292" w:rsidR="00380066" w:rsidRPr="00213479" w:rsidRDefault="00CC4B08" w:rsidP="00213479">
      <w:pPr>
        <w:pStyle w:val="ListParagraph"/>
        <w:tabs>
          <w:tab w:val="left" w:pos="0"/>
          <w:tab w:val="left" w:pos="284"/>
        </w:tabs>
        <w:suppressAutoHyphens w:val="0"/>
        <w:spacing w:before="200" w:after="0" w:line="280" w:lineRule="exact"/>
        <w:ind w:left="0"/>
        <w:contextualSpacing w:val="0"/>
        <w:rPr>
          <w:rFonts w:eastAsia="Times New Roman" w:cs="Times New Roman"/>
          <w:b/>
          <w:bCs/>
          <w:iCs/>
          <w:sz w:val="21"/>
          <w:szCs w:val="24"/>
          <w:lang w:val="en-AU" w:eastAsia="en-AU"/>
        </w:rPr>
      </w:pPr>
      <w:r w:rsidRPr="00213479">
        <w:rPr>
          <w:rFonts w:eastAsia="Times New Roman" w:cs="Times New Roman"/>
          <w:b/>
          <w:bCs/>
          <w:iCs/>
          <w:sz w:val="21"/>
          <w:szCs w:val="24"/>
          <w:lang w:val="en-AU" w:eastAsia="en-AU"/>
        </w:rPr>
        <w:t xml:space="preserve">A.  </w:t>
      </w:r>
      <w:r w:rsidR="00380066" w:rsidRPr="00213479">
        <w:rPr>
          <w:rFonts w:eastAsia="Times New Roman" w:cs="Times New Roman"/>
          <w:b/>
          <w:bCs/>
          <w:iCs/>
          <w:sz w:val="21"/>
          <w:szCs w:val="24"/>
          <w:lang w:val="en-AU" w:eastAsia="en-AU"/>
        </w:rPr>
        <w:t>Focus on whole-of-program outcomes at the partnership level</w:t>
      </w:r>
    </w:p>
    <w:p w14:paraId="0752D948" w14:textId="6374CBD2" w:rsidR="00754E90" w:rsidRDefault="001B32C1" w:rsidP="003E2C60">
      <w:pPr>
        <w:tabs>
          <w:tab w:val="left" w:pos="0"/>
        </w:tabs>
        <w:suppressAutoHyphens w:val="0"/>
        <w:spacing w:before="200" w:after="0" w:line="280" w:lineRule="exact"/>
        <w:rPr>
          <w:rFonts w:eastAsia="Times New Roman" w:cs="Times New Roman"/>
          <w:iCs/>
          <w:sz w:val="21"/>
          <w:szCs w:val="24"/>
          <w:lang w:val="en-AU" w:eastAsia="en-AU"/>
        </w:rPr>
      </w:pPr>
      <w:r>
        <w:rPr>
          <w:rFonts w:eastAsia="Times New Roman" w:cs="Times New Roman"/>
          <w:iCs/>
          <w:sz w:val="21"/>
          <w:szCs w:val="24"/>
          <w:lang w:val="en-AU" w:eastAsia="en-AU"/>
        </w:rPr>
        <w:t xml:space="preserve">A continuous evaluation approach will be adopted that enables assessment of the overall progress, </w:t>
      </w:r>
      <w:r w:rsidR="0019055E">
        <w:rPr>
          <w:rFonts w:eastAsia="Times New Roman" w:cs="Times New Roman"/>
          <w:iCs/>
          <w:sz w:val="21"/>
          <w:szCs w:val="24"/>
          <w:lang w:val="en-AU" w:eastAsia="en-AU"/>
        </w:rPr>
        <w:t>performance,</w:t>
      </w:r>
      <w:r>
        <w:rPr>
          <w:rFonts w:eastAsia="Times New Roman" w:cs="Times New Roman"/>
          <w:iCs/>
          <w:sz w:val="21"/>
          <w:szCs w:val="24"/>
          <w:lang w:val="en-AU" w:eastAsia="en-AU"/>
        </w:rPr>
        <w:t xml:space="preserve"> and quality of the program.  The AHPSU will be responsible for the MEL processes and manage the resources at the </w:t>
      </w:r>
      <w:r w:rsidR="000B309C">
        <w:rPr>
          <w:rFonts w:eastAsia="Times New Roman" w:cs="Times New Roman"/>
          <w:iCs/>
          <w:sz w:val="21"/>
          <w:szCs w:val="24"/>
          <w:lang w:val="en-AU" w:eastAsia="en-AU"/>
        </w:rPr>
        <w:t xml:space="preserve">EOPO and </w:t>
      </w:r>
      <w:r>
        <w:rPr>
          <w:rFonts w:eastAsia="Times New Roman" w:cs="Times New Roman"/>
          <w:iCs/>
          <w:sz w:val="21"/>
          <w:szCs w:val="24"/>
          <w:lang w:val="en-AU" w:eastAsia="en-AU"/>
        </w:rPr>
        <w:t>IO level:</w:t>
      </w:r>
    </w:p>
    <w:p w14:paraId="081DB67B" w14:textId="3C37B2EB" w:rsidR="001B32C1" w:rsidRPr="009156B1" w:rsidRDefault="001B32C1" w:rsidP="0011591E">
      <w:pPr>
        <w:pStyle w:val="ListParagraph"/>
        <w:numPr>
          <w:ilvl w:val="0"/>
          <w:numId w:val="17"/>
        </w:numPr>
        <w:tabs>
          <w:tab w:val="left" w:pos="284"/>
        </w:tabs>
        <w:suppressAutoHyphens w:val="0"/>
        <w:spacing w:before="200" w:after="0" w:line="280" w:lineRule="exact"/>
        <w:contextualSpacing w:val="0"/>
        <w:rPr>
          <w:rFonts w:eastAsia="Times New Roman" w:cs="Times New Roman"/>
          <w:iCs/>
          <w:sz w:val="21"/>
          <w:szCs w:val="24"/>
          <w:lang w:val="en-AU" w:eastAsia="en-AU"/>
        </w:rPr>
      </w:pPr>
      <w:r w:rsidRPr="001B32C1">
        <w:rPr>
          <w:rFonts w:eastAsia="Times New Roman" w:cs="Times New Roman"/>
          <w:b/>
          <w:bCs/>
          <w:iCs/>
          <w:sz w:val="21"/>
          <w:szCs w:val="24"/>
          <w:lang w:val="en-AU" w:eastAsia="en-AU"/>
        </w:rPr>
        <w:t>Disaster READY (</w:t>
      </w:r>
      <w:r w:rsidR="00540885">
        <w:rPr>
          <w:rFonts w:eastAsia="Times New Roman" w:cs="Times New Roman"/>
          <w:b/>
          <w:bCs/>
          <w:iCs/>
          <w:sz w:val="21"/>
          <w:szCs w:val="24"/>
          <w:lang w:val="en-AU" w:eastAsia="en-AU"/>
        </w:rPr>
        <w:t>EOPO</w:t>
      </w:r>
      <w:r w:rsidR="00540885" w:rsidRPr="001B32C1">
        <w:rPr>
          <w:rFonts w:eastAsia="Times New Roman" w:cs="Times New Roman"/>
          <w:b/>
          <w:bCs/>
          <w:iCs/>
          <w:sz w:val="21"/>
          <w:szCs w:val="24"/>
          <w:lang w:val="en-AU" w:eastAsia="en-AU"/>
        </w:rPr>
        <w:t xml:space="preserve"> </w:t>
      </w:r>
      <w:r w:rsidRPr="001B32C1">
        <w:rPr>
          <w:rFonts w:eastAsia="Times New Roman" w:cs="Times New Roman"/>
          <w:b/>
          <w:bCs/>
          <w:iCs/>
          <w:sz w:val="21"/>
          <w:szCs w:val="24"/>
          <w:lang w:val="en-AU" w:eastAsia="en-AU"/>
        </w:rPr>
        <w:t>1)</w:t>
      </w:r>
      <w:r>
        <w:rPr>
          <w:rFonts w:eastAsia="Times New Roman" w:cs="Times New Roman"/>
          <w:b/>
          <w:bCs/>
          <w:iCs/>
          <w:sz w:val="21"/>
          <w:szCs w:val="24"/>
          <w:lang w:val="en-AU" w:eastAsia="en-AU"/>
        </w:rPr>
        <w:t xml:space="preserve">. </w:t>
      </w:r>
      <w:r>
        <w:rPr>
          <w:rFonts w:eastAsia="Times New Roman" w:cs="Times New Roman"/>
          <w:iCs/>
          <w:sz w:val="21"/>
          <w:szCs w:val="24"/>
          <w:lang w:val="en-AU" w:eastAsia="en-AU"/>
        </w:rPr>
        <w:t xml:space="preserve"> </w:t>
      </w:r>
      <w:r w:rsidR="00C95677">
        <w:rPr>
          <w:rFonts w:eastAsia="Times New Roman" w:cs="Times New Roman"/>
          <w:iCs/>
          <w:sz w:val="21"/>
          <w:szCs w:val="24"/>
          <w:lang w:val="en-AU" w:eastAsia="en-AU"/>
        </w:rPr>
        <w:t>As outlined in the MEL</w:t>
      </w:r>
      <w:r w:rsidR="00C95677" w:rsidRPr="00C95677">
        <w:rPr>
          <w:rFonts w:eastAsia="Times New Roman" w:cs="Times New Roman"/>
          <w:iCs/>
          <w:sz w:val="21"/>
          <w:szCs w:val="24"/>
          <w:lang w:val="en-AU" w:eastAsia="en-AU"/>
        </w:rPr>
        <w:t xml:space="preserve"> arrangements for Disaster READY</w:t>
      </w:r>
      <w:r w:rsidR="00C95677">
        <w:rPr>
          <w:rFonts w:eastAsia="Times New Roman" w:cs="Times New Roman"/>
          <w:iCs/>
          <w:sz w:val="21"/>
          <w:szCs w:val="24"/>
          <w:lang w:val="en-AU" w:eastAsia="en-AU"/>
        </w:rPr>
        <w:t xml:space="preserve"> in Section F, this EOPO</w:t>
      </w:r>
      <w:r w:rsidR="00B00944" w:rsidRPr="00B00944">
        <w:rPr>
          <w:rFonts w:eastAsia="Times New Roman" w:cs="Times New Roman"/>
          <w:iCs/>
          <w:sz w:val="21"/>
          <w:szCs w:val="24"/>
          <w:lang w:val="en-AU" w:eastAsia="en-AU"/>
        </w:rPr>
        <w:t xml:space="preserve"> will be assessed through </w:t>
      </w:r>
      <w:r w:rsidR="00A20ED7">
        <w:rPr>
          <w:rFonts w:eastAsia="Times New Roman" w:cs="Times New Roman"/>
          <w:iCs/>
          <w:sz w:val="21"/>
          <w:szCs w:val="24"/>
          <w:lang w:val="en-AU" w:eastAsia="en-AU"/>
        </w:rPr>
        <w:t xml:space="preserve">collaborative MEL at an activity, country and programmatic level and </w:t>
      </w:r>
      <w:r w:rsidR="00B00944" w:rsidRPr="00B00944">
        <w:rPr>
          <w:rFonts w:eastAsia="Times New Roman" w:cs="Times New Roman"/>
          <w:iCs/>
          <w:sz w:val="21"/>
          <w:szCs w:val="24"/>
          <w:lang w:val="en-AU" w:eastAsia="en-AU"/>
        </w:rPr>
        <w:t xml:space="preserve">a cycle of participatory evaluations managed by the AHPSU. </w:t>
      </w:r>
      <w:r w:rsidR="00C95677">
        <w:rPr>
          <w:rFonts w:eastAsia="Times New Roman" w:cs="Times New Roman"/>
          <w:iCs/>
          <w:sz w:val="21"/>
          <w:szCs w:val="24"/>
          <w:lang w:val="en-AU" w:eastAsia="en-AU"/>
        </w:rPr>
        <w:t xml:space="preserve">Progress against the IOs </w:t>
      </w:r>
      <w:r w:rsidR="00CE69D4">
        <w:rPr>
          <w:rFonts w:eastAsia="Times New Roman" w:cs="Times New Roman"/>
          <w:iCs/>
          <w:sz w:val="21"/>
          <w:szCs w:val="24"/>
          <w:lang w:val="en-AU" w:eastAsia="en-AU"/>
        </w:rPr>
        <w:t xml:space="preserve">(including </w:t>
      </w:r>
      <w:r w:rsidR="000E09D5">
        <w:rPr>
          <w:rFonts w:eastAsia="Times New Roman" w:cs="Times New Roman"/>
          <w:iCs/>
          <w:sz w:val="21"/>
          <w:szCs w:val="24"/>
          <w:lang w:val="en-AU" w:eastAsia="en-AU"/>
        </w:rPr>
        <w:t xml:space="preserve">IO2.3 specific to Disaster READY) </w:t>
      </w:r>
      <w:r w:rsidR="00C95677">
        <w:rPr>
          <w:rFonts w:eastAsia="Times New Roman" w:cs="Times New Roman"/>
          <w:iCs/>
          <w:sz w:val="21"/>
          <w:szCs w:val="24"/>
          <w:lang w:val="en-AU" w:eastAsia="en-AU"/>
        </w:rPr>
        <w:t>wi</w:t>
      </w:r>
      <w:r>
        <w:rPr>
          <w:rFonts w:eastAsia="Times New Roman" w:cs="Times New Roman"/>
          <w:iCs/>
          <w:sz w:val="21"/>
          <w:szCs w:val="24"/>
          <w:lang w:val="en-AU" w:eastAsia="en-AU"/>
        </w:rPr>
        <w:t xml:space="preserve">ll be </w:t>
      </w:r>
      <w:r>
        <w:rPr>
          <w:rFonts w:eastAsia="Times New Roman" w:cs="Times New Roman"/>
          <w:sz w:val="21"/>
          <w:szCs w:val="24"/>
          <w:lang w:val="en-AU"/>
        </w:rPr>
        <w:t xml:space="preserve">assessed through a secondary analysis of the </w:t>
      </w:r>
      <w:r w:rsidR="00673C5D">
        <w:rPr>
          <w:rFonts w:eastAsia="Times New Roman" w:cs="Times New Roman"/>
          <w:sz w:val="21"/>
          <w:szCs w:val="24"/>
          <w:lang w:val="en-AU"/>
        </w:rPr>
        <w:t>Activity and Program Reports</w:t>
      </w:r>
      <w:r w:rsidR="00AE222E">
        <w:rPr>
          <w:rFonts w:eastAsia="Times New Roman" w:cs="Times New Roman"/>
          <w:sz w:val="21"/>
          <w:szCs w:val="24"/>
          <w:lang w:val="en-AU"/>
        </w:rPr>
        <w:t xml:space="preserve"> and the DRCC participatory reflection processes</w:t>
      </w:r>
      <w:r w:rsidR="00E27405">
        <w:rPr>
          <w:rFonts w:eastAsia="Times New Roman" w:cs="Times New Roman"/>
          <w:sz w:val="21"/>
          <w:szCs w:val="24"/>
          <w:lang w:val="en-AU"/>
        </w:rPr>
        <w:t xml:space="preserve">. This will </w:t>
      </w:r>
      <w:r w:rsidR="007A28B0">
        <w:rPr>
          <w:rFonts w:eastAsia="Times New Roman" w:cs="Times New Roman"/>
          <w:sz w:val="21"/>
          <w:szCs w:val="24"/>
          <w:lang w:val="en-AU"/>
        </w:rPr>
        <w:t xml:space="preserve">include </w:t>
      </w:r>
      <w:r w:rsidR="00E27405">
        <w:rPr>
          <w:rFonts w:eastAsia="Times New Roman" w:cs="Times New Roman"/>
          <w:sz w:val="21"/>
          <w:szCs w:val="24"/>
          <w:lang w:val="en-AU"/>
        </w:rPr>
        <w:t>reflect</w:t>
      </w:r>
      <w:r w:rsidR="007A28B0">
        <w:rPr>
          <w:rFonts w:eastAsia="Times New Roman" w:cs="Times New Roman"/>
          <w:sz w:val="21"/>
          <w:szCs w:val="24"/>
          <w:lang w:val="en-AU"/>
        </w:rPr>
        <w:t>ion</w:t>
      </w:r>
      <w:r w:rsidR="00E27405">
        <w:rPr>
          <w:rFonts w:eastAsia="Times New Roman" w:cs="Times New Roman"/>
          <w:sz w:val="21"/>
          <w:szCs w:val="24"/>
          <w:lang w:val="en-AU"/>
        </w:rPr>
        <w:t xml:space="preserve"> </w:t>
      </w:r>
      <w:r>
        <w:rPr>
          <w:rFonts w:eastAsia="Times New Roman" w:cs="Times New Roman"/>
          <w:sz w:val="21"/>
          <w:szCs w:val="24"/>
          <w:lang w:val="en-AU"/>
        </w:rPr>
        <w:t xml:space="preserve">on </w:t>
      </w:r>
      <w:r w:rsidR="00FE587D">
        <w:rPr>
          <w:rFonts w:eastAsia="Times New Roman" w:cs="Times New Roman"/>
          <w:sz w:val="21"/>
          <w:szCs w:val="24"/>
          <w:lang w:val="en-AU"/>
        </w:rPr>
        <w:t xml:space="preserve">joint </w:t>
      </w:r>
      <w:r w:rsidR="00D943C5">
        <w:rPr>
          <w:rFonts w:eastAsia="Times New Roman" w:cs="Times New Roman"/>
          <w:sz w:val="21"/>
          <w:szCs w:val="24"/>
          <w:lang w:val="en-AU"/>
        </w:rPr>
        <w:t xml:space="preserve">performance against </w:t>
      </w:r>
      <w:r w:rsidR="00A20ED7">
        <w:rPr>
          <w:rFonts w:eastAsia="Times New Roman" w:cs="Times New Roman"/>
          <w:sz w:val="21"/>
          <w:szCs w:val="24"/>
          <w:lang w:val="en-AU"/>
        </w:rPr>
        <w:t>country</w:t>
      </w:r>
      <w:r>
        <w:rPr>
          <w:rFonts w:eastAsia="Times New Roman" w:cs="Times New Roman"/>
          <w:sz w:val="21"/>
          <w:szCs w:val="24"/>
          <w:lang w:val="en-AU"/>
        </w:rPr>
        <w:t xml:space="preserve"> </w:t>
      </w:r>
      <w:r w:rsidR="00034E6F">
        <w:rPr>
          <w:rFonts w:eastAsia="Times New Roman" w:cs="Times New Roman"/>
          <w:sz w:val="21"/>
          <w:szCs w:val="24"/>
          <w:lang w:val="en-AU"/>
        </w:rPr>
        <w:t>L</w:t>
      </w:r>
      <w:r>
        <w:rPr>
          <w:rFonts w:eastAsia="Times New Roman" w:cs="Times New Roman"/>
          <w:sz w:val="21"/>
          <w:szCs w:val="24"/>
          <w:lang w:val="en-AU"/>
        </w:rPr>
        <w:t xml:space="preserve">ocalisation </w:t>
      </w:r>
      <w:r w:rsidR="00034E6F">
        <w:rPr>
          <w:rFonts w:eastAsia="Times New Roman" w:cs="Times New Roman"/>
          <w:sz w:val="21"/>
          <w:szCs w:val="24"/>
          <w:lang w:val="en-AU"/>
        </w:rPr>
        <w:t>S</w:t>
      </w:r>
      <w:r>
        <w:rPr>
          <w:rFonts w:eastAsia="Times New Roman" w:cs="Times New Roman"/>
          <w:sz w:val="21"/>
          <w:szCs w:val="24"/>
          <w:lang w:val="en-AU"/>
        </w:rPr>
        <w:t>trateg</w:t>
      </w:r>
      <w:r w:rsidR="00A20ED7">
        <w:rPr>
          <w:rFonts w:eastAsia="Times New Roman" w:cs="Times New Roman"/>
          <w:sz w:val="21"/>
          <w:szCs w:val="24"/>
          <w:lang w:val="en-AU"/>
        </w:rPr>
        <w:t>ies</w:t>
      </w:r>
      <w:r w:rsidR="00D943C5">
        <w:rPr>
          <w:rFonts w:eastAsia="Times New Roman" w:cs="Times New Roman"/>
          <w:sz w:val="21"/>
          <w:szCs w:val="24"/>
          <w:lang w:val="en-AU"/>
        </w:rPr>
        <w:t xml:space="preserve"> and </w:t>
      </w:r>
      <w:r w:rsidR="00034E6F">
        <w:rPr>
          <w:rFonts w:eastAsia="Times New Roman" w:cs="Times New Roman"/>
          <w:sz w:val="21"/>
          <w:szCs w:val="24"/>
          <w:lang w:val="en-AU"/>
        </w:rPr>
        <w:t xml:space="preserve">Learning Action Agendas, and </w:t>
      </w:r>
      <w:r w:rsidR="00D943C5">
        <w:rPr>
          <w:rFonts w:eastAsia="Times New Roman" w:cs="Times New Roman"/>
          <w:sz w:val="21"/>
          <w:szCs w:val="24"/>
          <w:lang w:val="en-AU"/>
        </w:rPr>
        <w:t>feedback from local communitie</w:t>
      </w:r>
      <w:r w:rsidR="007A28B0">
        <w:rPr>
          <w:rFonts w:eastAsia="Times New Roman" w:cs="Times New Roman"/>
          <w:sz w:val="21"/>
          <w:szCs w:val="24"/>
          <w:lang w:val="en-AU"/>
        </w:rPr>
        <w:t xml:space="preserve">s, and the contribution of Disaster READY to </w:t>
      </w:r>
      <w:r w:rsidR="007E777C">
        <w:rPr>
          <w:rFonts w:eastAsia="Times New Roman" w:cs="Times New Roman"/>
          <w:sz w:val="21"/>
          <w:szCs w:val="24"/>
          <w:lang w:val="en-AU"/>
        </w:rPr>
        <w:lastRenderedPageBreak/>
        <w:t>strengthening real-time response</w:t>
      </w:r>
      <w:r w:rsidR="006D2767">
        <w:rPr>
          <w:rFonts w:eastAsia="Times New Roman" w:cs="Times New Roman"/>
          <w:sz w:val="21"/>
          <w:szCs w:val="24"/>
          <w:lang w:val="en-AU"/>
        </w:rPr>
        <w:t>.</w:t>
      </w:r>
      <w:r w:rsidR="00B8453D">
        <w:rPr>
          <w:rFonts w:eastAsia="Times New Roman" w:cs="Times New Roman"/>
          <w:sz w:val="21"/>
          <w:szCs w:val="24"/>
          <w:lang w:val="en-AU"/>
        </w:rPr>
        <w:t xml:space="preserve"> The local use of a resilience tool in planning and </w:t>
      </w:r>
      <w:r w:rsidR="00F203B0">
        <w:rPr>
          <w:rFonts w:eastAsia="Times New Roman" w:cs="Times New Roman"/>
          <w:sz w:val="21"/>
          <w:szCs w:val="24"/>
          <w:lang w:val="en-AU"/>
        </w:rPr>
        <w:t>reflection</w:t>
      </w:r>
      <w:r w:rsidR="00B8453D">
        <w:rPr>
          <w:rFonts w:eastAsia="Times New Roman" w:cs="Times New Roman"/>
          <w:sz w:val="21"/>
          <w:szCs w:val="24"/>
          <w:lang w:val="en-AU"/>
        </w:rPr>
        <w:t xml:space="preserve"> will support assessment of efforts to build resilience and address climate-related risk.</w:t>
      </w:r>
    </w:p>
    <w:p w14:paraId="0E038DC9" w14:textId="0687D3C6" w:rsidR="009156B1" w:rsidRDefault="009156B1" w:rsidP="0011591E">
      <w:pPr>
        <w:pStyle w:val="ListParagraph"/>
        <w:numPr>
          <w:ilvl w:val="0"/>
          <w:numId w:val="17"/>
        </w:numPr>
        <w:tabs>
          <w:tab w:val="left" w:pos="284"/>
        </w:tabs>
        <w:suppressAutoHyphens w:val="0"/>
        <w:spacing w:before="200" w:after="0" w:line="280" w:lineRule="exact"/>
        <w:contextualSpacing w:val="0"/>
        <w:rPr>
          <w:rFonts w:eastAsia="Times New Roman" w:cs="Times New Roman"/>
          <w:sz w:val="21"/>
          <w:szCs w:val="24"/>
          <w:lang w:val="en-AU"/>
        </w:rPr>
      </w:pPr>
      <w:r>
        <w:rPr>
          <w:rFonts w:eastAsia="Times New Roman" w:cs="Times New Roman"/>
          <w:b/>
          <w:bCs/>
          <w:iCs/>
          <w:sz w:val="21"/>
          <w:szCs w:val="24"/>
          <w:lang w:val="en-AU" w:eastAsia="en-AU"/>
        </w:rPr>
        <w:t>Rapid onset and protracted crisis activations (</w:t>
      </w:r>
      <w:r w:rsidR="00540885">
        <w:rPr>
          <w:rFonts w:eastAsia="Times New Roman" w:cs="Times New Roman"/>
          <w:b/>
          <w:bCs/>
          <w:iCs/>
          <w:sz w:val="21"/>
          <w:szCs w:val="24"/>
          <w:lang w:val="en-AU" w:eastAsia="en-AU"/>
        </w:rPr>
        <w:t xml:space="preserve">EOPO </w:t>
      </w:r>
      <w:r>
        <w:rPr>
          <w:rFonts w:eastAsia="Times New Roman" w:cs="Times New Roman"/>
          <w:b/>
          <w:bCs/>
          <w:iCs/>
          <w:sz w:val="21"/>
          <w:szCs w:val="24"/>
          <w:lang w:val="en-AU" w:eastAsia="en-AU"/>
        </w:rPr>
        <w:t xml:space="preserve">2):  </w:t>
      </w:r>
      <w:r>
        <w:rPr>
          <w:rFonts w:eastAsia="Times New Roman" w:cs="Times New Roman"/>
          <w:sz w:val="21"/>
          <w:szCs w:val="24"/>
          <w:lang w:val="en-AU"/>
        </w:rPr>
        <w:t xml:space="preserve">Evaluations commissioned </w:t>
      </w:r>
      <w:r w:rsidR="00BF0E87">
        <w:rPr>
          <w:rFonts w:eastAsia="Times New Roman" w:cs="Times New Roman"/>
          <w:sz w:val="21"/>
          <w:szCs w:val="24"/>
          <w:lang w:val="en-AU"/>
        </w:rPr>
        <w:t xml:space="preserve">by the AHPSU </w:t>
      </w:r>
      <w:r>
        <w:rPr>
          <w:rFonts w:eastAsia="Times New Roman" w:cs="Times New Roman"/>
          <w:sz w:val="21"/>
          <w:szCs w:val="24"/>
          <w:lang w:val="en-AU"/>
        </w:rPr>
        <w:t xml:space="preserve">for activations &gt;$3 million will be the primary method for assessing performance against this </w:t>
      </w:r>
      <w:r w:rsidR="00B07743">
        <w:rPr>
          <w:rFonts w:eastAsia="Times New Roman" w:cs="Times New Roman"/>
          <w:sz w:val="21"/>
          <w:szCs w:val="24"/>
          <w:lang w:val="en-AU"/>
        </w:rPr>
        <w:t>EOPO</w:t>
      </w:r>
      <w:r>
        <w:rPr>
          <w:rFonts w:eastAsia="Times New Roman" w:cs="Times New Roman"/>
          <w:sz w:val="21"/>
          <w:szCs w:val="24"/>
          <w:lang w:val="en-AU"/>
        </w:rPr>
        <w:t>.</w:t>
      </w:r>
      <w:r w:rsidR="006D2767">
        <w:rPr>
          <w:rFonts w:eastAsia="Times New Roman" w:cs="Times New Roman"/>
          <w:sz w:val="21"/>
          <w:szCs w:val="24"/>
          <w:lang w:val="en-AU"/>
        </w:rPr>
        <w:t xml:space="preserve"> The scope and scale of evaluations will be proportionate to the funding and complexity of the response</w:t>
      </w:r>
      <w:r w:rsidR="007B0DF4">
        <w:rPr>
          <w:rFonts w:eastAsia="Times New Roman" w:cs="Times New Roman"/>
          <w:sz w:val="21"/>
          <w:szCs w:val="24"/>
          <w:lang w:val="en-AU"/>
        </w:rPr>
        <w:t>, and some evaluations may be multi-</w:t>
      </w:r>
      <w:r w:rsidR="00E726D8">
        <w:rPr>
          <w:rFonts w:eastAsia="Times New Roman" w:cs="Times New Roman"/>
          <w:sz w:val="21"/>
          <w:szCs w:val="24"/>
          <w:lang w:val="en-AU"/>
        </w:rPr>
        <w:t>program</w:t>
      </w:r>
      <w:r w:rsidR="007B0DF4">
        <w:rPr>
          <w:rFonts w:eastAsia="Times New Roman" w:cs="Times New Roman"/>
          <w:sz w:val="21"/>
          <w:szCs w:val="24"/>
          <w:lang w:val="en-AU"/>
        </w:rPr>
        <w:t xml:space="preserve"> or thematic in nature rather than activation specific as appropriate</w:t>
      </w:r>
      <w:r w:rsidR="006D2767">
        <w:rPr>
          <w:rFonts w:eastAsia="Times New Roman" w:cs="Times New Roman"/>
          <w:sz w:val="21"/>
          <w:szCs w:val="24"/>
          <w:lang w:val="en-AU"/>
        </w:rPr>
        <w:t>.</w:t>
      </w:r>
      <w:r w:rsidRPr="0023353D">
        <w:rPr>
          <w:rFonts w:eastAsia="Times New Roman" w:cs="Times New Roman"/>
          <w:sz w:val="21"/>
          <w:szCs w:val="24"/>
          <w:lang w:val="en-AU"/>
        </w:rPr>
        <w:t xml:space="preserve"> </w:t>
      </w:r>
      <w:r w:rsidR="00596A05">
        <w:rPr>
          <w:rFonts w:eastAsia="Times New Roman" w:cs="Times New Roman"/>
          <w:sz w:val="21"/>
          <w:szCs w:val="24"/>
          <w:lang w:val="en-AU"/>
        </w:rPr>
        <w:t>Achievement of the IOs will be assessed through</w:t>
      </w:r>
      <w:r w:rsidR="00406F70">
        <w:rPr>
          <w:rFonts w:eastAsia="Times New Roman" w:cs="Times New Roman"/>
          <w:sz w:val="21"/>
          <w:szCs w:val="24"/>
          <w:lang w:val="en-AU"/>
        </w:rPr>
        <w:t xml:space="preserve"> Activity level reporting by the ANGOs</w:t>
      </w:r>
      <w:r>
        <w:rPr>
          <w:rFonts w:eastAsia="Times New Roman" w:cs="Times New Roman"/>
          <w:sz w:val="21"/>
          <w:szCs w:val="24"/>
          <w:lang w:val="en-AU"/>
        </w:rPr>
        <w:t>.</w:t>
      </w:r>
      <w:r w:rsidR="00406F70">
        <w:rPr>
          <w:rFonts w:eastAsia="Times New Roman" w:cs="Times New Roman"/>
          <w:sz w:val="21"/>
          <w:szCs w:val="24"/>
          <w:lang w:val="en-AU"/>
        </w:rPr>
        <w:t xml:space="preserve"> </w:t>
      </w:r>
      <w:r>
        <w:rPr>
          <w:rFonts w:eastAsia="Times New Roman" w:cs="Times New Roman"/>
          <w:sz w:val="21"/>
          <w:szCs w:val="24"/>
          <w:lang w:val="en-AU"/>
        </w:rPr>
        <w:t xml:space="preserve">  </w:t>
      </w:r>
    </w:p>
    <w:p w14:paraId="7650B389" w14:textId="7B4B7A77" w:rsidR="009156B1" w:rsidRDefault="00406E45" w:rsidP="0011591E">
      <w:pPr>
        <w:pStyle w:val="ListParagraph"/>
        <w:numPr>
          <w:ilvl w:val="0"/>
          <w:numId w:val="17"/>
        </w:numPr>
        <w:tabs>
          <w:tab w:val="left" w:pos="284"/>
        </w:tabs>
        <w:suppressAutoHyphens w:val="0"/>
        <w:spacing w:before="200" w:after="0" w:line="280" w:lineRule="exact"/>
        <w:contextualSpacing w:val="0"/>
        <w:rPr>
          <w:rFonts w:eastAsia="Times New Roman" w:cs="Times New Roman"/>
          <w:sz w:val="21"/>
          <w:szCs w:val="24"/>
          <w:lang w:val="en-AU"/>
        </w:rPr>
      </w:pPr>
      <w:r>
        <w:rPr>
          <w:rFonts w:eastAsia="Times New Roman" w:cs="Times New Roman"/>
          <w:b/>
          <w:bCs/>
          <w:iCs/>
          <w:sz w:val="21"/>
          <w:szCs w:val="24"/>
          <w:lang w:val="en-AU" w:eastAsia="en-AU"/>
        </w:rPr>
        <w:t>Partnership learning and practice</w:t>
      </w:r>
      <w:r w:rsidR="00B96472">
        <w:rPr>
          <w:rFonts w:eastAsia="Times New Roman" w:cs="Times New Roman"/>
          <w:b/>
          <w:bCs/>
          <w:iCs/>
          <w:sz w:val="21"/>
          <w:szCs w:val="24"/>
          <w:lang w:val="en-AU" w:eastAsia="en-AU"/>
        </w:rPr>
        <w:t xml:space="preserve"> (</w:t>
      </w:r>
      <w:r w:rsidR="00540885">
        <w:rPr>
          <w:rFonts w:eastAsia="Times New Roman" w:cs="Times New Roman"/>
          <w:b/>
          <w:bCs/>
          <w:iCs/>
          <w:sz w:val="21"/>
          <w:szCs w:val="24"/>
          <w:lang w:val="en-AU" w:eastAsia="en-AU"/>
        </w:rPr>
        <w:t>EOPO</w:t>
      </w:r>
      <w:r w:rsidR="00B96472">
        <w:rPr>
          <w:rFonts w:eastAsia="Times New Roman" w:cs="Times New Roman"/>
          <w:b/>
          <w:bCs/>
          <w:iCs/>
          <w:sz w:val="21"/>
          <w:szCs w:val="24"/>
          <w:lang w:val="en-AU" w:eastAsia="en-AU"/>
        </w:rPr>
        <w:t xml:space="preserve"> 3)</w:t>
      </w:r>
      <w:r w:rsidR="009156B1" w:rsidRPr="009156B1">
        <w:rPr>
          <w:rFonts w:eastAsia="Times New Roman" w:cs="Times New Roman"/>
          <w:b/>
          <w:bCs/>
          <w:iCs/>
          <w:sz w:val="21"/>
          <w:szCs w:val="24"/>
          <w:lang w:val="en-AU" w:eastAsia="en-AU"/>
        </w:rPr>
        <w:t xml:space="preserve">: </w:t>
      </w:r>
      <w:r w:rsidR="009156B1">
        <w:rPr>
          <w:rFonts w:eastAsia="Times New Roman" w:cs="Times New Roman"/>
          <w:b/>
          <w:bCs/>
          <w:iCs/>
          <w:sz w:val="21"/>
          <w:szCs w:val="24"/>
          <w:lang w:val="en-AU" w:eastAsia="en-AU"/>
        </w:rPr>
        <w:t xml:space="preserve"> </w:t>
      </w:r>
      <w:r w:rsidR="00B96472">
        <w:rPr>
          <w:rFonts w:eastAsia="Times New Roman" w:cs="Times New Roman"/>
          <w:iCs/>
          <w:sz w:val="21"/>
          <w:szCs w:val="24"/>
          <w:lang w:val="en-AU" w:eastAsia="en-AU"/>
        </w:rPr>
        <w:t>Regular</w:t>
      </w:r>
      <w:r w:rsidR="009156B1">
        <w:rPr>
          <w:rFonts w:eastAsia="Times New Roman" w:cs="Times New Roman"/>
          <w:b/>
          <w:bCs/>
          <w:iCs/>
          <w:sz w:val="21"/>
          <w:szCs w:val="24"/>
          <w:lang w:val="en-AU" w:eastAsia="en-AU"/>
        </w:rPr>
        <w:t xml:space="preserve"> </w:t>
      </w:r>
      <w:r w:rsidR="009156B1" w:rsidRPr="009156B1">
        <w:rPr>
          <w:rFonts w:eastAsia="Times New Roman" w:cs="Times New Roman"/>
          <w:iCs/>
          <w:sz w:val="21"/>
          <w:szCs w:val="24"/>
          <w:lang w:val="en-AU" w:eastAsia="en-AU"/>
        </w:rPr>
        <w:t>assessment</w:t>
      </w:r>
      <w:r w:rsidR="00B96472">
        <w:rPr>
          <w:rFonts w:eastAsia="Times New Roman" w:cs="Times New Roman"/>
          <w:iCs/>
          <w:sz w:val="21"/>
          <w:szCs w:val="24"/>
          <w:lang w:val="en-AU" w:eastAsia="en-AU"/>
        </w:rPr>
        <w:t>s</w:t>
      </w:r>
      <w:r w:rsidR="009156B1">
        <w:rPr>
          <w:rFonts w:eastAsia="Times New Roman" w:cs="Times New Roman"/>
          <w:sz w:val="21"/>
          <w:szCs w:val="24"/>
          <w:lang w:val="en-AU"/>
        </w:rPr>
        <w:t xml:space="preserve"> </w:t>
      </w:r>
      <w:r w:rsidR="00B96472">
        <w:rPr>
          <w:rFonts w:eastAsia="Times New Roman" w:cs="Times New Roman"/>
          <w:sz w:val="21"/>
          <w:szCs w:val="24"/>
          <w:lang w:val="en-AU"/>
        </w:rPr>
        <w:t xml:space="preserve">(commencing from </w:t>
      </w:r>
      <w:r w:rsidR="00540885">
        <w:rPr>
          <w:rFonts w:eastAsia="Times New Roman" w:cs="Times New Roman"/>
          <w:sz w:val="21"/>
          <w:szCs w:val="24"/>
          <w:lang w:val="en-AU"/>
        </w:rPr>
        <w:t>Y</w:t>
      </w:r>
      <w:r w:rsidR="00B96472">
        <w:rPr>
          <w:rFonts w:eastAsia="Times New Roman" w:cs="Times New Roman"/>
          <w:sz w:val="21"/>
          <w:szCs w:val="24"/>
          <w:lang w:val="en-AU"/>
        </w:rPr>
        <w:t xml:space="preserve">ear 2) </w:t>
      </w:r>
      <w:r w:rsidR="009156B1">
        <w:rPr>
          <w:rFonts w:eastAsia="Times New Roman" w:cs="Times New Roman"/>
          <w:sz w:val="21"/>
          <w:szCs w:val="24"/>
          <w:lang w:val="en-AU"/>
        </w:rPr>
        <w:t xml:space="preserve">will be commissioned to review </w:t>
      </w:r>
      <w:r>
        <w:rPr>
          <w:rFonts w:eastAsia="Times New Roman" w:cs="Times New Roman"/>
          <w:sz w:val="21"/>
          <w:szCs w:val="24"/>
          <w:lang w:val="en-AU"/>
        </w:rPr>
        <w:t>benefits that have accrued for AHP Partners and other humanitarian stakeholders as a result of the experience and lessons from AHP</w:t>
      </w:r>
      <w:r w:rsidR="009156B1">
        <w:rPr>
          <w:rFonts w:eastAsia="Times New Roman" w:cs="Times New Roman"/>
          <w:sz w:val="21"/>
          <w:szCs w:val="24"/>
          <w:lang w:val="en-AU"/>
        </w:rPr>
        <w:t>. A</w:t>
      </w:r>
      <w:r w:rsidR="002C6771">
        <w:rPr>
          <w:rFonts w:eastAsia="Times New Roman" w:cs="Times New Roman"/>
          <w:sz w:val="21"/>
          <w:szCs w:val="24"/>
          <w:lang w:val="en-AU"/>
        </w:rPr>
        <w:t>n independent</w:t>
      </w:r>
      <w:r w:rsidR="009156B1">
        <w:rPr>
          <w:rFonts w:eastAsia="Times New Roman" w:cs="Times New Roman"/>
          <w:sz w:val="21"/>
          <w:szCs w:val="24"/>
          <w:lang w:val="en-AU"/>
        </w:rPr>
        <w:t xml:space="preserve"> participatory data collection and analysis process, using qualitative judgements and political economy analysis, will be </w:t>
      </w:r>
      <w:r>
        <w:rPr>
          <w:rFonts w:eastAsia="Times New Roman" w:cs="Times New Roman"/>
          <w:sz w:val="21"/>
          <w:szCs w:val="24"/>
          <w:lang w:val="en-AU"/>
        </w:rPr>
        <w:t>commissioned by the AHPSU</w:t>
      </w:r>
      <w:r w:rsidR="002C6771">
        <w:rPr>
          <w:rFonts w:eastAsia="Times New Roman" w:cs="Times New Roman"/>
          <w:sz w:val="21"/>
          <w:szCs w:val="24"/>
          <w:lang w:val="en-AU"/>
        </w:rPr>
        <w:t xml:space="preserve"> to</w:t>
      </w:r>
      <w:r w:rsidR="009156B1">
        <w:rPr>
          <w:rFonts w:eastAsia="Times New Roman" w:cs="Times New Roman"/>
          <w:sz w:val="21"/>
          <w:szCs w:val="24"/>
          <w:lang w:val="en-AU"/>
        </w:rPr>
        <w:t xml:space="preserve"> assess the role and </w:t>
      </w:r>
      <w:r>
        <w:rPr>
          <w:rFonts w:eastAsia="Times New Roman" w:cs="Times New Roman"/>
          <w:sz w:val="21"/>
          <w:szCs w:val="24"/>
          <w:lang w:val="en-AU"/>
        </w:rPr>
        <w:t xml:space="preserve">impact </w:t>
      </w:r>
      <w:r w:rsidR="009156B1">
        <w:rPr>
          <w:rFonts w:eastAsia="Times New Roman" w:cs="Times New Roman"/>
          <w:sz w:val="21"/>
          <w:szCs w:val="24"/>
          <w:lang w:val="en-AU"/>
        </w:rPr>
        <w:t xml:space="preserve">of AHP </w:t>
      </w:r>
      <w:r>
        <w:rPr>
          <w:rFonts w:eastAsia="Times New Roman" w:cs="Times New Roman"/>
          <w:sz w:val="21"/>
          <w:szCs w:val="24"/>
          <w:lang w:val="en-AU"/>
        </w:rPr>
        <w:t>experience and lessons</w:t>
      </w:r>
      <w:r w:rsidR="009156B1">
        <w:rPr>
          <w:rFonts w:eastAsia="Times New Roman" w:cs="Times New Roman"/>
          <w:sz w:val="21"/>
          <w:szCs w:val="24"/>
          <w:lang w:val="en-AU"/>
        </w:rPr>
        <w:t xml:space="preserve"> </w:t>
      </w:r>
      <w:r>
        <w:rPr>
          <w:rFonts w:eastAsia="Times New Roman" w:cs="Times New Roman"/>
          <w:sz w:val="21"/>
          <w:szCs w:val="24"/>
          <w:lang w:val="en-AU"/>
        </w:rPr>
        <w:t>on</w:t>
      </w:r>
      <w:r w:rsidR="009156B1">
        <w:rPr>
          <w:rFonts w:eastAsia="Times New Roman" w:cs="Times New Roman"/>
          <w:sz w:val="21"/>
          <w:szCs w:val="24"/>
          <w:lang w:val="en-AU"/>
        </w:rPr>
        <w:t xml:space="preserve"> country, regional and international </w:t>
      </w:r>
      <w:r>
        <w:rPr>
          <w:rFonts w:eastAsia="Times New Roman" w:cs="Times New Roman"/>
          <w:sz w:val="21"/>
          <w:szCs w:val="24"/>
          <w:lang w:val="en-AU"/>
        </w:rPr>
        <w:t>stakeholders</w:t>
      </w:r>
      <w:r w:rsidR="00901145">
        <w:rPr>
          <w:rFonts w:eastAsia="Times New Roman" w:cs="Times New Roman"/>
          <w:sz w:val="21"/>
          <w:szCs w:val="24"/>
          <w:lang w:val="en-AU"/>
        </w:rPr>
        <w:t>, leveraging other DFAT research partnerships such as with the Humanitarian Advisory Group where possible</w:t>
      </w:r>
      <w:r w:rsidR="009156B1">
        <w:rPr>
          <w:rFonts w:eastAsia="Times New Roman" w:cs="Times New Roman"/>
          <w:sz w:val="21"/>
          <w:szCs w:val="24"/>
          <w:lang w:val="en-AU"/>
        </w:rPr>
        <w:t>.</w:t>
      </w:r>
      <w:r w:rsidR="00901145">
        <w:rPr>
          <w:rFonts w:eastAsia="Times New Roman" w:cs="Times New Roman"/>
          <w:sz w:val="21"/>
          <w:szCs w:val="24"/>
          <w:lang w:val="en-AU"/>
        </w:rPr>
        <w:t xml:space="preserve"> </w:t>
      </w:r>
    </w:p>
    <w:p w14:paraId="736FF19A" w14:textId="5C600632" w:rsidR="009156B1" w:rsidRPr="00CC4B08" w:rsidRDefault="00406E45" w:rsidP="0011591E">
      <w:pPr>
        <w:pStyle w:val="ListParagraph"/>
        <w:numPr>
          <w:ilvl w:val="0"/>
          <w:numId w:val="17"/>
        </w:numPr>
        <w:tabs>
          <w:tab w:val="left" w:pos="284"/>
        </w:tabs>
        <w:suppressAutoHyphens w:val="0"/>
        <w:spacing w:before="200" w:after="0" w:line="280" w:lineRule="exact"/>
        <w:ind w:left="641" w:hanging="357"/>
        <w:contextualSpacing w:val="0"/>
        <w:rPr>
          <w:rFonts w:eastAsia="Times New Roman" w:cs="Times New Roman"/>
          <w:sz w:val="21"/>
          <w:szCs w:val="24"/>
          <w:lang w:val="en-AU"/>
        </w:rPr>
      </w:pPr>
      <w:r>
        <w:rPr>
          <w:rFonts w:eastAsia="Times New Roman" w:cs="Times New Roman"/>
          <w:b/>
          <w:bCs/>
          <w:iCs/>
          <w:sz w:val="21"/>
          <w:szCs w:val="24"/>
          <w:lang w:val="en-AU" w:eastAsia="en-AU"/>
        </w:rPr>
        <w:t>Impact and Effectiveness</w:t>
      </w:r>
      <w:r>
        <w:rPr>
          <w:rFonts w:eastAsia="Times New Roman" w:cs="Times New Roman"/>
          <w:iCs/>
          <w:sz w:val="21"/>
          <w:szCs w:val="24"/>
          <w:lang w:val="en-AU" w:eastAsia="en-AU"/>
        </w:rPr>
        <w:t xml:space="preserve">: </w:t>
      </w:r>
      <w:r w:rsidR="0019055E">
        <w:rPr>
          <w:rFonts w:eastAsia="Times New Roman" w:cs="Times New Roman"/>
          <w:iCs/>
          <w:sz w:val="21"/>
          <w:szCs w:val="24"/>
          <w:lang w:val="en-AU" w:eastAsia="en-AU"/>
        </w:rPr>
        <w:t>An</w:t>
      </w:r>
      <w:r w:rsidR="009156B1">
        <w:rPr>
          <w:rFonts w:eastAsia="Times New Roman" w:cs="Times New Roman"/>
          <w:iCs/>
          <w:sz w:val="21"/>
          <w:szCs w:val="24"/>
          <w:lang w:val="en-AU" w:eastAsia="en-AU"/>
        </w:rPr>
        <w:t xml:space="preserve"> Independent Strategic Review </w:t>
      </w:r>
      <w:r w:rsidR="00B33756">
        <w:rPr>
          <w:rFonts w:eastAsia="Times New Roman" w:cs="Times New Roman"/>
          <w:iCs/>
          <w:sz w:val="21"/>
          <w:szCs w:val="24"/>
          <w:lang w:val="en-AU" w:eastAsia="en-AU"/>
        </w:rPr>
        <w:t xml:space="preserve">(ISR) </w:t>
      </w:r>
      <w:r>
        <w:rPr>
          <w:rFonts w:eastAsia="Times New Roman" w:cs="Times New Roman"/>
          <w:iCs/>
          <w:sz w:val="21"/>
          <w:szCs w:val="24"/>
          <w:lang w:val="en-AU" w:eastAsia="en-AU"/>
        </w:rPr>
        <w:t xml:space="preserve">will be commissioned </w:t>
      </w:r>
      <w:r w:rsidR="009156B1">
        <w:rPr>
          <w:rFonts w:eastAsia="Times New Roman" w:cs="Times New Roman"/>
          <w:iCs/>
          <w:sz w:val="21"/>
          <w:szCs w:val="24"/>
          <w:lang w:val="en-AU" w:eastAsia="en-AU"/>
        </w:rPr>
        <w:t xml:space="preserve">at the end of </w:t>
      </w:r>
      <w:r w:rsidR="00540885">
        <w:rPr>
          <w:rFonts w:eastAsia="Times New Roman" w:cs="Times New Roman"/>
          <w:iCs/>
          <w:sz w:val="21"/>
          <w:szCs w:val="24"/>
          <w:lang w:val="en-AU" w:eastAsia="en-AU"/>
        </w:rPr>
        <w:t>Y</w:t>
      </w:r>
      <w:r w:rsidR="009156B1">
        <w:rPr>
          <w:rFonts w:eastAsia="Times New Roman" w:cs="Times New Roman"/>
          <w:iCs/>
          <w:sz w:val="21"/>
          <w:szCs w:val="24"/>
          <w:lang w:val="en-AU" w:eastAsia="en-AU"/>
        </w:rPr>
        <w:t>ear 3</w:t>
      </w:r>
      <w:r>
        <w:rPr>
          <w:rFonts w:eastAsia="Times New Roman" w:cs="Times New Roman"/>
          <w:iCs/>
          <w:sz w:val="21"/>
          <w:szCs w:val="24"/>
          <w:lang w:val="en-AU" w:eastAsia="en-AU"/>
        </w:rPr>
        <w:t xml:space="preserve"> </w:t>
      </w:r>
      <w:r w:rsidR="0019055E">
        <w:rPr>
          <w:rFonts w:eastAsia="Times New Roman" w:cs="Times New Roman"/>
          <w:iCs/>
          <w:sz w:val="21"/>
          <w:szCs w:val="24"/>
          <w:lang w:val="en-AU" w:eastAsia="en-AU"/>
        </w:rPr>
        <w:t>to</w:t>
      </w:r>
      <w:r>
        <w:rPr>
          <w:rFonts w:eastAsia="Times New Roman" w:cs="Times New Roman"/>
          <w:iCs/>
          <w:sz w:val="21"/>
          <w:szCs w:val="24"/>
          <w:lang w:val="en-AU" w:eastAsia="en-AU"/>
        </w:rPr>
        <w:t xml:space="preserve"> make recommendations to DFAT for future policy and strategic directions of the Partnership</w:t>
      </w:r>
      <w:r w:rsidR="009156B1">
        <w:rPr>
          <w:rFonts w:eastAsia="Times New Roman" w:cs="Times New Roman"/>
          <w:iCs/>
          <w:sz w:val="21"/>
          <w:szCs w:val="24"/>
          <w:lang w:val="en-AU" w:eastAsia="en-AU"/>
        </w:rPr>
        <w:t xml:space="preserve">. A TOR for the </w:t>
      </w:r>
      <w:r w:rsidR="00854289">
        <w:rPr>
          <w:rFonts w:eastAsia="Times New Roman" w:cs="Times New Roman"/>
          <w:iCs/>
          <w:sz w:val="21"/>
          <w:szCs w:val="24"/>
          <w:lang w:val="en-AU" w:eastAsia="en-AU"/>
        </w:rPr>
        <w:t xml:space="preserve">ISR will be prepared by the AHPSU and endorsed by the Steering Committee.  The ISR will draw on the project, </w:t>
      </w:r>
      <w:r w:rsidR="0019055E">
        <w:rPr>
          <w:rFonts w:eastAsia="Times New Roman" w:cs="Times New Roman"/>
          <w:iCs/>
          <w:sz w:val="21"/>
          <w:szCs w:val="24"/>
          <w:lang w:val="en-AU" w:eastAsia="en-AU"/>
        </w:rPr>
        <w:t>program,</w:t>
      </w:r>
      <w:r w:rsidR="00854289">
        <w:rPr>
          <w:rFonts w:eastAsia="Times New Roman" w:cs="Times New Roman"/>
          <w:iCs/>
          <w:sz w:val="21"/>
          <w:szCs w:val="24"/>
          <w:lang w:val="en-AU" w:eastAsia="en-AU"/>
        </w:rPr>
        <w:t xml:space="preserve"> and partnership level information available, and consult with internal and external stakeholders.</w:t>
      </w:r>
    </w:p>
    <w:p w14:paraId="0B2BB9DB" w14:textId="3A750B52" w:rsidR="00854289" w:rsidRPr="00CC4B08" w:rsidRDefault="00CC4B08" w:rsidP="003E2C60">
      <w:pPr>
        <w:tabs>
          <w:tab w:val="left" w:pos="0"/>
        </w:tabs>
        <w:suppressAutoHyphens w:val="0"/>
        <w:spacing w:before="200" w:after="0" w:line="280" w:lineRule="exact"/>
        <w:rPr>
          <w:rFonts w:eastAsia="Times New Roman" w:cs="Times New Roman"/>
          <w:b/>
          <w:bCs/>
          <w:sz w:val="21"/>
          <w:szCs w:val="24"/>
          <w:lang w:val="en-AU"/>
        </w:rPr>
      </w:pPr>
      <w:r w:rsidRPr="00CC4B08">
        <w:rPr>
          <w:rFonts w:eastAsia="Times New Roman" w:cs="Times New Roman"/>
          <w:b/>
          <w:bCs/>
          <w:sz w:val="21"/>
          <w:szCs w:val="24"/>
          <w:lang w:val="en-AU"/>
        </w:rPr>
        <w:t xml:space="preserve">B. </w:t>
      </w:r>
      <w:r w:rsidR="00854289" w:rsidRPr="00CC4B08">
        <w:rPr>
          <w:rFonts w:eastAsia="Times New Roman" w:cs="Times New Roman"/>
          <w:b/>
          <w:bCs/>
          <w:sz w:val="21"/>
          <w:szCs w:val="24"/>
          <w:lang w:val="en-AU"/>
        </w:rPr>
        <w:t xml:space="preserve">Promote </w:t>
      </w:r>
      <w:r w:rsidR="00854289" w:rsidRPr="003E2C60">
        <w:rPr>
          <w:rFonts w:eastAsia="Times New Roman" w:cs="Times New Roman"/>
          <w:b/>
          <w:bCs/>
          <w:iCs/>
          <w:sz w:val="21"/>
          <w:szCs w:val="24"/>
          <w:lang w:val="en-AU" w:eastAsia="en-AU"/>
        </w:rPr>
        <w:t>local</w:t>
      </w:r>
      <w:r w:rsidR="00854289" w:rsidRPr="00CC4B08">
        <w:rPr>
          <w:rFonts w:eastAsia="Times New Roman" w:cs="Times New Roman"/>
          <w:b/>
          <w:bCs/>
          <w:sz w:val="21"/>
          <w:szCs w:val="24"/>
          <w:lang w:val="en-AU"/>
        </w:rPr>
        <w:t xml:space="preserve"> performance improvement</w:t>
      </w:r>
    </w:p>
    <w:p w14:paraId="6214A42C" w14:textId="084F9E28" w:rsidR="009156B1" w:rsidRDefault="00854289" w:rsidP="003E2C60">
      <w:pPr>
        <w:tabs>
          <w:tab w:val="left" w:pos="0"/>
        </w:tabs>
        <w:suppressAutoHyphens w:val="0"/>
        <w:spacing w:before="200" w:after="0" w:line="280" w:lineRule="exact"/>
        <w:rPr>
          <w:rFonts w:eastAsia="Times New Roman" w:cs="Times New Roman"/>
          <w:sz w:val="21"/>
          <w:szCs w:val="24"/>
          <w:lang w:val="en-AU"/>
        </w:rPr>
      </w:pPr>
      <w:r>
        <w:rPr>
          <w:rFonts w:eastAsia="Times New Roman" w:cs="Times New Roman"/>
          <w:sz w:val="21"/>
          <w:szCs w:val="24"/>
          <w:lang w:val="en-AU"/>
        </w:rPr>
        <w:t xml:space="preserve">AHP Partners have recognised that promoting and ensuring local feedback and participation in </w:t>
      </w:r>
      <w:r w:rsidR="00070348">
        <w:rPr>
          <w:rFonts w:eastAsia="Times New Roman" w:cs="Times New Roman"/>
          <w:sz w:val="21"/>
          <w:szCs w:val="24"/>
          <w:lang w:val="en-AU"/>
        </w:rPr>
        <w:t>MEL</w:t>
      </w:r>
      <w:r>
        <w:rPr>
          <w:rFonts w:eastAsia="Times New Roman" w:cs="Times New Roman"/>
          <w:sz w:val="21"/>
          <w:szCs w:val="24"/>
          <w:lang w:val="en-AU"/>
        </w:rPr>
        <w:t xml:space="preserve"> during disasters and crises is both critical, and difficult to do well, particularly with regard to </w:t>
      </w:r>
      <w:r w:rsidR="0038766C">
        <w:rPr>
          <w:rFonts w:eastAsia="Times New Roman" w:cs="Times New Roman"/>
          <w:sz w:val="21"/>
          <w:szCs w:val="24"/>
          <w:lang w:val="en-AU"/>
        </w:rPr>
        <w:t xml:space="preserve">inclusion of </w:t>
      </w:r>
      <w:r>
        <w:rPr>
          <w:rFonts w:eastAsia="Times New Roman" w:cs="Times New Roman"/>
          <w:sz w:val="21"/>
          <w:szCs w:val="24"/>
          <w:lang w:val="en-AU"/>
        </w:rPr>
        <w:t xml:space="preserve">women, people </w:t>
      </w:r>
      <w:r w:rsidR="00E03EA0">
        <w:rPr>
          <w:rFonts w:eastAsia="Times New Roman" w:cs="Times New Roman"/>
          <w:sz w:val="21"/>
          <w:szCs w:val="24"/>
          <w:lang w:val="en-AU"/>
        </w:rPr>
        <w:t xml:space="preserve">living </w:t>
      </w:r>
      <w:r w:rsidRPr="003E2C60">
        <w:rPr>
          <w:rFonts w:eastAsia="Times New Roman" w:cs="Times New Roman"/>
          <w:iCs/>
          <w:sz w:val="21"/>
          <w:szCs w:val="24"/>
          <w:lang w:val="en-AU" w:eastAsia="en-AU"/>
        </w:rPr>
        <w:t>with</w:t>
      </w:r>
      <w:r>
        <w:rPr>
          <w:rFonts w:eastAsia="Times New Roman" w:cs="Times New Roman"/>
          <w:sz w:val="21"/>
          <w:szCs w:val="24"/>
          <w:lang w:val="en-AU"/>
        </w:rPr>
        <w:t xml:space="preserve"> disabilities and other marginalised groups. To promote these practices the MELF will include:</w:t>
      </w:r>
    </w:p>
    <w:p w14:paraId="7EEEBDAB" w14:textId="24F1816B" w:rsidR="00854289" w:rsidRDefault="00DA6323" w:rsidP="0011591E">
      <w:pPr>
        <w:pStyle w:val="ListParagraph"/>
        <w:numPr>
          <w:ilvl w:val="0"/>
          <w:numId w:val="18"/>
        </w:numPr>
        <w:tabs>
          <w:tab w:val="left" w:pos="284"/>
        </w:tabs>
        <w:suppressAutoHyphens w:val="0"/>
        <w:spacing w:before="200" w:after="0" w:line="280" w:lineRule="exact"/>
        <w:contextualSpacing w:val="0"/>
        <w:rPr>
          <w:rFonts w:eastAsia="Times New Roman" w:cs="Times New Roman"/>
          <w:sz w:val="21"/>
          <w:szCs w:val="24"/>
          <w:lang w:val="en-AU"/>
        </w:rPr>
      </w:pPr>
      <w:r>
        <w:rPr>
          <w:rFonts w:eastAsia="Times New Roman" w:cs="Times New Roman"/>
          <w:sz w:val="21"/>
          <w:szCs w:val="24"/>
          <w:lang w:val="en-AU"/>
        </w:rPr>
        <w:t>A</w:t>
      </w:r>
      <w:r w:rsidR="00854289">
        <w:rPr>
          <w:rFonts w:eastAsia="Times New Roman" w:cs="Times New Roman"/>
          <w:sz w:val="21"/>
          <w:szCs w:val="24"/>
          <w:lang w:val="en-AU"/>
        </w:rPr>
        <w:t xml:space="preserve"> community of practice of </w:t>
      </w:r>
      <w:r w:rsidR="00070348">
        <w:rPr>
          <w:rFonts w:eastAsia="Times New Roman" w:cs="Times New Roman"/>
          <w:sz w:val="21"/>
          <w:szCs w:val="24"/>
          <w:lang w:val="en-AU"/>
        </w:rPr>
        <w:t>MEL</w:t>
      </w:r>
      <w:r w:rsidR="00854289">
        <w:rPr>
          <w:rFonts w:eastAsia="Times New Roman" w:cs="Times New Roman"/>
          <w:sz w:val="21"/>
          <w:szCs w:val="24"/>
          <w:lang w:val="en-AU"/>
        </w:rPr>
        <w:t xml:space="preserve"> practitioners working in humanitarian programs (across ANGOs and local Partners)</w:t>
      </w:r>
      <w:r w:rsidR="0053287D">
        <w:rPr>
          <w:rFonts w:eastAsia="Times New Roman" w:cs="Times New Roman"/>
          <w:sz w:val="21"/>
          <w:szCs w:val="24"/>
          <w:lang w:val="en-AU"/>
        </w:rPr>
        <w:t>;</w:t>
      </w:r>
    </w:p>
    <w:p w14:paraId="45B73AAF" w14:textId="47FF9DF7" w:rsidR="00854289" w:rsidRDefault="00EA2773" w:rsidP="0011591E">
      <w:pPr>
        <w:pStyle w:val="ListParagraph"/>
        <w:numPr>
          <w:ilvl w:val="0"/>
          <w:numId w:val="18"/>
        </w:numPr>
        <w:tabs>
          <w:tab w:val="left" w:pos="284"/>
        </w:tabs>
        <w:suppressAutoHyphens w:val="0"/>
        <w:spacing w:before="200" w:after="0" w:line="280" w:lineRule="exact"/>
        <w:contextualSpacing w:val="0"/>
        <w:rPr>
          <w:rFonts w:eastAsia="Times New Roman" w:cs="Times New Roman"/>
          <w:sz w:val="21"/>
          <w:szCs w:val="24"/>
          <w:lang w:val="en-AU"/>
        </w:rPr>
      </w:pPr>
      <w:r>
        <w:rPr>
          <w:rFonts w:eastAsia="Times New Roman" w:cs="Times New Roman"/>
          <w:sz w:val="21"/>
          <w:szCs w:val="24"/>
          <w:lang w:val="en-AU"/>
        </w:rPr>
        <w:t>O</w:t>
      </w:r>
      <w:r w:rsidR="00854289">
        <w:rPr>
          <w:rFonts w:eastAsia="Times New Roman" w:cs="Times New Roman"/>
          <w:sz w:val="21"/>
          <w:szCs w:val="24"/>
          <w:lang w:val="en-AU"/>
        </w:rPr>
        <w:t xml:space="preserve">pportunities to share methods and tools for community engagement in </w:t>
      </w:r>
      <w:r w:rsidR="00070348">
        <w:rPr>
          <w:rFonts w:eastAsia="Times New Roman" w:cs="Times New Roman"/>
          <w:sz w:val="21"/>
          <w:szCs w:val="24"/>
          <w:lang w:val="en-AU"/>
        </w:rPr>
        <w:t>MEL</w:t>
      </w:r>
      <w:r w:rsidR="00854289">
        <w:rPr>
          <w:rFonts w:eastAsia="Times New Roman" w:cs="Times New Roman"/>
          <w:sz w:val="21"/>
          <w:szCs w:val="24"/>
          <w:lang w:val="en-AU"/>
        </w:rPr>
        <w:t xml:space="preserve"> at local level</w:t>
      </w:r>
      <w:r w:rsidR="0053287D">
        <w:rPr>
          <w:rFonts w:eastAsia="Times New Roman" w:cs="Times New Roman"/>
          <w:sz w:val="21"/>
          <w:szCs w:val="24"/>
          <w:lang w:val="en-AU"/>
        </w:rPr>
        <w:t>;</w:t>
      </w:r>
    </w:p>
    <w:p w14:paraId="51A0CD76" w14:textId="680A01F1" w:rsidR="00854289" w:rsidRDefault="0077165F" w:rsidP="0011591E">
      <w:pPr>
        <w:pStyle w:val="ListParagraph"/>
        <w:numPr>
          <w:ilvl w:val="0"/>
          <w:numId w:val="18"/>
        </w:numPr>
        <w:tabs>
          <w:tab w:val="left" w:pos="284"/>
        </w:tabs>
        <w:suppressAutoHyphens w:val="0"/>
        <w:spacing w:before="200" w:after="0" w:line="280" w:lineRule="exact"/>
        <w:contextualSpacing w:val="0"/>
        <w:rPr>
          <w:rFonts w:eastAsia="Times New Roman" w:cs="Times New Roman"/>
          <w:sz w:val="21"/>
          <w:szCs w:val="24"/>
          <w:lang w:val="en-AU"/>
        </w:rPr>
      </w:pPr>
      <w:r>
        <w:rPr>
          <w:rFonts w:eastAsia="Times New Roman" w:cs="Times New Roman"/>
          <w:sz w:val="21"/>
          <w:szCs w:val="24"/>
          <w:lang w:val="en-AU"/>
        </w:rPr>
        <w:t>Supporting</w:t>
      </w:r>
      <w:r w:rsidR="00EA2773">
        <w:rPr>
          <w:rFonts w:eastAsia="Times New Roman" w:cs="Times New Roman"/>
          <w:sz w:val="21"/>
          <w:szCs w:val="24"/>
          <w:lang w:val="en-AU"/>
        </w:rPr>
        <w:t xml:space="preserve"> </w:t>
      </w:r>
      <w:r w:rsidR="00070348">
        <w:rPr>
          <w:rFonts w:eastAsia="Times New Roman" w:cs="Times New Roman"/>
          <w:sz w:val="21"/>
          <w:szCs w:val="24"/>
          <w:lang w:val="en-AU"/>
        </w:rPr>
        <w:t>MEL</w:t>
      </w:r>
      <w:r w:rsidR="00854289">
        <w:rPr>
          <w:rFonts w:eastAsia="Times New Roman" w:cs="Times New Roman"/>
          <w:sz w:val="21"/>
          <w:szCs w:val="24"/>
          <w:lang w:val="en-AU"/>
        </w:rPr>
        <w:t xml:space="preserve"> practitioners </w:t>
      </w:r>
      <w:r>
        <w:rPr>
          <w:rFonts w:eastAsia="Times New Roman" w:cs="Times New Roman"/>
          <w:sz w:val="21"/>
          <w:szCs w:val="24"/>
          <w:lang w:val="en-AU"/>
        </w:rPr>
        <w:t xml:space="preserve">to </w:t>
      </w:r>
      <w:r w:rsidR="00854289">
        <w:rPr>
          <w:rFonts w:eastAsia="Times New Roman" w:cs="Times New Roman"/>
          <w:sz w:val="21"/>
          <w:szCs w:val="24"/>
          <w:lang w:val="en-AU"/>
        </w:rPr>
        <w:t>share</w:t>
      </w:r>
      <w:r>
        <w:rPr>
          <w:rFonts w:eastAsia="Times New Roman" w:cs="Times New Roman"/>
          <w:sz w:val="21"/>
          <w:szCs w:val="24"/>
          <w:lang w:val="en-AU"/>
        </w:rPr>
        <w:t xml:space="preserve"> </w:t>
      </w:r>
      <w:r w:rsidR="00854289">
        <w:rPr>
          <w:rFonts w:eastAsia="Times New Roman" w:cs="Times New Roman"/>
          <w:sz w:val="21"/>
          <w:szCs w:val="24"/>
          <w:lang w:val="en-AU"/>
        </w:rPr>
        <w:t>and join</w:t>
      </w:r>
      <w:r>
        <w:rPr>
          <w:rFonts w:eastAsia="Times New Roman" w:cs="Times New Roman"/>
          <w:sz w:val="21"/>
          <w:szCs w:val="24"/>
          <w:lang w:val="en-AU"/>
        </w:rPr>
        <w:t xml:space="preserve"> in</w:t>
      </w:r>
      <w:r w:rsidR="00854289">
        <w:rPr>
          <w:rFonts w:eastAsia="Times New Roman" w:cs="Times New Roman"/>
          <w:sz w:val="21"/>
          <w:szCs w:val="24"/>
          <w:lang w:val="en-AU"/>
        </w:rPr>
        <w:t xml:space="preserve"> </w:t>
      </w:r>
      <w:r w:rsidR="00070348">
        <w:rPr>
          <w:rFonts w:eastAsia="Times New Roman" w:cs="Times New Roman"/>
          <w:sz w:val="21"/>
          <w:szCs w:val="24"/>
          <w:lang w:val="en-AU"/>
        </w:rPr>
        <w:t>MEL</w:t>
      </w:r>
      <w:r w:rsidR="00854289">
        <w:rPr>
          <w:rFonts w:eastAsia="Times New Roman" w:cs="Times New Roman"/>
          <w:sz w:val="21"/>
          <w:szCs w:val="24"/>
          <w:lang w:val="en-AU"/>
        </w:rPr>
        <w:t xml:space="preserve"> processes at activity level (that is, build a system </w:t>
      </w:r>
      <w:r w:rsidR="00F65952">
        <w:rPr>
          <w:rFonts w:eastAsia="Times New Roman" w:cs="Times New Roman"/>
          <w:sz w:val="21"/>
          <w:szCs w:val="24"/>
          <w:lang w:val="en-AU"/>
        </w:rPr>
        <w:t xml:space="preserve">and schedule </w:t>
      </w:r>
      <w:r w:rsidR="00854289">
        <w:rPr>
          <w:rFonts w:eastAsia="Times New Roman" w:cs="Times New Roman"/>
          <w:sz w:val="21"/>
          <w:szCs w:val="24"/>
          <w:lang w:val="en-AU"/>
        </w:rPr>
        <w:t>of peer involvement across ANGO programs)</w:t>
      </w:r>
      <w:r w:rsidR="0053287D">
        <w:rPr>
          <w:rFonts w:eastAsia="Times New Roman" w:cs="Times New Roman"/>
          <w:sz w:val="21"/>
          <w:szCs w:val="24"/>
          <w:lang w:val="en-AU"/>
        </w:rPr>
        <w:t>;</w:t>
      </w:r>
    </w:p>
    <w:p w14:paraId="018D840D" w14:textId="17575641" w:rsidR="00F65952" w:rsidRDefault="001973A2" w:rsidP="0011591E">
      <w:pPr>
        <w:pStyle w:val="ListParagraph"/>
        <w:numPr>
          <w:ilvl w:val="0"/>
          <w:numId w:val="18"/>
        </w:numPr>
        <w:tabs>
          <w:tab w:val="left" w:pos="284"/>
        </w:tabs>
        <w:suppressAutoHyphens w:val="0"/>
        <w:spacing w:before="200" w:after="0" w:line="280" w:lineRule="exact"/>
        <w:contextualSpacing w:val="0"/>
        <w:rPr>
          <w:rFonts w:eastAsia="Times New Roman" w:cs="Times New Roman"/>
          <w:sz w:val="21"/>
          <w:szCs w:val="24"/>
          <w:lang w:val="en-AU"/>
        </w:rPr>
      </w:pPr>
      <w:r>
        <w:rPr>
          <w:rFonts w:eastAsia="Times New Roman" w:cs="Times New Roman"/>
          <w:sz w:val="21"/>
          <w:szCs w:val="24"/>
          <w:lang w:val="en-AU"/>
        </w:rPr>
        <w:t xml:space="preserve">Utilisation of the </w:t>
      </w:r>
      <w:r w:rsidR="00540885">
        <w:rPr>
          <w:rFonts w:eastAsia="Times New Roman" w:cs="Times New Roman"/>
          <w:sz w:val="21"/>
          <w:szCs w:val="24"/>
          <w:lang w:val="en-AU"/>
        </w:rPr>
        <w:t xml:space="preserve">Disaster READY Learning </w:t>
      </w:r>
      <w:r w:rsidR="0053287D">
        <w:rPr>
          <w:rFonts w:eastAsia="Times New Roman" w:cs="Times New Roman"/>
          <w:sz w:val="21"/>
          <w:szCs w:val="24"/>
          <w:lang w:val="en-AU"/>
        </w:rPr>
        <w:t xml:space="preserve">Action </w:t>
      </w:r>
      <w:r w:rsidR="00540885">
        <w:rPr>
          <w:rFonts w:eastAsia="Times New Roman" w:cs="Times New Roman"/>
          <w:sz w:val="21"/>
          <w:szCs w:val="24"/>
          <w:lang w:val="en-AU"/>
        </w:rPr>
        <w:t>Agendas</w:t>
      </w:r>
      <w:r w:rsidR="000477E1">
        <w:rPr>
          <w:rFonts w:eastAsia="Times New Roman" w:cs="Times New Roman"/>
          <w:sz w:val="21"/>
          <w:szCs w:val="24"/>
          <w:lang w:val="en-AU"/>
        </w:rPr>
        <w:t xml:space="preserve"> and AHPSU Activity Fund</w:t>
      </w:r>
      <w:r w:rsidR="00F65952">
        <w:rPr>
          <w:rFonts w:eastAsia="Times New Roman" w:cs="Times New Roman"/>
          <w:sz w:val="21"/>
          <w:szCs w:val="24"/>
          <w:lang w:val="en-AU"/>
        </w:rPr>
        <w:t xml:space="preserve"> to undertake research or collective action on community-led </w:t>
      </w:r>
      <w:r w:rsidR="00070348">
        <w:rPr>
          <w:rFonts w:eastAsia="Times New Roman" w:cs="Times New Roman"/>
          <w:sz w:val="21"/>
          <w:szCs w:val="24"/>
          <w:lang w:val="en-AU"/>
        </w:rPr>
        <w:t>MEL</w:t>
      </w:r>
      <w:r w:rsidR="00F65952">
        <w:rPr>
          <w:rFonts w:eastAsia="Times New Roman" w:cs="Times New Roman"/>
          <w:sz w:val="21"/>
          <w:szCs w:val="24"/>
          <w:lang w:val="en-AU"/>
        </w:rPr>
        <w:t xml:space="preserve"> practices</w:t>
      </w:r>
      <w:r w:rsidR="0053287D">
        <w:rPr>
          <w:rFonts w:eastAsia="Times New Roman" w:cs="Times New Roman"/>
          <w:sz w:val="21"/>
          <w:szCs w:val="24"/>
          <w:lang w:val="en-AU"/>
        </w:rPr>
        <w:t>; and</w:t>
      </w:r>
    </w:p>
    <w:p w14:paraId="29A7AAD4" w14:textId="1F65F97E" w:rsidR="00C64632" w:rsidRDefault="001973A2" w:rsidP="0011591E">
      <w:pPr>
        <w:pStyle w:val="ListParagraph"/>
        <w:numPr>
          <w:ilvl w:val="0"/>
          <w:numId w:val="18"/>
        </w:numPr>
        <w:tabs>
          <w:tab w:val="left" w:pos="284"/>
        </w:tabs>
        <w:suppressAutoHyphens w:val="0"/>
        <w:spacing w:before="200" w:after="0" w:line="280" w:lineRule="exact"/>
        <w:ind w:left="641" w:hanging="357"/>
        <w:contextualSpacing w:val="0"/>
        <w:rPr>
          <w:rFonts w:eastAsia="Times New Roman" w:cs="Times New Roman"/>
          <w:sz w:val="21"/>
          <w:szCs w:val="24"/>
          <w:lang w:val="en-AU"/>
        </w:rPr>
      </w:pPr>
      <w:r>
        <w:rPr>
          <w:rFonts w:eastAsia="Times New Roman" w:cs="Times New Roman"/>
          <w:sz w:val="21"/>
          <w:szCs w:val="24"/>
          <w:lang w:val="en-AU"/>
        </w:rPr>
        <w:t>D</w:t>
      </w:r>
      <w:r w:rsidR="00F65952">
        <w:rPr>
          <w:rFonts w:eastAsia="Times New Roman" w:cs="Times New Roman"/>
          <w:sz w:val="21"/>
          <w:szCs w:val="24"/>
          <w:lang w:val="en-AU"/>
        </w:rPr>
        <w:t>ocument</w:t>
      </w:r>
      <w:r>
        <w:rPr>
          <w:rFonts w:eastAsia="Times New Roman" w:cs="Times New Roman"/>
          <w:sz w:val="21"/>
          <w:szCs w:val="24"/>
          <w:lang w:val="en-AU"/>
        </w:rPr>
        <w:t>atio</w:t>
      </w:r>
      <w:r w:rsidR="00FE5757">
        <w:rPr>
          <w:rFonts w:eastAsia="Times New Roman" w:cs="Times New Roman"/>
          <w:sz w:val="21"/>
          <w:szCs w:val="24"/>
          <w:lang w:val="en-AU"/>
        </w:rPr>
        <w:t>n</w:t>
      </w:r>
      <w:r w:rsidR="00F65952">
        <w:rPr>
          <w:rFonts w:eastAsia="Times New Roman" w:cs="Times New Roman"/>
          <w:sz w:val="21"/>
          <w:szCs w:val="24"/>
          <w:lang w:val="en-AU"/>
        </w:rPr>
        <w:t xml:space="preserve"> and shar</w:t>
      </w:r>
      <w:r w:rsidR="00FE5757">
        <w:rPr>
          <w:rFonts w:eastAsia="Times New Roman" w:cs="Times New Roman"/>
          <w:sz w:val="21"/>
          <w:szCs w:val="24"/>
          <w:lang w:val="en-AU"/>
        </w:rPr>
        <w:t>ing of</w:t>
      </w:r>
      <w:r w:rsidR="00F65952">
        <w:rPr>
          <w:rFonts w:eastAsia="Times New Roman" w:cs="Times New Roman"/>
          <w:sz w:val="21"/>
          <w:szCs w:val="24"/>
          <w:lang w:val="en-AU"/>
        </w:rPr>
        <w:t xml:space="preserve"> materials and publications, including published research.</w:t>
      </w:r>
    </w:p>
    <w:p w14:paraId="43E2378A" w14:textId="657B90BB" w:rsidR="00C64632" w:rsidRPr="00C64632" w:rsidRDefault="00C64632" w:rsidP="003E2C60">
      <w:pPr>
        <w:tabs>
          <w:tab w:val="left" w:pos="0"/>
        </w:tabs>
        <w:suppressAutoHyphens w:val="0"/>
        <w:spacing w:before="200" w:after="0" w:line="280" w:lineRule="exact"/>
        <w:rPr>
          <w:rFonts w:eastAsia="Times New Roman" w:cs="Times New Roman"/>
          <w:sz w:val="21"/>
          <w:szCs w:val="24"/>
          <w:lang w:val="en-AU"/>
        </w:rPr>
      </w:pPr>
      <w:r>
        <w:rPr>
          <w:rFonts w:eastAsia="Times New Roman" w:cs="Times New Roman"/>
          <w:sz w:val="21"/>
          <w:szCs w:val="24"/>
          <w:lang w:val="en-AU"/>
        </w:rPr>
        <w:t xml:space="preserve">Note that this strategy does not require additional reporting or whole of program level </w:t>
      </w:r>
      <w:r w:rsidR="00A43102">
        <w:rPr>
          <w:rFonts w:eastAsia="Times New Roman" w:cs="Times New Roman"/>
          <w:sz w:val="21"/>
          <w:szCs w:val="24"/>
          <w:lang w:val="en-AU"/>
        </w:rPr>
        <w:t>analysis but</w:t>
      </w:r>
      <w:r>
        <w:rPr>
          <w:rFonts w:eastAsia="Times New Roman" w:cs="Times New Roman"/>
          <w:sz w:val="21"/>
          <w:szCs w:val="24"/>
          <w:lang w:val="en-AU"/>
        </w:rPr>
        <w:t xml:space="preserve"> will be reflected in the </w:t>
      </w:r>
      <w:r w:rsidRPr="003E2C60">
        <w:rPr>
          <w:rFonts w:eastAsia="Times New Roman" w:cs="Times New Roman"/>
          <w:iCs/>
          <w:sz w:val="21"/>
          <w:szCs w:val="24"/>
          <w:lang w:val="en-AU" w:eastAsia="en-AU"/>
        </w:rPr>
        <w:t>quality</w:t>
      </w:r>
      <w:r>
        <w:rPr>
          <w:rFonts w:eastAsia="Times New Roman" w:cs="Times New Roman"/>
          <w:sz w:val="21"/>
          <w:szCs w:val="24"/>
          <w:lang w:val="en-AU"/>
        </w:rPr>
        <w:t xml:space="preserve"> of implementation and evaluations undertaken at IO level.</w:t>
      </w:r>
    </w:p>
    <w:p w14:paraId="77E76D67" w14:textId="31DB9ECE" w:rsidR="00F65952" w:rsidRPr="00CC4B08" w:rsidRDefault="00CC4B08" w:rsidP="003E2C60">
      <w:pPr>
        <w:tabs>
          <w:tab w:val="left" w:pos="0"/>
        </w:tabs>
        <w:suppressAutoHyphens w:val="0"/>
        <w:spacing w:before="200" w:after="0" w:line="280" w:lineRule="exact"/>
        <w:rPr>
          <w:rFonts w:eastAsia="Times New Roman" w:cs="Times New Roman"/>
          <w:b/>
          <w:bCs/>
          <w:sz w:val="21"/>
          <w:szCs w:val="24"/>
          <w:lang w:val="en-AU"/>
        </w:rPr>
      </w:pPr>
      <w:r w:rsidRPr="00CC4B08">
        <w:rPr>
          <w:rFonts w:eastAsia="Times New Roman" w:cs="Times New Roman"/>
          <w:b/>
          <w:bCs/>
          <w:sz w:val="21"/>
          <w:szCs w:val="24"/>
          <w:lang w:val="en-AU"/>
        </w:rPr>
        <w:t xml:space="preserve">C. </w:t>
      </w:r>
      <w:r w:rsidR="00F65952" w:rsidRPr="00CC4B08">
        <w:rPr>
          <w:rFonts w:eastAsia="Times New Roman" w:cs="Times New Roman"/>
          <w:b/>
          <w:bCs/>
          <w:sz w:val="21"/>
          <w:szCs w:val="24"/>
          <w:lang w:val="en-AU"/>
        </w:rPr>
        <w:t xml:space="preserve">Ensure that </w:t>
      </w:r>
      <w:r w:rsidR="009D2F88">
        <w:rPr>
          <w:rFonts w:eastAsia="Times New Roman" w:cs="Times New Roman"/>
          <w:b/>
          <w:bCs/>
          <w:sz w:val="21"/>
          <w:szCs w:val="24"/>
          <w:lang w:val="en-AU"/>
        </w:rPr>
        <w:t xml:space="preserve">a core </w:t>
      </w:r>
      <w:r w:rsidR="00F65952" w:rsidRPr="00CC4B08">
        <w:rPr>
          <w:rFonts w:eastAsia="Times New Roman" w:cs="Times New Roman"/>
          <w:b/>
          <w:bCs/>
          <w:sz w:val="21"/>
          <w:szCs w:val="24"/>
          <w:lang w:val="en-AU"/>
        </w:rPr>
        <w:t>data set</w:t>
      </w:r>
      <w:r w:rsidR="009D2F88">
        <w:rPr>
          <w:rFonts w:eastAsia="Times New Roman" w:cs="Times New Roman"/>
          <w:b/>
          <w:bCs/>
          <w:sz w:val="21"/>
          <w:szCs w:val="24"/>
          <w:lang w:val="en-AU"/>
        </w:rPr>
        <w:t xml:space="preserve"> of activity-level data is</w:t>
      </w:r>
      <w:r w:rsidR="00F65952" w:rsidRPr="00CC4B08">
        <w:rPr>
          <w:rFonts w:eastAsia="Times New Roman" w:cs="Times New Roman"/>
          <w:b/>
          <w:bCs/>
          <w:sz w:val="21"/>
          <w:szCs w:val="24"/>
          <w:lang w:val="en-AU"/>
        </w:rPr>
        <w:t xml:space="preserve"> available</w:t>
      </w:r>
    </w:p>
    <w:p w14:paraId="40319E1E" w14:textId="2A3E42A2" w:rsidR="003D1CA5" w:rsidRDefault="00F65952" w:rsidP="003E2C60">
      <w:pPr>
        <w:tabs>
          <w:tab w:val="left" w:pos="0"/>
        </w:tabs>
        <w:suppressAutoHyphens w:val="0"/>
        <w:spacing w:before="200" w:after="0" w:line="280" w:lineRule="exact"/>
        <w:rPr>
          <w:rFonts w:eastAsia="Times New Roman" w:cs="Times New Roman"/>
          <w:sz w:val="21"/>
          <w:szCs w:val="24"/>
          <w:lang w:val="en-AU"/>
        </w:rPr>
      </w:pPr>
      <w:r>
        <w:rPr>
          <w:rFonts w:eastAsia="Times New Roman" w:cs="Times New Roman"/>
          <w:sz w:val="21"/>
          <w:szCs w:val="24"/>
          <w:lang w:val="en-AU"/>
        </w:rPr>
        <w:t xml:space="preserve">AHP has made significant efforts to </w:t>
      </w:r>
      <w:r w:rsidR="00162595">
        <w:rPr>
          <w:rFonts w:eastAsia="Times New Roman" w:cs="Times New Roman"/>
          <w:sz w:val="21"/>
          <w:szCs w:val="24"/>
          <w:lang w:val="en-AU"/>
        </w:rPr>
        <w:t>collect</w:t>
      </w:r>
      <w:r>
        <w:rPr>
          <w:rFonts w:eastAsia="Times New Roman" w:cs="Times New Roman"/>
          <w:sz w:val="21"/>
          <w:szCs w:val="24"/>
          <w:lang w:val="en-AU"/>
        </w:rPr>
        <w:t xml:space="preserve"> Disaster READY and activation </w:t>
      </w:r>
      <w:r w:rsidR="00162595">
        <w:rPr>
          <w:rFonts w:eastAsia="Times New Roman" w:cs="Times New Roman"/>
          <w:sz w:val="21"/>
          <w:szCs w:val="24"/>
          <w:lang w:val="en-AU"/>
        </w:rPr>
        <w:t>data</w:t>
      </w:r>
      <w:r>
        <w:rPr>
          <w:rFonts w:eastAsia="Times New Roman" w:cs="Times New Roman"/>
          <w:sz w:val="21"/>
          <w:szCs w:val="24"/>
          <w:lang w:val="en-AU"/>
        </w:rPr>
        <w:t xml:space="preserve"> (including for COVID-19) across partners, programs, </w:t>
      </w:r>
      <w:r w:rsidR="00A43102">
        <w:rPr>
          <w:rFonts w:eastAsia="Times New Roman" w:cs="Times New Roman"/>
          <w:sz w:val="21"/>
          <w:szCs w:val="24"/>
          <w:lang w:val="en-AU"/>
        </w:rPr>
        <w:t>countries,</w:t>
      </w:r>
      <w:r>
        <w:rPr>
          <w:rFonts w:eastAsia="Times New Roman" w:cs="Times New Roman"/>
          <w:sz w:val="21"/>
          <w:szCs w:val="24"/>
          <w:lang w:val="en-AU"/>
        </w:rPr>
        <w:t xml:space="preserve"> and settings. </w:t>
      </w:r>
      <w:r w:rsidR="009F6EBC">
        <w:rPr>
          <w:rFonts w:eastAsia="Times New Roman" w:cs="Times New Roman"/>
          <w:sz w:val="21"/>
          <w:szCs w:val="24"/>
          <w:lang w:val="en-AU"/>
        </w:rPr>
        <w:t>This has primarily served</w:t>
      </w:r>
      <w:r w:rsidR="003958A3">
        <w:rPr>
          <w:rFonts w:eastAsia="Times New Roman" w:cs="Times New Roman"/>
          <w:sz w:val="21"/>
          <w:szCs w:val="24"/>
          <w:lang w:val="en-AU"/>
        </w:rPr>
        <w:t xml:space="preserve"> accountability purposes, ensuring value for money in delivery services and contractual compliance</w:t>
      </w:r>
      <w:r w:rsidR="009F6EBC">
        <w:rPr>
          <w:rFonts w:eastAsia="Times New Roman" w:cs="Times New Roman"/>
          <w:sz w:val="21"/>
          <w:szCs w:val="24"/>
          <w:lang w:val="en-AU"/>
        </w:rPr>
        <w:t xml:space="preserve"> and </w:t>
      </w:r>
      <w:r w:rsidR="002622DD">
        <w:rPr>
          <w:rFonts w:eastAsia="Times New Roman" w:cs="Times New Roman"/>
          <w:sz w:val="21"/>
          <w:szCs w:val="24"/>
          <w:lang w:val="en-AU"/>
        </w:rPr>
        <w:t>providing content for internal reporting</w:t>
      </w:r>
      <w:r w:rsidR="003958A3">
        <w:rPr>
          <w:rFonts w:eastAsia="Times New Roman" w:cs="Times New Roman"/>
          <w:sz w:val="21"/>
          <w:szCs w:val="24"/>
          <w:lang w:val="en-AU"/>
        </w:rPr>
        <w:t xml:space="preserve">. </w:t>
      </w:r>
      <w:r w:rsidR="002622DD">
        <w:rPr>
          <w:rFonts w:eastAsia="Times New Roman" w:cs="Times New Roman"/>
          <w:sz w:val="21"/>
          <w:szCs w:val="24"/>
          <w:lang w:val="en-AU"/>
        </w:rPr>
        <w:t xml:space="preserve">However, data collection has been </w:t>
      </w:r>
      <w:r>
        <w:rPr>
          <w:rFonts w:eastAsia="Times New Roman" w:cs="Times New Roman"/>
          <w:sz w:val="21"/>
          <w:szCs w:val="24"/>
          <w:lang w:val="en-AU"/>
        </w:rPr>
        <w:t xml:space="preserve">a complex and transaction heavy task when working </w:t>
      </w:r>
      <w:r>
        <w:rPr>
          <w:rFonts w:eastAsia="Times New Roman" w:cs="Times New Roman"/>
          <w:sz w:val="21"/>
          <w:szCs w:val="24"/>
          <w:lang w:val="en-AU"/>
        </w:rPr>
        <w:lastRenderedPageBreak/>
        <w:t>across different organisational systems</w:t>
      </w:r>
      <w:r w:rsidR="00D70450">
        <w:rPr>
          <w:rFonts w:eastAsia="Times New Roman" w:cs="Times New Roman"/>
          <w:sz w:val="21"/>
          <w:szCs w:val="24"/>
          <w:lang w:val="en-AU"/>
        </w:rPr>
        <w:t>. T</w:t>
      </w:r>
      <w:r w:rsidR="003D1CA5">
        <w:rPr>
          <w:rFonts w:eastAsia="Times New Roman" w:cs="Times New Roman"/>
          <w:sz w:val="21"/>
          <w:szCs w:val="24"/>
          <w:lang w:val="en-AU"/>
        </w:rPr>
        <w:t xml:space="preserve">he aggregate compilation of activity level data has not </w:t>
      </w:r>
      <w:r w:rsidR="00E36AC3">
        <w:rPr>
          <w:rFonts w:eastAsia="Times New Roman" w:cs="Times New Roman"/>
          <w:sz w:val="21"/>
          <w:szCs w:val="24"/>
          <w:lang w:val="en-AU"/>
        </w:rPr>
        <w:t xml:space="preserve">been </w:t>
      </w:r>
      <w:r w:rsidR="003D1CA5">
        <w:rPr>
          <w:rFonts w:eastAsia="Times New Roman" w:cs="Times New Roman"/>
          <w:sz w:val="21"/>
          <w:szCs w:val="24"/>
          <w:lang w:val="en-AU"/>
        </w:rPr>
        <w:t xml:space="preserve">proportionate to its </w:t>
      </w:r>
      <w:r w:rsidR="00A43102">
        <w:rPr>
          <w:rFonts w:eastAsia="Times New Roman" w:cs="Times New Roman"/>
          <w:sz w:val="21"/>
          <w:szCs w:val="24"/>
          <w:lang w:val="en-AU"/>
        </w:rPr>
        <w:t>use and</w:t>
      </w:r>
      <w:r w:rsidR="003D1CA5">
        <w:rPr>
          <w:rFonts w:eastAsia="Times New Roman" w:cs="Times New Roman"/>
          <w:sz w:val="21"/>
          <w:szCs w:val="24"/>
          <w:lang w:val="en-AU"/>
        </w:rPr>
        <w:t xml:space="preserve"> can undermine the accountability structures of the ANGOs to DFAT and the AHPSU role. </w:t>
      </w:r>
      <w:r w:rsidR="00F203B0">
        <w:rPr>
          <w:rFonts w:eastAsia="Times New Roman" w:cs="Times New Roman"/>
          <w:sz w:val="21"/>
          <w:szCs w:val="24"/>
          <w:lang w:val="en-AU"/>
        </w:rPr>
        <w:t xml:space="preserve">Given this experience </w:t>
      </w:r>
      <w:r w:rsidR="00406F84">
        <w:rPr>
          <w:rFonts w:eastAsia="Times New Roman" w:cs="Times New Roman"/>
          <w:sz w:val="21"/>
          <w:szCs w:val="24"/>
          <w:lang w:val="en-AU"/>
        </w:rPr>
        <w:t>Phase II</w:t>
      </w:r>
      <w:r w:rsidR="00CA5571">
        <w:rPr>
          <w:rFonts w:eastAsia="Times New Roman" w:cs="Times New Roman"/>
          <w:sz w:val="21"/>
          <w:szCs w:val="24"/>
          <w:lang w:val="en-AU"/>
        </w:rPr>
        <w:t xml:space="preserve"> will include the following features. </w:t>
      </w:r>
    </w:p>
    <w:p w14:paraId="0D2D82EA" w14:textId="0D6727E2" w:rsidR="00A82EFE" w:rsidRDefault="003D1CA5" w:rsidP="0011591E">
      <w:pPr>
        <w:pStyle w:val="ListParagraph"/>
        <w:numPr>
          <w:ilvl w:val="0"/>
          <w:numId w:val="19"/>
        </w:numPr>
        <w:tabs>
          <w:tab w:val="left" w:pos="284"/>
        </w:tabs>
        <w:suppressAutoHyphens w:val="0"/>
        <w:spacing w:before="200" w:after="0" w:line="280" w:lineRule="exact"/>
        <w:contextualSpacing w:val="0"/>
        <w:rPr>
          <w:rFonts w:eastAsia="Times New Roman" w:cs="Times New Roman"/>
          <w:sz w:val="21"/>
          <w:szCs w:val="24"/>
          <w:lang w:val="en-AU"/>
        </w:rPr>
      </w:pPr>
      <w:r>
        <w:rPr>
          <w:rFonts w:eastAsia="Times New Roman" w:cs="Times New Roman"/>
          <w:sz w:val="21"/>
          <w:szCs w:val="24"/>
          <w:lang w:val="en-AU"/>
        </w:rPr>
        <w:t xml:space="preserve">Given the renewed emphasis on whole of program outcomes and collective responsibility and accountability to IOs and EOPOs, for the next </w:t>
      </w:r>
      <w:r w:rsidR="00591C87">
        <w:rPr>
          <w:rFonts w:eastAsia="Times New Roman" w:cs="Times New Roman"/>
          <w:sz w:val="21"/>
          <w:szCs w:val="24"/>
          <w:lang w:val="en-AU"/>
        </w:rPr>
        <w:t>P</w:t>
      </w:r>
      <w:r>
        <w:rPr>
          <w:rFonts w:eastAsia="Times New Roman" w:cs="Times New Roman"/>
          <w:sz w:val="21"/>
          <w:szCs w:val="24"/>
          <w:lang w:val="en-AU"/>
        </w:rPr>
        <w:t xml:space="preserve">hase </w:t>
      </w:r>
      <w:r w:rsidR="00591C87">
        <w:rPr>
          <w:rFonts w:eastAsia="Times New Roman" w:cs="Times New Roman"/>
          <w:sz w:val="21"/>
          <w:szCs w:val="24"/>
          <w:lang w:val="en-AU"/>
        </w:rPr>
        <w:t xml:space="preserve">there </w:t>
      </w:r>
      <w:r>
        <w:rPr>
          <w:rFonts w:eastAsia="Times New Roman" w:cs="Times New Roman"/>
          <w:sz w:val="21"/>
          <w:szCs w:val="24"/>
          <w:lang w:val="en-AU"/>
        </w:rPr>
        <w:t xml:space="preserve">will be a </w:t>
      </w:r>
      <w:r w:rsidR="009D2F88">
        <w:rPr>
          <w:rFonts w:eastAsia="Times New Roman" w:cs="Times New Roman"/>
          <w:sz w:val="21"/>
          <w:szCs w:val="24"/>
          <w:lang w:val="en-AU"/>
        </w:rPr>
        <w:t>core</w:t>
      </w:r>
      <w:r w:rsidRPr="00E93683">
        <w:rPr>
          <w:rFonts w:eastAsia="Times New Roman" w:cs="Times New Roman"/>
          <w:sz w:val="21"/>
          <w:szCs w:val="24"/>
          <w:lang w:val="en-AU"/>
        </w:rPr>
        <w:t xml:space="preserve"> data set</w:t>
      </w:r>
      <w:r>
        <w:rPr>
          <w:rFonts w:eastAsia="Times New Roman" w:cs="Times New Roman"/>
          <w:sz w:val="21"/>
          <w:szCs w:val="24"/>
          <w:lang w:val="en-AU"/>
        </w:rPr>
        <w:t xml:space="preserve"> applicable for Disaster READY and </w:t>
      </w:r>
      <w:r w:rsidR="00D3165F">
        <w:rPr>
          <w:rFonts w:eastAsia="Times New Roman" w:cs="Times New Roman"/>
          <w:sz w:val="21"/>
          <w:szCs w:val="24"/>
          <w:lang w:val="en-AU"/>
        </w:rPr>
        <w:t xml:space="preserve">all </w:t>
      </w:r>
      <w:r>
        <w:rPr>
          <w:rFonts w:eastAsia="Times New Roman" w:cs="Times New Roman"/>
          <w:sz w:val="21"/>
          <w:szCs w:val="24"/>
          <w:lang w:val="en-AU"/>
        </w:rPr>
        <w:t>activations, that reduces the number of current indicators.</w:t>
      </w:r>
      <w:r w:rsidR="00C260CB">
        <w:rPr>
          <w:rFonts w:eastAsia="Times New Roman" w:cs="Times New Roman"/>
          <w:sz w:val="21"/>
          <w:szCs w:val="24"/>
          <w:lang w:val="en-AU"/>
        </w:rPr>
        <w:t xml:space="preserve"> </w:t>
      </w:r>
      <w:r w:rsidR="00CF6D4C">
        <w:rPr>
          <w:rFonts w:eastAsia="Times New Roman" w:cs="Times New Roman"/>
          <w:sz w:val="21"/>
          <w:szCs w:val="24"/>
          <w:lang w:val="en-AU"/>
        </w:rPr>
        <w:t xml:space="preserve">This </w:t>
      </w:r>
      <w:r w:rsidR="006B7FBA">
        <w:rPr>
          <w:rFonts w:eastAsia="Times New Roman" w:cs="Times New Roman"/>
          <w:sz w:val="21"/>
          <w:szCs w:val="24"/>
          <w:lang w:val="en-AU"/>
        </w:rPr>
        <w:t>core</w:t>
      </w:r>
      <w:r w:rsidR="00CF6D4C">
        <w:rPr>
          <w:rFonts w:eastAsia="Times New Roman" w:cs="Times New Roman"/>
          <w:sz w:val="21"/>
          <w:szCs w:val="24"/>
          <w:lang w:val="en-AU"/>
        </w:rPr>
        <w:t xml:space="preserve"> data set will be </w:t>
      </w:r>
      <w:r w:rsidR="00D70450">
        <w:rPr>
          <w:rFonts w:eastAsia="Times New Roman" w:cs="Times New Roman"/>
          <w:sz w:val="21"/>
          <w:szCs w:val="24"/>
          <w:lang w:val="en-AU"/>
        </w:rPr>
        <w:t>finalised</w:t>
      </w:r>
      <w:r w:rsidR="00CF6D4C">
        <w:rPr>
          <w:rFonts w:eastAsia="Times New Roman" w:cs="Times New Roman"/>
          <w:sz w:val="21"/>
          <w:szCs w:val="24"/>
          <w:lang w:val="en-AU"/>
        </w:rPr>
        <w:t xml:space="preserve"> by the AHPSU in consultation with </w:t>
      </w:r>
      <w:r w:rsidR="00D70450">
        <w:rPr>
          <w:rFonts w:eastAsia="Times New Roman" w:cs="Times New Roman"/>
          <w:sz w:val="21"/>
          <w:szCs w:val="24"/>
          <w:lang w:val="en-AU"/>
        </w:rPr>
        <w:t xml:space="preserve">AHP NGO Partners </w:t>
      </w:r>
      <w:r w:rsidR="00CF6D4C">
        <w:rPr>
          <w:rFonts w:eastAsia="Times New Roman" w:cs="Times New Roman"/>
          <w:sz w:val="21"/>
          <w:szCs w:val="24"/>
          <w:lang w:val="en-AU"/>
        </w:rPr>
        <w:t>and DFAT in early 2022.</w:t>
      </w:r>
      <w:r>
        <w:rPr>
          <w:rFonts w:eastAsia="Times New Roman" w:cs="Times New Roman"/>
          <w:sz w:val="21"/>
          <w:szCs w:val="24"/>
          <w:lang w:val="en-AU"/>
        </w:rPr>
        <w:t xml:space="preserve"> </w:t>
      </w:r>
      <w:r w:rsidR="00153268">
        <w:rPr>
          <w:rFonts w:eastAsia="Times New Roman" w:cs="Times New Roman"/>
          <w:sz w:val="21"/>
          <w:szCs w:val="24"/>
          <w:lang w:val="en-AU"/>
        </w:rPr>
        <w:t>Indicators selected will be consistent with the ANCP indicators where poss</w:t>
      </w:r>
      <w:r w:rsidR="007B0DF4">
        <w:rPr>
          <w:rFonts w:eastAsia="Times New Roman" w:cs="Times New Roman"/>
          <w:sz w:val="21"/>
          <w:szCs w:val="24"/>
          <w:lang w:val="en-AU"/>
        </w:rPr>
        <w:t>ib</w:t>
      </w:r>
      <w:r w:rsidR="00153268">
        <w:rPr>
          <w:rFonts w:eastAsia="Times New Roman" w:cs="Times New Roman"/>
          <w:sz w:val="21"/>
          <w:szCs w:val="24"/>
          <w:lang w:val="en-AU"/>
        </w:rPr>
        <w:t>le (such as implemented with COVID activations).</w:t>
      </w:r>
      <w:r>
        <w:rPr>
          <w:rFonts w:eastAsia="Times New Roman" w:cs="Times New Roman"/>
          <w:sz w:val="21"/>
          <w:szCs w:val="24"/>
          <w:lang w:val="en-AU"/>
        </w:rPr>
        <w:t xml:space="preserve"> </w:t>
      </w:r>
    </w:p>
    <w:p w14:paraId="165B34DF" w14:textId="6FD8FF5F" w:rsidR="003D1CA5" w:rsidRDefault="00485E0C" w:rsidP="0011591E">
      <w:pPr>
        <w:pStyle w:val="ListParagraph"/>
        <w:numPr>
          <w:ilvl w:val="0"/>
          <w:numId w:val="19"/>
        </w:numPr>
        <w:tabs>
          <w:tab w:val="left" w:pos="284"/>
        </w:tabs>
        <w:suppressAutoHyphens w:val="0"/>
        <w:spacing w:before="200" w:after="0" w:line="280" w:lineRule="exact"/>
        <w:contextualSpacing w:val="0"/>
        <w:rPr>
          <w:rFonts w:eastAsia="Times New Roman" w:cs="Times New Roman"/>
          <w:sz w:val="21"/>
          <w:szCs w:val="24"/>
          <w:lang w:val="en-AU"/>
        </w:rPr>
      </w:pPr>
      <w:r w:rsidRPr="00485E0C">
        <w:rPr>
          <w:rFonts w:eastAsia="Times New Roman" w:cs="Times New Roman"/>
          <w:sz w:val="21"/>
          <w:szCs w:val="24"/>
          <w:lang w:val="en-AU"/>
        </w:rPr>
        <w:t xml:space="preserve">ANGOs will be responsible for </w:t>
      </w:r>
      <w:r w:rsidR="00831B4D" w:rsidRPr="00485E0C">
        <w:rPr>
          <w:rFonts w:eastAsia="Times New Roman" w:cs="Times New Roman"/>
          <w:sz w:val="21"/>
          <w:szCs w:val="24"/>
          <w:lang w:val="en-AU"/>
        </w:rPr>
        <w:t xml:space="preserve">providing information </w:t>
      </w:r>
      <w:r w:rsidR="00214EB4">
        <w:rPr>
          <w:rFonts w:eastAsia="Times New Roman" w:cs="Times New Roman"/>
          <w:sz w:val="21"/>
          <w:szCs w:val="24"/>
          <w:lang w:val="en-AU"/>
        </w:rPr>
        <w:t>using</w:t>
      </w:r>
      <w:r w:rsidR="00831B4D" w:rsidRPr="00485E0C">
        <w:rPr>
          <w:rFonts w:eastAsia="Times New Roman" w:cs="Times New Roman"/>
          <w:sz w:val="21"/>
          <w:szCs w:val="24"/>
          <w:lang w:val="en-AU"/>
        </w:rPr>
        <w:t xml:space="preserve"> the </w:t>
      </w:r>
      <w:r w:rsidR="00214EB4">
        <w:rPr>
          <w:rFonts w:eastAsia="Times New Roman" w:cs="Times New Roman"/>
          <w:sz w:val="21"/>
          <w:szCs w:val="24"/>
          <w:lang w:val="en-AU"/>
        </w:rPr>
        <w:t>core</w:t>
      </w:r>
      <w:r w:rsidR="00831B4D" w:rsidRPr="00485E0C">
        <w:rPr>
          <w:rFonts w:eastAsia="Times New Roman" w:cs="Times New Roman"/>
          <w:sz w:val="21"/>
          <w:szCs w:val="24"/>
          <w:lang w:val="en-AU"/>
        </w:rPr>
        <w:t xml:space="preserve"> data set</w:t>
      </w:r>
      <w:r w:rsidR="00831B4D">
        <w:rPr>
          <w:rFonts w:eastAsia="Times New Roman" w:cs="Times New Roman"/>
          <w:sz w:val="21"/>
          <w:szCs w:val="24"/>
          <w:lang w:val="en-AU"/>
        </w:rPr>
        <w:t xml:space="preserve"> </w:t>
      </w:r>
      <w:r w:rsidR="00214EB4">
        <w:rPr>
          <w:rFonts w:eastAsia="Times New Roman" w:cs="Times New Roman"/>
          <w:sz w:val="21"/>
          <w:szCs w:val="24"/>
          <w:lang w:val="en-AU"/>
        </w:rPr>
        <w:t>and</w:t>
      </w:r>
      <w:r w:rsidRPr="00485E0C">
        <w:rPr>
          <w:rFonts w:eastAsia="Times New Roman" w:cs="Times New Roman"/>
          <w:sz w:val="21"/>
          <w:szCs w:val="24"/>
          <w:lang w:val="en-AU"/>
        </w:rPr>
        <w:t xml:space="preserve"> appropriate MEL methods (narrative description, case studies, stories from participants, reflections from staff)</w:t>
      </w:r>
      <w:r w:rsidR="000006F5">
        <w:rPr>
          <w:rFonts w:eastAsia="Times New Roman" w:cs="Times New Roman"/>
          <w:sz w:val="21"/>
          <w:szCs w:val="24"/>
          <w:lang w:val="en-AU"/>
        </w:rPr>
        <w:t>. T</w:t>
      </w:r>
      <w:r w:rsidR="003D1CA5">
        <w:rPr>
          <w:rFonts w:eastAsia="Times New Roman" w:cs="Times New Roman"/>
          <w:sz w:val="21"/>
          <w:szCs w:val="24"/>
          <w:lang w:val="en-AU"/>
        </w:rPr>
        <w:t>h</w:t>
      </w:r>
      <w:r w:rsidR="00831B4D">
        <w:rPr>
          <w:rFonts w:eastAsia="Times New Roman" w:cs="Times New Roman"/>
          <w:sz w:val="21"/>
          <w:szCs w:val="24"/>
          <w:lang w:val="en-AU"/>
        </w:rPr>
        <w:t>is data</w:t>
      </w:r>
      <w:r w:rsidR="003D1CA5">
        <w:rPr>
          <w:rFonts w:eastAsia="Times New Roman" w:cs="Times New Roman"/>
          <w:sz w:val="21"/>
          <w:szCs w:val="24"/>
          <w:lang w:val="en-AU"/>
        </w:rPr>
        <w:t xml:space="preserve"> will be drawn upon and used for partnership level evaluations as required.</w:t>
      </w:r>
    </w:p>
    <w:p w14:paraId="4B9F3B3B" w14:textId="55FD9824" w:rsidR="003D1CA5" w:rsidRDefault="003D1CA5" w:rsidP="0011591E">
      <w:pPr>
        <w:pStyle w:val="ListParagraph"/>
        <w:numPr>
          <w:ilvl w:val="1"/>
          <w:numId w:val="19"/>
        </w:numPr>
        <w:tabs>
          <w:tab w:val="left" w:pos="284"/>
        </w:tabs>
        <w:suppressAutoHyphens w:val="0"/>
        <w:spacing w:before="200" w:after="0" w:line="280" w:lineRule="exact"/>
        <w:contextualSpacing w:val="0"/>
        <w:rPr>
          <w:rFonts w:eastAsia="Times New Roman" w:cs="Times New Roman"/>
          <w:sz w:val="21"/>
          <w:szCs w:val="24"/>
          <w:lang w:val="en-AU"/>
        </w:rPr>
      </w:pPr>
      <w:r>
        <w:rPr>
          <w:rFonts w:eastAsia="Times New Roman" w:cs="Times New Roman"/>
          <w:sz w:val="21"/>
          <w:szCs w:val="24"/>
          <w:lang w:val="en-AU"/>
        </w:rPr>
        <w:t xml:space="preserve">Note that </w:t>
      </w:r>
      <w:r w:rsidR="009B7249">
        <w:rPr>
          <w:rFonts w:eastAsia="Times New Roman" w:cs="Times New Roman"/>
          <w:sz w:val="21"/>
          <w:szCs w:val="24"/>
          <w:lang w:val="en-AU"/>
        </w:rPr>
        <w:t xml:space="preserve">an </w:t>
      </w:r>
      <w:r>
        <w:rPr>
          <w:rFonts w:eastAsia="Times New Roman" w:cs="Times New Roman"/>
          <w:sz w:val="21"/>
          <w:szCs w:val="24"/>
          <w:lang w:val="en-AU"/>
        </w:rPr>
        <w:t xml:space="preserve">alternative was considered, of developing an AHP-wide database managed by the </w:t>
      </w:r>
      <w:r w:rsidR="00A43102">
        <w:rPr>
          <w:rFonts w:eastAsia="Times New Roman" w:cs="Times New Roman"/>
          <w:sz w:val="21"/>
          <w:szCs w:val="24"/>
          <w:lang w:val="en-AU"/>
        </w:rPr>
        <w:t>AHPSU and</w:t>
      </w:r>
      <w:r>
        <w:rPr>
          <w:rFonts w:eastAsia="Times New Roman" w:cs="Times New Roman"/>
          <w:sz w:val="21"/>
          <w:szCs w:val="24"/>
          <w:lang w:val="en-AU"/>
        </w:rPr>
        <w:t xml:space="preserve"> establish a e-based system of data entry from all local Partners. This is considered </w:t>
      </w:r>
      <w:r w:rsidR="004D1517">
        <w:rPr>
          <w:rFonts w:eastAsia="Times New Roman" w:cs="Times New Roman"/>
          <w:sz w:val="21"/>
          <w:szCs w:val="24"/>
          <w:lang w:val="en-AU"/>
        </w:rPr>
        <w:t xml:space="preserve">both </w:t>
      </w:r>
      <w:r>
        <w:rPr>
          <w:rFonts w:eastAsia="Times New Roman" w:cs="Times New Roman"/>
          <w:sz w:val="21"/>
          <w:szCs w:val="24"/>
          <w:lang w:val="en-AU"/>
        </w:rPr>
        <w:t>too expensive (similar systems have costed up to $1m over several years)</w:t>
      </w:r>
      <w:r w:rsidR="004D1517">
        <w:rPr>
          <w:rFonts w:eastAsia="Times New Roman" w:cs="Times New Roman"/>
          <w:sz w:val="21"/>
          <w:szCs w:val="24"/>
          <w:lang w:val="en-AU"/>
        </w:rPr>
        <w:t xml:space="preserve"> and</w:t>
      </w:r>
      <w:r w:rsidR="00E554E2">
        <w:rPr>
          <w:rFonts w:eastAsia="Times New Roman" w:cs="Times New Roman"/>
          <w:sz w:val="21"/>
          <w:szCs w:val="24"/>
          <w:lang w:val="en-AU"/>
        </w:rPr>
        <w:t xml:space="preserve"> </w:t>
      </w:r>
      <w:r w:rsidR="00F203B0">
        <w:rPr>
          <w:rFonts w:eastAsia="Times New Roman" w:cs="Times New Roman"/>
          <w:sz w:val="21"/>
          <w:szCs w:val="24"/>
          <w:lang w:val="en-AU"/>
        </w:rPr>
        <w:t xml:space="preserve">to </w:t>
      </w:r>
      <w:r w:rsidR="00E554E2">
        <w:rPr>
          <w:rFonts w:eastAsia="Times New Roman" w:cs="Times New Roman"/>
          <w:sz w:val="21"/>
          <w:szCs w:val="24"/>
          <w:lang w:val="en-AU"/>
        </w:rPr>
        <w:t>have high transaction costs for all partners, disproportionate to an appropriate focus on outcomes given the benefit and use of data.</w:t>
      </w:r>
    </w:p>
    <w:p w14:paraId="77C1F58B" w14:textId="4913A15B" w:rsidR="00B439F4" w:rsidRPr="00CC4B08" w:rsidRDefault="00E554E2" w:rsidP="0011591E">
      <w:pPr>
        <w:pStyle w:val="ListParagraph"/>
        <w:numPr>
          <w:ilvl w:val="0"/>
          <w:numId w:val="19"/>
        </w:numPr>
        <w:tabs>
          <w:tab w:val="left" w:pos="284"/>
        </w:tabs>
        <w:suppressAutoHyphens w:val="0"/>
        <w:spacing w:before="200" w:after="0" w:line="280" w:lineRule="exact"/>
        <w:ind w:left="641" w:hanging="357"/>
        <w:contextualSpacing w:val="0"/>
        <w:rPr>
          <w:rFonts w:eastAsia="Times New Roman" w:cs="Times New Roman"/>
          <w:sz w:val="21"/>
          <w:szCs w:val="24"/>
          <w:lang w:val="en-AU"/>
        </w:rPr>
      </w:pPr>
      <w:r>
        <w:rPr>
          <w:rFonts w:eastAsia="Times New Roman" w:cs="Times New Roman"/>
          <w:sz w:val="21"/>
          <w:szCs w:val="24"/>
          <w:lang w:val="en-AU"/>
        </w:rPr>
        <w:t xml:space="preserve">In order to make information available to different audiences and stakeholders when required, particularly DFAT, the </w:t>
      </w:r>
      <w:r w:rsidR="00B637B6">
        <w:rPr>
          <w:rFonts w:eastAsia="Times New Roman" w:cs="Times New Roman"/>
          <w:sz w:val="21"/>
          <w:szCs w:val="24"/>
          <w:lang w:val="en-AU"/>
        </w:rPr>
        <w:t>DRCCs</w:t>
      </w:r>
      <w:r>
        <w:rPr>
          <w:rFonts w:eastAsia="Times New Roman" w:cs="Times New Roman"/>
          <w:sz w:val="21"/>
          <w:szCs w:val="24"/>
          <w:lang w:val="en-AU"/>
        </w:rPr>
        <w:t xml:space="preserve"> in Disaster READY countries will have a </w:t>
      </w:r>
      <w:r w:rsidR="00070348">
        <w:rPr>
          <w:rFonts w:eastAsia="Times New Roman" w:cs="Times New Roman"/>
          <w:sz w:val="21"/>
          <w:szCs w:val="24"/>
          <w:lang w:val="en-AU"/>
        </w:rPr>
        <w:t>MEL</w:t>
      </w:r>
      <w:r>
        <w:rPr>
          <w:rFonts w:eastAsia="Times New Roman" w:cs="Times New Roman"/>
          <w:sz w:val="21"/>
          <w:szCs w:val="24"/>
          <w:lang w:val="en-AU"/>
        </w:rPr>
        <w:t xml:space="preserve"> officer, and there will be additional resources for </w:t>
      </w:r>
      <w:r w:rsidR="00070348">
        <w:rPr>
          <w:rFonts w:eastAsia="Times New Roman" w:cs="Times New Roman"/>
          <w:sz w:val="21"/>
          <w:szCs w:val="24"/>
          <w:lang w:val="en-AU"/>
        </w:rPr>
        <w:t>MEL</w:t>
      </w:r>
      <w:r>
        <w:rPr>
          <w:rFonts w:eastAsia="Times New Roman" w:cs="Times New Roman"/>
          <w:sz w:val="21"/>
          <w:szCs w:val="24"/>
          <w:lang w:val="en-AU"/>
        </w:rPr>
        <w:t xml:space="preserve"> personnel at the AHPSU. ANGOs will make a commitment to the partnership </w:t>
      </w:r>
      <w:r w:rsidR="00070348">
        <w:rPr>
          <w:rFonts w:eastAsia="Times New Roman" w:cs="Times New Roman"/>
          <w:sz w:val="21"/>
          <w:szCs w:val="24"/>
          <w:lang w:val="en-AU"/>
        </w:rPr>
        <w:t>MEL</w:t>
      </w:r>
      <w:r>
        <w:rPr>
          <w:rFonts w:eastAsia="Times New Roman" w:cs="Times New Roman"/>
          <w:sz w:val="21"/>
          <w:szCs w:val="24"/>
          <w:lang w:val="en-AU"/>
        </w:rPr>
        <w:t xml:space="preserve"> community of practice </w:t>
      </w:r>
      <w:r w:rsidR="009A000D">
        <w:rPr>
          <w:rFonts w:eastAsia="Times New Roman" w:cs="Times New Roman"/>
          <w:sz w:val="21"/>
          <w:szCs w:val="24"/>
          <w:lang w:val="en-AU"/>
        </w:rPr>
        <w:t>to</w:t>
      </w:r>
      <w:r>
        <w:rPr>
          <w:rFonts w:eastAsia="Times New Roman" w:cs="Times New Roman"/>
          <w:sz w:val="21"/>
          <w:szCs w:val="24"/>
          <w:lang w:val="en-AU"/>
        </w:rPr>
        <w:t xml:space="preserve"> be able to respond to specific information requests as needed. DFAT and the AHPSU will filter information </w:t>
      </w:r>
      <w:r w:rsidR="009A000D">
        <w:rPr>
          <w:rFonts w:eastAsia="Times New Roman" w:cs="Times New Roman"/>
          <w:sz w:val="21"/>
          <w:szCs w:val="24"/>
          <w:lang w:val="en-AU"/>
        </w:rPr>
        <w:t>requests and</w:t>
      </w:r>
      <w:r>
        <w:rPr>
          <w:rFonts w:eastAsia="Times New Roman" w:cs="Times New Roman"/>
          <w:sz w:val="21"/>
          <w:szCs w:val="24"/>
          <w:lang w:val="en-AU"/>
        </w:rPr>
        <w:t xml:space="preserve"> be sensitive to the transaction costs of such information demands.  Additional resources may be provided to the AHPSU and ANGOs if this strategy is not effective.</w:t>
      </w:r>
    </w:p>
    <w:p w14:paraId="058CE9B5" w14:textId="1FAE4C38" w:rsidR="00E554E2" w:rsidRPr="00854289" w:rsidRDefault="00CC4B08" w:rsidP="003E2C60">
      <w:pPr>
        <w:tabs>
          <w:tab w:val="left" w:pos="0"/>
        </w:tabs>
        <w:suppressAutoHyphens w:val="0"/>
        <w:spacing w:before="200" w:after="0" w:line="280" w:lineRule="exact"/>
        <w:rPr>
          <w:rFonts w:eastAsia="Times New Roman" w:cs="Times New Roman"/>
          <w:b/>
          <w:bCs/>
          <w:sz w:val="21"/>
          <w:szCs w:val="24"/>
          <w:lang w:val="en-AU"/>
        </w:rPr>
      </w:pPr>
      <w:r>
        <w:rPr>
          <w:rFonts w:eastAsia="Times New Roman" w:cs="Times New Roman"/>
          <w:b/>
          <w:bCs/>
          <w:sz w:val="21"/>
          <w:szCs w:val="24"/>
          <w:lang w:val="en-AU"/>
        </w:rPr>
        <w:t xml:space="preserve">D. </w:t>
      </w:r>
      <w:r w:rsidR="00E554E2">
        <w:rPr>
          <w:rFonts w:eastAsia="Times New Roman" w:cs="Times New Roman"/>
          <w:b/>
          <w:bCs/>
          <w:sz w:val="21"/>
          <w:szCs w:val="24"/>
          <w:lang w:val="en-AU"/>
        </w:rPr>
        <w:t xml:space="preserve">Reinforce incentives for high quality </w:t>
      </w:r>
      <w:r w:rsidR="007D4B3C">
        <w:rPr>
          <w:rFonts w:eastAsia="Times New Roman" w:cs="Times New Roman"/>
          <w:b/>
          <w:bCs/>
          <w:sz w:val="21"/>
          <w:szCs w:val="24"/>
          <w:lang w:val="en-AU"/>
        </w:rPr>
        <w:t>MEL</w:t>
      </w:r>
    </w:p>
    <w:p w14:paraId="3EBC76B3" w14:textId="0E68E438" w:rsidR="00754E90" w:rsidRDefault="00FC56B5" w:rsidP="003E2C60">
      <w:pPr>
        <w:tabs>
          <w:tab w:val="left" w:pos="0"/>
        </w:tabs>
        <w:suppressAutoHyphens w:val="0"/>
        <w:spacing w:before="200" w:after="0" w:line="280" w:lineRule="exact"/>
        <w:rPr>
          <w:rFonts w:eastAsia="Times New Roman" w:cs="Times New Roman"/>
          <w:iCs/>
          <w:sz w:val="21"/>
          <w:szCs w:val="24"/>
          <w:lang w:val="en-AU" w:eastAsia="en-AU"/>
        </w:rPr>
      </w:pPr>
      <w:r>
        <w:rPr>
          <w:rFonts w:eastAsia="Times New Roman" w:cs="Times New Roman"/>
          <w:iCs/>
          <w:sz w:val="21"/>
          <w:szCs w:val="24"/>
          <w:lang w:val="en-AU" w:eastAsia="en-AU"/>
        </w:rPr>
        <w:t xml:space="preserve">The allocation of resources, commitment and effort to high quality </w:t>
      </w:r>
      <w:r w:rsidR="00070348">
        <w:rPr>
          <w:rFonts w:eastAsia="Times New Roman" w:cs="Times New Roman"/>
          <w:iCs/>
          <w:sz w:val="21"/>
          <w:szCs w:val="24"/>
          <w:lang w:val="en-AU" w:eastAsia="en-AU"/>
        </w:rPr>
        <w:t>MEL</w:t>
      </w:r>
      <w:r>
        <w:rPr>
          <w:rFonts w:eastAsia="Times New Roman" w:cs="Times New Roman"/>
          <w:iCs/>
          <w:sz w:val="21"/>
          <w:szCs w:val="24"/>
          <w:lang w:val="en-AU" w:eastAsia="en-AU"/>
        </w:rPr>
        <w:t xml:space="preserve"> is a trade-off against competing </w:t>
      </w:r>
      <w:r w:rsidRPr="003E2C60">
        <w:rPr>
          <w:rFonts w:eastAsia="Times New Roman" w:cs="Times New Roman"/>
          <w:sz w:val="21"/>
          <w:szCs w:val="24"/>
          <w:lang w:val="en-AU"/>
        </w:rPr>
        <w:t>internal</w:t>
      </w:r>
      <w:r>
        <w:rPr>
          <w:rFonts w:eastAsia="Times New Roman" w:cs="Times New Roman"/>
          <w:iCs/>
          <w:sz w:val="21"/>
          <w:szCs w:val="24"/>
          <w:lang w:val="en-AU" w:eastAsia="en-AU"/>
        </w:rPr>
        <w:t xml:space="preserve"> organisational interests, including allocating the resources and effort to program delivery for affected populations, as well as other compliance, </w:t>
      </w:r>
      <w:r w:rsidR="009A000D">
        <w:rPr>
          <w:rFonts w:eastAsia="Times New Roman" w:cs="Times New Roman"/>
          <w:iCs/>
          <w:sz w:val="21"/>
          <w:szCs w:val="24"/>
          <w:lang w:val="en-AU" w:eastAsia="en-AU"/>
        </w:rPr>
        <w:t>risk,</w:t>
      </w:r>
      <w:r>
        <w:rPr>
          <w:rFonts w:eastAsia="Times New Roman" w:cs="Times New Roman"/>
          <w:iCs/>
          <w:sz w:val="21"/>
          <w:szCs w:val="24"/>
          <w:lang w:val="en-AU" w:eastAsia="en-AU"/>
        </w:rPr>
        <w:t xml:space="preserve"> and financial management obligations. There are inherent incentives in </w:t>
      </w:r>
      <w:r w:rsidR="00165D56">
        <w:rPr>
          <w:rFonts w:eastAsia="Times New Roman" w:cs="Times New Roman"/>
          <w:iCs/>
          <w:sz w:val="21"/>
          <w:szCs w:val="24"/>
          <w:lang w:val="en-AU" w:eastAsia="en-AU"/>
        </w:rPr>
        <w:t>the</w:t>
      </w:r>
      <w:r>
        <w:rPr>
          <w:rFonts w:eastAsia="Times New Roman" w:cs="Times New Roman"/>
          <w:iCs/>
          <w:sz w:val="21"/>
          <w:szCs w:val="24"/>
          <w:lang w:val="en-AU" w:eastAsia="en-AU"/>
        </w:rPr>
        <w:t xml:space="preserve"> </w:t>
      </w:r>
      <w:r w:rsidR="00165D56">
        <w:rPr>
          <w:rFonts w:eastAsia="Times New Roman" w:cs="Times New Roman"/>
          <w:iCs/>
          <w:sz w:val="21"/>
          <w:szCs w:val="24"/>
          <w:lang w:val="en-AU" w:eastAsia="en-AU"/>
        </w:rPr>
        <w:t>P</w:t>
      </w:r>
      <w:r>
        <w:rPr>
          <w:rFonts w:eastAsia="Times New Roman" w:cs="Times New Roman"/>
          <w:iCs/>
          <w:sz w:val="21"/>
          <w:szCs w:val="24"/>
          <w:lang w:val="en-AU" w:eastAsia="en-AU"/>
        </w:rPr>
        <w:t>artnership that can reinforce this priority and interest, including:</w:t>
      </w:r>
    </w:p>
    <w:p w14:paraId="6D5BB14B" w14:textId="1A667C75" w:rsidR="00FC56B5" w:rsidRDefault="00656052" w:rsidP="0011591E">
      <w:pPr>
        <w:pStyle w:val="ListParagraph"/>
        <w:numPr>
          <w:ilvl w:val="0"/>
          <w:numId w:val="20"/>
        </w:numPr>
        <w:tabs>
          <w:tab w:val="left" w:pos="284"/>
        </w:tabs>
        <w:suppressAutoHyphens w:val="0"/>
        <w:spacing w:before="200" w:after="0" w:line="280" w:lineRule="exact"/>
        <w:contextualSpacing w:val="0"/>
        <w:rPr>
          <w:rFonts w:eastAsia="Times New Roman" w:cs="Times New Roman"/>
          <w:iCs/>
          <w:sz w:val="21"/>
          <w:szCs w:val="24"/>
          <w:lang w:val="en-AU" w:eastAsia="en-AU"/>
        </w:rPr>
      </w:pPr>
      <w:r>
        <w:rPr>
          <w:rFonts w:eastAsia="Times New Roman" w:cs="Times New Roman"/>
          <w:iCs/>
          <w:sz w:val="21"/>
          <w:szCs w:val="24"/>
          <w:lang w:val="en-AU" w:eastAsia="en-AU"/>
        </w:rPr>
        <w:t>A</w:t>
      </w:r>
      <w:r w:rsidR="00387471">
        <w:rPr>
          <w:rFonts w:eastAsia="Times New Roman" w:cs="Times New Roman"/>
          <w:iCs/>
          <w:sz w:val="21"/>
          <w:szCs w:val="24"/>
          <w:lang w:val="en-AU" w:eastAsia="en-AU"/>
        </w:rPr>
        <w:t xml:space="preserve">ssessing </w:t>
      </w:r>
      <w:r w:rsidR="007D4B3C">
        <w:rPr>
          <w:rFonts w:eastAsia="Times New Roman" w:cs="Times New Roman"/>
          <w:iCs/>
          <w:sz w:val="21"/>
          <w:szCs w:val="24"/>
          <w:lang w:val="en-AU" w:eastAsia="en-AU"/>
        </w:rPr>
        <w:t>MEL</w:t>
      </w:r>
      <w:r w:rsidR="00387471">
        <w:rPr>
          <w:rFonts w:eastAsia="Times New Roman" w:cs="Times New Roman"/>
          <w:iCs/>
          <w:sz w:val="21"/>
          <w:szCs w:val="24"/>
          <w:lang w:val="en-AU" w:eastAsia="en-AU"/>
        </w:rPr>
        <w:t xml:space="preserve"> approaches as </w:t>
      </w:r>
      <w:r w:rsidR="00E0592E">
        <w:rPr>
          <w:rFonts w:eastAsia="Times New Roman" w:cs="Times New Roman"/>
          <w:iCs/>
          <w:sz w:val="21"/>
          <w:szCs w:val="24"/>
          <w:lang w:val="en-AU" w:eastAsia="en-AU"/>
        </w:rPr>
        <w:t xml:space="preserve">part of the </w:t>
      </w:r>
      <w:r w:rsidR="00387471">
        <w:rPr>
          <w:rFonts w:eastAsia="Times New Roman" w:cs="Times New Roman"/>
          <w:iCs/>
          <w:sz w:val="21"/>
          <w:szCs w:val="24"/>
          <w:lang w:val="en-AU" w:eastAsia="en-AU"/>
        </w:rPr>
        <w:t xml:space="preserve">selection criteria for </w:t>
      </w:r>
      <w:r w:rsidR="00C260CB">
        <w:rPr>
          <w:rFonts w:eastAsia="Times New Roman" w:cs="Times New Roman"/>
          <w:iCs/>
          <w:sz w:val="21"/>
          <w:szCs w:val="24"/>
          <w:lang w:val="en-AU" w:eastAsia="en-AU"/>
        </w:rPr>
        <w:t xml:space="preserve">response </w:t>
      </w:r>
      <w:r w:rsidR="00387471">
        <w:rPr>
          <w:rFonts w:eastAsia="Times New Roman" w:cs="Times New Roman"/>
          <w:iCs/>
          <w:sz w:val="21"/>
          <w:szCs w:val="24"/>
          <w:lang w:val="en-AU" w:eastAsia="en-AU"/>
        </w:rPr>
        <w:t>activations</w:t>
      </w:r>
      <w:r w:rsidR="00C260CB">
        <w:rPr>
          <w:rFonts w:eastAsia="Times New Roman" w:cs="Times New Roman"/>
          <w:iCs/>
          <w:sz w:val="21"/>
          <w:szCs w:val="24"/>
          <w:lang w:val="en-AU" w:eastAsia="en-AU"/>
        </w:rPr>
        <w:t xml:space="preserve"> (where </w:t>
      </w:r>
      <w:r w:rsidR="00352A36">
        <w:rPr>
          <w:rFonts w:eastAsia="Times New Roman" w:cs="Times New Roman"/>
          <w:iCs/>
          <w:sz w:val="21"/>
          <w:szCs w:val="24"/>
          <w:lang w:val="en-AU" w:eastAsia="en-AU"/>
        </w:rPr>
        <w:t xml:space="preserve">feasible and desirable based on timeframes and </w:t>
      </w:r>
      <w:r w:rsidR="004604E7">
        <w:rPr>
          <w:rFonts w:eastAsia="Times New Roman" w:cs="Times New Roman"/>
          <w:iCs/>
          <w:sz w:val="21"/>
          <w:szCs w:val="24"/>
          <w:lang w:val="en-AU" w:eastAsia="en-AU"/>
        </w:rPr>
        <w:t>value</w:t>
      </w:r>
      <w:r w:rsidR="00C260CB">
        <w:rPr>
          <w:rFonts w:eastAsia="Times New Roman" w:cs="Times New Roman"/>
          <w:iCs/>
          <w:sz w:val="21"/>
          <w:szCs w:val="24"/>
          <w:lang w:val="en-AU" w:eastAsia="en-AU"/>
        </w:rPr>
        <w:t>)</w:t>
      </w:r>
      <w:r w:rsidR="00387471">
        <w:rPr>
          <w:rFonts w:eastAsia="Times New Roman" w:cs="Times New Roman"/>
          <w:iCs/>
          <w:sz w:val="21"/>
          <w:szCs w:val="24"/>
          <w:lang w:val="en-AU" w:eastAsia="en-AU"/>
        </w:rPr>
        <w:t xml:space="preserve"> and including it as a </w:t>
      </w:r>
      <w:r w:rsidR="009A000D">
        <w:rPr>
          <w:rFonts w:eastAsia="Times New Roman" w:cs="Times New Roman"/>
          <w:iCs/>
          <w:sz w:val="21"/>
          <w:szCs w:val="24"/>
          <w:lang w:val="en-AU" w:eastAsia="en-AU"/>
        </w:rPr>
        <w:t>criterion</w:t>
      </w:r>
      <w:r w:rsidR="00387471">
        <w:rPr>
          <w:rFonts w:eastAsia="Times New Roman" w:cs="Times New Roman"/>
          <w:iCs/>
          <w:sz w:val="21"/>
          <w:szCs w:val="24"/>
          <w:lang w:val="en-AU" w:eastAsia="en-AU"/>
        </w:rPr>
        <w:t xml:space="preserve"> for peer review in collaborative Disaster READY country plans and other country activations</w:t>
      </w:r>
      <w:r w:rsidR="008E1546">
        <w:rPr>
          <w:rFonts w:eastAsia="Times New Roman" w:cs="Times New Roman"/>
          <w:iCs/>
          <w:sz w:val="21"/>
          <w:szCs w:val="24"/>
          <w:lang w:val="en-AU" w:eastAsia="en-AU"/>
        </w:rPr>
        <w:t>;</w:t>
      </w:r>
    </w:p>
    <w:p w14:paraId="5C4F1E63" w14:textId="54045134" w:rsidR="00387471" w:rsidRDefault="00656052" w:rsidP="0011591E">
      <w:pPr>
        <w:pStyle w:val="ListParagraph"/>
        <w:numPr>
          <w:ilvl w:val="0"/>
          <w:numId w:val="20"/>
        </w:numPr>
        <w:tabs>
          <w:tab w:val="left" w:pos="284"/>
        </w:tabs>
        <w:suppressAutoHyphens w:val="0"/>
        <w:spacing w:before="200" w:after="0" w:line="280" w:lineRule="exact"/>
        <w:contextualSpacing w:val="0"/>
        <w:rPr>
          <w:rFonts w:eastAsia="Times New Roman" w:cs="Times New Roman"/>
          <w:iCs/>
          <w:sz w:val="21"/>
          <w:szCs w:val="24"/>
          <w:lang w:val="en-AU" w:eastAsia="en-AU"/>
        </w:rPr>
      </w:pPr>
      <w:r>
        <w:rPr>
          <w:rFonts w:eastAsia="Times New Roman" w:cs="Times New Roman"/>
          <w:iCs/>
          <w:sz w:val="21"/>
          <w:szCs w:val="24"/>
          <w:lang w:val="en-AU" w:eastAsia="en-AU"/>
        </w:rPr>
        <w:t>I</w:t>
      </w:r>
      <w:r w:rsidR="00387471">
        <w:rPr>
          <w:rFonts w:eastAsia="Times New Roman" w:cs="Times New Roman"/>
          <w:iCs/>
          <w:sz w:val="21"/>
          <w:szCs w:val="24"/>
          <w:lang w:val="en-AU" w:eastAsia="en-AU"/>
        </w:rPr>
        <w:t>ncluding performance of MEL systems in evaluations (as included for I</w:t>
      </w:r>
      <w:r>
        <w:rPr>
          <w:rFonts w:eastAsia="Times New Roman" w:cs="Times New Roman"/>
          <w:iCs/>
          <w:sz w:val="21"/>
          <w:szCs w:val="24"/>
          <w:lang w:val="en-AU" w:eastAsia="en-AU"/>
        </w:rPr>
        <w:t>O</w:t>
      </w:r>
      <w:r w:rsidR="00387471">
        <w:rPr>
          <w:rFonts w:eastAsia="Times New Roman" w:cs="Times New Roman"/>
          <w:iCs/>
          <w:sz w:val="21"/>
          <w:szCs w:val="24"/>
          <w:lang w:val="en-AU" w:eastAsia="en-AU"/>
        </w:rPr>
        <w:t>s 1 and 2) where relative performance of ANGOs can be compared</w:t>
      </w:r>
      <w:r w:rsidR="00457753">
        <w:rPr>
          <w:rFonts w:eastAsia="Times New Roman" w:cs="Times New Roman"/>
          <w:iCs/>
          <w:sz w:val="21"/>
          <w:szCs w:val="24"/>
          <w:lang w:val="en-AU" w:eastAsia="en-AU"/>
        </w:rPr>
        <w:t>, and using performance information as part of the partner selection process for future activations</w:t>
      </w:r>
      <w:r w:rsidR="008E1546">
        <w:rPr>
          <w:rFonts w:eastAsia="Times New Roman" w:cs="Times New Roman"/>
          <w:iCs/>
          <w:sz w:val="21"/>
          <w:szCs w:val="24"/>
          <w:lang w:val="en-AU" w:eastAsia="en-AU"/>
        </w:rPr>
        <w:t>;</w:t>
      </w:r>
    </w:p>
    <w:p w14:paraId="0A418B80" w14:textId="03A5662D" w:rsidR="00387471" w:rsidRDefault="00AA5981" w:rsidP="0011591E">
      <w:pPr>
        <w:pStyle w:val="ListParagraph"/>
        <w:numPr>
          <w:ilvl w:val="0"/>
          <w:numId w:val="20"/>
        </w:numPr>
        <w:tabs>
          <w:tab w:val="left" w:pos="284"/>
        </w:tabs>
        <w:suppressAutoHyphens w:val="0"/>
        <w:spacing w:before="200" w:after="0" w:line="280" w:lineRule="exact"/>
        <w:contextualSpacing w:val="0"/>
        <w:rPr>
          <w:rFonts w:eastAsia="Times New Roman" w:cs="Times New Roman"/>
          <w:iCs/>
          <w:sz w:val="21"/>
          <w:szCs w:val="24"/>
          <w:lang w:val="en-AU" w:eastAsia="en-AU"/>
        </w:rPr>
      </w:pPr>
      <w:r>
        <w:rPr>
          <w:rFonts w:eastAsia="Times New Roman" w:cs="Times New Roman"/>
          <w:iCs/>
          <w:sz w:val="21"/>
          <w:szCs w:val="24"/>
          <w:lang w:val="en-AU" w:eastAsia="en-AU"/>
        </w:rPr>
        <w:t>H</w:t>
      </w:r>
      <w:r w:rsidR="00387471">
        <w:rPr>
          <w:rFonts w:eastAsia="Times New Roman" w:cs="Times New Roman"/>
          <w:iCs/>
          <w:sz w:val="21"/>
          <w:szCs w:val="24"/>
          <w:lang w:val="en-AU" w:eastAsia="en-AU"/>
        </w:rPr>
        <w:t>ighlight</w:t>
      </w:r>
      <w:r>
        <w:rPr>
          <w:rFonts w:eastAsia="Times New Roman" w:cs="Times New Roman"/>
          <w:iCs/>
          <w:sz w:val="21"/>
          <w:szCs w:val="24"/>
          <w:lang w:val="en-AU" w:eastAsia="en-AU"/>
        </w:rPr>
        <w:t>ing</w:t>
      </w:r>
      <w:r w:rsidR="00387471">
        <w:rPr>
          <w:rFonts w:eastAsia="Times New Roman" w:cs="Times New Roman"/>
          <w:iCs/>
          <w:sz w:val="21"/>
          <w:szCs w:val="24"/>
          <w:lang w:val="en-AU" w:eastAsia="en-AU"/>
        </w:rPr>
        <w:t xml:space="preserve"> good (and poor) practices through </w:t>
      </w:r>
      <w:r w:rsidR="007D4B3C">
        <w:rPr>
          <w:rFonts w:eastAsia="Times New Roman" w:cs="Times New Roman"/>
          <w:iCs/>
          <w:sz w:val="21"/>
          <w:szCs w:val="24"/>
          <w:lang w:val="en-AU" w:eastAsia="en-AU"/>
        </w:rPr>
        <w:t>MEL</w:t>
      </w:r>
      <w:r w:rsidR="00387471">
        <w:rPr>
          <w:rFonts w:eastAsia="Times New Roman" w:cs="Times New Roman"/>
          <w:iCs/>
          <w:sz w:val="21"/>
          <w:szCs w:val="24"/>
          <w:lang w:val="en-AU" w:eastAsia="en-AU"/>
        </w:rPr>
        <w:t xml:space="preserve"> Community of Practice events, and through peer engagement in activity level routine </w:t>
      </w:r>
      <w:r w:rsidR="00CB7586">
        <w:rPr>
          <w:rFonts w:eastAsia="Times New Roman" w:cs="Times New Roman"/>
          <w:iCs/>
          <w:sz w:val="21"/>
          <w:szCs w:val="24"/>
          <w:lang w:val="en-AU" w:eastAsia="en-AU"/>
        </w:rPr>
        <w:t>MEL</w:t>
      </w:r>
      <w:r w:rsidR="008E1546">
        <w:rPr>
          <w:rFonts w:eastAsia="Times New Roman" w:cs="Times New Roman"/>
          <w:iCs/>
          <w:sz w:val="21"/>
          <w:szCs w:val="24"/>
          <w:lang w:val="en-AU" w:eastAsia="en-AU"/>
        </w:rPr>
        <w:t>;</w:t>
      </w:r>
    </w:p>
    <w:p w14:paraId="5D19C388" w14:textId="5E2F9257" w:rsidR="00387471" w:rsidRDefault="00AA5981" w:rsidP="0011591E">
      <w:pPr>
        <w:pStyle w:val="ListParagraph"/>
        <w:numPr>
          <w:ilvl w:val="0"/>
          <w:numId w:val="20"/>
        </w:numPr>
        <w:tabs>
          <w:tab w:val="left" w:pos="284"/>
        </w:tabs>
        <w:suppressAutoHyphens w:val="0"/>
        <w:spacing w:before="200" w:after="0" w:line="280" w:lineRule="exact"/>
        <w:contextualSpacing w:val="0"/>
        <w:rPr>
          <w:rFonts w:eastAsia="Times New Roman" w:cs="Times New Roman"/>
          <w:iCs/>
          <w:sz w:val="21"/>
          <w:szCs w:val="24"/>
          <w:lang w:val="en-AU" w:eastAsia="en-AU"/>
        </w:rPr>
      </w:pPr>
      <w:r>
        <w:rPr>
          <w:rFonts w:eastAsia="Times New Roman" w:cs="Times New Roman"/>
          <w:iCs/>
          <w:sz w:val="21"/>
          <w:szCs w:val="24"/>
          <w:lang w:val="en-AU" w:eastAsia="en-AU"/>
        </w:rPr>
        <w:t>R</w:t>
      </w:r>
      <w:r w:rsidR="00387471">
        <w:rPr>
          <w:rFonts w:eastAsia="Times New Roman" w:cs="Times New Roman"/>
          <w:iCs/>
          <w:sz w:val="21"/>
          <w:szCs w:val="24"/>
          <w:lang w:val="en-AU" w:eastAsia="en-AU"/>
        </w:rPr>
        <w:t xml:space="preserve">eflecting on progress and improvements in </w:t>
      </w:r>
      <w:r w:rsidR="007D4B3C">
        <w:rPr>
          <w:rFonts w:eastAsia="Times New Roman" w:cs="Times New Roman"/>
          <w:iCs/>
          <w:sz w:val="21"/>
          <w:szCs w:val="24"/>
          <w:lang w:val="en-AU" w:eastAsia="en-AU"/>
        </w:rPr>
        <w:t>MEL and adaptation</w:t>
      </w:r>
      <w:r w:rsidR="00387471">
        <w:rPr>
          <w:rFonts w:eastAsia="Times New Roman" w:cs="Times New Roman"/>
          <w:iCs/>
          <w:sz w:val="21"/>
          <w:szCs w:val="24"/>
          <w:lang w:val="en-AU" w:eastAsia="en-AU"/>
        </w:rPr>
        <w:t xml:space="preserve"> at the Steering Committee</w:t>
      </w:r>
      <w:r w:rsidR="008E1546">
        <w:rPr>
          <w:rFonts w:eastAsia="Times New Roman" w:cs="Times New Roman"/>
          <w:iCs/>
          <w:sz w:val="21"/>
          <w:szCs w:val="24"/>
          <w:lang w:val="en-AU" w:eastAsia="en-AU"/>
        </w:rPr>
        <w:t>; and</w:t>
      </w:r>
    </w:p>
    <w:p w14:paraId="3F3A1D81" w14:textId="3EE15AEC" w:rsidR="00387471" w:rsidRDefault="00AA5981" w:rsidP="0011591E">
      <w:pPr>
        <w:pStyle w:val="ListParagraph"/>
        <w:numPr>
          <w:ilvl w:val="0"/>
          <w:numId w:val="20"/>
        </w:numPr>
        <w:tabs>
          <w:tab w:val="left" w:pos="284"/>
        </w:tabs>
        <w:suppressAutoHyphens w:val="0"/>
        <w:spacing w:before="200" w:after="0" w:line="280" w:lineRule="exact"/>
        <w:contextualSpacing w:val="0"/>
        <w:rPr>
          <w:rFonts w:eastAsia="Times New Roman" w:cs="Times New Roman"/>
          <w:iCs/>
          <w:sz w:val="21"/>
          <w:szCs w:val="24"/>
          <w:lang w:val="en-AU" w:eastAsia="en-AU"/>
        </w:rPr>
      </w:pPr>
      <w:r>
        <w:rPr>
          <w:rFonts w:eastAsia="Times New Roman" w:cs="Times New Roman"/>
          <w:iCs/>
          <w:sz w:val="21"/>
          <w:szCs w:val="24"/>
          <w:lang w:val="en-AU" w:eastAsia="en-AU"/>
        </w:rPr>
        <w:t>C</w:t>
      </w:r>
      <w:r w:rsidR="00387471">
        <w:rPr>
          <w:rFonts w:eastAsia="Times New Roman" w:cs="Times New Roman"/>
          <w:iCs/>
          <w:sz w:val="21"/>
          <w:szCs w:val="24"/>
          <w:lang w:val="en-AU" w:eastAsia="en-AU"/>
        </w:rPr>
        <w:t xml:space="preserve">onducting research or other activities under </w:t>
      </w:r>
      <w:r w:rsidR="00923AA4">
        <w:rPr>
          <w:rFonts w:eastAsia="Times New Roman" w:cs="Times New Roman"/>
          <w:iCs/>
          <w:sz w:val="21"/>
          <w:szCs w:val="24"/>
          <w:lang w:val="en-AU" w:eastAsia="en-AU"/>
        </w:rPr>
        <w:t xml:space="preserve">the Disaster READY Learning Agendas or AHPSU </w:t>
      </w:r>
      <w:r w:rsidR="00387471">
        <w:rPr>
          <w:rFonts w:eastAsia="Times New Roman" w:cs="Times New Roman"/>
          <w:iCs/>
          <w:sz w:val="21"/>
          <w:szCs w:val="24"/>
          <w:lang w:val="en-AU" w:eastAsia="en-AU"/>
        </w:rPr>
        <w:t>that creates benefits or additional financing for ANGOs promoting good practice.</w:t>
      </w:r>
    </w:p>
    <w:p w14:paraId="59154B85" w14:textId="1128F985" w:rsidR="007E5298" w:rsidRDefault="00823435" w:rsidP="003E2C60">
      <w:pPr>
        <w:pStyle w:val="ListParagraph"/>
        <w:numPr>
          <w:ilvl w:val="0"/>
          <w:numId w:val="12"/>
        </w:numPr>
        <w:tabs>
          <w:tab w:val="left" w:pos="284"/>
        </w:tabs>
        <w:suppressAutoHyphens w:val="0"/>
        <w:spacing w:before="200" w:after="0" w:line="280" w:lineRule="exact"/>
        <w:ind w:left="0" w:firstLine="0"/>
        <w:contextualSpacing w:val="0"/>
        <w:rPr>
          <w:rFonts w:eastAsia="Times New Roman" w:cs="Times New Roman"/>
          <w:iCs/>
          <w:sz w:val="21"/>
          <w:szCs w:val="24"/>
          <w:lang w:val="en-AU" w:eastAsia="en-AU"/>
        </w:rPr>
      </w:pPr>
      <w:r>
        <w:rPr>
          <w:rFonts w:eastAsia="Times New Roman" w:cs="Times New Roman"/>
          <w:iCs/>
          <w:sz w:val="21"/>
          <w:szCs w:val="24"/>
          <w:lang w:val="en-AU" w:eastAsia="en-AU"/>
        </w:rPr>
        <w:lastRenderedPageBreak/>
        <w:t xml:space="preserve">The AHPSU also facilitates </w:t>
      </w:r>
      <w:r w:rsidR="00157C7D">
        <w:rPr>
          <w:rFonts w:eastAsia="Times New Roman" w:cs="Times New Roman"/>
          <w:iCs/>
          <w:sz w:val="21"/>
          <w:szCs w:val="24"/>
          <w:lang w:val="en-AU" w:eastAsia="en-AU"/>
        </w:rPr>
        <w:t xml:space="preserve">high quality </w:t>
      </w:r>
      <w:r w:rsidR="00070348">
        <w:rPr>
          <w:rFonts w:eastAsia="Times New Roman" w:cs="Times New Roman"/>
          <w:iCs/>
          <w:sz w:val="21"/>
          <w:szCs w:val="24"/>
          <w:lang w:val="en-AU" w:eastAsia="en-AU"/>
        </w:rPr>
        <w:t>MEL</w:t>
      </w:r>
      <w:r w:rsidR="00157C7D">
        <w:rPr>
          <w:rFonts w:eastAsia="Times New Roman" w:cs="Times New Roman"/>
          <w:iCs/>
          <w:sz w:val="21"/>
          <w:szCs w:val="24"/>
          <w:lang w:val="en-AU" w:eastAsia="en-AU"/>
        </w:rPr>
        <w:t xml:space="preserve"> across the partnership by</w:t>
      </w:r>
      <w:r w:rsidRPr="00823435">
        <w:rPr>
          <w:rFonts w:eastAsia="Times New Roman" w:cs="Times New Roman"/>
          <w:iCs/>
          <w:sz w:val="21"/>
          <w:szCs w:val="24"/>
          <w:lang w:val="en-AU" w:eastAsia="en-AU"/>
        </w:rPr>
        <w:t xml:space="preserve"> working with </w:t>
      </w:r>
      <w:r w:rsidR="00157C7D">
        <w:rPr>
          <w:rFonts w:eastAsia="Times New Roman" w:cs="Times New Roman"/>
          <w:iCs/>
          <w:sz w:val="21"/>
          <w:szCs w:val="24"/>
          <w:lang w:val="en-AU" w:eastAsia="en-AU"/>
        </w:rPr>
        <w:t xml:space="preserve">ANGOs </w:t>
      </w:r>
      <w:r w:rsidRPr="00823435">
        <w:rPr>
          <w:rFonts w:eastAsia="Times New Roman" w:cs="Times New Roman"/>
          <w:iCs/>
          <w:sz w:val="21"/>
          <w:szCs w:val="24"/>
          <w:lang w:val="en-AU" w:eastAsia="en-AU"/>
        </w:rPr>
        <w:t xml:space="preserve">to </w:t>
      </w:r>
      <w:r w:rsidR="00711815">
        <w:rPr>
          <w:rFonts w:eastAsia="Times New Roman" w:cs="Times New Roman"/>
          <w:iCs/>
          <w:sz w:val="21"/>
          <w:szCs w:val="24"/>
          <w:lang w:val="en-AU" w:eastAsia="en-AU"/>
        </w:rPr>
        <w:t xml:space="preserve">monitor expectations </w:t>
      </w:r>
      <w:r w:rsidR="007E5298">
        <w:rPr>
          <w:rFonts w:eastAsia="Times New Roman" w:cs="Times New Roman"/>
          <w:iCs/>
          <w:sz w:val="21"/>
          <w:szCs w:val="24"/>
          <w:lang w:val="en-AU" w:eastAsia="en-AU"/>
        </w:rPr>
        <w:t>versus</w:t>
      </w:r>
      <w:r w:rsidR="00711815">
        <w:rPr>
          <w:rFonts w:eastAsia="Times New Roman" w:cs="Times New Roman"/>
          <w:iCs/>
          <w:sz w:val="21"/>
          <w:szCs w:val="24"/>
          <w:lang w:val="en-AU" w:eastAsia="en-AU"/>
        </w:rPr>
        <w:t xml:space="preserve"> reality in MELF implementation, and </w:t>
      </w:r>
      <w:r w:rsidRPr="00823435">
        <w:rPr>
          <w:rFonts w:eastAsia="Times New Roman" w:cs="Times New Roman"/>
          <w:iCs/>
          <w:sz w:val="21"/>
          <w:szCs w:val="24"/>
          <w:lang w:val="en-AU" w:eastAsia="en-AU"/>
        </w:rPr>
        <w:t xml:space="preserve">get the best out of </w:t>
      </w:r>
      <w:r w:rsidR="007E5298">
        <w:rPr>
          <w:rFonts w:eastAsia="Times New Roman" w:cs="Times New Roman"/>
          <w:iCs/>
          <w:sz w:val="21"/>
          <w:szCs w:val="24"/>
          <w:lang w:val="en-AU" w:eastAsia="en-AU"/>
        </w:rPr>
        <w:t xml:space="preserve">and improve </w:t>
      </w:r>
      <w:r w:rsidRPr="00823435">
        <w:rPr>
          <w:rFonts w:eastAsia="Times New Roman" w:cs="Times New Roman"/>
          <w:iCs/>
          <w:sz w:val="21"/>
          <w:szCs w:val="24"/>
          <w:lang w:val="en-AU" w:eastAsia="en-AU"/>
        </w:rPr>
        <w:t>systems where required</w:t>
      </w:r>
      <w:r w:rsidR="007E5298">
        <w:rPr>
          <w:rFonts w:eastAsia="Times New Roman" w:cs="Times New Roman"/>
          <w:iCs/>
          <w:sz w:val="21"/>
          <w:szCs w:val="24"/>
          <w:lang w:val="en-AU" w:eastAsia="en-AU"/>
        </w:rPr>
        <w:t>.</w:t>
      </w:r>
    </w:p>
    <w:p w14:paraId="5D4DAD0E" w14:textId="77777777" w:rsidR="00527E2B" w:rsidRDefault="00387471" w:rsidP="00527E2B">
      <w:pPr>
        <w:pStyle w:val="ListParagraph"/>
        <w:numPr>
          <w:ilvl w:val="0"/>
          <w:numId w:val="12"/>
        </w:numPr>
        <w:tabs>
          <w:tab w:val="left" w:pos="284"/>
        </w:tabs>
        <w:suppressAutoHyphens w:val="0"/>
        <w:spacing w:before="200" w:after="0" w:line="280" w:lineRule="exact"/>
        <w:ind w:left="0" w:firstLine="0"/>
        <w:contextualSpacing w:val="0"/>
        <w:rPr>
          <w:rFonts w:eastAsia="Times New Roman" w:cs="Times New Roman"/>
          <w:iCs/>
          <w:sz w:val="21"/>
          <w:szCs w:val="24"/>
          <w:lang w:val="en-AU" w:eastAsia="en-AU"/>
        </w:rPr>
      </w:pPr>
      <w:r>
        <w:rPr>
          <w:rFonts w:eastAsia="Times New Roman" w:cs="Times New Roman"/>
          <w:iCs/>
          <w:sz w:val="21"/>
          <w:szCs w:val="24"/>
          <w:lang w:val="en-AU" w:eastAsia="en-AU"/>
        </w:rPr>
        <w:t xml:space="preserve">Elements of the existing MELF that will be retained in the program include </w:t>
      </w:r>
      <w:r w:rsidR="00245662">
        <w:rPr>
          <w:rFonts w:eastAsia="Times New Roman" w:cs="Times New Roman"/>
          <w:iCs/>
          <w:sz w:val="21"/>
          <w:szCs w:val="24"/>
          <w:lang w:val="en-AU" w:eastAsia="en-AU"/>
        </w:rPr>
        <w:t>country level and partnership level Partnership Health Checks to enable partners to reflect on the Principles underpinning the program, assess progress towards whole of program outcomes, identify emerging issues and propose changes to adapt to new policy and operational settings.</w:t>
      </w:r>
    </w:p>
    <w:p w14:paraId="5F95DBFF" w14:textId="49C9C9C0" w:rsidR="00245662" w:rsidRPr="00527E2B" w:rsidRDefault="00245662" w:rsidP="00527E2B">
      <w:pPr>
        <w:pStyle w:val="ListParagraph"/>
        <w:numPr>
          <w:ilvl w:val="0"/>
          <w:numId w:val="12"/>
        </w:numPr>
        <w:tabs>
          <w:tab w:val="left" w:pos="284"/>
          <w:tab w:val="left" w:pos="426"/>
        </w:tabs>
        <w:suppressAutoHyphens w:val="0"/>
        <w:spacing w:before="200" w:after="0" w:line="280" w:lineRule="exact"/>
        <w:ind w:left="0" w:firstLine="0"/>
        <w:contextualSpacing w:val="0"/>
        <w:rPr>
          <w:rFonts w:eastAsia="Times New Roman" w:cs="Times New Roman"/>
          <w:iCs/>
          <w:sz w:val="21"/>
          <w:szCs w:val="24"/>
          <w:lang w:val="en-AU" w:eastAsia="en-AU"/>
        </w:rPr>
      </w:pPr>
      <w:r w:rsidRPr="00527E2B">
        <w:rPr>
          <w:rFonts w:eastAsia="Times New Roman" w:cs="Times New Roman"/>
          <w:iCs/>
          <w:sz w:val="21"/>
          <w:szCs w:val="24"/>
          <w:lang w:val="en-AU" w:eastAsia="en-AU"/>
        </w:rPr>
        <w:t>The AHPSU will also prepare a</w:t>
      </w:r>
      <w:r w:rsidR="00541C90" w:rsidRPr="00527E2B">
        <w:rPr>
          <w:rFonts w:eastAsia="Times New Roman" w:cs="Times New Roman"/>
          <w:iCs/>
          <w:sz w:val="21"/>
          <w:szCs w:val="24"/>
          <w:lang w:val="en-AU" w:eastAsia="en-AU"/>
        </w:rPr>
        <w:t xml:space="preserve"> six monthly and a</w:t>
      </w:r>
      <w:r w:rsidRPr="00527E2B">
        <w:rPr>
          <w:rFonts w:eastAsia="Times New Roman" w:cs="Times New Roman"/>
          <w:iCs/>
          <w:sz w:val="21"/>
          <w:szCs w:val="24"/>
          <w:lang w:val="en-AU" w:eastAsia="en-AU"/>
        </w:rPr>
        <w:t xml:space="preserve">nnual </w:t>
      </w:r>
      <w:r w:rsidR="00083F99" w:rsidRPr="00527E2B">
        <w:rPr>
          <w:rFonts w:eastAsia="Times New Roman" w:cs="Times New Roman"/>
          <w:iCs/>
          <w:sz w:val="21"/>
          <w:szCs w:val="24"/>
          <w:lang w:val="en-AU" w:eastAsia="en-AU"/>
        </w:rPr>
        <w:t>r</w:t>
      </w:r>
      <w:r w:rsidRPr="00527E2B">
        <w:rPr>
          <w:rFonts w:eastAsia="Times New Roman" w:cs="Times New Roman"/>
          <w:iCs/>
          <w:sz w:val="21"/>
          <w:szCs w:val="24"/>
          <w:lang w:val="en-AU" w:eastAsia="en-AU"/>
        </w:rPr>
        <w:t xml:space="preserve">eport on </w:t>
      </w:r>
      <w:r w:rsidR="00C33E8F" w:rsidRPr="00527E2B">
        <w:rPr>
          <w:rFonts w:eastAsia="Times New Roman" w:cs="Times New Roman"/>
          <w:iCs/>
          <w:sz w:val="21"/>
          <w:szCs w:val="24"/>
          <w:lang w:val="en-AU" w:eastAsia="en-AU"/>
        </w:rPr>
        <w:t>its</w:t>
      </w:r>
      <w:r w:rsidRPr="00527E2B">
        <w:rPr>
          <w:rFonts w:eastAsia="Times New Roman" w:cs="Times New Roman"/>
          <w:iCs/>
          <w:sz w:val="21"/>
          <w:szCs w:val="24"/>
          <w:lang w:val="en-AU" w:eastAsia="en-AU"/>
        </w:rPr>
        <w:t xml:space="preserve"> activities, financial responsibilities, and progress against the functions of their TOR</w:t>
      </w:r>
      <w:r w:rsidR="00541C90" w:rsidRPr="00527E2B">
        <w:rPr>
          <w:rFonts w:eastAsia="Times New Roman" w:cs="Times New Roman"/>
          <w:iCs/>
          <w:sz w:val="21"/>
          <w:szCs w:val="24"/>
          <w:lang w:val="en-AU" w:eastAsia="en-AU"/>
        </w:rPr>
        <w:t xml:space="preserve"> and contract</w:t>
      </w:r>
      <w:r w:rsidRPr="00527E2B">
        <w:rPr>
          <w:rFonts w:eastAsia="Times New Roman" w:cs="Times New Roman"/>
          <w:iCs/>
          <w:sz w:val="21"/>
          <w:szCs w:val="24"/>
          <w:lang w:val="en-AU" w:eastAsia="en-AU"/>
        </w:rPr>
        <w:t>.</w:t>
      </w:r>
      <w:r w:rsidR="004E07EF" w:rsidRPr="00527E2B">
        <w:rPr>
          <w:rFonts w:eastAsia="Times New Roman" w:cs="Times New Roman"/>
          <w:iCs/>
          <w:sz w:val="21"/>
          <w:szCs w:val="24"/>
          <w:lang w:val="en-AU" w:eastAsia="en-AU"/>
        </w:rPr>
        <w:t xml:space="preserve">  This will include ongoing </w:t>
      </w:r>
      <w:r w:rsidR="00020266" w:rsidRPr="00527E2B">
        <w:rPr>
          <w:rFonts w:eastAsia="Times New Roman" w:cs="Times New Roman"/>
          <w:iCs/>
          <w:sz w:val="21"/>
          <w:szCs w:val="24"/>
          <w:lang w:val="en-AU" w:eastAsia="en-AU"/>
        </w:rPr>
        <w:t>r</w:t>
      </w:r>
      <w:r w:rsidR="004E07EF" w:rsidRPr="00527E2B">
        <w:rPr>
          <w:rFonts w:eastAsia="Times New Roman" w:cs="Times New Roman"/>
          <w:iCs/>
          <w:sz w:val="21"/>
          <w:szCs w:val="24"/>
          <w:lang w:val="en-AU" w:eastAsia="en-AU"/>
        </w:rPr>
        <w:t>eporting against the deliverables and indicators of program-wide Outputs for each component.</w:t>
      </w:r>
    </w:p>
    <w:p w14:paraId="1A4693C5" w14:textId="77777777" w:rsidR="00A32858" w:rsidRPr="00851A62" w:rsidRDefault="00A32858" w:rsidP="0011591E">
      <w:pPr>
        <w:pStyle w:val="Heading1"/>
        <w:numPr>
          <w:ilvl w:val="0"/>
          <w:numId w:val="22"/>
        </w:numPr>
        <w:pBdr>
          <w:top w:val="single" w:sz="4" w:space="1" w:color="auto"/>
          <w:left w:val="single" w:sz="4" w:space="4" w:color="auto"/>
          <w:bottom w:val="single" w:sz="4" w:space="1" w:color="auto"/>
          <w:right w:val="single" w:sz="4" w:space="4" w:color="auto"/>
        </w:pBdr>
        <w:shd w:val="clear" w:color="auto" w:fill="E0F3EF" w:themeFill="accent1" w:themeFillTint="33"/>
        <w:spacing w:before="200" w:after="0"/>
        <w:contextualSpacing w:val="0"/>
        <w:rPr>
          <w:rFonts w:eastAsiaTheme="minorHAnsi" w:cstheme="minorBidi"/>
          <w:bCs w:val="0"/>
          <w:sz w:val="22"/>
          <w:szCs w:val="21"/>
        </w:rPr>
      </w:pPr>
      <w:bookmarkStart w:id="44" w:name="_Toc101521663"/>
      <w:bookmarkEnd w:id="43"/>
      <w:r w:rsidRPr="00851A62">
        <w:rPr>
          <w:rFonts w:eastAsiaTheme="minorHAnsi" w:cstheme="minorBidi"/>
          <w:bCs w:val="0"/>
          <w:sz w:val="22"/>
          <w:szCs w:val="21"/>
        </w:rPr>
        <w:t>Gender, Disability and Other Cross Cutting Issues</w:t>
      </w:r>
      <w:bookmarkEnd w:id="44"/>
    </w:p>
    <w:p w14:paraId="226EDD7A" w14:textId="5F6B81C8" w:rsidR="004E07EF" w:rsidRPr="005B092D" w:rsidRDefault="00A32858" w:rsidP="005B092D">
      <w:pPr>
        <w:spacing w:before="200" w:after="0"/>
        <w:rPr>
          <w:b/>
          <w:bCs/>
          <w:i/>
          <w:iCs/>
        </w:rPr>
      </w:pPr>
      <w:r w:rsidRPr="00E93683">
        <w:rPr>
          <w:b/>
          <w:bCs/>
          <w:i/>
          <w:iCs/>
        </w:rPr>
        <w:t>Gender Equality</w:t>
      </w:r>
      <w:r w:rsidR="0075220F" w:rsidRPr="00E93683">
        <w:rPr>
          <w:b/>
          <w:bCs/>
          <w:i/>
          <w:iCs/>
        </w:rPr>
        <w:t xml:space="preserve"> </w:t>
      </w:r>
      <w:r w:rsidR="00921A8C" w:rsidRPr="00E93683">
        <w:rPr>
          <w:b/>
          <w:bCs/>
          <w:i/>
          <w:iCs/>
        </w:rPr>
        <w:t xml:space="preserve"> </w:t>
      </w:r>
    </w:p>
    <w:p w14:paraId="371CE9C1" w14:textId="2210BB9A" w:rsidR="00D0625C" w:rsidRPr="00FB3BDE" w:rsidRDefault="00FB3BDE" w:rsidP="00527E2B">
      <w:pPr>
        <w:pStyle w:val="ListParagraph"/>
        <w:numPr>
          <w:ilvl w:val="0"/>
          <w:numId w:val="12"/>
        </w:numPr>
        <w:tabs>
          <w:tab w:val="left" w:pos="284"/>
          <w:tab w:val="left" w:pos="426"/>
        </w:tabs>
        <w:suppressAutoHyphens w:val="0"/>
        <w:spacing w:before="200" w:after="0" w:line="280" w:lineRule="exact"/>
        <w:ind w:left="0" w:firstLine="0"/>
        <w:contextualSpacing w:val="0"/>
        <w:rPr>
          <w:rFonts w:eastAsia="Times New Roman" w:cs="Times New Roman"/>
          <w:sz w:val="21"/>
          <w:szCs w:val="21"/>
          <w:lang w:val="en-AU"/>
        </w:rPr>
      </w:pPr>
      <w:r w:rsidRPr="0065559C">
        <w:rPr>
          <w:rFonts w:eastAsia="Times New Roman" w:cs="Times New Roman"/>
          <w:sz w:val="21"/>
          <w:szCs w:val="21"/>
          <w:lang w:val="en-AU"/>
        </w:rPr>
        <w:t>As frontline implementers of development</w:t>
      </w:r>
      <w:r w:rsidR="00291505" w:rsidRPr="0065559C">
        <w:rPr>
          <w:rFonts w:eastAsia="Times New Roman" w:cs="Times New Roman"/>
          <w:sz w:val="21"/>
          <w:szCs w:val="21"/>
          <w:lang w:val="en-AU"/>
        </w:rPr>
        <w:t xml:space="preserve"> and pivotal managers of natural and environmental resources, </w:t>
      </w:r>
      <w:r w:rsidRPr="0065559C">
        <w:rPr>
          <w:rFonts w:eastAsia="Times New Roman" w:cs="Times New Roman"/>
          <w:sz w:val="21"/>
          <w:szCs w:val="21"/>
          <w:lang w:val="en-AU"/>
        </w:rPr>
        <w:t xml:space="preserve">women </w:t>
      </w:r>
      <w:r w:rsidR="000D6143" w:rsidRPr="00527E2B">
        <w:rPr>
          <w:rFonts w:eastAsia="Times New Roman" w:cs="Times New Roman"/>
          <w:iCs/>
          <w:sz w:val="21"/>
          <w:szCs w:val="24"/>
          <w:lang w:val="en-AU" w:eastAsia="en-AU"/>
        </w:rPr>
        <w:t>are</w:t>
      </w:r>
      <w:r w:rsidR="000D6143" w:rsidRPr="0065559C">
        <w:rPr>
          <w:rFonts w:eastAsia="Times New Roman" w:cs="Times New Roman"/>
          <w:sz w:val="21"/>
          <w:szCs w:val="21"/>
          <w:lang w:val="en-AU"/>
        </w:rPr>
        <w:t xml:space="preserve"> key agents of change for</w:t>
      </w:r>
      <w:r w:rsidRPr="0065559C">
        <w:rPr>
          <w:rFonts w:eastAsia="Times New Roman" w:cs="Times New Roman"/>
          <w:sz w:val="21"/>
          <w:szCs w:val="21"/>
          <w:lang w:val="en-AU"/>
        </w:rPr>
        <w:t xml:space="preserve"> build</w:t>
      </w:r>
      <w:r w:rsidR="000D6143" w:rsidRPr="0065559C">
        <w:rPr>
          <w:rFonts w:eastAsia="Times New Roman" w:cs="Times New Roman"/>
          <w:sz w:val="21"/>
          <w:szCs w:val="21"/>
          <w:lang w:val="en-AU"/>
        </w:rPr>
        <w:t>ing</w:t>
      </w:r>
      <w:r w:rsidRPr="0065559C">
        <w:rPr>
          <w:rFonts w:eastAsia="Times New Roman" w:cs="Times New Roman"/>
          <w:sz w:val="21"/>
          <w:szCs w:val="21"/>
          <w:lang w:val="en-AU"/>
        </w:rPr>
        <w:t xml:space="preserve"> the resilience of their communities.</w:t>
      </w:r>
      <w:r w:rsidR="006F3930" w:rsidRPr="0065559C">
        <w:rPr>
          <w:rFonts w:eastAsia="Times New Roman" w:cs="Times New Roman"/>
          <w:sz w:val="21"/>
          <w:szCs w:val="21"/>
          <w:lang w:val="en-AU"/>
        </w:rPr>
        <w:t xml:space="preserve"> Their </w:t>
      </w:r>
      <w:r w:rsidR="0039617B" w:rsidRPr="0065559C">
        <w:rPr>
          <w:rFonts w:eastAsia="Times New Roman" w:cs="Times New Roman"/>
          <w:sz w:val="21"/>
          <w:szCs w:val="21"/>
          <w:lang w:val="en-AU"/>
        </w:rPr>
        <w:t xml:space="preserve">experience, knowledge, </w:t>
      </w:r>
      <w:r w:rsidR="006F3930" w:rsidRPr="0065559C">
        <w:rPr>
          <w:rFonts w:eastAsia="Times New Roman" w:cs="Times New Roman"/>
          <w:sz w:val="21"/>
          <w:szCs w:val="21"/>
          <w:lang w:val="en-AU"/>
        </w:rPr>
        <w:t xml:space="preserve">equitable </w:t>
      </w:r>
      <w:r w:rsidR="009A000D" w:rsidRPr="0065559C">
        <w:rPr>
          <w:rFonts w:eastAsia="Times New Roman" w:cs="Times New Roman"/>
          <w:sz w:val="21"/>
          <w:szCs w:val="21"/>
          <w:lang w:val="en-AU"/>
        </w:rPr>
        <w:t>participation,</w:t>
      </w:r>
      <w:r w:rsidR="006F3930" w:rsidRPr="0065559C">
        <w:rPr>
          <w:rFonts w:eastAsia="Times New Roman" w:cs="Times New Roman"/>
          <w:sz w:val="21"/>
          <w:szCs w:val="21"/>
          <w:lang w:val="en-AU"/>
        </w:rPr>
        <w:t xml:space="preserve"> and leadership is critical to </w:t>
      </w:r>
      <w:r w:rsidR="001576B2" w:rsidRPr="0065559C">
        <w:rPr>
          <w:rFonts w:eastAsia="Times New Roman" w:cs="Times New Roman"/>
          <w:sz w:val="21"/>
          <w:szCs w:val="21"/>
          <w:lang w:val="en-AU"/>
        </w:rPr>
        <w:t>effective</w:t>
      </w:r>
      <w:r w:rsidR="00F87582" w:rsidRPr="0065559C">
        <w:rPr>
          <w:rFonts w:eastAsia="Times New Roman" w:cs="Times New Roman"/>
          <w:sz w:val="21"/>
          <w:szCs w:val="21"/>
          <w:lang w:val="en-AU"/>
        </w:rPr>
        <w:t xml:space="preserve"> outcomes, and </w:t>
      </w:r>
      <w:r w:rsidR="0039617B" w:rsidRPr="0065559C">
        <w:rPr>
          <w:rFonts w:eastAsia="Times New Roman" w:cs="Times New Roman"/>
          <w:sz w:val="21"/>
          <w:szCs w:val="21"/>
          <w:lang w:val="en-AU"/>
        </w:rPr>
        <w:t xml:space="preserve">addressing </w:t>
      </w:r>
      <w:r w:rsidR="00B74279" w:rsidRPr="0065559C">
        <w:rPr>
          <w:rFonts w:eastAsia="Times New Roman" w:cs="Times New Roman"/>
          <w:sz w:val="21"/>
          <w:szCs w:val="21"/>
          <w:lang w:val="en-AU"/>
        </w:rPr>
        <w:t>the</w:t>
      </w:r>
      <w:r w:rsidR="00805D5E" w:rsidRPr="0065559C">
        <w:rPr>
          <w:rFonts w:eastAsia="Times New Roman" w:cs="Times New Roman"/>
          <w:sz w:val="21"/>
          <w:szCs w:val="21"/>
          <w:lang w:val="en-AU"/>
        </w:rPr>
        <w:t xml:space="preserve"> structural barriers </w:t>
      </w:r>
      <w:r w:rsidR="0026359C" w:rsidRPr="0065559C">
        <w:rPr>
          <w:rFonts w:eastAsia="Times New Roman" w:cs="Times New Roman"/>
          <w:sz w:val="21"/>
          <w:szCs w:val="21"/>
          <w:lang w:val="en-AU"/>
        </w:rPr>
        <w:t xml:space="preserve">and inequalities </w:t>
      </w:r>
      <w:r w:rsidR="00A476FF" w:rsidRPr="0065559C">
        <w:rPr>
          <w:rFonts w:eastAsia="Times New Roman" w:cs="Times New Roman"/>
          <w:sz w:val="21"/>
          <w:szCs w:val="21"/>
          <w:lang w:val="en-AU"/>
        </w:rPr>
        <w:t xml:space="preserve">that heighten </w:t>
      </w:r>
      <w:r w:rsidR="00553EB6" w:rsidRPr="0065559C">
        <w:rPr>
          <w:rFonts w:eastAsia="Times New Roman" w:cs="Times New Roman"/>
          <w:sz w:val="21"/>
          <w:szCs w:val="21"/>
          <w:lang w:val="en-AU"/>
        </w:rPr>
        <w:t xml:space="preserve">women’s </w:t>
      </w:r>
      <w:r w:rsidR="00A476FF" w:rsidRPr="0065559C">
        <w:rPr>
          <w:rFonts w:eastAsia="Times New Roman" w:cs="Times New Roman"/>
          <w:sz w:val="21"/>
          <w:szCs w:val="21"/>
          <w:lang w:val="en-AU"/>
        </w:rPr>
        <w:t>exposure to disaster risk, increase vulnerability and restrain capacity</w:t>
      </w:r>
      <w:r w:rsidR="00D0625C" w:rsidRPr="0065559C">
        <w:rPr>
          <w:rFonts w:eastAsia="Times New Roman" w:cs="Times New Roman"/>
          <w:sz w:val="21"/>
          <w:szCs w:val="21"/>
          <w:lang w:val="en-AU"/>
        </w:rPr>
        <w:t>.</w:t>
      </w:r>
      <w:r w:rsidR="00F5329F" w:rsidRPr="000664FA">
        <w:rPr>
          <w:sz w:val="18"/>
          <w:szCs w:val="18"/>
          <w:vertAlign w:val="superscript"/>
        </w:rPr>
        <w:footnoteReference w:id="20"/>
      </w:r>
      <w:r w:rsidR="002C01E5" w:rsidRPr="000664FA">
        <w:rPr>
          <w:rFonts w:eastAsia="Times New Roman" w:cs="Times New Roman"/>
          <w:sz w:val="16"/>
          <w:szCs w:val="16"/>
          <w:lang w:val="en-AU"/>
        </w:rPr>
        <w:t xml:space="preserve"> </w:t>
      </w:r>
      <w:r w:rsidR="002C01E5" w:rsidRPr="0065559C">
        <w:rPr>
          <w:rFonts w:eastAsia="Times New Roman" w:cs="Times New Roman"/>
          <w:sz w:val="21"/>
          <w:szCs w:val="21"/>
          <w:lang w:val="en-AU"/>
        </w:rPr>
        <w:t>F</w:t>
      </w:r>
      <w:r w:rsidR="00553EB6" w:rsidRPr="0065559C">
        <w:rPr>
          <w:rFonts w:eastAsia="Times New Roman" w:cs="Times New Roman"/>
          <w:sz w:val="21"/>
          <w:szCs w:val="21"/>
          <w:lang w:val="en-AU"/>
        </w:rPr>
        <w:t>or example, fo</w:t>
      </w:r>
      <w:r w:rsidR="002C01E5" w:rsidRPr="0065559C">
        <w:rPr>
          <w:rFonts w:eastAsia="Times New Roman" w:cs="Times New Roman"/>
          <w:sz w:val="21"/>
          <w:szCs w:val="21"/>
          <w:lang w:val="en-AU"/>
        </w:rPr>
        <w:t xml:space="preserve">llowing a disaster, </w:t>
      </w:r>
      <w:r w:rsidR="00553EB6" w:rsidRPr="0065559C">
        <w:rPr>
          <w:rFonts w:eastAsia="Times New Roman" w:cs="Times New Roman"/>
          <w:sz w:val="21"/>
          <w:szCs w:val="21"/>
          <w:lang w:val="en-AU"/>
        </w:rPr>
        <w:t xml:space="preserve">increased </w:t>
      </w:r>
      <w:r w:rsidR="002C01E5" w:rsidRPr="0065559C">
        <w:rPr>
          <w:rFonts w:eastAsia="Times New Roman" w:cs="Times New Roman"/>
          <w:sz w:val="21"/>
          <w:szCs w:val="21"/>
          <w:lang w:val="en-AU"/>
        </w:rPr>
        <w:t>h</w:t>
      </w:r>
      <w:r w:rsidR="00D0625C" w:rsidRPr="0065559C">
        <w:rPr>
          <w:rFonts w:eastAsia="Times New Roman" w:cs="Times New Roman"/>
          <w:sz w:val="21"/>
          <w:szCs w:val="21"/>
          <w:lang w:val="en-AU"/>
        </w:rPr>
        <w:t xml:space="preserve">ousehold and family responsibilities can result in girls missing school and children being left unaccompanied for long periods of time. Their usual protection mechanisms can be affected as their home and community are disrupted. Women and girls living with disability </w:t>
      </w:r>
      <w:r w:rsidR="00AE0AC8">
        <w:rPr>
          <w:rFonts w:eastAsia="Times New Roman" w:cs="Times New Roman"/>
          <w:sz w:val="21"/>
          <w:szCs w:val="21"/>
          <w:lang w:val="en-AU"/>
        </w:rPr>
        <w:t xml:space="preserve">and/or LGBTIQ+ identity </w:t>
      </w:r>
      <w:r w:rsidR="00D0625C" w:rsidRPr="0065559C">
        <w:rPr>
          <w:rFonts w:eastAsia="Times New Roman" w:cs="Times New Roman"/>
          <w:sz w:val="21"/>
          <w:szCs w:val="21"/>
          <w:lang w:val="en-AU"/>
        </w:rPr>
        <w:t>are even more at risk: their social isolation, exclusion and dependency increase</w:t>
      </w:r>
      <w:r w:rsidR="00D0625C" w:rsidRPr="00A476FF">
        <w:rPr>
          <w:rFonts w:eastAsia="Times New Roman" w:cs="Times New Roman"/>
          <w:sz w:val="21"/>
          <w:szCs w:val="21"/>
          <w:lang w:val="en-AU"/>
        </w:rPr>
        <w:t xml:space="preserve"> the extent of abuse they are subjected to and limit the actions they can take. </w:t>
      </w:r>
      <w:r w:rsidR="0086736C">
        <w:rPr>
          <w:rFonts w:eastAsia="Times New Roman" w:cs="Times New Roman"/>
          <w:sz w:val="21"/>
          <w:szCs w:val="21"/>
          <w:lang w:val="en-AU"/>
        </w:rPr>
        <w:t xml:space="preserve">Failure to address these </w:t>
      </w:r>
      <w:r w:rsidR="00F94719">
        <w:rPr>
          <w:rFonts w:eastAsia="Times New Roman" w:cs="Times New Roman"/>
          <w:sz w:val="21"/>
          <w:szCs w:val="21"/>
          <w:lang w:val="en-AU"/>
        </w:rPr>
        <w:t>disproportionate impacts</w:t>
      </w:r>
      <w:r w:rsidR="0086736C">
        <w:rPr>
          <w:rFonts w:eastAsia="Times New Roman" w:cs="Times New Roman"/>
          <w:sz w:val="21"/>
          <w:szCs w:val="21"/>
          <w:lang w:val="en-AU"/>
        </w:rPr>
        <w:t xml:space="preserve"> </w:t>
      </w:r>
      <w:r w:rsidR="004030B1">
        <w:rPr>
          <w:rFonts w:eastAsia="Times New Roman" w:cs="Times New Roman"/>
          <w:sz w:val="21"/>
          <w:szCs w:val="21"/>
          <w:lang w:val="en-AU"/>
        </w:rPr>
        <w:t xml:space="preserve">through effective </w:t>
      </w:r>
      <w:r w:rsidR="0086736C">
        <w:rPr>
          <w:rFonts w:eastAsia="Times New Roman" w:cs="Times New Roman"/>
          <w:sz w:val="21"/>
          <w:szCs w:val="21"/>
          <w:lang w:val="en-AU"/>
        </w:rPr>
        <w:t xml:space="preserve">disaster </w:t>
      </w:r>
      <w:r w:rsidR="002E036E">
        <w:rPr>
          <w:rFonts w:eastAsia="Times New Roman" w:cs="Times New Roman"/>
          <w:sz w:val="21"/>
          <w:szCs w:val="21"/>
          <w:lang w:val="en-AU"/>
        </w:rPr>
        <w:t xml:space="preserve">management is perpetuated by </w:t>
      </w:r>
      <w:r w:rsidR="0086736C" w:rsidRPr="005B092D">
        <w:rPr>
          <w:rFonts w:eastAsia="Times New Roman" w:cs="Times New Roman"/>
          <w:sz w:val="21"/>
          <w:szCs w:val="21"/>
          <w:lang w:val="en-AU"/>
        </w:rPr>
        <w:t>unequal representation of women</w:t>
      </w:r>
      <w:r w:rsidR="002E036E">
        <w:rPr>
          <w:rFonts w:eastAsia="Times New Roman" w:cs="Times New Roman"/>
          <w:sz w:val="21"/>
          <w:szCs w:val="21"/>
          <w:lang w:val="en-AU"/>
        </w:rPr>
        <w:t xml:space="preserve"> </w:t>
      </w:r>
      <w:r w:rsidR="0086736C" w:rsidRPr="005B092D">
        <w:rPr>
          <w:rFonts w:eastAsia="Times New Roman" w:cs="Times New Roman"/>
          <w:sz w:val="21"/>
          <w:szCs w:val="21"/>
          <w:lang w:val="en-AU"/>
        </w:rPr>
        <w:t>at all levels</w:t>
      </w:r>
      <w:r w:rsidR="002E036E">
        <w:rPr>
          <w:rFonts w:eastAsia="Times New Roman" w:cs="Times New Roman"/>
          <w:sz w:val="21"/>
          <w:szCs w:val="21"/>
          <w:lang w:val="en-AU"/>
        </w:rPr>
        <w:t>.</w:t>
      </w:r>
      <w:r w:rsidR="0086736C" w:rsidRPr="00A476FF" w:rsidDel="00FB3BDE">
        <w:rPr>
          <w:rFonts w:eastAsia="Times New Roman" w:cs="Times New Roman"/>
          <w:sz w:val="21"/>
          <w:szCs w:val="21"/>
          <w:lang w:val="en-AU"/>
        </w:rPr>
        <w:t xml:space="preserve"> </w:t>
      </w:r>
      <w:r w:rsidR="00F94719">
        <w:rPr>
          <w:rFonts w:eastAsia="Times New Roman" w:cs="Times New Roman"/>
          <w:sz w:val="21"/>
          <w:szCs w:val="21"/>
          <w:lang w:val="en-AU"/>
        </w:rPr>
        <w:t>These issues have been borne out in the pandemic, wh</w:t>
      </w:r>
      <w:r w:rsidR="004B540E">
        <w:rPr>
          <w:rFonts w:eastAsia="Times New Roman" w:cs="Times New Roman"/>
          <w:sz w:val="21"/>
          <w:szCs w:val="21"/>
          <w:lang w:val="en-AU"/>
        </w:rPr>
        <w:t xml:space="preserve">ich has seen women </w:t>
      </w:r>
      <w:r w:rsidR="00376BB1">
        <w:rPr>
          <w:rFonts w:eastAsia="Times New Roman" w:cs="Times New Roman"/>
          <w:sz w:val="21"/>
          <w:szCs w:val="21"/>
          <w:lang w:val="en-AU"/>
        </w:rPr>
        <w:t>suffer worse socio-economic impacts than men</w:t>
      </w:r>
      <w:r w:rsidR="005A443C">
        <w:rPr>
          <w:rFonts w:eastAsia="Times New Roman" w:cs="Times New Roman"/>
          <w:sz w:val="21"/>
          <w:szCs w:val="21"/>
          <w:lang w:val="en-AU"/>
        </w:rPr>
        <w:t xml:space="preserve"> not just </w:t>
      </w:r>
      <w:r w:rsidR="009A000D">
        <w:rPr>
          <w:rFonts w:eastAsia="Times New Roman" w:cs="Times New Roman"/>
          <w:sz w:val="21"/>
          <w:szCs w:val="21"/>
          <w:lang w:val="en-AU"/>
        </w:rPr>
        <w:t>because of</w:t>
      </w:r>
      <w:r w:rsidR="005A443C">
        <w:rPr>
          <w:rFonts w:eastAsia="Times New Roman" w:cs="Times New Roman"/>
          <w:sz w:val="21"/>
          <w:szCs w:val="21"/>
          <w:lang w:val="en-AU"/>
        </w:rPr>
        <w:t xml:space="preserve"> </w:t>
      </w:r>
      <w:r w:rsidR="001B6170">
        <w:rPr>
          <w:rFonts w:eastAsia="Times New Roman" w:cs="Times New Roman"/>
          <w:sz w:val="21"/>
          <w:szCs w:val="21"/>
          <w:lang w:val="en-AU"/>
        </w:rPr>
        <w:t xml:space="preserve">COVID-19 but its compounding </w:t>
      </w:r>
      <w:r w:rsidR="00CD4CEA">
        <w:rPr>
          <w:rFonts w:eastAsia="Times New Roman" w:cs="Times New Roman"/>
          <w:sz w:val="21"/>
          <w:szCs w:val="21"/>
          <w:lang w:val="en-AU"/>
        </w:rPr>
        <w:t>effect</w:t>
      </w:r>
      <w:r w:rsidR="001B6170">
        <w:rPr>
          <w:rFonts w:eastAsia="Times New Roman" w:cs="Times New Roman"/>
          <w:sz w:val="21"/>
          <w:szCs w:val="21"/>
          <w:lang w:val="en-AU"/>
        </w:rPr>
        <w:t xml:space="preserve"> on other disaster events</w:t>
      </w:r>
      <w:r w:rsidR="00376BB1">
        <w:rPr>
          <w:rFonts w:eastAsia="Times New Roman" w:cs="Times New Roman"/>
          <w:sz w:val="21"/>
          <w:szCs w:val="21"/>
          <w:lang w:val="en-AU"/>
        </w:rPr>
        <w:t>.</w:t>
      </w:r>
      <w:r w:rsidR="00376BB1" w:rsidRPr="000664FA">
        <w:rPr>
          <w:sz w:val="18"/>
          <w:szCs w:val="18"/>
          <w:vertAlign w:val="superscript"/>
        </w:rPr>
        <w:footnoteReference w:id="21"/>
      </w:r>
      <w:r w:rsidR="00F94719" w:rsidRPr="000664FA">
        <w:rPr>
          <w:rFonts w:eastAsia="Times New Roman" w:cs="Times New Roman"/>
          <w:sz w:val="18"/>
          <w:szCs w:val="18"/>
          <w:vertAlign w:val="superscript"/>
          <w:lang w:val="en-AU"/>
        </w:rPr>
        <w:t xml:space="preserve"> </w:t>
      </w:r>
    </w:p>
    <w:p w14:paraId="07B78BFA" w14:textId="78717F8E" w:rsidR="0018607F" w:rsidRDefault="00F25F98" w:rsidP="00527E2B">
      <w:pPr>
        <w:pStyle w:val="ListParagraph"/>
        <w:numPr>
          <w:ilvl w:val="0"/>
          <w:numId w:val="12"/>
        </w:numPr>
        <w:tabs>
          <w:tab w:val="left" w:pos="284"/>
          <w:tab w:val="left" w:pos="426"/>
        </w:tabs>
        <w:suppressAutoHyphens w:val="0"/>
        <w:spacing w:before="200" w:after="0" w:line="280" w:lineRule="exact"/>
        <w:ind w:left="0" w:firstLine="0"/>
        <w:contextualSpacing w:val="0"/>
        <w:rPr>
          <w:rFonts w:eastAsia="Times New Roman" w:cs="Times New Roman"/>
          <w:sz w:val="21"/>
          <w:szCs w:val="21"/>
          <w:lang w:val="en-AU"/>
        </w:rPr>
      </w:pPr>
      <w:r>
        <w:rPr>
          <w:rFonts w:eastAsia="Times New Roman" w:cs="Times New Roman"/>
          <w:sz w:val="21"/>
          <w:szCs w:val="21"/>
          <w:lang w:val="en-AU"/>
        </w:rPr>
        <w:t xml:space="preserve">In Phase I the AHP </w:t>
      </w:r>
      <w:r w:rsidR="00857A15">
        <w:rPr>
          <w:rFonts w:eastAsia="Times New Roman" w:cs="Times New Roman"/>
          <w:sz w:val="21"/>
          <w:szCs w:val="21"/>
          <w:lang w:val="en-AU"/>
        </w:rPr>
        <w:t xml:space="preserve">advanced gender equality in </w:t>
      </w:r>
      <w:r w:rsidR="009A000D">
        <w:rPr>
          <w:rFonts w:eastAsia="Times New Roman" w:cs="Times New Roman"/>
          <w:sz w:val="21"/>
          <w:szCs w:val="21"/>
          <w:lang w:val="en-AU"/>
        </w:rPr>
        <w:t>several</w:t>
      </w:r>
      <w:r w:rsidR="00857A15">
        <w:rPr>
          <w:rFonts w:eastAsia="Times New Roman" w:cs="Times New Roman"/>
          <w:sz w:val="21"/>
          <w:szCs w:val="21"/>
          <w:lang w:val="en-AU"/>
        </w:rPr>
        <w:t xml:space="preserve"> ways. In Disaster READY, Activity Plans </w:t>
      </w:r>
      <w:r w:rsidR="009C41D4">
        <w:rPr>
          <w:rFonts w:eastAsia="Times New Roman" w:cs="Times New Roman"/>
          <w:sz w:val="21"/>
          <w:szCs w:val="21"/>
          <w:lang w:val="en-AU"/>
        </w:rPr>
        <w:t xml:space="preserve">for </w:t>
      </w:r>
      <w:r w:rsidR="00F42CC9">
        <w:rPr>
          <w:rFonts w:eastAsia="Times New Roman" w:cs="Times New Roman"/>
          <w:sz w:val="21"/>
          <w:szCs w:val="21"/>
          <w:lang w:val="en-AU"/>
        </w:rPr>
        <w:t xml:space="preserve">inclusive </w:t>
      </w:r>
      <w:r w:rsidR="009C41D4">
        <w:rPr>
          <w:rFonts w:eastAsia="Times New Roman" w:cs="Times New Roman"/>
          <w:sz w:val="21"/>
          <w:szCs w:val="21"/>
          <w:lang w:val="en-AU"/>
        </w:rPr>
        <w:t xml:space="preserve">disaster preparedness </w:t>
      </w:r>
      <w:r w:rsidR="00857A15">
        <w:rPr>
          <w:rFonts w:eastAsia="Times New Roman" w:cs="Times New Roman"/>
          <w:sz w:val="21"/>
          <w:szCs w:val="21"/>
          <w:lang w:val="en-AU"/>
        </w:rPr>
        <w:t>sought to take a transformative approach</w:t>
      </w:r>
      <w:r w:rsidR="00104620">
        <w:rPr>
          <w:rFonts w:eastAsia="Times New Roman" w:cs="Times New Roman"/>
          <w:sz w:val="21"/>
          <w:szCs w:val="21"/>
          <w:lang w:val="en-AU"/>
        </w:rPr>
        <w:t xml:space="preserve"> by challenging gender norms, supporting women’s leadership</w:t>
      </w:r>
      <w:r w:rsidR="00682A34">
        <w:rPr>
          <w:rFonts w:eastAsia="Times New Roman" w:cs="Times New Roman"/>
          <w:sz w:val="21"/>
          <w:szCs w:val="21"/>
          <w:lang w:val="en-AU"/>
        </w:rPr>
        <w:t xml:space="preserve">, preventing </w:t>
      </w:r>
      <w:r w:rsidR="009A000D">
        <w:rPr>
          <w:rFonts w:eastAsia="Times New Roman" w:cs="Times New Roman"/>
          <w:sz w:val="21"/>
          <w:szCs w:val="21"/>
          <w:lang w:val="en-AU"/>
        </w:rPr>
        <w:t>violence,</w:t>
      </w:r>
      <w:r w:rsidR="00682A34">
        <w:rPr>
          <w:rFonts w:eastAsia="Times New Roman" w:cs="Times New Roman"/>
          <w:sz w:val="21"/>
          <w:szCs w:val="21"/>
          <w:lang w:val="en-AU"/>
        </w:rPr>
        <w:t xml:space="preserve"> and </w:t>
      </w:r>
      <w:r w:rsidR="0034274E">
        <w:rPr>
          <w:rFonts w:eastAsia="Times New Roman" w:cs="Times New Roman"/>
          <w:sz w:val="21"/>
          <w:szCs w:val="21"/>
          <w:lang w:val="en-AU"/>
        </w:rPr>
        <w:t xml:space="preserve">ensuring women’s </w:t>
      </w:r>
      <w:r w:rsidR="005F4050">
        <w:rPr>
          <w:rFonts w:eastAsia="Times New Roman" w:cs="Times New Roman"/>
          <w:sz w:val="21"/>
          <w:szCs w:val="21"/>
          <w:lang w:val="en-AU"/>
        </w:rPr>
        <w:t>right</w:t>
      </w:r>
      <w:r w:rsidR="0034274E">
        <w:rPr>
          <w:rFonts w:eastAsia="Times New Roman" w:cs="Times New Roman"/>
          <w:sz w:val="21"/>
          <w:szCs w:val="21"/>
          <w:lang w:val="en-AU"/>
        </w:rPr>
        <w:t xml:space="preserve"> </w:t>
      </w:r>
      <w:r w:rsidR="00D64C88">
        <w:rPr>
          <w:rFonts w:eastAsia="Times New Roman" w:cs="Times New Roman"/>
          <w:sz w:val="21"/>
          <w:szCs w:val="21"/>
          <w:lang w:val="en-AU"/>
        </w:rPr>
        <w:t>were</w:t>
      </w:r>
      <w:r w:rsidR="0034274E">
        <w:rPr>
          <w:rFonts w:eastAsia="Times New Roman" w:cs="Times New Roman"/>
          <w:sz w:val="21"/>
          <w:szCs w:val="21"/>
          <w:lang w:val="en-AU"/>
        </w:rPr>
        <w:t xml:space="preserve"> met</w:t>
      </w:r>
      <w:r w:rsidR="00682A34">
        <w:rPr>
          <w:rFonts w:eastAsia="Times New Roman" w:cs="Times New Roman"/>
          <w:sz w:val="21"/>
          <w:szCs w:val="21"/>
          <w:lang w:val="en-AU"/>
        </w:rPr>
        <w:t>.</w:t>
      </w:r>
      <w:r w:rsidR="008A55BB">
        <w:rPr>
          <w:rFonts w:eastAsia="Times New Roman" w:cs="Times New Roman"/>
          <w:sz w:val="21"/>
          <w:szCs w:val="21"/>
          <w:lang w:val="en-AU"/>
        </w:rPr>
        <w:t xml:space="preserve"> A ‘</w:t>
      </w:r>
      <w:r w:rsidR="00311481">
        <w:rPr>
          <w:rFonts w:eastAsia="Times New Roman" w:cs="Times New Roman"/>
          <w:sz w:val="21"/>
          <w:szCs w:val="21"/>
          <w:lang w:val="en-AU"/>
        </w:rPr>
        <w:t>S</w:t>
      </w:r>
      <w:r w:rsidR="008A55BB" w:rsidRPr="008A55BB">
        <w:rPr>
          <w:rFonts w:eastAsia="Times New Roman" w:cs="Times New Roman"/>
          <w:sz w:val="21"/>
          <w:szCs w:val="21"/>
          <w:lang w:val="en-AU"/>
        </w:rPr>
        <w:t xml:space="preserve">hared </w:t>
      </w:r>
      <w:r w:rsidR="00311481">
        <w:rPr>
          <w:rFonts w:eastAsia="Times New Roman" w:cs="Times New Roman"/>
          <w:sz w:val="21"/>
          <w:szCs w:val="21"/>
          <w:lang w:val="en-AU"/>
        </w:rPr>
        <w:t>S</w:t>
      </w:r>
      <w:r w:rsidR="008A55BB" w:rsidRPr="008A55BB">
        <w:rPr>
          <w:rFonts w:eastAsia="Times New Roman" w:cs="Times New Roman"/>
          <w:sz w:val="21"/>
          <w:szCs w:val="21"/>
          <w:lang w:val="en-AU"/>
        </w:rPr>
        <w:t>ervices</w:t>
      </w:r>
      <w:r w:rsidR="008A55BB">
        <w:rPr>
          <w:rFonts w:eastAsia="Times New Roman" w:cs="Times New Roman"/>
          <w:sz w:val="21"/>
          <w:szCs w:val="21"/>
          <w:lang w:val="en-AU"/>
        </w:rPr>
        <w:t>’ fund also</w:t>
      </w:r>
      <w:r w:rsidR="008A55BB" w:rsidRPr="008A55BB">
        <w:rPr>
          <w:rFonts w:eastAsia="Times New Roman" w:cs="Times New Roman"/>
          <w:sz w:val="21"/>
          <w:szCs w:val="21"/>
          <w:lang w:val="en-AU"/>
        </w:rPr>
        <w:t xml:space="preserve"> provide</w:t>
      </w:r>
      <w:r w:rsidR="008A55BB">
        <w:rPr>
          <w:rFonts w:eastAsia="Times New Roman" w:cs="Times New Roman"/>
          <w:sz w:val="21"/>
          <w:szCs w:val="21"/>
          <w:lang w:val="en-AU"/>
        </w:rPr>
        <w:t>d</w:t>
      </w:r>
      <w:r w:rsidR="008A55BB" w:rsidRPr="008A55BB">
        <w:rPr>
          <w:rFonts w:eastAsia="Times New Roman" w:cs="Times New Roman"/>
          <w:sz w:val="21"/>
          <w:szCs w:val="21"/>
          <w:lang w:val="en-AU"/>
        </w:rPr>
        <w:t xml:space="preserve"> </w:t>
      </w:r>
      <w:r w:rsidR="008A55BB">
        <w:rPr>
          <w:rFonts w:eastAsia="Times New Roman" w:cs="Times New Roman"/>
          <w:sz w:val="21"/>
          <w:szCs w:val="21"/>
          <w:lang w:val="en-AU"/>
        </w:rPr>
        <w:t>resources</w:t>
      </w:r>
      <w:r w:rsidR="008A55BB" w:rsidRPr="008A55BB">
        <w:rPr>
          <w:rFonts w:eastAsia="Times New Roman" w:cs="Times New Roman"/>
          <w:sz w:val="21"/>
          <w:szCs w:val="21"/>
          <w:lang w:val="en-AU"/>
        </w:rPr>
        <w:t xml:space="preserve"> for NGOs to learn </w:t>
      </w:r>
      <w:r w:rsidR="008A55BB">
        <w:rPr>
          <w:rFonts w:eastAsia="Times New Roman" w:cs="Times New Roman"/>
          <w:sz w:val="21"/>
          <w:szCs w:val="21"/>
          <w:lang w:val="en-AU"/>
        </w:rPr>
        <w:t>from each other to</w:t>
      </w:r>
      <w:r w:rsidR="008A55BB" w:rsidRPr="008A55BB">
        <w:rPr>
          <w:rFonts w:eastAsia="Times New Roman" w:cs="Times New Roman"/>
          <w:sz w:val="21"/>
          <w:szCs w:val="21"/>
          <w:lang w:val="en-AU"/>
        </w:rPr>
        <w:t xml:space="preserve"> improve their approach to gender equality</w:t>
      </w:r>
      <w:r w:rsidR="00311481">
        <w:rPr>
          <w:rFonts w:eastAsia="Times New Roman" w:cs="Times New Roman"/>
          <w:sz w:val="21"/>
          <w:szCs w:val="21"/>
          <w:lang w:val="en-AU"/>
        </w:rPr>
        <w:t>, disability inclusion and child protection</w:t>
      </w:r>
      <w:r w:rsidR="008A55BB" w:rsidRPr="008A55BB">
        <w:rPr>
          <w:rFonts w:eastAsia="Times New Roman" w:cs="Times New Roman"/>
          <w:sz w:val="21"/>
          <w:szCs w:val="21"/>
          <w:lang w:val="en-AU"/>
        </w:rPr>
        <w:t>.</w:t>
      </w:r>
      <w:r w:rsidR="008A55BB">
        <w:rPr>
          <w:rFonts w:eastAsia="Times New Roman" w:cs="Times New Roman"/>
          <w:sz w:val="21"/>
          <w:szCs w:val="21"/>
          <w:lang w:val="en-AU"/>
        </w:rPr>
        <w:t xml:space="preserve"> In responses,</w:t>
      </w:r>
      <w:r w:rsidR="00B2651B">
        <w:rPr>
          <w:rFonts w:eastAsia="Times New Roman" w:cs="Times New Roman"/>
          <w:sz w:val="21"/>
          <w:szCs w:val="21"/>
          <w:lang w:val="en-AU"/>
        </w:rPr>
        <w:t xml:space="preserve"> </w:t>
      </w:r>
      <w:r w:rsidR="001E2143">
        <w:rPr>
          <w:rFonts w:eastAsia="Times New Roman" w:cs="Times New Roman"/>
          <w:sz w:val="21"/>
          <w:szCs w:val="21"/>
          <w:lang w:val="en-AU"/>
        </w:rPr>
        <w:t xml:space="preserve">including to COVID-19, </w:t>
      </w:r>
      <w:r w:rsidR="009A000D">
        <w:rPr>
          <w:rFonts w:eastAsia="Times New Roman" w:cs="Times New Roman"/>
          <w:sz w:val="21"/>
          <w:szCs w:val="21"/>
          <w:lang w:val="en-AU"/>
        </w:rPr>
        <w:t>analysis,</w:t>
      </w:r>
      <w:r w:rsidR="00B2651B">
        <w:rPr>
          <w:rFonts w:eastAsia="Times New Roman" w:cs="Times New Roman"/>
          <w:sz w:val="21"/>
          <w:szCs w:val="21"/>
          <w:lang w:val="en-AU"/>
        </w:rPr>
        <w:t xml:space="preserve"> and </w:t>
      </w:r>
      <w:r w:rsidR="009C2DF0">
        <w:rPr>
          <w:rFonts w:eastAsia="Times New Roman" w:cs="Times New Roman"/>
          <w:sz w:val="21"/>
          <w:szCs w:val="21"/>
          <w:lang w:val="en-AU"/>
        </w:rPr>
        <w:t>strategies for</w:t>
      </w:r>
      <w:r w:rsidR="00B2651B">
        <w:rPr>
          <w:rFonts w:eastAsia="Times New Roman" w:cs="Times New Roman"/>
          <w:sz w:val="21"/>
          <w:szCs w:val="21"/>
          <w:lang w:val="en-AU"/>
        </w:rPr>
        <w:t xml:space="preserve"> </w:t>
      </w:r>
      <w:r w:rsidR="0032060E">
        <w:rPr>
          <w:rFonts w:eastAsia="Times New Roman" w:cs="Times New Roman"/>
          <w:sz w:val="21"/>
          <w:szCs w:val="21"/>
          <w:lang w:val="en-AU"/>
        </w:rPr>
        <w:t>GEDSI</w:t>
      </w:r>
      <w:r w:rsidR="00B2651B">
        <w:rPr>
          <w:rFonts w:eastAsia="Times New Roman" w:cs="Times New Roman"/>
          <w:sz w:val="21"/>
          <w:szCs w:val="21"/>
          <w:lang w:val="en-AU"/>
        </w:rPr>
        <w:t xml:space="preserve"> </w:t>
      </w:r>
      <w:r w:rsidR="009C2DF0">
        <w:rPr>
          <w:rFonts w:eastAsia="Times New Roman" w:cs="Times New Roman"/>
          <w:sz w:val="21"/>
          <w:szCs w:val="21"/>
          <w:lang w:val="en-AU"/>
        </w:rPr>
        <w:t>were</w:t>
      </w:r>
      <w:r w:rsidR="00B2651B">
        <w:rPr>
          <w:rFonts w:eastAsia="Times New Roman" w:cs="Times New Roman"/>
          <w:sz w:val="21"/>
          <w:szCs w:val="21"/>
          <w:lang w:val="en-AU"/>
        </w:rPr>
        <w:t xml:space="preserve"> key proposal selection </w:t>
      </w:r>
      <w:r w:rsidR="001E2143">
        <w:rPr>
          <w:rFonts w:eastAsia="Times New Roman" w:cs="Times New Roman"/>
          <w:sz w:val="21"/>
          <w:szCs w:val="21"/>
          <w:lang w:val="en-AU"/>
        </w:rPr>
        <w:t xml:space="preserve">and review </w:t>
      </w:r>
      <w:r w:rsidR="00B2651B">
        <w:rPr>
          <w:rFonts w:eastAsia="Times New Roman" w:cs="Times New Roman"/>
          <w:sz w:val="21"/>
          <w:szCs w:val="21"/>
          <w:lang w:val="en-AU"/>
        </w:rPr>
        <w:t>criteria</w:t>
      </w:r>
      <w:r w:rsidR="009C2DF0">
        <w:rPr>
          <w:rFonts w:eastAsia="Times New Roman" w:cs="Times New Roman"/>
          <w:sz w:val="21"/>
          <w:szCs w:val="21"/>
          <w:lang w:val="en-AU"/>
        </w:rPr>
        <w:t xml:space="preserve"> and </w:t>
      </w:r>
      <w:r w:rsidR="00EF31C4">
        <w:rPr>
          <w:rFonts w:eastAsia="Times New Roman" w:cs="Times New Roman"/>
          <w:sz w:val="21"/>
          <w:szCs w:val="21"/>
          <w:lang w:val="en-AU"/>
        </w:rPr>
        <w:t xml:space="preserve">protection of women was </w:t>
      </w:r>
      <w:r w:rsidR="009C2DF0">
        <w:rPr>
          <w:rFonts w:eastAsia="Times New Roman" w:cs="Times New Roman"/>
          <w:sz w:val="21"/>
          <w:szCs w:val="21"/>
          <w:lang w:val="en-AU"/>
        </w:rPr>
        <w:t xml:space="preserve">a key thematic focus. </w:t>
      </w:r>
      <w:r w:rsidR="00AE4737">
        <w:rPr>
          <w:rFonts w:eastAsia="Times New Roman" w:cs="Times New Roman"/>
          <w:sz w:val="21"/>
          <w:szCs w:val="21"/>
          <w:lang w:val="en-AU"/>
        </w:rPr>
        <w:t>As a result, t</w:t>
      </w:r>
      <w:r w:rsidR="00D0625C">
        <w:rPr>
          <w:rFonts w:eastAsia="Times New Roman" w:cs="Times New Roman"/>
          <w:sz w:val="21"/>
          <w:szCs w:val="21"/>
          <w:lang w:val="en-AU"/>
        </w:rPr>
        <w:t>he MTE found</w:t>
      </w:r>
      <w:r w:rsidR="00D0625C" w:rsidRPr="006B1A78">
        <w:rPr>
          <w:rFonts w:eastAsia="Times New Roman" w:cs="Times New Roman"/>
          <w:sz w:val="21"/>
          <w:szCs w:val="21"/>
          <w:lang w:val="en-AU"/>
        </w:rPr>
        <w:t xml:space="preserve"> </w:t>
      </w:r>
      <w:r w:rsidR="00AE4737">
        <w:rPr>
          <w:rFonts w:eastAsia="Times New Roman" w:cs="Times New Roman"/>
          <w:sz w:val="21"/>
          <w:szCs w:val="21"/>
          <w:lang w:val="en-AU"/>
        </w:rPr>
        <w:t>that</w:t>
      </w:r>
      <w:r w:rsidR="00A41C47">
        <w:rPr>
          <w:rFonts w:eastAsia="Times New Roman" w:cs="Times New Roman"/>
          <w:sz w:val="21"/>
          <w:szCs w:val="21"/>
          <w:lang w:val="en-AU"/>
        </w:rPr>
        <w:t xml:space="preserve"> </w:t>
      </w:r>
      <w:r w:rsidR="00FE0C2E">
        <w:rPr>
          <w:rFonts w:eastAsia="Times New Roman" w:cs="Times New Roman"/>
          <w:sz w:val="21"/>
          <w:szCs w:val="21"/>
          <w:lang w:val="en-AU"/>
        </w:rPr>
        <w:t xml:space="preserve">the </w:t>
      </w:r>
      <w:r w:rsidR="00A41C47">
        <w:rPr>
          <w:rFonts w:eastAsia="Times New Roman" w:cs="Times New Roman"/>
          <w:sz w:val="21"/>
          <w:szCs w:val="21"/>
          <w:lang w:val="en-AU"/>
        </w:rPr>
        <w:t xml:space="preserve">AHP </w:t>
      </w:r>
      <w:r w:rsidR="00FE0C2E">
        <w:rPr>
          <w:rFonts w:eastAsia="Times New Roman" w:cs="Times New Roman"/>
          <w:sz w:val="21"/>
          <w:szCs w:val="21"/>
          <w:lang w:val="en-AU"/>
        </w:rPr>
        <w:t xml:space="preserve">was effective </w:t>
      </w:r>
      <w:r w:rsidR="008F170E">
        <w:rPr>
          <w:rFonts w:eastAsia="Times New Roman" w:cs="Times New Roman"/>
          <w:sz w:val="21"/>
          <w:szCs w:val="21"/>
          <w:lang w:val="en-AU"/>
        </w:rPr>
        <w:t>in supporting the empowerment and inclusion of women.</w:t>
      </w:r>
      <w:r w:rsidR="0018607F">
        <w:rPr>
          <w:rFonts w:eastAsia="Times New Roman" w:cs="Times New Roman"/>
          <w:sz w:val="21"/>
          <w:szCs w:val="21"/>
          <w:lang w:val="en-AU"/>
        </w:rPr>
        <w:t xml:space="preserve"> </w:t>
      </w:r>
      <w:r w:rsidR="00916865">
        <w:rPr>
          <w:rFonts w:eastAsia="Times New Roman" w:cs="Times New Roman"/>
          <w:sz w:val="21"/>
          <w:szCs w:val="21"/>
          <w:lang w:val="en-AU"/>
        </w:rPr>
        <w:t xml:space="preserve">However, </w:t>
      </w:r>
      <w:r w:rsidR="00962D89">
        <w:rPr>
          <w:rFonts w:eastAsia="Times New Roman" w:cs="Times New Roman"/>
          <w:sz w:val="21"/>
          <w:szCs w:val="21"/>
          <w:lang w:val="en-AU"/>
        </w:rPr>
        <w:t xml:space="preserve">the </w:t>
      </w:r>
      <w:r w:rsidR="00461D05">
        <w:rPr>
          <w:rFonts w:eastAsia="Times New Roman" w:cs="Times New Roman"/>
          <w:sz w:val="21"/>
          <w:szCs w:val="21"/>
          <w:lang w:val="en-AU"/>
        </w:rPr>
        <w:t>contribution</w:t>
      </w:r>
      <w:r w:rsidR="009917FF">
        <w:rPr>
          <w:rFonts w:eastAsia="Times New Roman" w:cs="Times New Roman"/>
          <w:sz w:val="21"/>
          <w:szCs w:val="21"/>
          <w:lang w:val="en-AU"/>
        </w:rPr>
        <w:t xml:space="preserve"> of the </w:t>
      </w:r>
      <w:r w:rsidR="00D64C88">
        <w:rPr>
          <w:rFonts w:eastAsia="Times New Roman" w:cs="Times New Roman"/>
          <w:sz w:val="21"/>
          <w:szCs w:val="21"/>
          <w:lang w:val="en-AU"/>
        </w:rPr>
        <w:t>S</w:t>
      </w:r>
      <w:r w:rsidR="009917FF">
        <w:rPr>
          <w:rFonts w:eastAsia="Times New Roman" w:cs="Times New Roman"/>
          <w:sz w:val="21"/>
          <w:szCs w:val="21"/>
          <w:lang w:val="en-AU"/>
        </w:rPr>
        <w:t xml:space="preserve">hared </w:t>
      </w:r>
      <w:r w:rsidR="00D64C88">
        <w:rPr>
          <w:rFonts w:eastAsia="Times New Roman" w:cs="Times New Roman"/>
          <w:sz w:val="21"/>
          <w:szCs w:val="21"/>
          <w:lang w:val="en-AU"/>
        </w:rPr>
        <w:t>S</w:t>
      </w:r>
      <w:r w:rsidR="009917FF">
        <w:rPr>
          <w:rFonts w:eastAsia="Times New Roman" w:cs="Times New Roman"/>
          <w:sz w:val="21"/>
          <w:szCs w:val="21"/>
          <w:lang w:val="en-AU"/>
        </w:rPr>
        <w:t xml:space="preserve">ervices approach </w:t>
      </w:r>
      <w:r w:rsidR="00D45C65">
        <w:rPr>
          <w:rFonts w:eastAsia="Times New Roman" w:cs="Times New Roman"/>
          <w:sz w:val="21"/>
          <w:szCs w:val="21"/>
          <w:lang w:val="en-AU"/>
        </w:rPr>
        <w:t xml:space="preserve">in Disaster READY </w:t>
      </w:r>
      <w:r w:rsidR="009917FF">
        <w:rPr>
          <w:rFonts w:eastAsia="Times New Roman" w:cs="Times New Roman"/>
          <w:sz w:val="21"/>
          <w:szCs w:val="21"/>
          <w:lang w:val="en-AU"/>
        </w:rPr>
        <w:t>was inconclusive</w:t>
      </w:r>
      <w:r w:rsidR="00461D05">
        <w:rPr>
          <w:rFonts w:eastAsia="Times New Roman" w:cs="Times New Roman"/>
          <w:sz w:val="21"/>
          <w:szCs w:val="21"/>
          <w:lang w:val="en-AU"/>
        </w:rPr>
        <w:t xml:space="preserve">, </w:t>
      </w:r>
      <w:r w:rsidR="007131F7">
        <w:rPr>
          <w:rFonts w:eastAsia="Times New Roman" w:cs="Times New Roman"/>
          <w:sz w:val="21"/>
          <w:szCs w:val="21"/>
          <w:lang w:val="en-AU"/>
        </w:rPr>
        <w:t>and design consultations</w:t>
      </w:r>
      <w:r w:rsidR="00712652">
        <w:rPr>
          <w:rFonts w:eastAsia="Times New Roman" w:cs="Times New Roman"/>
          <w:sz w:val="21"/>
          <w:szCs w:val="21"/>
          <w:lang w:val="en-AU"/>
        </w:rPr>
        <w:t xml:space="preserve"> </w:t>
      </w:r>
      <w:r w:rsidR="00D45C65">
        <w:rPr>
          <w:rFonts w:eastAsia="Times New Roman" w:cs="Times New Roman"/>
          <w:sz w:val="21"/>
          <w:szCs w:val="21"/>
          <w:lang w:val="en-AU"/>
        </w:rPr>
        <w:t>noted</w:t>
      </w:r>
      <w:r w:rsidR="00712652">
        <w:rPr>
          <w:rFonts w:eastAsia="Times New Roman" w:cs="Times New Roman"/>
          <w:sz w:val="21"/>
          <w:szCs w:val="21"/>
          <w:lang w:val="en-AU"/>
        </w:rPr>
        <w:t xml:space="preserve"> the </w:t>
      </w:r>
      <w:r w:rsidR="00DC017C">
        <w:rPr>
          <w:rFonts w:eastAsia="Times New Roman" w:cs="Times New Roman"/>
          <w:sz w:val="21"/>
          <w:szCs w:val="21"/>
          <w:lang w:val="en-AU"/>
        </w:rPr>
        <w:t xml:space="preserve">activities </w:t>
      </w:r>
      <w:r w:rsidR="00837F33">
        <w:rPr>
          <w:rFonts w:eastAsia="Times New Roman" w:cs="Times New Roman"/>
          <w:sz w:val="21"/>
          <w:szCs w:val="21"/>
          <w:lang w:val="en-AU"/>
        </w:rPr>
        <w:t>were sometimes</w:t>
      </w:r>
      <w:r w:rsidR="00712652">
        <w:rPr>
          <w:rFonts w:eastAsia="Times New Roman" w:cs="Times New Roman"/>
          <w:sz w:val="21"/>
          <w:szCs w:val="21"/>
          <w:lang w:val="en-AU"/>
        </w:rPr>
        <w:t xml:space="preserve"> ad-hoc</w:t>
      </w:r>
      <w:r w:rsidR="006E45F9">
        <w:rPr>
          <w:rFonts w:eastAsia="Times New Roman" w:cs="Times New Roman"/>
          <w:sz w:val="21"/>
          <w:szCs w:val="21"/>
          <w:lang w:val="en-AU"/>
        </w:rPr>
        <w:t>, uncoordinated</w:t>
      </w:r>
      <w:r w:rsidR="00DC017C">
        <w:rPr>
          <w:rFonts w:eastAsia="Times New Roman" w:cs="Times New Roman"/>
          <w:sz w:val="21"/>
          <w:szCs w:val="21"/>
          <w:lang w:val="en-AU"/>
        </w:rPr>
        <w:t xml:space="preserve"> </w:t>
      </w:r>
      <w:r w:rsidR="00FF0E77">
        <w:rPr>
          <w:rFonts w:eastAsia="Times New Roman" w:cs="Times New Roman"/>
          <w:sz w:val="21"/>
          <w:szCs w:val="21"/>
          <w:lang w:val="en-AU"/>
        </w:rPr>
        <w:t>or</w:t>
      </w:r>
      <w:r w:rsidR="00DC017C">
        <w:rPr>
          <w:rFonts w:eastAsia="Times New Roman" w:cs="Times New Roman"/>
          <w:sz w:val="21"/>
          <w:szCs w:val="21"/>
          <w:lang w:val="en-AU"/>
        </w:rPr>
        <w:t xml:space="preserve"> </w:t>
      </w:r>
      <w:r w:rsidR="00C81DF6">
        <w:rPr>
          <w:rFonts w:eastAsia="Times New Roman" w:cs="Times New Roman"/>
          <w:sz w:val="21"/>
          <w:szCs w:val="21"/>
          <w:lang w:val="en-AU"/>
        </w:rPr>
        <w:t>not cumulative</w:t>
      </w:r>
      <w:r w:rsidR="007131F7">
        <w:rPr>
          <w:rFonts w:eastAsia="Times New Roman" w:cs="Times New Roman"/>
          <w:sz w:val="21"/>
          <w:szCs w:val="21"/>
          <w:lang w:val="en-AU"/>
        </w:rPr>
        <w:t>.</w:t>
      </w:r>
      <w:r w:rsidR="009917FF">
        <w:rPr>
          <w:rFonts w:eastAsia="Times New Roman" w:cs="Times New Roman"/>
          <w:sz w:val="21"/>
          <w:szCs w:val="21"/>
          <w:lang w:val="en-AU"/>
        </w:rPr>
        <w:t xml:space="preserve"> </w:t>
      </w:r>
    </w:p>
    <w:p w14:paraId="20205227" w14:textId="29BF0E79" w:rsidR="00D0625C" w:rsidRPr="006C427A" w:rsidRDefault="00D0625C" w:rsidP="00527E2B">
      <w:pPr>
        <w:pStyle w:val="ListParagraph"/>
        <w:numPr>
          <w:ilvl w:val="0"/>
          <w:numId w:val="12"/>
        </w:numPr>
        <w:tabs>
          <w:tab w:val="left" w:pos="284"/>
          <w:tab w:val="left" w:pos="426"/>
        </w:tabs>
        <w:suppressAutoHyphens w:val="0"/>
        <w:spacing w:before="200" w:after="0" w:line="280" w:lineRule="exact"/>
        <w:ind w:left="0" w:firstLine="0"/>
        <w:contextualSpacing w:val="0"/>
        <w:rPr>
          <w:rFonts w:eastAsia="Times New Roman" w:cs="Times New Roman"/>
          <w:sz w:val="21"/>
          <w:szCs w:val="21"/>
          <w:lang w:val="en-AU"/>
        </w:rPr>
      </w:pPr>
      <w:r w:rsidRPr="006C427A">
        <w:rPr>
          <w:rFonts w:eastAsia="Times New Roman" w:cs="Times New Roman"/>
          <w:sz w:val="21"/>
          <w:szCs w:val="21"/>
          <w:lang w:val="en-AU"/>
        </w:rPr>
        <w:t xml:space="preserve">In Phase II, the AHP will build on these </w:t>
      </w:r>
      <w:r w:rsidR="0047569C" w:rsidRPr="006C427A">
        <w:rPr>
          <w:rFonts w:eastAsia="Times New Roman" w:cs="Times New Roman"/>
          <w:sz w:val="21"/>
          <w:szCs w:val="21"/>
          <w:lang w:val="en-AU"/>
        </w:rPr>
        <w:t>lessons</w:t>
      </w:r>
      <w:r w:rsidRPr="006C427A">
        <w:rPr>
          <w:rFonts w:eastAsia="Times New Roman" w:cs="Times New Roman"/>
          <w:sz w:val="21"/>
          <w:szCs w:val="21"/>
          <w:lang w:val="en-AU"/>
        </w:rPr>
        <w:t xml:space="preserve"> and continue to embed gender equality policy and program approaches across the investment in accordance with DFAT’s </w:t>
      </w:r>
      <w:r w:rsidRPr="006C427A">
        <w:rPr>
          <w:rFonts w:eastAsia="Times New Roman" w:cs="Times New Roman"/>
          <w:i/>
          <w:iCs/>
          <w:sz w:val="21"/>
          <w:szCs w:val="21"/>
          <w:lang w:val="en-AU"/>
        </w:rPr>
        <w:t>Gender equality and women’s empowerment strategy</w:t>
      </w:r>
      <w:r w:rsidRPr="006C427A">
        <w:rPr>
          <w:rFonts w:eastAsia="Times New Roman" w:cs="Times New Roman"/>
          <w:sz w:val="21"/>
          <w:szCs w:val="21"/>
          <w:lang w:val="en-AU"/>
        </w:rPr>
        <w:t xml:space="preserve">. </w:t>
      </w:r>
      <w:r w:rsidR="0047569C" w:rsidRPr="006C427A">
        <w:rPr>
          <w:rFonts w:eastAsia="Times New Roman" w:cs="Times New Roman"/>
          <w:sz w:val="21"/>
          <w:szCs w:val="21"/>
          <w:lang w:val="en-AU"/>
        </w:rPr>
        <w:t xml:space="preserve"> </w:t>
      </w:r>
      <w:r w:rsidRPr="006C427A">
        <w:rPr>
          <w:rFonts w:eastAsia="Times New Roman" w:cs="Times New Roman"/>
          <w:sz w:val="21"/>
          <w:szCs w:val="21"/>
          <w:lang w:val="en-AU"/>
        </w:rPr>
        <w:t>Specific strategies to deliver strong gender equality outcomes include:</w:t>
      </w:r>
    </w:p>
    <w:p w14:paraId="12FC683B" w14:textId="0E28174F" w:rsidR="00D0625C" w:rsidRDefault="00D0625C" w:rsidP="0011591E">
      <w:pPr>
        <w:pStyle w:val="ListParagraph"/>
        <w:numPr>
          <w:ilvl w:val="0"/>
          <w:numId w:val="29"/>
        </w:numPr>
        <w:spacing w:before="60" w:line="280" w:lineRule="atLeast"/>
        <w:ind w:left="714" w:hanging="357"/>
        <w:contextualSpacing w:val="0"/>
        <w:rPr>
          <w:iCs/>
          <w:sz w:val="21"/>
          <w:szCs w:val="21"/>
        </w:rPr>
      </w:pPr>
      <w:bookmarkStart w:id="45" w:name="_Hlk95480907"/>
      <w:r>
        <w:rPr>
          <w:iCs/>
          <w:sz w:val="21"/>
          <w:szCs w:val="21"/>
        </w:rPr>
        <w:lastRenderedPageBreak/>
        <w:t>An updated AHP Program Principle related to i</w:t>
      </w:r>
      <w:r w:rsidRPr="00357669">
        <w:rPr>
          <w:iCs/>
          <w:sz w:val="21"/>
          <w:szCs w:val="21"/>
        </w:rPr>
        <w:t>nclusion and diversity</w:t>
      </w:r>
      <w:r>
        <w:rPr>
          <w:iCs/>
          <w:sz w:val="21"/>
          <w:szCs w:val="21"/>
        </w:rPr>
        <w:t>, which commits all AHP partners to</w:t>
      </w:r>
      <w:r w:rsidRPr="00357669">
        <w:rPr>
          <w:iCs/>
          <w:sz w:val="21"/>
          <w:szCs w:val="21"/>
        </w:rPr>
        <w:t xml:space="preserve"> ensure that women and people </w:t>
      </w:r>
      <w:r w:rsidR="003511B0">
        <w:rPr>
          <w:iCs/>
          <w:sz w:val="21"/>
          <w:szCs w:val="21"/>
        </w:rPr>
        <w:t xml:space="preserve">living </w:t>
      </w:r>
      <w:r w:rsidRPr="00357669">
        <w:rPr>
          <w:iCs/>
          <w:sz w:val="21"/>
          <w:szCs w:val="21"/>
        </w:rPr>
        <w:t>with disabilities, and other marginalised people, are protected; and that they are recognised and supported as decision makers and leaders</w:t>
      </w:r>
      <w:r>
        <w:rPr>
          <w:iCs/>
          <w:sz w:val="21"/>
          <w:szCs w:val="21"/>
        </w:rPr>
        <w:t>;</w:t>
      </w:r>
    </w:p>
    <w:bookmarkEnd w:id="45"/>
    <w:p w14:paraId="78374C8A" w14:textId="3EF8E1C1" w:rsidR="00D0625C" w:rsidRDefault="00D0625C" w:rsidP="0011591E">
      <w:pPr>
        <w:pStyle w:val="ListParagraph"/>
        <w:numPr>
          <w:ilvl w:val="0"/>
          <w:numId w:val="29"/>
        </w:numPr>
        <w:spacing w:before="60" w:line="280" w:lineRule="atLeast"/>
        <w:ind w:left="714" w:hanging="357"/>
        <w:contextualSpacing w:val="0"/>
        <w:rPr>
          <w:iCs/>
          <w:sz w:val="21"/>
          <w:szCs w:val="21"/>
        </w:rPr>
      </w:pPr>
      <w:r>
        <w:rPr>
          <w:iCs/>
          <w:sz w:val="21"/>
          <w:szCs w:val="21"/>
        </w:rPr>
        <w:t>Under EOPO 1, ANGOs</w:t>
      </w:r>
      <w:r w:rsidR="0016366A">
        <w:rPr>
          <w:iCs/>
          <w:sz w:val="21"/>
          <w:szCs w:val="21"/>
        </w:rPr>
        <w:t xml:space="preserve"> </w:t>
      </w:r>
      <w:r w:rsidR="00193DD7">
        <w:rPr>
          <w:iCs/>
          <w:sz w:val="21"/>
          <w:szCs w:val="21"/>
        </w:rPr>
        <w:t xml:space="preserve">will be resourced through their Activity Plans </w:t>
      </w:r>
      <w:r w:rsidR="00B642AD">
        <w:rPr>
          <w:iCs/>
          <w:sz w:val="21"/>
          <w:szCs w:val="21"/>
        </w:rPr>
        <w:t>to</w:t>
      </w:r>
      <w:r>
        <w:rPr>
          <w:iCs/>
          <w:sz w:val="21"/>
          <w:szCs w:val="21"/>
        </w:rPr>
        <w:t xml:space="preserve"> work with leaders</w:t>
      </w:r>
      <w:r w:rsidR="000E05EB">
        <w:rPr>
          <w:iCs/>
          <w:sz w:val="21"/>
          <w:szCs w:val="21"/>
        </w:rPr>
        <w:t xml:space="preserve">, </w:t>
      </w:r>
      <w:r w:rsidR="005D1FF9">
        <w:rPr>
          <w:iCs/>
          <w:sz w:val="21"/>
          <w:szCs w:val="21"/>
        </w:rPr>
        <w:t>groups,</w:t>
      </w:r>
      <w:r w:rsidR="000E05EB">
        <w:rPr>
          <w:iCs/>
          <w:sz w:val="21"/>
          <w:szCs w:val="21"/>
        </w:rPr>
        <w:t xml:space="preserve"> and organisations</w:t>
      </w:r>
      <w:r>
        <w:rPr>
          <w:iCs/>
          <w:sz w:val="21"/>
          <w:szCs w:val="21"/>
        </w:rPr>
        <w:t xml:space="preserve">, formal and informal, </w:t>
      </w:r>
      <w:r w:rsidR="00E96C18">
        <w:rPr>
          <w:iCs/>
          <w:sz w:val="21"/>
          <w:szCs w:val="21"/>
        </w:rPr>
        <w:t xml:space="preserve">in a transformative way </w:t>
      </w:r>
      <w:r>
        <w:rPr>
          <w:iCs/>
          <w:sz w:val="21"/>
          <w:szCs w:val="21"/>
        </w:rPr>
        <w:t xml:space="preserve">to ensure that women have agency and voice in decision making, implementation and review of </w:t>
      </w:r>
      <w:r w:rsidR="00B642AD">
        <w:rPr>
          <w:iCs/>
          <w:sz w:val="21"/>
          <w:szCs w:val="21"/>
        </w:rPr>
        <w:t xml:space="preserve">disaster preparedness </w:t>
      </w:r>
      <w:r>
        <w:rPr>
          <w:iCs/>
          <w:sz w:val="21"/>
          <w:szCs w:val="21"/>
        </w:rPr>
        <w:t>activities</w:t>
      </w:r>
      <w:r w:rsidR="00B642AD">
        <w:rPr>
          <w:iCs/>
          <w:sz w:val="21"/>
          <w:szCs w:val="21"/>
        </w:rPr>
        <w:t xml:space="preserve">. </w:t>
      </w:r>
      <w:r w:rsidR="00FD5AA8">
        <w:rPr>
          <w:iCs/>
          <w:sz w:val="21"/>
          <w:szCs w:val="21"/>
        </w:rPr>
        <w:t>Preventing and addressing violence</w:t>
      </w:r>
      <w:r w:rsidR="0016366A">
        <w:rPr>
          <w:iCs/>
          <w:sz w:val="21"/>
          <w:szCs w:val="21"/>
        </w:rPr>
        <w:t xml:space="preserve"> </w:t>
      </w:r>
      <w:r w:rsidR="00FD5AA8">
        <w:rPr>
          <w:iCs/>
          <w:sz w:val="21"/>
          <w:szCs w:val="21"/>
        </w:rPr>
        <w:t>will continue</w:t>
      </w:r>
      <w:r w:rsidR="0016366A">
        <w:rPr>
          <w:iCs/>
          <w:sz w:val="21"/>
          <w:szCs w:val="21"/>
        </w:rPr>
        <w:t xml:space="preserve"> as a priority</w:t>
      </w:r>
      <w:r w:rsidR="007B07AB">
        <w:rPr>
          <w:iCs/>
          <w:sz w:val="21"/>
          <w:szCs w:val="21"/>
        </w:rPr>
        <w:t>.</w:t>
      </w:r>
    </w:p>
    <w:p w14:paraId="7C80314E" w14:textId="44222268" w:rsidR="00D0625C" w:rsidRDefault="006D5055" w:rsidP="0011591E">
      <w:pPr>
        <w:pStyle w:val="ListParagraph"/>
        <w:numPr>
          <w:ilvl w:val="0"/>
          <w:numId w:val="29"/>
        </w:numPr>
        <w:spacing w:before="60" w:line="280" w:lineRule="atLeast"/>
        <w:ind w:left="714" w:hanging="357"/>
        <w:contextualSpacing w:val="0"/>
        <w:rPr>
          <w:iCs/>
          <w:sz w:val="21"/>
          <w:szCs w:val="21"/>
        </w:rPr>
      </w:pPr>
      <w:r>
        <w:rPr>
          <w:iCs/>
          <w:sz w:val="21"/>
          <w:szCs w:val="21"/>
        </w:rPr>
        <w:t xml:space="preserve">Through the Disaster READY country-planning process, DRCCs will </w:t>
      </w:r>
      <w:r w:rsidR="0059228E">
        <w:rPr>
          <w:iCs/>
          <w:sz w:val="21"/>
          <w:szCs w:val="21"/>
        </w:rPr>
        <w:t xml:space="preserve">set </w:t>
      </w:r>
      <w:r w:rsidR="00971850">
        <w:rPr>
          <w:iCs/>
          <w:sz w:val="21"/>
          <w:szCs w:val="21"/>
        </w:rPr>
        <w:t xml:space="preserve">and plan for long-term </w:t>
      </w:r>
      <w:r w:rsidR="0059228E">
        <w:rPr>
          <w:iCs/>
          <w:sz w:val="21"/>
          <w:szCs w:val="21"/>
        </w:rPr>
        <w:t>objectives for inclusion and localisation</w:t>
      </w:r>
      <w:r w:rsidR="00A92BC5">
        <w:rPr>
          <w:iCs/>
          <w:sz w:val="21"/>
          <w:szCs w:val="21"/>
        </w:rPr>
        <w:t xml:space="preserve"> based on context-specific analysis</w:t>
      </w:r>
      <w:r w:rsidR="0059228E">
        <w:rPr>
          <w:iCs/>
          <w:sz w:val="21"/>
          <w:szCs w:val="21"/>
        </w:rPr>
        <w:t xml:space="preserve">, </w:t>
      </w:r>
      <w:r w:rsidR="00F23A45">
        <w:rPr>
          <w:iCs/>
          <w:sz w:val="21"/>
          <w:szCs w:val="21"/>
        </w:rPr>
        <w:t>with the opportunity to</w:t>
      </w:r>
      <w:r w:rsidR="00CD3112">
        <w:rPr>
          <w:iCs/>
          <w:sz w:val="21"/>
          <w:szCs w:val="21"/>
        </w:rPr>
        <w:t xml:space="preserve"> draw on the</w:t>
      </w:r>
      <w:r w:rsidR="0088075A">
        <w:rPr>
          <w:iCs/>
          <w:sz w:val="21"/>
          <w:szCs w:val="21"/>
        </w:rPr>
        <w:t xml:space="preserve"> </w:t>
      </w:r>
      <w:r w:rsidR="00D0625C">
        <w:rPr>
          <w:iCs/>
          <w:sz w:val="21"/>
          <w:szCs w:val="21"/>
        </w:rPr>
        <w:t xml:space="preserve">increased </w:t>
      </w:r>
      <w:r w:rsidR="005218DA">
        <w:rPr>
          <w:iCs/>
          <w:sz w:val="21"/>
          <w:szCs w:val="21"/>
        </w:rPr>
        <w:t xml:space="preserve">DRCC </w:t>
      </w:r>
      <w:r w:rsidR="00D0625C">
        <w:rPr>
          <w:iCs/>
          <w:sz w:val="21"/>
          <w:szCs w:val="21"/>
        </w:rPr>
        <w:t xml:space="preserve">budget to </w:t>
      </w:r>
      <w:r w:rsidR="0088075A">
        <w:rPr>
          <w:iCs/>
          <w:sz w:val="21"/>
          <w:szCs w:val="21"/>
        </w:rPr>
        <w:t>access technical advice</w:t>
      </w:r>
      <w:r w:rsidR="005218DA">
        <w:rPr>
          <w:iCs/>
          <w:sz w:val="21"/>
          <w:szCs w:val="21"/>
        </w:rPr>
        <w:t xml:space="preserve"> and</w:t>
      </w:r>
      <w:r w:rsidR="0088075A">
        <w:rPr>
          <w:iCs/>
          <w:sz w:val="21"/>
          <w:szCs w:val="21"/>
        </w:rPr>
        <w:t xml:space="preserve"> </w:t>
      </w:r>
      <w:r w:rsidR="005218DA">
        <w:rPr>
          <w:iCs/>
          <w:sz w:val="21"/>
          <w:szCs w:val="21"/>
        </w:rPr>
        <w:t>support women’s rights organisations</w:t>
      </w:r>
      <w:r w:rsidR="00F179D1">
        <w:rPr>
          <w:iCs/>
          <w:sz w:val="21"/>
          <w:szCs w:val="21"/>
        </w:rPr>
        <w:t>. WROs will be engaged in the planning process</w:t>
      </w:r>
      <w:r w:rsidR="00D0625C">
        <w:rPr>
          <w:iCs/>
          <w:sz w:val="21"/>
          <w:szCs w:val="21"/>
        </w:rPr>
        <w:t>;</w:t>
      </w:r>
    </w:p>
    <w:p w14:paraId="5CF0822F" w14:textId="48784B50" w:rsidR="00D0625C" w:rsidRPr="007B07AB" w:rsidRDefault="00D0625C" w:rsidP="0011591E">
      <w:pPr>
        <w:pStyle w:val="ListParagraph"/>
        <w:numPr>
          <w:ilvl w:val="0"/>
          <w:numId w:val="29"/>
        </w:numPr>
        <w:spacing w:before="60" w:line="280" w:lineRule="atLeast"/>
        <w:ind w:left="714" w:hanging="357"/>
        <w:contextualSpacing w:val="0"/>
        <w:rPr>
          <w:iCs/>
          <w:sz w:val="21"/>
          <w:szCs w:val="21"/>
        </w:rPr>
      </w:pPr>
      <w:r w:rsidRPr="007B07AB">
        <w:rPr>
          <w:iCs/>
          <w:sz w:val="21"/>
          <w:szCs w:val="21"/>
        </w:rPr>
        <w:t xml:space="preserve">Under EOPO 2, </w:t>
      </w:r>
      <w:r w:rsidR="008C594F">
        <w:rPr>
          <w:iCs/>
          <w:sz w:val="21"/>
          <w:szCs w:val="21"/>
        </w:rPr>
        <w:t>the g</w:t>
      </w:r>
      <w:r w:rsidR="008C594F" w:rsidRPr="008C594F">
        <w:rPr>
          <w:iCs/>
          <w:sz w:val="21"/>
          <w:szCs w:val="21"/>
        </w:rPr>
        <w:t>endered impacts of humanitarian disaster</w:t>
      </w:r>
      <w:r w:rsidR="008C594F">
        <w:rPr>
          <w:iCs/>
          <w:sz w:val="21"/>
          <w:szCs w:val="21"/>
        </w:rPr>
        <w:t>s</w:t>
      </w:r>
      <w:r w:rsidR="008C594F" w:rsidRPr="008C594F">
        <w:rPr>
          <w:iCs/>
          <w:sz w:val="21"/>
          <w:szCs w:val="21"/>
        </w:rPr>
        <w:t xml:space="preserve"> </w:t>
      </w:r>
      <w:r w:rsidR="007A5F14" w:rsidRPr="008C594F">
        <w:rPr>
          <w:iCs/>
          <w:sz w:val="21"/>
          <w:szCs w:val="21"/>
        </w:rPr>
        <w:t xml:space="preserve">(such as sexual and gender-based violence, child protection, sexual and reproductive </w:t>
      </w:r>
      <w:r w:rsidR="005D1FF9" w:rsidRPr="008C594F">
        <w:rPr>
          <w:iCs/>
          <w:sz w:val="21"/>
          <w:szCs w:val="21"/>
        </w:rPr>
        <w:t>health,</w:t>
      </w:r>
      <w:r w:rsidR="007A5F14" w:rsidRPr="008C594F">
        <w:rPr>
          <w:iCs/>
          <w:sz w:val="21"/>
          <w:szCs w:val="21"/>
        </w:rPr>
        <w:t xml:space="preserve"> and rights)</w:t>
      </w:r>
      <w:r w:rsidR="007A5F14">
        <w:rPr>
          <w:iCs/>
          <w:sz w:val="21"/>
          <w:szCs w:val="21"/>
        </w:rPr>
        <w:t xml:space="preserve"> </w:t>
      </w:r>
      <w:r w:rsidR="008C594F" w:rsidRPr="008C594F">
        <w:rPr>
          <w:iCs/>
          <w:sz w:val="21"/>
          <w:szCs w:val="21"/>
        </w:rPr>
        <w:t xml:space="preserve">will </w:t>
      </w:r>
      <w:r w:rsidR="00240058">
        <w:rPr>
          <w:iCs/>
          <w:sz w:val="21"/>
          <w:szCs w:val="21"/>
        </w:rPr>
        <w:t>remain key</w:t>
      </w:r>
      <w:r w:rsidR="008C594F" w:rsidRPr="008C594F">
        <w:rPr>
          <w:iCs/>
          <w:sz w:val="21"/>
          <w:szCs w:val="21"/>
        </w:rPr>
        <w:t xml:space="preserve"> response priorities </w:t>
      </w:r>
      <w:r w:rsidR="00384112">
        <w:rPr>
          <w:iCs/>
          <w:sz w:val="21"/>
          <w:szCs w:val="21"/>
        </w:rPr>
        <w:t>an</w:t>
      </w:r>
      <w:r w:rsidR="00240058">
        <w:rPr>
          <w:iCs/>
          <w:sz w:val="21"/>
          <w:szCs w:val="21"/>
        </w:rPr>
        <w:t xml:space="preserve">d inclusion and equality a key assessment </w:t>
      </w:r>
      <w:r w:rsidR="005D1FF9">
        <w:rPr>
          <w:iCs/>
          <w:sz w:val="21"/>
          <w:szCs w:val="21"/>
        </w:rPr>
        <w:t>criterion</w:t>
      </w:r>
      <w:r w:rsidR="00240058">
        <w:rPr>
          <w:iCs/>
          <w:sz w:val="21"/>
          <w:szCs w:val="21"/>
        </w:rPr>
        <w:t>. G</w:t>
      </w:r>
      <w:r w:rsidR="00C81DF6">
        <w:rPr>
          <w:iCs/>
          <w:sz w:val="21"/>
          <w:szCs w:val="21"/>
        </w:rPr>
        <w:t xml:space="preserve">ender analysis and </w:t>
      </w:r>
      <w:r w:rsidR="00D17A20">
        <w:rPr>
          <w:iCs/>
          <w:sz w:val="21"/>
          <w:szCs w:val="21"/>
        </w:rPr>
        <w:t xml:space="preserve">resourced </w:t>
      </w:r>
      <w:r w:rsidR="00C81DF6">
        <w:rPr>
          <w:iCs/>
          <w:sz w:val="21"/>
          <w:szCs w:val="21"/>
        </w:rPr>
        <w:t>strategies will be required for all activities</w:t>
      </w:r>
      <w:r w:rsidR="00165B5E">
        <w:rPr>
          <w:iCs/>
          <w:sz w:val="21"/>
          <w:szCs w:val="21"/>
        </w:rPr>
        <w:t xml:space="preserve"> including for any further responses to COVID-19</w:t>
      </w:r>
      <w:r w:rsidRPr="007B07AB">
        <w:rPr>
          <w:iCs/>
          <w:sz w:val="21"/>
          <w:szCs w:val="21"/>
        </w:rPr>
        <w:t>;</w:t>
      </w:r>
    </w:p>
    <w:p w14:paraId="11BF20DD" w14:textId="4EA514A9" w:rsidR="00D0625C" w:rsidRDefault="00D0625C" w:rsidP="0011591E">
      <w:pPr>
        <w:pStyle w:val="ListParagraph"/>
        <w:numPr>
          <w:ilvl w:val="0"/>
          <w:numId w:val="29"/>
        </w:numPr>
        <w:spacing w:before="60" w:line="280" w:lineRule="atLeast"/>
        <w:ind w:left="714" w:hanging="357"/>
        <w:contextualSpacing w:val="0"/>
        <w:rPr>
          <w:iCs/>
          <w:sz w:val="21"/>
          <w:szCs w:val="21"/>
        </w:rPr>
      </w:pPr>
      <w:r>
        <w:rPr>
          <w:iCs/>
          <w:sz w:val="21"/>
          <w:szCs w:val="21"/>
        </w:rPr>
        <w:t xml:space="preserve">Under EOPO 3: Partnership Learning and Practice, there will be opportunities to research, collaborate, </w:t>
      </w:r>
      <w:r w:rsidR="005D1FF9">
        <w:rPr>
          <w:iCs/>
          <w:sz w:val="21"/>
          <w:szCs w:val="21"/>
        </w:rPr>
        <w:t>innovate,</w:t>
      </w:r>
      <w:r>
        <w:rPr>
          <w:iCs/>
          <w:sz w:val="21"/>
          <w:szCs w:val="21"/>
        </w:rPr>
        <w:t xml:space="preserve"> and share lessons for strengthening gender equality and women’s empowerment across the Partnership;</w:t>
      </w:r>
    </w:p>
    <w:p w14:paraId="6C5C8551" w14:textId="0BC56245" w:rsidR="00D0625C" w:rsidRDefault="00D0625C" w:rsidP="0011591E">
      <w:pPr>
        <w:pStyle w:val="ListParagraph"/>
        <w:numPr>
          <w:ilvl w:val="0"/>
          <w:numId w:val="29"/>
        </w:numPr>
        <w:spacing w:before="60" w:line="280" w:lineRule="atLeast"/>
        <w:ind w:left="714" w:hanging="357"/>
        <w:contextualSpacing w:val="0"/>
        <w:rPr>
          <w:iCs/>
          <w:sz w:val="21"/>
          <w:szCs w:val="21"/>
        </w:rPr>
      </w:pPr>
      <w:r>
        <w:rPr>
          <w:iCs/>
          <w:sz w:val="21"/>
          <w:szCs w:val="21"/>
        </w:rPr>
        <w:t xml:space="preserve">The AHPSU will engage gender specialists to independently appraise response proposals as part of </w:t>
      </w:r>
      <w:r w:rsidR="00D64C88">
        <w:rPr>
          <w:iCs/>
          <w:sz w:val="21"/>
          <w:szCs w:val="21"/>
        </w:rPr>
        <w:t xml:space="preserve">response </w:t>
      </w:r>
      <w:r>
        <w:rPr>
          <w:iCs/>
          <w:sz w:val="21"/>
          <w:szCs w:val="21"/>
        </w:rPr>
        <w:t>selection process</w:t>
      </w:r>
      <w:r w:rsidR="00D64C88">
        <w:rPr>
          <w:iCs/>
          <w:sz w:val="21"/>
          <w:szCs w:val="21"/>
        </w:rPr>
        <w:t>es</w:t>
      </w:r>
      <w:r>
        <w:rPr>
          <w:iCs/>
          <w:sz w:val="21"/>
          <w:szCs w:val="21"/>
        </w:rPr>
        <w:t>, provide technical review of key program strategies, plans and reports</w:t>
      </w:r>
      <w:r w:rsidR="009D19EC">
        <w:rPr>
          <w:iCs/>
          <w:sz w:val="21"/>
          <w:szCs w:val="21"/>
        </w:rPr>
        <w:t>, and</w:t>
      </w:r>
      <w:r>
        <w:rPr>
          <w:iCs/>
          <w:sz w:val="21"/>
          <w:szCs w:val="21"/>
        </w:rPr>
        <w:t xml:space="preserve"> </w:t>
      </w:r>
      <w:r w:rsidR="009D19EC">
        <w:rPr>
          <w:iCs/>
          <w:sz w:val="21"/>
          <w:szCs w:val="21"/>
        </w:rPr>
        <w:t xml:space="preserve">provide </w:t>
      </w:r>
      <w:r w:rsidR="003F2B01">
        <w:rPr>
          <w:iCs/>
          <w:sz w:val="21"/>
          <w:szCs w:val="21"/>
        </w:rPr>
        <w:t>targeted</w:t>
      </w:r>
      <w:r w:rsidR="00207E27">
        <w:rPr>
          <w:iCs/>
          <w:sz w:val="21"/>
          <w:szCs w:val="21"/>
        </w:rPr>
        <w:t xml:space="preserve"> advice to </w:t>
      </w:r>
      <w:r w:rsidR="007A5F14">
        <w:rPr>
          <w:iCs/>
          <w:sz w:val="21"/>
          <w:szCs w:val="21"/>
        </w:rPr>
        <w:t>the Partnership</w:t>
      </w:r>
      <w:r w:rsidR="00207E27">
        <w:rPr>
          <w:iCs/>
          <w:sz w:val="21"/>
          <w:szCs w:val="21"/>
        </w:rPr>
        <w:t xml:space="preserve"> </w:t>
      </w:r>
      <w:r>
        <w:rPr>
          <w:iCs/>
          <w:sz w:val="21"/>
          <w:szCs w:val="21"/>
        </w:rPr>
        <w:t>throughout the life of the investment</w:t>
      </w:r>
      <w:r w:rsidR="003F2B01">
        <w:rPr>
          <w:iCs/>
          <w:sz w:val="21"/>
          <w:szCs w:val="21"/>
        </w:rPr>
        <w:t xml:space="preserve"> where agreed by the Steering Committee</w:t>
      </w:r>
      <w:r>
        <w:rPr>
          <w:iCs/>
          <w:sz w:val="21"/>
          <w:szCs w:val="21"/>
        </w:rPr>
        <w:t>;</w:t>
      </w:r>
    </w:p>
    <w:p w14:paraId="347355C2" w14:textId="720E525C" w:rsidR="00D0625C" w:rsidRPr="003E2C60" w:rsidRDefault="00070348" w:rsidP="0011591E">
      <w:pPr>
        <w:pStyle w:val="ListParagraph"/>
        <w:numPr>
          <w:ilvl w:val="0"/>
          <w:numId w:val="29"/>
        </w:numPr>
        <w:spacing w:before="60" w:line="280" w:lineRule="atLeast"/>
        <w:ind w:left="714" w:hanging="357"/>
        <w:contextualSpacing w:val="0"/>
        <w:rPr>
          <w:iCs/>
          <w:sz w:val="21"/>
          <w:szCs w:val="21"/>
        </w:rPr>
      </w:pPr>
      <w:r>
        <w:rPr>
          <w:iCs/>
          <w:sz w:val="21"/>
          <w:szCs w:val="21"/>
        </w:rPr>
        <w:t>MEL</w:t>
      </w:r>
      <w:r w:rsidR="00D0625C" w:rsidRPr="003E2C60">
        <w:rPr>
          <w:iCs/>
          <w:sz w:val="21"/>
          <w:szCs w:val="21"/>
        </w:rPr>
        <w:t xml:space="preserve"> systems </w:t>
      </w:r>
      <w:r w:rsidR="00D0625C">
        <w:rPr>
          <w:iCs/>
          <w:sz w:val="21"/>
          <w:szCs w:val="21"/>
        </w:rPr>
        <w:t xml:space="preserve">are being strengthened </w:t>
      </w:r>
      <w:r w:rsidR="00D0625C" w:rsidRPr="003E2C60">
        <w:rPr>
          <w:iCs/>
          <w:sz w:val="21"/>
          <w:szCs w:val="21"/>
        </w:rPr>
        <w:t xml:space="preserve">to ensure engagement with women and other marginalised groups throughout implementation </w:t>
      </w:r>
      <w:r w:rsidR="005D1FF9" w:rsidRPr="003E2C60">
        <w:rPr>
          <w:iCs/>
          <w:sz w:val="21"/>
          <w:szCs w:val="21"/>
        </w:rPr>
        <w:t>to</w:t>
      </w:r>
      <w:r w:rsidR="00D0625C" w:rsidRPr="003E2C60">
        <w:rPr>
          <w:iCs/>
          <w:sz w:val="21"/>
          <w:szCs w:val="21"/>
        </w:rPr>
        <w:t xml:space="preserve"> improve program delivery</w:t>
      </w:r>
      <w:r w:rsidR="00D0625C">
        <w:rPr>
          <w:iCs/>
          <w:sz w:val="21"/>
          <w:szCs w:val="21"/>
        </w:rPr>
        <w:t xml:space="preserve">. </w:t>
      </w:r>
      <w:r w:rsidR="00D870B9">
        <w:rPr>
          <w:iCs/>
          <w:sz w:val="21"/>
          <w:szCs w:val="21"/>
        </w:rPr>
        <w:t>GEDSI</w:t>
      </w:r>
      <w:r w:rsidR="00B53785">
        <w:rPr>
          <w:iCs/>
          <w:sz w:val="21"/>
          <w:szCs w:val="21"/>
        </w:rPr>
        <w:t xml:space="preserve"> indicators will be part of the </w:t>
      </w:r>
      <w:r w:rsidR="00CA3809">
        <w:rPr>
          <w:iCs/>
          <w:sz w:val="21"/>
          <w:szCs w:val="21"/>
        </w:rPr>
        <w:t>core</w:t>
      </w:r>
      <w:r w:rsidR="00B53785">
        <w:rPr>
          <w:iCs/>
          <w:sz w:val="21"/>
          <w:szCs w:val="21"/>
        </w:rPr>
        <w:t xml:space="preserve"> data set</w:t>
      </w:r>
      <w:r w:rsidR="00EA4D11">
        <w:rPr>
          <w:iCs/>
          <w:sz w:val="21"/>
          <w:szCs w:val="21"/>
        </w:rPr>
        <w:t xml:space="preserve">, and </w:t>
      </w:r>
      <w:r w:rsidR="00D870B9">
        <w:rPr>
          <w:iCs/>
          <w:sz w:val="21"/>
          <w:szCs w:val="21"/>
        </w:rPr>
        <w:t>GEDSI</w:t>
      </w:r>
      <w:r w:rsidR="00EA4D11">
        <w:rPr>
          <w:iCs/>
          <w:sz w:val="21"/>
          <w:szCs w:val="21"/>
        </w:rPr>
        <w:t xml:space="preserve"> will be a </w:t>
      </w:r>
      <w:r w:rsidR="005D1FF9">
        <w:rPr>
          <w:iCs/>
          <w:sz w:val="21"/>
          <w:szCs w:val="21"/>
        </w:rPr>
        <w:t>key criterion</w:t>
      </w:r>
      <w:r w:rsidR="00EA4D11">
        <w:rPr>
          <w:iCs/>
          <w:sz w:val="21"/>
          <w:szCs w:val="21"/>
        </w:rPr>
        <w:t xml:space="preserve"> in all evaluations</w:t>
      </w:r>
      <w:r w:rsidR="00B53785">
        <w:rPr>
          <w:iCs/>
          <w:sz w:val="21"/>
          <w:szCs w:val="21"/>
        </w:rPr>
        <w:t xml:space="preserve">. </w:t>
      </w:r>
      <w:r w:rsidR="00D0625C">
        <w:rPr>
          <w:iCs/>
          <w:sz w:val="21"/>
          <w:szCs w:val="21"/>
        </w:rPr>
        <w:t>There will also be opportunities for thematic evaluations on gender equality at country or program level</w:t>
      </w:r>
      <w:r w:rsidR="006C427A">
        <w:rPr>
          <w:iCs/>
          <w:sz w:val="21"/>
          <w:szCs w:val="21"/>
        </w:rPr>
        <w:t>; and</w:t>
      </w:r>
    </w:p>
    <w:p w14:paraId="47ADCB84" w14:textId="4C88007F" w:rsidR="00D0625C" w:rsidRDefault="00D0625C" w:rsidP="0011591E">
      <w:pPr>
        <w:pStyle w:val="ListParagraph"/>
        <w:numPr>
          <w:ilvl w:val="0"/>
          <w:numId w:val="29"/>
        </w:numPr>
        <w:spacing w:before="60" w:line="280" w:lineRule="atLeast"/>
        <w:ind w:left="714" w:hanging="357"/>
        <w:contextualSpacing w:val="0"/>
        <w:rPr>
          <w:iCs/>
          <w:sz w:val="21"/>
          <w:szCs w:val="21"/>
        </w:rPr>
      </w:pPr>
      <w:r>
        <w:rPr>
          <w:iCs/>
          <w:sz w:val="21"/>
          <w:szCs w:val="21"/>
        </w:rPr>
        <w:t>F</w:t>
      </w:r>
      <w:r w:rsidRPr="003E2C60">
        <w:rPr>
          <w:iCs/>
          <w:sz w:val="21"/>
          <w:szCs w:val="21"/>
        </w:rPr>
        <w:t>ormal and informal working relationships with Pacific Women Lead, the Shifting the Power Coalition, and other DFAT regional and bilateral investments</w:t>
      </w:r>
      <w:r>
        <w:rPr>
          <w:iCs/>
          <w:sz w:val="21"/>
          <w:szCs w:val="21"/>
        </w:rPr>
        <w:t xml:space="preserve"> will be established by the AHPSU and ANGOs at country level</w:t>
      </w:r>
      <w:r w:rsidR="006C427A">
        <w:rPr>
          <w:iCs/>
          <w:sz w:val="21"/>
          <w:szCs w:val="21"/>
        </w:rPr>
        <w:t>.</w:t>
      </w:r>
    </w:p>
    <w:p w14:paraId="0A79996E" w14:textId="0E84CD52" w:rsidR="00A32858" w:rsidRPr="005B092D" w:rsidRDefault="008F4B94" w:rsidP="003F3B68">
      <w:pPr>
        <w:spacing w:before="200" w:after="0"/>
        <w:rPr>
          <w:b/>
          <w:bCs/>
          <w:i/>
          <w:iCs/>
        </w:rPr>
      </w:pPr>
      <w:r w:rsidRPr="003F2B01">
        <w:rPr>
          <w:b/>
          <w:bCs/>
          <w:i/>
          <w:iCs/>
        </w:rPr>
        <w:t xml:space="preserve">Disability </w:t>
      </w:r>
      <w:r w:rsidR="0083734A" w:rsidRPr="005A39D8">
        <w:rPr>
          <w:b/>
          <w:bCs/>
          <w:i/>
          <w:iCs/>
        </w:rPr>
        <w:t>Inclusion</w:t>
      </w:r>
    </w:p>
    <w:p w14:paraId="166B0766" w14:textId="557241A0" w:rsidR="00AE6FBC" w:rsidRPr="005B092D" w:rsidRDefault="005A39D8" w:rsidP="00527E2B">
      <w:pPr>
        <w:pStyle w:val="ListParagraph"/>
        <w:numPr>
          <w:ilvl w:val="0"/>
          <w:numId w:val="12"/>
        </w:numPr>
        <w:tabs>
          <w:tab w:val="left" w:pos="284"/>
          <w:tab w:val="left" w:pos="426"/>
        </w:tabs>
        <w:suppressAutoHyphens w:val="0"/>
        <w:spacing w:before="200" w:after="0" w:line="280" w:lineRule="exact"/>
        <w:ind w:left="0" w:firstLine="0"/>
        <w:contextualSpacing w:val="0"/>
        <w:rPr>
          <w:sz w:val="21"/>
          <w:szCs w:val="21"/>
        </w:rPr>
      </w:pPr>
      <w:r w:rsidRPr="00303517">
        <w:rPr>
          <w:rFonts w:eastAsia="Times New Roman" w:cs="Times New Roman"/>
          <w:sz w:val="21"/>
          <w:szCs w:val="21"/>
          <w:lang w:val="en-AU"/>
        </w:rPr>
        <w:t xml:space="preserve">People </w:t>
      </w:r>
      <w:r w:rsidR="003511B0">
        <w:rPr>
          <w:rFonts w:eastAsia="Times New Roman" w:cs="Times New Roman"/>
          <w:sz w:val="21"/>
          <w:szCs w:val="21"/>
          <w:lang w:val="en-AU"/>
        </w:rPr>
        <w:t xml:space="preserve">living </w:t>
      </w:r>
      <w:r w:rsidRPr="00303517">
        <w:rPr>
          <w:rFonts w:eastAsia="Times New Roman" w:cs="Times New Roman"/>
          <w:sz w:val="21"/>
          <w:szCs w:val="21"/>
          <w:lang w:val="en-AU"/>
        </w:rPr>
        <w:t xml:space="preserve">with disabilities are </w:t>
      </w:r>
      <w:r w:rsidR="00F92D15">
        <w:rPr>
          <w:rFonts w:eastAsia="Times New Roman" w:cs="Times New Roman"/>
          <w:sz w:val="21"/>
          <w:szCs w:val="21"/>
          <w:lang w:val="en-AU"/>
        </w:rPr>
        <w:t xml:space="preserve">best placed to assess their own </w:t>
      </w:r>
      <w:r w:rsidR="00147DB1" w:rsidRPr="00147DB1">
        <w:rPr>
          <w:rFonts w:eastAsia="Times New Roman" w:cs="Times New Roman"/>
          <w:sz w:val="21"/>
          <w:szCs w:val="21"/>
          <w:lang w:val="en-AU"/>
        </w:rPr>
        <w:t xml:space="preserve">preparedness, capabilities and support needs </w:t>
      </w:r>
      <w:r w:rsidR="00147DB1">
        <w:rPr>
          <w:rFonts w:eastAsia="Times New Roman" w:cs="Times New Roman"/>
          <w:sz w:val="21"/>
          <w:szCs w:val="21"/>
          <w:lang w:val="en-AU"/>
        </w:rPr>
        <w:t xml:space="preserve">and </w:t>
      </w:r>
      <w:r w:rsidR="0064068F">
        <w:rPr>
          <w:rFonts w:eastAsia="Times New Roman" w:cs="Times New Roman"/>
          <w:sz w:val="21"/>
          <w:szCs w:val="21"/>
          <w:lang w:val="en-AU"/>
        </w:rPr>
        <w:t>their leadership is essential</w:t>
      </w:r>
      <w:r w:rsidR="00FC2E5B">
        <w:rPr>
          <w:rFonts w:eastAsia="Times New Roman" w:cs="Times New Roman"/>
          <w:sz w:val="21"/>
          <w:szCs w:val="21"/>
          <w:lang w:val="en-AU"/>
        </w:rPr>
        <w:t xml:space="preserve"> for ensuring </w:t>
      </w:r>
      <w:r w:rsidR="009F6EC6">
        <w:rPr>
          <w:rFonts w:eastAsia="Times New Roman" w:cs="Times New Roman"/>
          <w:sz w:val="21"/>
          <w:szCs w:val="21"/>
          <w:lang w:val="en-AU"/>
        </w:rPr>
        <w:t>the benefits of development are</w:t>
      </w:r>
      <w:r w:rsidR="0064068F">
        <w:rPr>
          <w:rFonts w:eastAsia="Times New Roman" w:cs="Times New Roman"/>
          <w:sz w:val="21"/>
          <w:szCs w:val="21"/>
          <w:lang w:val="en-AU"/>
        </w:rPr>
        <w:t xml:space="preserve"> accessible and fully inclusive.</w:t>
      </w:r>
      <w:r w:rsidR="00E1675B">
        <w:rPr>
          <w:rFonts w:eastAsia="Times New Roman" w:cs="Times New Roman"/>
          <w:sz w:val="21"/>
          <w:szCs w:val="21"/>
          <w:lang w:val="en-AU"/>
        </w:rPr>
        <w:t xml:space="preserve"> </w:t>
      </w:r>
      <w:r w:rsidR="00A1037B">
        <w:rPr>
          <w:rFonts w:eastAsia="Times New Roman" w:cs="Times New Roman"/>
          <w:sz w:val="21"/>
          <w:szCs w:val="21"/>
          <w:lang w:val="en-AU"/>
        </w:rPr>
        <w:t xml:space="preserve">The empowerment and inclusion of people </w:t>
      </w:r>
      <w:r w:rsidR="003511B0">
        <w:rPr>
          <w:rFonts w:eastAsia="Times New Roman" w:cs="Times New Roman"/>
          <w:sz w:val="21"/>
          <w:szCs w:val="21"/>
          <w:lang w:val="en-AU"/>
        </w:rPr>
        <w:t xml:space="preserve">living </w:t>
      </w:r>
      <w:r w:rsidR="00A1037B">
        <w:rPr>
          <w:rFonts w:eastAsia="Times New Roman" w:cs="Times New Roman"/>
          <w:sz w:val="21"/>
          <w:szCs w:val="21"/>
          <w:lang w:val="en-AU"/>
        </w:rPr>
        <w:t xml:space="preserve">with disabilities is </w:t>
      </w:r>
      <w:r w:rsidR="003411CE">
        <w:rPr>
          <w:rFonts w:eastAsia="Times New Roman" w:cs="Times New Roman"/>
          <w:sz w:val="21"/>
          <w:szCs w:val="21"/>
          <w:lang w:val="en-AU"/>
        </w:rPr>
        <w:t>therefore critical</w:t>
      </w:r>
      <w:r w:rsidR="00A1037B">
        <w:rPr>
          <w:rFonts w:eastAsia="Times New Roman" w:cs="Times New Roman"/>
          <w:sz w:val="21"/>
          <w:szCs w:val="21"/>
          <w:lang w:val="en-AU"/>
        </w:rPr>
        <w:t xml:space="preserve"> in humanitarian action, where p</w:t>
      </w:r>
      <w:r w:rsidR="00E1675B" w:rsidRPr="00E1675B">
        <w:rPr>
          <w:rFonts w:eastAsia="Times New Roman" w:cs="Times New Roman"/>
          <w:sz w:val="21"/>
          <w:szCs w:val="21"/>
          <w:lang w:val="en-AU"/>
        </w:rPr>
        <w:t xml:space="preserve">ersons </w:t>
      </w:r>
      <w:r w:rsidR="003511B0">
        <w:rPr>
          <w:rFonts w:eastAsia="Times New Roman" w:cs="Times New Roman"/>
          <w:sz w:val="21"/>
          <w:szCs w:val="21"/>
          <w:lang w:val="en-AU"/>
        </w:rPr>
        <w:t xml:space="preserve">living </w:t>
      </w:r>
      <w:r w:rsidR="00E1675B" w:rsidRPr="00E1675B">
        <w:rPr>
          <w:rFonts w:eastAsia="Times New Roman" w:cs="Times New Roman"/>
          <w:sz w:val="21"/>
          <w:szCs w:val="21"/>
          <w:lang w:val="en-AU"/>
        </w:rPr>
        <w:t>with disabilities’ mortality rate can be two to four times higher than the rest of society when facing a disaster situation</w:t>
      </w:r>
      <w:r w:rsidR="002D545C">
        <w:rPr>
          <w:rFonts w:eastAsia="Times New Roman" w:cs="Times New Roman"/>
          <w:sz w:val="21"/>
          <w:szCs w:val="21"/>
          <w:lang w:val="en-AU"/>
        </w:rPr>
        <w:t xml:space="preserve"> due to a range of barriers</w:t>
      </w:r>
      <w:r w:rsidR="00E1675B" w:rsidRPr="00E1675B">
        <w:rPr>
          <w:rFonts w:eastAsia="Times New Roman" w:cs="Times New Roman"/>
          <w:sz w:val="21"/>
          <w:szCs w:val="21"/>
          <w:lang w:val="en-AU"/>
        </w:rPr>
        <w:t>.</w:t>
      </w:r>
      <w:r w:rsidR="002D2C06">
        <w:rPr>
          <w:rStyle w:val="FootnoteReference"/>
          <w:rFonts w:eastAsia="Times New Roman" w:cs="Times New Roman"/>
          <w:sz w:val="21"/>
          <w:szCs w:val="21"/>
          <w:lang w:val="en-AU"/>
        </w:rPr>
        <w:footnoteReference w:id="22"/>
      </w:r>
      <w:r w:rsidR="00E1675B" w:rsidRPr="00E1675B">
        <w:rPr>
          <w:rFonts w:eastAsia="Times New Roman" w:cs="Times New Roman"/>
          <w:sz w:val="21"/>
          <w:szCs w:val="21"/>
          <w:lang w:val="en-AU"/>
        </w:rPr>
        <w:t xml:space="preserve"> </w:t>
      </w:r>
      <w:r w:rsidR="00310C87">
        <w:rPr>
          <w:rFonts w:eastAsia="Times New Roman" w:cs="Times New Roman"/>
          <w:sz w:val="21"/>
          <w:szCs w:val="21"/>
          <w:lang w:val="en-AU"/>
        </w:rPr>
        <w:t xml:space="preserve">Studies have shown that </w:t>
      </w:r>
      <w:r w:rsidR="00CB172E">
        <w:rPr>
          <w:rFonts w:eastAsia="Times New Roman" w:cs="Times New Roman"/>
          <w:sz w:val="21"/>
          <w:szCs w:val="21"/>
          <w:lang w:val="en-AU"/>
        </w:rPr>
        <w:t>w</w:t>
      </w:r>
      <w:r w:rsidR="00932171" w:rsidRPr="00932171">
        <w:rPr>
          <w:rFonts w:eastAsia="Times New Roman" w:cs="Times New Roman"/>
          <w:sz w:val="21"/>
          <w:szCs w:val="21"/>
          <w:lang w:val="en-AU"/>
        </w:rPr>
        <w:t xml:space="preserve">hen people </w:t>
      </w:r>
      <w:r w:rsidR="003511B0">
        <w:rPr>
          <w:rFonts w:eastAsia="Times New Roman" w:cs="Times New Roman"/>
          <w:sz w:val="21"/>
          <w:szCs w:val="21"/>
          <w:lang w:val="en-AU"/>
        </w:rPr>
        <w:t xml:space="preserve">living </w:t>
      </w:r>
      <w:r w:rsidR="00932171" w:rsidRPr="00932171">
        <w:rPr>
          <w:rFonts w:eastAsia="Times New Roman" w:cs="Times New Roman"/>
          <w:sz w:val="21"/>
          <w:szCs w:val="21"/>
          <w:lang w:val="en-AU"/>
        </w:rPr>
        <w:t xml:space="preserve">with disabilities and/or their representative groups (OPDs) are included in </w:t>
      </w:r>
      <w:r w:rsidR="00CB172E">
        <w:rPr>
          <w:rFonts w:eastAsia="Times New Roman" w:cs="Times New Roman"/>
          <w:sz w:val="21"/>
          <w:szCs w:val="21"/>
          <w:lang w:val="en-AU"/>
        </w:rPr>
        <w:t xml:space="preserve">assessments and </w:t>
      </w:r>
      <w:r w:rsidR="005326EE">
        <w:rPr>
          <w:rFonts w:eastAsia="Times New Roman" w:cs="Times New Roman"/>
          <w:sz w:val="21"/>
          <w:szCs w:val="21"/>
          <w:lang w:val="en-AU"/>
        </w:rPr>
        <w:t xml:space="preserve">decision-making for </w:t>
      </w:r>
      <w:r w:rsidR="00932171" w:rsidRPr="00932171">
        <w:rPr>
          <w:rFonts w:eastAsia="Times New Roman" w:cs="Times New Roman"/>
          <w:sz w:val="21"/>
          <w:szCs w:val="21"/>
          <w:lang w:val="en-AU"/>
        </w:rPr>
        <w:t xml:space="preserve">disaster </w:t>
      </w:r>
      <w:r w:rsidR="005326EE">
        <w:rPr>
          <w:rFonts w:eastAsia="Times New Roman" w:cs="Times New Roman"/>
          <w:sz w:val="21"/>
          <w:szCs w:val="21"/>
          <w:lang w:val="en-AU"/>
        </w:rPr>
        <w:t>preparedness</w:t>
      </w:r>
      <w:r w:rsidR="00CB172E">
        <w:rPr>
          <w:rFonts w:eastAsia="Times New Roman" w:cs="Times New Roman"/>
          <w:sz w:val="21"/>
          <w:szCs w:val="21"/>
          <w:lang w:val="en-AU"/>
        </w:rPr>
        <w:t xml:space="preserve"> and response</w:t>
      </w:r>
      <w:r w:rsidR="00932171" w:rsidRPr="00932171">
        <w:rPr>
          <w:rFonts w:eastAsia="Times New Roman" w:cs="Times New Roman"/>
          <w:sz w:val="21"/>
          <w:szCs w:val="21"/>
          <w:lang w:val="en-AU"/>
        </w:rPr>
        <w:t xml:space="preserve">, their priorities are more likely to be identified </w:t>
      </w:r>
      <w:r w:rsidR="00D079D0">
        <w:rPr>
          <w:rFonts w:eastAsia="Times New Roman" w:cs="Times New Roman"/>
          <w:sz w:val="21"/>
          <w:szCs w:val="21"/>
          <w:lang w:val="en-AU"/>
        </w:rPr>
        <w:t>and addressed and their resilience improved</w:t>
      </w:r>
      <w:r w:rsidR="00932171" w:rsidRPr="00932171">
        <w:rPr>
          <w:rFonts w:eastAsia="Times New Roman" w:cs="Times New Roman"/>
          <w:sz w:val="21"/>
          <w:szCs w:val="21"/>
          <w:lang w:val="en-AU"/>
        </w:rPr>
        <w:t>.</w:t>
      </w:r>
      <w:r w:rsidR="00D079D0">
        <w:rPr>
          <w:rStyle w:val="FootnoteReference"/>
          <w:rFonts w:eastAsia="Times New Roman" w:cs="Times New Roman"/>
          <w:sz w:val="21"/>
          <w:szCs w:val="21"/>
          <w:lang w:val="en-AU"/>
        </w:rPr>
        <w:footnoteReference w:id="23"/>
      </w:r>
      <w:r w:rsidR="005326EE">
        <w:rPr>
          <w:rFonts w:eastAsia="Times New Roman" w:cs="Times New Roman"/>
          <w:sz w:val="21"/>
          <w:szCs w:val="21"/>
          <w:lang w:val="en-AU"/>
        </w:rPr>
        <w:t xml:space="preserve"> </w:t>
      </w:r>
      <w:r w:rsidR="00CB172E">
        <w:rPr>
          <w:rFonts w:eastAsia="Times New Roman" w:cs="Times New Roman"/>
          <w:sz w:val="21"/>
          <w:szCs w:val="21"/>
          <w:lang w:val="en-AU"/>
        </w:rPr>
        <w:t xml:space="preserve">Yet despite this, </w:t>
      </w:r>
      <w:r w:rsidR="00441D21" w:rsidRPr="00441D21">
        <w:rPr>
          <w:rFonts w:eastAsia="Times New Roman" w:cs="Times New Roman"/>
          <w:sz w:val="21"/>
          <w:szCs w:val="21"/>
          <w:lang w:val="en-AU"/>
        </w:rPr>
        <w:t xml:space="preserve">disability-inclusive disaster risk reduction </w:t>
      </w:r>
      <w:r w:rsidR="00441D21">
        <w:rPr>
          <w:rFonts w:eastAsia="Times New Roman" w:cs="Times New Roman"/>
          <w:sz w:val="21"/>
          <w:szCs w:val="21"/>
          <w:lang w:val="en-AU"/>
        </w:rPr>
        <w:t xml:space="preserve">is still nascent </w:t>
      </w:r>
      <w:r w:rsidR="00441D21" w:rsidRPr="00441D21">
        <w:rPr>
          <w:rFonts w:eastAsia="Times New Roman" w:cs="Times New Roman"/>
          <w:sz w:val="21"/>
          <w:szCs w:val="21"/>
          <w:lang w:val="en-AU"/>
        </w:rPr>
        <w:t>across the globe</w:t>
      </w:r>
      <w:r w:rsidR="00441D21">
        <w:rPr>
          <w:rFonts w:eastAsia="Times New Roman" w:cs="Times New Roman"/>
          <w:sz w:val="21"/>
          <w:szCs w:val="21"/>
          <w:lang w:val="en-AU"/>
        </w:rPr>
        <w:t>, and there is a</w:t>
      </w:r>
      <w:r w:rsidR="00E922F2">
        <w:rPr>
          <w:rFonts w:eastAsia="Times New Roman" w:cs="Times New Roman"/>
          <w:sz w:val="21"/>
          <w:szCs w:val="21"/>
          <w:lang w:val="en-AU"/>
        </w:rPr>
        <w:t xml:space="preserve"> low base of expertise and institutional capacity including </w:t>
      </w:r>
      <w:r w:rsidR="00327D09">
        <w:rPr>
          <w:rFonts w:eastAsia="Times New Roman" w:cs="Times New Roman"/>
          <w:sz w:val="21"/>
          <w:szCs w:val="21"/>
          <w:lang w:val="en-AU"/>
        </w:rPr>
        <w:t>on the part of OPDs</w:t>
      </w:r>
      <w:r w:rsidR="00E922F2">
        <w:rPr>
          <w:rFonts w:eastAsia="Times New Roman" w:cs="Times New Roman"/>
          <w:sz w:val="21"/>
          <w:szCs w:val="21"/>
          <w:lang w:val="en-AU"/>
        </w:rPr>
        <w:t>.</w:t>
      </w:r>
    </w:p>
    <w:p w14:paraId="26191062" w14:textId="087A4F23" w:rsidR="00BF034D" w:rsidRPr="005B092D" w:rsidRDefault="00E922F2" w:rsidP="00527E2B">
      <w:pPr>
        <w:pStyle w:val="ListParagraph"/>
        <w:numPr>
          <w:ilvl w:val="0"/>
          <w:numId w:val="12"/>
        </w:numPr>
        <w:tabs>
          <w:tab w:val="left" w:pos="284"/>
          <w:tab w:val="left" w:pos="426"/>
        </w:tabs>
        <w:suppressAutoHyphens w:val="0"/>
        <w:spacing w:before="200" w:after="0" w:line="280" w:lineRule="exact"/>
        <w:ind w:left="0" w:firstLine="0"/>
        <w:contextualSpacing w:val="0"/>
        <w:rPr>
          <w:sz w:val="21"/>
          <w:szCs w:val="21"/>
        </w:rPr>
      </w:pPr>
      <w:r>
        <w:rPr>
          <w:rFonts w:eastAsia="Times New Roman" w:cs="Times New Roman"/>
          <w:sz w:val="21"/>
          <w:szCs w:val="21"/>
          <w:lang w:val="en-AU"/>
        </w:rPr>
        <w:lastRenderedPageBreak/>
        <w:t>The</w:t>
      </w:r>
      <w:r w:rsidRPr="00E922F2">
        <w:rPr>
          <w:rFonts w:eastAsia="Times New Roman" w:cs="Times New Roman"/>
          <w:sz w:val="21"/>
          <w:szCs w:val="21"/>
          <w:lang w:val="en-AU"/>
        </w:rPr>
        <w:t xml:space="preserve"> evaluation of disability inclusion in Disaster READY </w:t>
      </w:r>
      <w:r w:rsidR="00AC404A">
        <w:rPr>
          <w:rFonts w:eastAsia="Times New Roman" w:cs="Times New Roman"/>
          <w:sz w:val="21"/>
          <w:szCs w:val="21"/>
          <w:lang w:val="en-AU"/>
        </w:rPr>
        <w:t xml:space="preserve">(2021) found that the program’s </w:t>
      </w:r>
      <w:r w:rsidR="00AC404A" w:rsidRPr="00AC404A">
        <w:rPr>
          <w:rFonts w:eastAsia="Times New Roman" w:cs="Times New Roman"/>
          <w:sz w:val="21"/>
          <w:szCs w:val="21"/>
          <w:lang w:val="en-AU"/>
        </w:rPr>
        <w:t>explicit focus on disability inclusion pushed ANGOs and their local partners to start thinking and working in a disability-inclusive way</w:t>
      </w:r>
      <w:r w:rsidR="00CB2645">
        <w:rPr>
          <w:rFonts w:eastAsia="Times New Roman" w:cs="Times New Roman"/>
          <w:sz w:val="21"/>
          <w:szCs w:val="21"/>
          <w:lang w:val="en-AU"/>
        </w:rPr>
        <w:t>. A</w:t>
      </w:r>
      <w:r w:rsidR="00E86FFA">
        <w:rPr>
          <w:rFonts w:eastAsia="Times New Roman" w:cs="Times New Roman"/>
          <w:sz w:val="21"/>
          <w:szCs w:val="21"/>
          <w:lang w:val="en-AU"/>
        </w:rPr>
        <w:t xml:space="preserve">chievements </w:t>
      </w:r>
      <w:r w:rsidR="00CB2645">
        <w:rPr>
          <w:rFonts w:eastAsia="Times New Roman" w:cs="Times New Roman"/>
          <w:sz w:val="21"/>
          <w:szCs w:val="21"/>
          <w:lang w:val="en-AU"/>
        </w:rPr>
        <w:t xml:space="preserve">to date have included </w:t>
      </w:r>
      <w:r w:rsidR="00E86FFA">
        <w:rPr>
          <w:rFonts w:eastAsia="Times New Roman" w:cs="Times New Roman"/>
          <w:sz w:val="21"/>
          <w:szCs w:val="21"/>
          <w:lang w:val="en-AU"/>
        </w:rPr>
        <w:t xml:space="preserve">increased </w:t>
      </w:r>
      <w:r w:rsidR="00CB2645">
        <w:rPr>
          <w:rFonts w:eastAsia="Times New Roman" w:cs="Times New Roman"/>
          <w:sz w:val="21"/>
          <w:szCs w:val="21"/>
          <w:lang w:val="en-AU"/>
        </w:rPr>
        <w:t>representation</w:t>
      </w:r>
      <w:r w:rsidR="00E86FFA">
        <w:rPr>
          <w:rFonts w:eastAsia="Times New Roman" w:cs="Times New Roman"/>
          <w:sz w:val="21"/>
          <w:szCs w:val="21"/>
          <w:lang w:val="en-AU"/>
        </w:rPr>
        <w:t xml:space="preserve"> of people </w:t>
      </w:r>
      <w:r w:rsidR="003511B0">
        <w:rPr>
          <w:rFonts w:eastAsia="Times New Roman" w:cs="Times New Roman"/>
          <w:sz w:val="21"/>
          <w:szCs w:val="21"/>
          <w:lang w:val="en-AU"/>
        </w:rPr>
        <w:t xml:space="preserve">living </w:t>
      </w:r>
      <w:r w:rsidR="00E86FFA">
        <w:rPr>
          <w:rFonts w:eastAsia="Times New Roman" w:cs="Times New Roman"/>
          <w:sz w:val="21"/>
          <w:szCs w:val="21"/>
          <w:lang w:val="en-AU"/>
        </w:rPr>
        <w:t xml:space="preserve">with disabilities in </w:t>
      </w:r>
      <w:r w:rsidR="00CB2645">
        <w:rPr>
          <w:rFonts w:eastAsia="Times New Roman" w:cs="Times New Roman"/>
          <w:sz w:val="21"/>
          <w:szCs w:val="21"/>
          <w:lang w:val="en-AU"/>
        </w:rPr>
        <w:t>disaster committees</w:t>
      </w:r>
      <w:r w:rsidR="003B4E62">
        <w:rPr>
          <w:rFonts w:eastAsia="Times New Roman" w:cs="Times New Roman"/>
          <w:sz w:val="21"/>
          <w:szCs w:val="21"/>
          <w:lang w:val="en-AU"/>
        </w:rPr>
        <w:t xml:space="preserve"> and in disaster preparedness planning, and </w:t>
      </w:r>
      <w:r w:rsidR="00BF034D">
        <w:rPr>
          <w:rFonts w:eastAsia="Times New Roman" w:cs="Times New Roman"/>
          <w:sz w:val="21"/>
          <w:szCs w:val="21"/>
          <w:lang w:val="en-AU"/>
        </w:rPr>
        <w:t xml:space="preserve">engagement of OPDs </w:t>
      </w:r>
      <w:r w:rsidR="00E31FBB">
        <w:rPr>
          <w:rFonts w:eastAsia="Times New Roman" w:cs="Times New Roman"/>
          <w:sz w:val="21"/>
          <w:szCs w:val="21"/>
          <w:lang w:val="en-AU"/>
        </w:rPr>
        <w:t xml:space="preserve">and CBM </w:t>
      </w:r>
      <w:r w:rsidR="00BF034D">
        <w:rPr>
          <w:rFonts w:eastAsia="Times New Roman" w:cs="Times New Roman"/>
          <w:sz w:val="21"/>
          <w:szCs w:val="21"/>
          <w:lang w:val="en-AU"/>
        </w:rPr>
        <w:t>in Disaster READY governance and programming</w:t>
      </w:r>
      <w:r w:rsidR="00AC404A" w:rsidRPr="00AC404A">
        <w:rPr>
          <w:rFonts w:eastAsia="Times New Roman" w:cs="Times New Roman"/>
          <w:sz w:val="21"/>
          <w:szCs w:val="21"/>
          <w:lang w:val="en-AU"/>
        </w:rPr>
        <w:t xml:space="preserve">. </w:t>
      </w:r>
      <w:r w:rsidR="00BF034D">
        <w:rPr>
          <w:rFonts w:eastAsia="Times New Roman" w:cs="Times New Roman"/>
          <w:sz w:val="21"/>
          <w:szCs w:val="21"/>
          <w:lang w:val="en-AU"/>
        </w:rPr>
        <w:t xml:space="preserve">However, the evaluation </w:t>
      </w:r>
      <w:r w:rsidR="00763572">
        <w:rPr>
          <w:rFonts w:eastAsia="Times New Roman" w:cs="Times New Roman"/>
          <w:sz w:val="21"/>
          <w:szCs w:val="21"/>
          <w:lang w:val="en-AU"/>
        </w:rPr>
        <w:t>found that</w:t>
      </w:r>
      <w:r w:rsidR="00C20B07">
        <w:rPr>
          <w:rFonts w:eastAsia="Times New Roman" w:cs="Times New Roman"/>
          <w:sz w:val="21"/>
          <w:szCs w:val="21"/>
          <w:lang w:val="en-AU"/>
        </w:rPr>
        <w:t xml:space="preserve"> </w:t>
      </w:r>
      <w:r w:rsidR="0086546D">
        <w:rPr>
          <w:rFonts w:eastAsia="Times New Roman" w:cs="Times New Roman"/>
          <w:sz w:val="21"/>
          <w:szCs w:val="21"/>
          <w:lang w:val="en-AU"/>
        </w:rPr>
        <w:t xml:space="preserve">improvements in the overall resilience of people </w:t>
      </w:r>
      <w:r w:rsidR="003511B0">
        <w:rPr>
          <w:rFonts w:eastAsia="Times New Roman" w:cs="Times New Roman"/>
          <w:sz w:val="21"/>
          <w:szCs w:val="21"/>
          <w:lang w:val="en-AU"/>
        </w:rPr>
        <w:t xml:space="preserve">living </w:t>
      </w:r>
      <w:r w:rsidR="0086546D">
        <w:rPr>
          <w:rFonts w:eastAsia="Times New Roman" w:cs="Times New Roman"/>
          <w:sz w:val="21"/>
          <w:szCs w:val="21"/>
          <w:lang w:val="en-AU"/>
        </w:rPr>
        <w:t xml:space="preserve">with disabilities to emergencies </w:t>
      </w:r>
      <w:r w:rsidR="00763572">
        <w:rPr>
          <w:rFonts w:eastAsia="Times New Roman" w:cs="Times New Roman"/>
          <w:sz w:val="21"/>
          <w:szCs w:val="21"/>
          <w:lang w:val="en-AU"/>
        </w:rPr>
        <w:t>and in</w:t>
      </w:r>
      <w:r w:rsidR="0086546D">
        <w:rPr>
          <w:rFonts w:eastAsia="Times New Roman" w:cs="Times New Roman"/>
          <w:sz w:val="21"/>
          <w:szCs w:val="21"/>
          <w:lang w:val="en-AU"/>
        </w:rPr>
        <w:t xml:space="preserve"> </w:t>
      </w:r>
      <w:r w:rsidR="0073379D">
        <w:rPr>
          <w:rFonts w:eastAsia="Times New Roman" w:cs="Times New Roman"/>
          <w:sz w:val="21"/>
          <w:szCs w:val="21"/>
          <w:lang w:val="en-AU"/>
        </w:rPr>
        <w:t>inclusive disaster response</w:t>
      </w:r>
      <w:r w:rsidR="00763572">
        <w:rPr>
          <w:rFonts w:eastAsia="Times New Roman" w:cs="Times New Roman"/>
          <w:sz w:val="21"/>
          <w:szCs w:val="21"/>
          <w:lang w:val="en-AU"/>
        </w:rPr>
        <w:t xml:space="preserve"> </w:t>
      </w:r>
      <w:r w:rsidR="006C6088">
        <w:rPr>
          <w:rFonts w:eastAsia="Times New Roman" w:cs="Times New Roman"/>
          <w:sz w:val="21"/>
          <w:szCs w:val="21"/>
          <w:lang w:val="en-AU"/>
        </w:rPr>
        <w:t xml:space="preserve">varied across countries and overall </w:t>
      </w:r>
      <w:r w:rsidR="00763572">
        <w:rPr>
          <w:rFonts w:eastAsia="Times New Roman" w:cs="Times New Roman"/>
          <w:sz w:val="21"/>
          <w:szCs w:val="21"/>
          <w:lang w:val="en-AU"/>
        </w:rPr>
        <w:t>were still a work in progress</w:t>
      </w:r>
      <w:r w:rsidR="0073379D">
        <w:rPr>
          <w:rFonts w:eastAsia="Times New Roman" w:cs="Times New Roman"/>
          <w:sz w:val="21"/>
          <w:szCs w:val="21"/>
          <w:lang w:val="en-AU"/>
        </w:rPr>
        <w:t xml:space="preserve">. </w:t>
      </w:r>
      <w:r w:rsidR="005A2657">
        <w:rPr>
          <w:rFonts w:eastAsia="Times New Roman" w:cs="Times New Roman"/>
          <w:sz w:val="21"/>
          <w:szCs w:val="21"/>
          <w:lang w:val="en-AU"/>
        </w:rPr>
        <w:t xml:space="preserve">In addition, </w:t>
      </w:r>
      <w:r w:rsidR="00231987">
        <w:rPr>
          <w:rFonts w:eastAsia="Times New Roman" w:cs="Times New Roman"/>
          <w:sz w:val="21"/>
          <w:szCs w:val="21"/>
          <w:lang w:val="en-AU"/>
        </w:rPr>
        <w:t>disability-inclusive initiative</w:t>
      </w:r>
      <w:r w:rsidR="006C6088">
        <w:rPr>
          <w:rFonts w:eastAsia="Times New Roman" w:cs="Times New Roman"/>
          <w:sz w:val="21"/>
          <w:szCs w:val="21"/>
          <w:lang w:val="en-AU"/>
        </w:rPr>
        <w:t>s</w:t>
      </w:r>
      <w:r w:rsidR="00231987">
        <w:rPr>
          <w:rFonts w:eastAsia="Times New Roman" w:cs="Times New Roman"/>
          <w:sz w:val="21"/>
          <w:szCs w:val="21"/>
          <w:lang w:val="en-AU"/>
        </w:rPr>
        <w:t xml:space="preserve"> have not reached </w:t>
      </w:r>
      <w:r w:rsidR="005A2657" w:rsidRPr="005A2657">
        <w:rPr>
          <w:rFonts w:eastAsia="Times New Roman" w:cs="Times New Roman"/>
          <w:sz w:val="21"/>
          <w:szCs w:val="21"/>
          <w:lang w:val="en-AU"/>
        </w:rPr>
        <w:t>all people</w:t>
      </w:r>
      <w:r w:rsidR="00DC1D41">
        <w:rPr>
          <w:rFonts w:eastAsia="Times New Roman" w:cs="Times New Roman"/>
          <w:sz w:val="21"/>
          <w:szCs w:val="21"/>
          <w:lang w:val="en-AU"/>
        </w:rPr>
        <w:t xml:space="preserve"> living</w:t>
      </w:r>
      <w:r w:rsidR="005A2657" w:rsidRPr="005A2657">
        <w:rPr>
          <w:rFonts w:eastAsia="Times New Roman" w:cs="Times New Roman"/>
          <w:sz w:val="21"/>
          <w:szCs w:val="21"/>
          <w:lang w:val="en-AU"/>
        </w:rPr>
        <w:t xml:space="preserve"> with disabilities equally: diverse people with more marginalised disabilities </w:t>
      </w:r>
      <w:r w:rsidR="00231987">
        <w:rPr>
          <w:rFonts w:eastAsia="Times New Roman" w:cs="Times New Roman"/>
          <w:sz w:val="21"/>
          <w:szCs w:val="21"/>
          <w:lang w:val="en-AU"/>
        </w:rPr>
        <w:t>were</w:t>
      </w:r>
      <w:r w:rsidR="005A2657" w:rsidRPr="005A2657">
        <w:rPr>
          <w:rFonts w:eastAsia="Times New Roman" w:cs="Times New Roman"/>
          <w:sz w:val="21"/>
          <w:szCs w:val="21"/>
          <w:lang w:val="en-AU"/>
        </w:rPr>
        <w:t xml:space="preserve"> less likely to be included</w:t>
      </w:r>
      <w:r w:rsidR="00231987">
        <w:rPr>
          <w:rFonts w:eastAsia="Times New Roman" w:cs="Times New Roman"/>
          <w:sz w:val="21"/>
          <w:szCs w:val="21"/>
          <w:lang w:val="en-AU"/>
        </w:rPr>
        <w:t>.</w:t>
      </w:r>
      <w:r w:rsidR="00361FF8">
        <w:rPr>
          <w:rFonts w:eastAsia="Times New Roman" w:cs="Times New Roman"/>
          <w:sz w:val="21"/>
          <w:szCs w:val="21"/>
          <w:lang w:val="en-AU"/>
        </w:rPr>
        <w:t xml:space="preserve"> The evaluation </w:t>
      </w:r>
      <w:r w:rsidR="00311481">
        <w:rPr>
          <w:rFonts w:eastAsia="Times New Roman" w:cs="Times New Roman"/>
          <w:sz w:val="21"/>
          <w:szCs w:val="21"/>
          <w:lang w:val="en-AU"/>
        </w:rPr>
        <w:t>found th</w:t>
      </w:r>
      <w:r w:rsidR="00EE025B">
        <w:rPr>
          <w:rFonts w:eastAsia="Times New Roman" w:cs="Times New Roman"/>
          <w:sz w:val="21"/>
          <w:szCs w:val="21"/>
          <w:lang w:val="en-AU"/>
        </w:rPr>
        <w:t>at</w:t>
      </w:r>
      <w:r w:rsidR="00311481">
        <w:rPr>
          <w:rFonts w:eastAsia="Times New Roman" w:cs="Times New Roman"/>
          <w:sz w:val="21"/>
          <w:szCs w:val="21"/>
          <w:lang w:val="en-AU"/>
        </w:rPr>
        <w:t xml:space="preserve"> Shared Services budget was</w:t>
      </w:r>
      <w:r w:rsidR="00B757D8">
        <w:rPr>
          <w:rFonts w:eastAsia="Times New Roman" w:cs="Times New Roman"/>
          <w:sz w:val="21"/>
          <w:szCs w:val="21"/>
          <w:lang w:val="en-AU"/>
        </w:rPr>
        <w:t xml:space="preserve"> inadequate to the need, and not always strategically used</w:t>
      </w:r>
      <w:r w:rsidR="00776224">
        <w:rPr>
          <w:rFonts w:eastAsia="Times New Roman" w:cs="Times New Roman"/>
          <w:sz w:val="21"/>
          <w:szCs w:val="21"/>
          <w:lang w:val="en-AU"/>
        </w:rPr>
        <w:t xml:space="preserve"> or prioritised towards disability inclusion.</w:t>
      </w:r>
      <w:r w:rsidR="00EE025B">
        <w:rPr>
          <w:rFonts w:eastAsia="Times New Roman" w:cs="Times New Roman"/>
          <w:sz w:val="21"/>
          <w:szCs w:val="21"/>
          <w:lang w:val="en-AU"/>
        </w:rPr>
        <w:t xml:space="preserve"> However, where AHP partners accessed </w:t>
      </w:r>
      <w:r w:rsidR="00EE025B" w:rsidRPr="00EE025B">
        <w:rPr>
          <w:rFonts w:eastAsia="Times New Roman" w:cs="Times New Roman"/>
          <w:sz w:val="21"/>
          <w:szCs w:val="21"/>
          <w:lang w:val="en-AU"/>
        </w:rPr>
        <w:t>direct technical assistance</w:t>
      </w:r>
      <w:r w:rsidR="00EE025B">
        <w:rPr>
          <w:rFonts w:eastAsia="Times New Roman" w:cs="Times New Roman"/>
          <w:sz w:val="21"/>
          <w:szCs w:val="21"/>
          <w:lang w:val="en-AU"/>
        </w:rPr>
        <w:t xml:space="preserve"> </w:t>
      </w:r>
      <w:r w:rsidR="00BD35FE">
        <w:rPr>
          <w:rFonts w:eastAsia="Times New Roman" w:cs="Times New Roman"/>
          <w:sz w:val="21"/>
          <w:szCs w:val="21"/>
          <w:lang w:val="en-AU"/>
        </w:rPr>
        <w:t>internally or externally</w:t>
      </w:r>
      <w:r w:rsidR="00EE025B" w:rsidRPr="00EE025B">
        <w:rPr>
          <w:rFonts w:eastAsia="Times New Roman" w:cs="Times New Roman"/>
          <w:sz w:val="21"/>
          <w:szCs w:val="21"/>
          <w:lang w:val="en-AU"/>
        </w:rPr>
        <w:t>, this resulted in more contextually appropriate and timely support.</w:t>
      </w:r>
    </w:p>
    <w:p w14:paraId="4F465E08" w14:textId="387615CA" w:rsidR="00E9117E" w:rsidRPr="009D131B" w:rsidRDefault="00E9117E" w:rsidP="00527E2B">
      <w:pPr>
        <w:pStyle w:val="ListParagraph"/>
        <w:numPr>
          <w:ilvl w:val="0"/>
          <w:numId w:val="12"/>
        </w:numPr>
        <w:tabs>
          <w:tab w:val="left" w:pos="284"/>
          <w:tab w:val="left" w:pos="426"/>
        </w:tabs>
        <w:suppressAutoHyphens w:val="0"/>
        <w:spacing w:before="200" w:after="0" w:line="280" w:lineRule="exact"/>
        <w:ind w:left="0" w:firstLine="0"/>
        <w:contextualSpacing w:val="0"/>
        <w:rPr>
          <w:sz w:val="21"/>
          <w:szCs w:val="21"/>
        </w:rPr>
      </w:pPr>
      <w:r>
        <w:rPr>
          <w:iCs/>
          <w:sz w:val="21"/>
          <w:szCs w:val="21"/>
        </w:rPr>
        <w:t xml:space="preserve">Phase II responds to these findings in </w:t>
      </w:r>
      <w:r w:rsidR="005D1FF9">
        <w:rPr>
          <w:iCs/>
          <w:sz w:val="21"/>
          <w:szCs w:val="21"/>
        </w:rPr>
        <w:t>several</w:t>
      </w:r>
      <w:r>
        <w:rPr>
          <w:iCs/>
          <w:sz w:val="21"/>
          <w:szCs w:val="21"/>
        </w:rPr>
        <w:t xml:space="preserve"> ways</w:t>
      </w:r>
      <w:r w:rsidR="00293DA0">
        <w:rPr>
          <w:rFonts w:eastAsia="Times New Roman" w:cs="Times New Roman"/>
          <w:sz w:val="21"/>
          <w:szCs w:val="21"/>
          <w:lang w:val="en-AU"/>
        </w:rPr>
        <w:t xml:space="preserve"> in line with DFATs </w:t>
      </w:r>
      <w:r w:rsidR="00293DA0" w:rsidRPr="00647A70">
        <w:rPr>
          <w:rFonts w:eastAsia="Times New Roman" w:cs="Times New Roman"/>
          <w:i/>
          <w:iCs/>
          <w:sz w:val="21"/>
          <w:szCs w:val="21"/>
          <w:lang w:val="en-AU"/>
        </w:rPr>
        <w:t>Partnerships for Recovery</w:t>
      </w:r>
      <w:r w:rsidR="00293DA0">
        <w:rPr>
          <w:rFonts w:eastAsia="Times New Roman" w:cs="Times New Roman"/>
          <w:sz w:val="21"/>
          <w:szCs w:val="21"/>
          <w:lang w:val="en-AU"/>
        </w:rPr>
        <w:t xml:space="preserve"> and </w:t>
      </w:r>
      <w:r w:rsidR="00F179D1">
        <w:rPr>
          <w:rFonts w:eastAsia="Times New Roman" w:cs="Times New Roman"/>
          <w:i/>
          <w:iCs/>
          <w:sz w:val="21"/>
          <w:szCs w:val="21"/>
          <w:lang w:val="en-AU"/>
        </w:rPr>
        <w:t>Development</w:t>
      </w:r>
      <w:r w:rsidR="00293DA0" w:rsidRPr="00647A70">
        <w:rPr>
          <w:rFonts w:eastAsia="Times New Roman" w:cs="Times New Roman"/>
          <w:i/>
          <w:iCs/>
          <w:sz w:val="21"/>
          <w:szCs w:val="21"/>
          <w:lang w:val="en-AU"/>
        </w:rPr>
        <w:t xml:space="preserve"> for All Strategy (2015-21)</w:t>
      </w:r>
      <w:r w:rsidRPr="009D131B">
        <w:rPr>
          <w:rFonts w:eastAsia="Times New Roman" w:cs="Times New Roman"/>
          <w:sz w:val="21"/>
          <w:szCs w:val="21"/>
          <w:lang w:val="en-AU"/>
        </w:rPr>
        <w:t>:</w:t>
      </w:r>
    </w:p>
    <w:p w14:paraId="68EAC7CA" w14:textId="780267CC" w:rsidR="004E34ED" w:rsidRPr="003E2C60" w:rsidRDefault="004E34ED" w:rsidP="0011591E">
      <w:pPr>
        <w:pStyle w:val="ListParagraph"/>
        <w:numPr>
          <w:ilvl w:val="0"/>
          <w:numId w:val="29"/>
        </w:numPr>
        <w:spacing w:before="60" w:line="280" w:lineRule="atLeast"/>
        <w:ind w:left="714" w:hanging="357"/>
        <w:contextualSpacing w:val="0"/>
        <w:rPr>
          <w:sz w:val="21"/>
          <w:szCs w:val="21"/>
        </w:rPr>
      </w:pPr>
      <w:r>
        <w:rPr>
          <w:sz w:val="21"/>
          <w:szCs w:val="21"/>
        </w:rPr>
        <w:t xml:space="preserve">CBM </w:t>
      </w:r>
      <w:r w:rsidR="004510FC">
        <w:rPr>
          <w:sz w:val="21"/>
          <w:szCs w:val="21"/>
        </w:rPr>
        <w:t xml:space="preserve">(and PDF where relevant) </w:t>
      </w:r>
      <w:r>
        <w:rPr>
          <w:sz w:val="21"/>
          <w:szCs w:val="21"/>
        </w:rPr>
        <w:t>will continue as</w:t>
      </w:r>
      <w:r w:rsidR="004510FC">
        <w:rPr>
          <w:sz w:val="21"/>
          <w:szCs w:val="21"/>
        </w:rPr>
        <w:t xml:space="preserve"> </w:t>
      </w:r>
      <w:r>
        <w:rPr>
          <w:sz w:val="21"/>
          <w:szCs w:val="21"/>
        </w:rPr>
        <w:t>important member</w:t>
      </w:r>
      <w:r w:rsidR="004510FC">
        <w:rPr>
          <w:sz w:val="21"/>
          <w:szCs w:val="21"/>
        </w:rPr>
        <w:t>s</w:t>
      </w:r>
      <w:r>
        <w:rPr>
          <w:sz w:val="21"/>
          <w:szCs w:val="21"/>
        </w:rPr>
        <w:t xml:space="preserve"> of the AHP Steering Committee to provide input into Partnership-wide priorities</w:t>
      </w:r>
      <w:r w:rsidR="003C7BF9">
        <w:rPr>
          <w:sz w:val="21"/>
          <w:szCs w:val="21"/>
        </w:rPr>
        <w:t xml:space="preserve"> and </w:t>
      </w:r>
      <w:r w:rsidR="00D527C6">
        <w:rPr>
          <w:sz w:val="21"/>
          <w:szCs w:val="21"/>
        </w:rPr>
        <w:t>advise on implementation challenges and opportunities</w:t>
      </w:r>
      <w:r>
        <w:rPr>
          <w:sz w:val="21"/>
          <w:szCs w:val="21"/>
        </w:rPr>
        <w:t>;</w:t>
      </w:r>
    </w:p>
    <w:p w14:paraId="1147E938" w14:textId="37BE33C9" w:rsidR="006656E6" w:rsidRDefault="00E9117E" w:rsidP="0011591E">
      <w:pPr>
        <w:pStyle w:val="ListParagraph"/>
        <w:numPr>
          <w:ilvl w:val="0"/>
          <w:numId w:val="29"/>
        </w:numPr>
        <w:spacing w:before="60" w:line="280" w:lineRule="atLeast"/>
        <w:ind w:left="714" w:hanging="357"/>
        <w:contextualSpacing w:val="0"/>
        <w:rPr>
          <w:iCs/>
          <w:sz w:val="21"/>
          <w:szCs w:val="21"/>
        </w:rPr>
      </w:pPr>
      <w:r>
        <w:rPr>
          <w:iCs/>
          <w:sz w:val="21"/>
          <w:szCs w:val="21"/>
        </w:rPr>
        <w:t xml:space="preserve">Under EOPO 1, </w:t>
      </w:r>
      <w:r w:rsidR="00EE70F3">
        <w:rPr>
          <w:iCs/>
          <w:sz w:val="21"/>
          <w:szCs w:val="21"/>
        </w:rPr>
        <w:t>Disaster READY’s</w:t>
      </w:r>
      <w:r w:rsidR="00EE70F3" w:rsidRPr="00EE70F3">
        <w:rPr>
          <w:iCs/>
          <w:sz w:val="21"/>
          <w:szCs w:val="21"/>
        </w:rPr>
        <w:t xml:space="preserve"> explicit focus on disability inclusion</w:t>
      </w:r>
      <w:r w:rsidR="00EE70F3">
        <w:rPr>
          <w:iCs/>
          <w:sz w:val="21"/>
          <w:szCs w:val="21"/>
        </w:rPr>
        <w:t xml:space="preserve"> will continue and</w:t>
      </w:r>
      <w:r w:rsidR="00EE70F3" w:rsidRPr="00EE70F3">
        <w:rPr>
          <w:iCs/>
          <w:sz w:val="21"/>
          <w:szCs w:val="21"/>
        </w:rPr>
        <w:t xml:space="preserve"> </w:t>
      </w:r>
      <w:r w:rsidRPr="004220E0">
        <w:rPr>
          <w:iCs/>
          <w:sz w:val="21"/>
          <w:szCs w:val="21"/>
        </w:rPr>
        <w:t xml:space="preserve">DRCCs will have increased budget </w:t>
      </w:r>
      <w:r>
        <w:rPr>
          <w:iCs/>
          <w:sz w:val="21"/>
          <w:szCs w:val="21"/>
        </w:rPr>
        <w:t xml:space="preserve">available </w:t>
      </w:r>
      <w:r w:rsidRPr="004220E0">
        <w:rPr>
          <w:iCs/>
          <w:sz w:val="21"/>
          <w:szCs w:val="21"/>
        </w:rPr>
        <w:t xml:space="preserve">to support </w:t>
      </w:r>
      <w:r>
        <w:rPr>
          <w:iCs/>
          <w:sz w:val="21"/>
          <w:szCs w:val="21"/>
        </w:rPr>
        <w:t>OPD</w:t>
      </w:r>
      <w:r w:rsidRPr="004220E0">
        <w:rPr>
          <w:iCs/>
          <w:sz w:val="21"/>
          <w:szCs w:val="21"/>
        </w:rPr>
        <w:t xml:space="preserve">s to </w:t>
      </w:r>
      <w:r w:rsidR="00F179D1">
        <w:rPr>
          <w:iCs/>
          <w:sz w:val="21"/>
          <w:szCs w:val="21"/>
        </w:rPr>
        <w:t xml:space="preserve">engage </w:t>
      </w:r>
      <w:r w:rsidRPr="004220E0">
        <w:rPr>
          <w:iCs/>
          <w:sz w:val="21"/>
          <w:szCs w:val="21"/>
        </w:rPr>
        <w:t>in country level coordination and decision-making forums</w:t>
      </w:r>
      <w:r w:rsidR="007435A5">
        <w:rPr>
          <w:iCs/>
          <w:sz w:val="21"/>
          <w:szCs w:val="21"/>
        </w:rPr>
        <w:t xml:space="preserve"> and </w:t>
      </w:r>
      <w:r w:rsidR="00F179D1">
        <w:rPr>
          <w:iCs/>
          <w:sz w:val="21"/>
          <w:szCs w:val="21"/>
        </w:rPr>
        <w:t xml:space="preserve">embed a twin-track approach in </w:t>
      </w:r>
      <w:r w:rsidR="007435A5">
        <w:rPr>
          <w:iCs/>
          <w:sz w:val="21"/>
          <w:szCs w:val="21"/>
        </w:rPr>
        <w:t xml:space="preserve">activity planning. </w:t>
      </w:r>
      <w:r w:rsidR="00361FF8">
        <w:rPr>
          <w:iCs/>
          <w:sz w:val="21"/>
          <w:szCs w:val="21"/>
        </w:rPr>
        <w:t xml:space="preserve">Through country planning </w:t>
      </w:r>
      <w:r w:rsidR="007435A5">
        <w:rPr>
          <w:iCs/>
          <w:sz w:val="21"/>
          <w:szCs w:val="21"/>
        </w:rPr>
        <w:t xml:space="preserve">DRCCs will also set and plan for long-term objectives </w:t>
      </w:r>
      <w:r w:rsidR="00015309">
        <w:rPr>
          <w:iCs/>
          <w:sz w:val="21"/>
          <w:szCs w:val="21"/>
        </w:rPr>
        <w:t xml:space="preserve">and technical advice </w:t>
      </w:r>
      <w:r w:rsidR="007435A5">
        <w:rPr>
          <w:iCs/>
          <w:sz w:val="21"/>
          <w:szCs w:val="21"/>
        </w:rPr>
        <w:t xml:space="preserve">for </w:t>
      </w:r>
      <w:r w:rsidR="00D870B9">
        <w:rPr>
          <w:iCs/>
          <w:sz w:val="21"/>
          <w:szCs w:val="21"/>
        </w:rPr>
        <w:t>GEDSI</w:t>
      </w:r>
      <w:r w:rsidR="007435A5">
        <w:rPr>
          <w:iCs/>
          <w:sz w:val="21"/>
          <w:szCs w:val="21"/>
        </w:rPr>
        <w:t xml:space="preserve"> and capacity </w:t>
      </w:r>
      <w:r w:rsidR="00A33EB4">
        <w:rPr>
          <w:iCs/>
          <w:sz w:val="21"/>
          <w:szCs w:val="21"/>
        </w:rPr>
        <w:t>strengthening</w:t>
      </w:r>
      <w:r w:rsidR="007435A5">
        <w:rPr>
          <w:iCs/>
          <w:sz w:val="21"/>
          <w:szCs w:val="21"/>
        </w:rPr>
        <w:t xml:space="preserve"> based on context-specific analysis</w:t>
      </w:r>
      <w:r w:rsidR="004A3DB5">
        <w:rPr>
          <w:iCs/>
          <w:sz w:val="21"/>
          <w:szCs w:val="21"/>
        </w:rPr>
        <w:t xml:space="preserve">. At the activity level, ANGOs will be required to </w:t>
      </w:r>
      <w:r w:rsidR="004A3DB5" w:rsidRPr="004A3DB5">
        <w:rPr>
          <w:iCs/>
          <w:sz w:val="21"/>
          <w:szCs w:val="21"/>
        </w:rPr>
        <w:t>indicate how evidence regarding disability inclusion, including stand-alone analyses, reflection and learning from past activities, informs work planning within annual plans.</w:t>
      </w:r>
    </w:p>
    <w:p w14:paraId="1299AD9A" w14:textId="56C666C2" w:rsidR="00E9117E" w:rsidRDefault="00E9117E" w:rsidP="0011591E">
      <w:pPr>
        <w:pStyle w:val="ListParagraph"/>
        <w:numPr>
          <w:ilvl w:val="0"/>
          <w:numId w:val="29"/>
        </w:numPr>
        <w:spacing w:before="60" w:line="280" w:lineRule="atLeast"/>
        <w:ind w:left="714" w:hanging="357"/>
        <w:contextualSpacing w:val="0"/>
        <w:rPr>
          <w:iCs/>
          <w:sz w:val="21"/>
          <w:szCs w:val="21"/>
        </w:rPr>
      </w:pPr>
      <w:r>
        <w:rPr>
          <w:iCs/>
          <w:sz w:val="21"/>
          <w:szCs w:val="21"/>
        </w:rPr>
        <w:t>Under EOPO 2: Rapid onset and protracted crisis response, disability inclusion</w:t>
      </w:r>
      <w:r w:rsidRPr="00646710">
        <w:rPr>
          <w:iCs/>
          <w:sz w:val="21"/>
          <w:szCs w:val="21"/>
        </w:rPr>
        <w:t xml:space="preserve"> will </w:t>
      </w:r>
      <w:r>
        <w:rPr>
          <w:iCs/>
          <w:sz w:val="21"/>
          <w:szCs w:val="21"/>
        </w:rPr>
        <w:t>remain</w:t>
      </w:r>
      <w:r w:rsidRPr="00646710">
        <w:rPr>
          <w:iCs/>
          <w:sz w:val="21"/>
          <w:szCs w:val="21"/>
        </w:rPr>
        <w:t xml:space="preserve"> a </w:t>
      </w:r>
      <w:r w:rsidR="005D1FF9" w:rsidRPr="00646710">
        <w:rPr>
          <w:iCs/>
          <w:sz w:val="21"/>
          <w:szCs w:val="21"/>
        </w:rPr>
        <w:t xml:space="preserve">key </w:t>
      </w:r>
      <w:r w:rsidR="005D1FF9">
        <w:rPr>
          <w:iCs/>
          <w:sz w:val="21"/>
          <w:szCs w:val="21"/>
        </w:rPr>
        <w:t>criterion</w:t>
      </w:r>
      <w:r w:rsidRPr="00646710">
        <w:rPr>
          <w:iCs/>
          <w:sz w:val="21"/>
          <w:szCs w:val="21"/>
        </w:rPr>
        <w:t xml:space="preserve"> in the </w:t>
      </w:r>
      <w:r w:rsidR="00015309">
        <w:rPr>
          <w:iCs/>
          <w:sz w:val="21"/>
          <w:szCs w:val="21"/>
        </w:rPr>
        <w:t>assessment of</w:t>
      </w:r>
      <w:r>
        <w:rPr>
          <w:iCs/>
          <w:sz w:val="21"/>
          <w:szCs w:val="21"/>
        </w:rPr>
        <w:t xml:space="preserve"> proposals</w:t>
      </w:r>
      <w:r w:rsidR="00015309">
        <w:rPr>
          <w:iCs/>
          <w:sz w:val="21"/>
          <w:szCs w:val="21"/>
        </w:rPr>
        <w:t>, plans and reports. Disability analysis and resourced strategies will be required for all activities including for any further responses to COVID-19</w:t>
      </w:r>
      <w:r>
        <w:rPr>
          <w:iCs/>
          <w:sz w:val="21"/>
          <w:szCs w:val="21"/>
        </w:rPr>
        <w:t>;</w:t>
      </w:r>
    </w:p>
    <w:p w14:paraId="2CA5A1FF" w14:textId="77777777" w:rsidR="00E9117E" w:rsidRDefault="00E9117E" w:rsidP="0011591E">
      <w:pPr>
        <w:pStyle w:val="ListParagraph"/>
        <w:numPr>
          <w:ilvl w:val="0"/>
          <w:numId w:val="29"/>
        </w:numPr>
        <w:spacing w:before="60" w:line="280" w:lineRule="atLeast"/>
        <w:ind w:left="714" w:hanging="357"/>
        <w:contextualSpacing w:val="0"/>
        <w:rPr>
          <w:iCs/>
          <w:sz w:val="21"/>
          <w:szCs w:val="21"/>
        </w:rPr>
      </w:pPr>
      <w:r>
        <w:rPr>
          <w:iCs/>
          <w:sz w:val="21"/>
          <w:szCs w:val="21"/>
        </w:rPr>
        <w:t>Under EOPO 3: Partnership Learning and Practice, increased resources have been provided to support research and strategic communication to share lessons for strengthening disability inclusion across the Partnership;</w:t>
      </w:r>
    </w:p>
    <w:p w14:paraId="3092F985" w14:textId="2DB11ED2" w:rsidR="00243EDE" w:rsidRPr="00CD3112" w:rsidRDefault="00243EDE" w:rsidP="0011591E">
      <w:pPr>
        <w:pStyle w:val="ListParagraph"/>
        <w:numPr>
          <w:ilvl w:val="0"/>
          <w:numId w:val="29"/>
        </w:numPr>
        <w:spacing w:before="60" w:line="280" w:lineRule="atLeast"/>
        <w:ind w:left="714" w:hanging="357"/>
        <w:contextualSpacing w:val="0"/>
        <w:rPr>
          <w:sz w:val="21"/>
          <w:szCs w:val="21"/>
        </w:rPr>
      </w:pPr>
      <w:r>
        <w:rPr>
          <w:sz w:val="21"/>
          <w:szCs w:val="21"/>
        </w:rPr>
        <w:t xml:space="preserve">ANGOs will continue to build their in-house </w:t>
      </w:r>
      <w:r w:rsidR="00CC2F8F">
        <w:rPr>
          <w:sz w:val="21"/>
          <w:szCs w:val="21"/>
        </w:rPr>
        <w:t xml:space="preserve">and consortia </w:t>
      </w:r>
      <w:r>
        <w:rPr>
          <w:sz w:val="21"/>
          <w:szCs w:val="21"/>
        </w:rPr>
        <w:t xml:space="preserve">capacity in disability inclusion to support in-country offices and partners, and draw on </w:t>
      </w:r>
      <w:r w:rsidR="00CC2F8F">
        <w:rPr>
          <w:sz w:val="21"/>
          <w:szCs w:val="21"/>
        </w:rPr>
        <w:t xml:space="preserve">this expertise to </w:t>
      </w:r>
      <w:r w:rsidR="00CC2F8F" w:rsidRPr="00CC2F8F">
        <w:rPr>
          <w:sz w:val="21"/>
          <w:szCs w:val="21"/>
        </w:rPr>
        <w:t xml:space="preserve">ensure that marginalised people are protected, </w:t>
      </w:r>
      <w:r w:rsidR="005D1FF9" w:rsidRPr="00CC2F8F">
        <w:rPr>
          <w:sz w:val="21"/>
          <w:szCs w:val="21"/>
        </w:rPr>
        <w:t>empowered,</w:t>
      </w:r>
      <w:r w:rsidR="00CC2F8F" w:rsidRPr="00CC2F8F">
        <w:rPr>
          <w:sz w:val="21"/>
          <w:szCs w:val="21"/>
        </w:rPr>
        <w:t xml:space="preserve"> and included in activity planning, </w:t>
      </w:r>
      <w:r w:rsidR="005D1FF9" w:rsidRPr="00CC2F8F">
        <w:rPr>
          <w:sz w:val="21"/>
          <w:szCs w:val="21"/>
        </w:rPr>
        <w:t>delivery,</w:t>
      </w:r>
      <w:r w:rsidR="00CC2F8F" w:rsidRPr="00CC2F8F">
        <w:rPr>
          <w:sz w:val="21"/>
          <w:szCs w:val="21"/>
        </w:rPr>
        <w:t xml:space="preserve"> and evaluation </w:t>
      </w:r>
      <w:r w:rsidR="00CC2F8F">
        <w:rPr>
          <w:sz w:val="21"/>
          <w:szCs w:val="21"/>
        </w:rPr>
        <w:t>c</w:t>
      </w:r>
      <w:r w:rsidR="00CC2F8F" w:rsidRPr="00CC2F8F">
        <w:rPr>
          <w:sz w:val="21"/>
          <w:szCs w:val="21"/>
        </w:rPr>
        <w:t>onsistent with the AHP Program Principle</w:t>
      </w:r>
      <w:r w:rsidR="00CC2F8F">
        <w:rPr>
          <w:sz w:val="21"/>
          <w:szCs w:val="21"/>
        </w:rPr>
        <w:t>s</w:t>
      </w:r>
      <w:r>
        <w:rPr>
          <w:sz w:val="21"/>
          <w:szCs w:val="21"/>
        </w:rPr>
        <w:t>;</w:t>
      </w:r>
      <w:r w:rsidRPr="00CD3112">
        <w:rPr>
          <w:sz w:val="21"/>
          <w:szCs w:val="21"/>
        </w:rPr>
        <w:t xml:space="preserve"> </w:t>
      </w:r>
    </w:p>
    <w:p w14:paraId="69447E30" w14:textId="77E89C4E" w:rsidR="00E9117E" w:rsidRDefault="001D4260" w:rsidP="0011591E">
      <w:pPr>
        <w:pStyle w:val="ListParagraph"/>
        <w:numPr>
          <w:ilvl w:val="0"/>
          <w:numId w:val="29"/>
        </w:numPr>
        <w:spacing w:before="60" w:line="280" w:lineRule="atLeast"/>
        <w:ind w:left="714" w:hanging="357"/>
        <w:contextualSpacing w:val="0"/>
        <w:rPr>
          <w:iCs/>
          <w:sz w:val="21"/>
          <w:szCs w:val="21"/>
        </w:rPr>
      </w:pPr>
      <w:r>
        <w:rPr>
          <w:iCs/>
          <w:sz w:val="21"/>
          <w:szCs w:val="21"/>
        </w:rPr>
        <w:t>D</w:t>
      </w:r>
      <w:r w:rsidR="00E9117E">
        <w:rPr>
          <w:iCs/>
          <w:sz w:val="21"/>
          <w:szCs w:val="21"/>
        </w:rPr>
        <w:t xml:space="preserve">isability specialists </w:t>
      </w:r>
      <w:r>
        <w:rPr>
          <w:iCs/>
          <w:sz w:val="21"/>
          <w:szCs w:val="21"/>
        </w:rPr>
        <w:t xml:space="preserve">will be selected as part of the AHPSU </w:t>
      </w:r>
      <w:r w:rsidR="00E9117E">
        <w:rPr>
          <w:iCs/>
          <w:sz w:val="21"/>
          <w:szCs w:val="21"/>
        </w:rPr>
        <w:t>Panel</w:t>
      </w:r>
      <w:r>
        <w:rPr>
          <w:iCs/>
          <w:sz w:val="21"/>
          <w:szCs w:val="21"/>
        </w:rPr>
        <w:t>, which can be drawn upon to support the Partnership</w:t>
      </w:r>
      <w:r w:rsidR="004510FC">
        <w:rPr>
          <w:iCs/>
          <w:sz w:val="21"/>
          <w:szCs w:val="21"/>
        </w:rPr>
        <w:t xml:space="preserve"> including </w:t>
      </w:r>
      <w:r w:rsidR="00E9117E">
        <w:rPr>
          <w:iCs/>
          <w:sz w:val="21"/>
          <w:szCs w:val="21"/>
        </w:rPr>
        <w:t>to independently appraise response proposals as part of the selection process, and provide technical review of key program strategies, plans and reports throughout the life of the investment;</w:t>
      </w:r>
    </w:p>
    <w:p w14:paraId="03A9ED61" w14:textId="1229ABB3" w:rsidR="00E9117E" w:rsidRPr="003E2C60" w:rsidRDefault="00070348" w:rsidP="0011591E">
      <w:pPr>
        <w:pStyle w:val="ListParagraph"/>
        <w:numPr>
          <w:ilvl w:val="0"/>
          <w:numId w:val="29"/>
        </w:numPr>
        <w:spacing w:before="60" w:line="280" w:lineRule="atLeast"/>
        <w:ind w:left="714" w:hanging="357"/>
        <w:contextualSpacing w:val="0"/>
        <w:rPr>
          <w:iCs/>
          <w:sz w:val="21"/>
          <w:szCs w:val="21"/>
        </w:rPr>
      </w:pPr>
      <w:r>
        <w:rPr>
          <w:iCs/>
          <w:sz w:val="21"/>
          <w:szCs w:val="21"/>
        </w:rPr>
        <w:t>MEL</w:t>
      </w:r>
      <w:r w:rsidR="00E9117E" w:rsidRPr="003E2C60">
        <w:rPr>
          <w:iCs/>
          <w:sz w:val="21"/>
          <w:szCs w:val="21"/>
        </w:rPr>
        <w:t xml:space="preserve"> systems </w:t>
      </w:r>
      <w:r w:rsidR="00E9117E">
        <w:rPr>
          <w:iCs/>
          <w:sz w:val="21"/>
          <w:szCs w:val="21"/>
        </w:rPr>
        <w:t xml:space="preserve">are being strengthened </w:t>
      </w:r>
      <w:r w:rsidR="00E9117E" w:rsidRPr="003E2C60">
        <w:rPr>
          <w:iCs/>
          <w:sz w:val="21"/>
          <w:szCs w:val="21"/>
        </w:rPr>
        <w:t xml:space="preserve">to ensure engagement with </w:t>
      </w:r>
      <w:r w:rsidR="00E9117E">
        <w:rPr>
          <w:iCs/>
          <w:sz w:val="21"/>
          <w:szCs w:val="21"/>
        </w:rPr>
        <w:t>people with a disability</w:t>
      </w:r>
      <w:r w:rsidR="00E9117E" w:rsidRPr="003E2C60">
        <w:rPr>
          <w:iCs/>
          <w:sz w:val="21"/>
          <w:szCs w:val="21"/>
        </w:rPr>
        <w:t xml:space="preserve"> throughout implementation </w:t>
      </w:r>
      <w:r w:rsidR="005D1FF9" w:rsidRPr="003E2C60">
        <w:rPr>
          <w:iCs/>
          <w:sz w:val="21"/>
          <w:szCs w:val="21"/>
        </w:rPr>
        <w:t>to</w:t>
      </w:r>
      <w:r w:rsidR="00E9117E" w:rsidRPr="003E2C60">
        <w:rPr>
          <w:iCs/>
          <w:sz w:val="21"/>
          <w:szCs w:val="21"/>
        </w:rPr>
        <w:t xml:space="preserve"> improve program delivery</w:t>
      </w:r>
      <w:r w:rsidR="00E9117E">
        <w:rPr>
          <w:iCs/>
          <w:sz w:val="21"/>
          <w:szCs w:val="21"/>
        </w:rPr>
        <w:t>. E</w:t>
      </w:r>
      <w:r w:rsidR="00E9117E" w:rsidRPr="003E2C60">
        <w:rPr>
          <w:iCs/>
          <w:sz w:val="21"/>
          <w:szCs w:val="21"/>
        </w:rPr>
        <w:t xml:space="preserve">valuations of </w:t>
      </w:r>
      <w:r w:rsidR="00E9117E">
        <w:rPr>
          <w:iCs/>
          <w:sz w:val="21"/>
          <w:szCs w:val="21"/>
        </w:rPr>
        <w:t xml:space="preserve">responses will assess disability inclusion, and there will also be opportunities for thematic evaluations on disability inclusion at country or program level; </w:t>
      </w:r>
    </w:p>
    <w:p w14:paraId="290451F8" w14:textId="2B3D8515" w:rsidR="00E9117E" w:rsidRDefault="00EC4AB8" w:rsidP="0011591E">
      <w:pPr>
        <w:pStyle w:val="ListParagraph"/>
        <w:numPr>
          <w:ilvl w:val="0"/>
          <w:numId w:val="29"/>
        </w:numPr>
        <w:spacing w:before="60" w:line="280" w:lineRule="atLeast"/>
        <w:ind w:left="714" w:hanging="357"/>
        <w:contextualSpacing w:val="0"/>
        <w:rPr>
          <w:sz w:val="21"/>
          <w:szCs w:val="21"/>
        </w:rPr>
      </w:pPr>
      <w:r>
        <w:rPr>
          <w:sz w:val="21"/>
          <w:szCs w:val="21"/>
        </w:rPr>
        <w:t>T</w:t>
      </w:r>
      <w:r w:rsidR="00E9117E">
        <w:rPr>
          <w:sz w:val="21"/>
          <w:szCs w:val="21"/>
        </w:rPr>
        <w:t>he</w:t>
      </w:r>
      <w:r w:rsidR="00E9117E" w:rsidRPr="003E2C60">
        <w:rPr>
          <w:sz w:val="21"/>
          <w:szCs w:val="21"/>
        </w:rPr>
        <w:t xml:space="preserve"> consortia arrangements between </w:t>
      </w:r>
      <w:r w:rsidR="00E9117E">
        <w:rPr>
          <w:sz w:val="21"/>
          <w:szCs w:val="21"/>
        </w:rPr>
        <w:t xml:space="preserve">three </w:t>
      </w:r>
      <w:r w:rsidR="00E9117E" w:rsidRPr="003E2C60">
        <w:rPr>
          <w:sz w:val="21"/>
          <w:szCs w:val="21"/>
        </w:rPr>
        <w:t>AHP Partners and CBM</w:t>
      </w:r>
      <w:r w:rsidR="00E9117E">
        <w:rPr>
          <w:sz w:val="21"/>
          <w:szCs w:val="21"/>
        </w:rPr>
        <w:t xml:space="preserve"> </w:t>
      </w:r>
      <w:r w:rsidR="00F764A2">
        <w:rPr>
          <w:sz w:val="21"/>
          <w:szCs w:val="21"/>
        </w:rPr>
        <w:t>have the option to</w:t>
      </w:r>
      <w:r w:rsidR="00E9117E">
        <w:rPr>
          <w:sz w:val="21"/>
          <w:szCs w:val="21"/>
        </w:rPr>
        <w:t xml:space="preserve"> continue</w:t>
      </w:r>
      <w:r w:rsidR="00E9117E" w:rsidRPr="003E2C60">
        <w:rPr>
          <w:sz w:val="21"/>
          <w:szCs w:val="21"/>
        </w:rPr>
        <w:t xml:space="preserve"> in </w:t>
      </w:r>
      <w:r w:rsidR="00406F84">
        <w:rPr>
          <w:sz w:val="21"/>
          <w:szCs w:val="21"/>
        </w:rPr>
        <w:t>Phase II</w:t>
      </w:r>
      <w:r w:rsidR="00E9117E">
        <w:rPr>
          <w:sz w:val="21"/>
          <w:szCs w:val="21"/>
        </w:rPr>
        <w:t>, which is likely to see continued support for the regional OPD the Pacific Disability Forum in line with the needs and priorities of DR Country Plans.</w:t>
      </w:r>
    </w:p>
    <w:p w14:paraId="4D28F3F0" w14:textId="7E0A40F4" w:rsidR="006F40D7" w:rsidRPr="00F93987" w:rsidRDefault="001F373F" w:rsidP="00527E2B">
      <w:pPr>
        <w:pStyle w:val="ListParagraph"/>
        <w:numPr>
          <w:ilvl w:val="0"/>
          <w:numId w:val="12"/>
        </w:numPr>
        <w:tabs>
          <w:tab w:val="left" w:pos="284"/>
          <w:tab w:val="left" w:pos="426"/>
        </w:tabs>
        <w:suppressAutoHyphens w:val="0"/>
        <w:spacing w:before="200" w:after="0" w:line="280" w:lineRule="exact"/>
        <w:ind w:left="0" w:firstLine="0"/>
        <w:contextualSpacing w:val="0"/>
        <w:rPr>
          <w:iCs/>
          <w:sz w:val="21"/>
          <w:szCs w:val="21"/>
        </w:rPr>
      </w:pPr>
      <w:r w:rsidRPr="005B092D">
        <w:rPr>
          <w:iCs/>
          <w:sz w:val="21"/>
          <w:szCs w:val="21"/>
        </w:rPr>
        <w:lastRenderedPageBreak/>
        <w:t>Subject to additional budget</w:t>
      </w:r>
      <w:r w:rsidR="00451CE1">
        <w:rPr>
          <w:iCs/>
          <w:sz w:val="21"/>
          <w:szCs w:val="21"/>
        </w:rPr>
        <w:t xml:space="preserve"> becoming available</w:t>
      </w:r>
      <w:r w:rsidRPr="005B092D">
        <w:rPr>
          <w:iCs/>
          <w:sz w:val="21"/>
          <w:szCs w:val="21"/>
        </w:rPr>
        <w:t xml:space="preserve">, </w:t>
      </w:r>
      <w:r w:rsidR="00D508CF">
        <w:rPr>
          <w:iCs/>
          <w:sz w:val="21"/>
          <w:szCs w:val="21"/>
        </w:rPr>
        <w:t xml:space="preserve">additional or enhanced </w:t>
      </w:r>
      <w:r w:rsidR="00507553" w:rsidRPr="005B092D">
        <w:rPr>
          <w:iCs/>
          <w:sz w:val="21"/>
          <w:szCs w:val="21"/>
        </w:rPr>
        <w:t>disability inclusion initiatives can be considered including increased resourcing for technical advice</w:t>
      </w:r>
      <w:r w:rsidR="00884988" w:rsidRPr="005B092D">
        <w:rPr>
          <w:iCs/>
          <w:sz w:val="21"/>
          <w:szCs w:val="21"/>
        </w:rPr>
        <w:t xml:space="preserve"> including local resource teams in-country</w:t>
      </w:r>
      <w:r w:rsidR="00507553" w:rsidRPr="005B092D">
        <w:rPr>
          <w:iCs/>
          <w:sz w:val="21"/>
          <w:szCs w:val="21"/>
        </w:rPr>
        <w:t xml:space="preserve">, </w:t>
      </w:r>
      <w:r w:rsidR="005B342E" w:rsidRPr="005B092D">
        <w:rPr>
          <w:iCs/>
          <w:sz w:val="21"/>
          <w:szCs w:val="21"/>
        </w:rPr>
        <w:t xml:space="preserve">increased </w:t>
      </w:r>
      <w:r w:rsidR="00884988" w:rsidRPr="005B092D">
        <w:rPr>
          <w:iCs/>
          <w:sz w:val="21"/>
          <w:szCs w:val="21"/>
        </w:rPr>
        <w:t>funding for capacity building of OPDs</w:t>
      </w:r>
      <w:r w:rsidR="00C34398" w:rsidRPr="005B092D">
        <w:rPr>
          <w:iCs/>
          <w:sz w:val="21"/>
          <w:szCs w:val="21"/>
        </w:rPr>
        <w:t>, or</w:t>
      </w:r>
      <w:r w:rsidRPr="005B092D">
        <w:rPr>
          <w:iCs/>
          <w:sz w:val="21"/>
          <w:szCs w:val="21"/>
        </w:rPr>
        <w:t xml:space="preserve"> </w:t>
      </w:r>
      <w:r w:rsidR="000F3B3A" w:rsidRPr="00F93987">
        <w:rPr>
          <w:iCs/>
          <w:sz w:val="21"/>
          <w:szCs w:val="21"/>
        </w:rPr>
        <w:t>a fixed</w:t>
      </w:r>
      <w:r w:rsidR="00C34398" w:rsidRPr="00F93987">
        <w:rPr>
          <w:iCs/>
          <w:sz w:val="21"/>
          <w:szCs w:val="21"/>
        </w:rPr>
        <w:t>/increased</w:t>
      </w:r>
      <w:r w:rsidR="0088335B" w:rsidRPr="00F93987">
        <w:rPr>
          <w:iCs/>
          <w:sz w:val="21"/>
          <w:szCs w:val="21"/>
        </w:rPr>
        <w:t xml:space="preserve"> funding allocation for the</w:t>
      </w:r>
      <w:r w:rsidR="002A1F78" w:rsidRPr="00F93987">
        <w:rPr>
          <w:iCs/>
          <w:sz w:val="21"/>
          <w:szCs w:val="21"/>
        </w:rPr>
        <w:t xml:space="preserve"> CBM/PDF partnership </w:t>
      </w:r>
      <w:r w:rsidR="00C34398" w:rsidRPr="00F93987">
        <w:rPr>
          <w:iCs/>
          <w:sz w:val="21"/>
          <w:szCs w:val="21"/>
        </w:rPr>
        <w:t>(subject to</w:t>
      </w:r>
      <w:r w:rsidR="00487754" w:rsidRPr="00F93987">
        <w:rPr>
          <w:iCs/>
          <w:sz w:val="21"/>
          <w:szCs w:val="21"/>
        </w:rPr>
        <w:t xml:space="preserve"> </w:t>
      </w:r>
      <w:r w:rsidR="00EC4AB8">
        <w:rPr>
          <w:iCs/>
          <w:sz w:val="21"/>
          <w:szCs w:val="21"/>
        </w:rPr>
        <w:t>a review of performance</w:t>
      </w:r>
      <w:r w:rsidR="00487754" w:rsidRPr="00F93987">
        <w:rPr>
          <w:iCs/>
          <w:sz w:val="21"/>
          <w:szCs w:val="21"/>
        </w:rPr>
        <w:t>)</w:t>
      </w:r>
      <w:r w:rsidR="002A1F78" w:rsidRPr="00F93987">
        <w:rPr>
          <w:iCs/>
          <w:sz w:val="21"/>
          <w:szCs w:val="21"/>
        </w:rPr>
        <w:t xml:space="preserve">.  </w:t>
      </w:r>
    </w:p>
    <w:p w14:paraId="386E68F0" w14:textId="47736DB4" w:rsidR="00451CE1" w:rsidRPr="00F93987" w:rsidRDefault="000D23D0" w:rsidP="00673397">
      <w:pPr>
        <w:pStyle w:val="ListParagraph"/>
        <w:keepNext/>
        <w:tabs>
          <w:tab w:val="left" w:pos="284"/>
        </w:tabs>
        <w:suppressAutoHyphens w:val="0"/>
        <w:spacing w:before="200" w:after="0" w:line="280" w:lineRule="exact"/>
        <w:ind w:left="0"/>
        <w:contextualSpacing w:val="0"/>
        <w:rPr>
          <w:iCs/>
          <w:sz w:val="21"/>
          <w:szCs w:val="21"/>
        </w:rPr>
      </w:pPr>
      <w:r w:rsidRPr="005B092D">
        <w:rPr>
          <w:rFonts w:ascii="Calibri" w:hAnsi="Calibri"/>
          <w:b/>
          <w:bCs/>
          <w:i/>
          <w:iCs/>
          <w:lang w:eastAsia="en-AU"/>
        </w:rPr>
        <w:t>Social inclusion and intersectionality</w:t>
      </w:r>
    </w:p>
    <w:p w14:paraId="2DCE3E8C" w14:textId="17C57CB6" w:rsidR="005A39D8" w:rsidRPr="00B468A4" w:rsidRDefault="005A39D8" w:rsidP="00673397">
      <w:pPr>
        <w:pStyle w:val="ListParagraph"/>
        <w:keepNext/>
        <w:numPr>
          <w:ilvl w:val="0"/>
          <w:numId w:val="12"/>
        </w:numPr>
        <w:tabs>
          <w:tab w:val="left" w:pos="284"/>
          <w:tab w:val="left" w:pos="426"/>
        </w:tabs>
        <w:suppressAutoHyphens w:val="0"/>
        <w:spacing w:before="200" w:after="0" w:line="280" w:lineRule="exact"/>
        <w:ind w:left="0" w:firstLine="0"/>
        <w:contextualSpacing w:val="0"/>
        <w:rPr>
          <w:rFonts w:eastAsia="Times New Roman" w:cs="Times New Roman"/>
          <w:sz w:val="21"/>
          <w:szCs w:val="21"/>
          <w:lang w:val="en-AU"/>
        </w:rPr>
      </w:pPr>
      <w:r w:rsidRPr="003E2C60">
        <w:rPr>
          <w:iCs/>
          <w:sz w:val="21"/>
          <w:szCs w:val="21"/>
        </w:rPr>
        <w:t xml:space="preserve">Other forms of marginalisation and exclusion also have an impact on community participation in preparedness and response activities and on government policy and organisational practice in each country. </w:t>
      </w:r>
      <w:r w:rsidRPr="00B468A4">
        <w:rPr>
          <w:rFonts w:eastAsia="Times New Roman" w:cs="Times New Roman"/>
          <w:sz w:val="21"/>
          <w:szCs w:val="21"/>
          <w:lang w:val="en-AU"/>
        </w:rPr>
        <w:t>Specific strategies incorporated into this phase of the investment to strengthen inclusion include:</w:t>
      </w:r>
    </w:p>
    <w:p w14:paraId="5468E9D4" w14:textId="1A8CF4A7" w:rsidR="004F5DEC" w:rsidRDefault="005A39D8" w:rsidP="0011591E">
      <w:pPr>
        <w:pStyle w:val="ListParagraph"/>
        <w:numPr>
          <w:ilvl w:val="0"/>
          <w:numId w:val="29"/>
        </w:numPr>
        <w:spacing w:before="60" w:line="280" w:lineRule="atLeast"/>
        <w:ind w:left="714" w:hanging="357"/>
        <w:contextualSpacing w:val="0"/>
        <w:rPr>
          <w:iCs/>
          <w:sz w:val="21"/>
          <w:szCs w:val="21"/>
        </w:rPr>
      </w:pPr>
      <w:r w:rsidRPr="003E2C60">
        <w:rPr>
          <w:iCs/>
          <w:sz w:val="21"/>
          <w:szCs w:val="21"/>
        </w:rPr>
        <w:t xml:space="preserve">Country planning for Disaster READY, and for individual response activations, will include an analysis of challenges facing </w:t>
      </w:r>
      <w:r w:rsidR="004429B7">
        <w:rPr>
          <w:iCs/>
          <w:sz w:val="21"/>
          <w:szCs w:val="21"/>
        </w:rPr>
        <w:t>other</w:t>
      </w:r>
      <w:r w:rsidR="004429B7" w:rsidRPr="003E2C60">
        <w:rPr>
          <w:iCs/>
          <w:sz w:val="21"/>
          <w:szCs w:val="21"/>
        </w:rPr>
        <w:t xml:space="preserve"> </w:t>
      </w:r>
      <w:r w:rsidRPr="003E2C60">
        <w:rPr>
          <w:iCs/>
          <w:sz w:val="21"/>
          <w:szCs w:val="21"/>
        </w:rPr>
        <w:t xml:space="preserve">groups who may face disadvantage and marginalisation on the basis of religion, age, </w:t>
      </w:r>
      <w:r w:rsidR="006231E0" w:rsidRPr="003E2C60">
        <w:rPr>
          <w:iCs/>
          <w:sz w:val="21"/>
          <w:szCs w:val="21"/>
        </w:rPr>
        <w:t>ethnicity,</w:t>
      </w:r>
      <w:r w:rsidRPr="003E2C60">
        <w:rPr>
          <w:iCs/>
          <w:sz w:val="21"/>
          <w:szCs w:val="21"/>
        </w:rPr>
        <w:t xml:space="preserve"> or sexual orientation, and identify strategies and approaches to ensure their full participation and equitable benefits from programs</w:t>
      </w:r>
      <w:r w:rsidR="004F5DEC">
        <w:rPr>
          <w:iCs/>
          <w:sz w:val="21"/>
          <w:szCs w:val="21"/>
        </w:rPr>
        <w:t>;</w:t>
      </w:r>
      <w:r w:rsidRPr="003E2C60">
        <w:rPr>
          <w:iCs/>
          <w:sz w:val="21"/>
          <w:szCs w:val="21"/>
        </w:rPr>
        <w:t xml:space="preserve"> </w:t>
      </w:r>
    </w:p>
    <w:p w14:paraId="79EB14CB" w14:textId="366B0926" w:rsidR="00DA33B2" w:rsidRPr="005B092D" w:rsidRDefault="00B101B1" w:rsidP="0011591E">
      <w:pPr>
        <w:pStyle w:val="ListParagraph"/>
        <w:numPr>
          <w:ilvl w:val="0"/>
          <w:numId w:val="29"/>
        </w:numPr>
        <w:spacing w:before="60" w:line="280" w:lineRule="atLeast"/>
        <w:ind w:left="714" w:hanging="357"/>
        <w:contextualSpacing w:val="0"/>
        <w:rPr>
          <w:iCs/>
          <w:sz w:val="21"/>
          <w:szCs w:val="21"/>
        </w:rPr>
      </w:pPr>
      <w:r>
        <w:rPr>
          <w:iCs/>
          <w:sz w:val="21"/>
          <w:szCs w:val="21"/>
        </w:rPr>
        <w:t xml:space="preserve">DRCCs will be encouraged to </w:t>
      </w:r>
      <w:r w:rsidR="00DA33B2" w:rsidRPr="005B092D">
        <w:rPr>
          <w:iCs/>
          <w:sz w:val="21"/>
          <w:szCs w:val="21"/>
        </w:rPr>
        <w:t xml:space="preserve">consider the establishment of roles and/or structures </w:t>
      </w:r>
      <w:r w:rsidR="009C4861">
        <w:rPr>
          <w:iCs/>
          <w:sz w:val="21"/>
          <w:szCs w:val="21"/>
        </w:rPr>
        <w:t xml:space="preserve">(such as focal points) </w:t>
      </w:r>
      <w:r w:rsidR="00DA33B2" w:rsidRPr="005B092D">
        <w:rPr>
          <w:iCs/>
          <w:sz w:val="21"/>
          <w:szCs w:val="21"/>
        </w:rPr>
        <w:t>to influence and coordinate intersectional work</w:t>
      </w:r>
      <w:r w:rsidR="009C4861">
        <w:rPr>
          <w:iCs/>
          <w:sz w:val="21"/>
          <w:szCs w:val="21"/>
        </w:rPr>
        <w:t xml:space="preserve">, </w:t>
      </w:r>
      <w:r w:rsidR="006A6EA2">
        <w:rPr>
          <w:iCs/>
          <w:sz w:val="21"/>
          <w:szCs w:val="21"/>
        </w:rPr>
        <w:t>and</w:t>
      </w:r>
      <w:r w:rsidR="009C4861">
        <w:rPr>
          <w:iCs/>
          <w:sz w:val="21"/>
          <w:szCs w:val="21"/>
        </w:rPr>
        <w:t xml:space="preserve"> partner</w:t>
      </w:r>
      <w:r w:rsidR="006A6EA2">
        <w:rPr>
          <w:iCs/>
          <w:sz w:val="21"/>
          <w:szCs w:val="21"/>
        </w:rPr>
        <w:t>ing</w:t>
      </w:r>
      <w:r w:rsidR="009C4861">
        <w:rPr>
          <w:iCs/>
          <w:sz w:val="21"/>
          <w:szCs w:val="21"/>
        </w:rPr>
        <w:t xml:space="preserve"> with </w:t>
      </w:r>
      <w:r w:rsidR="009C4861" w:rsidRPr="009C4861">
        <w:rPr>
          <w:iCs/>
          <w:sz w:val="21"/>
          <w:szCs w:val="21"/>
        </w:rPr>
        <w:t>coalitions that nudge change in social norms regarding people</w:t>
      </w:r>
      <w:r w:rsidR="00F17A79">
        <w:rPr>
          <w:iCs/>
          <w:sz w:val="21"/>
          <w:szCs w:val="21"/>
        </w:rPr>
        <w:t xml:space="preserve"> living</w:t>
      </w:r>
      <w:r w:rsidR="009C4861" w:rsidRPr="009C4861">
        <w:rPr>
          <w:iCs/>
          <w:sz w:val="21"/>
          <w:szCs w:val="21"/>
        </w:rPr>
        <w:t xml:space="preserve"> with disabilities and diverse </w:t>
      </w:r>
      <w:r w:rsidR="006A6EA2" w:rsidRPr="003E2C60">
        <w:rPr>
          <w:iCs/>
          <w:sz w:val="21"/>
          <w:szCs w:val="21"/>
        </w:rPr>
        <w:t>sexual orientation and gender identity and expression (SOGIESC)</w:t>
      </w:r>
      <w:r w:rsidR="004F5DEC">
        <w:rPr>
          <w:iCs/>
          <w:sz w:val="21"/>
          <w:szCs w:val="21"/>
        </w:rPr>
        <w:t>;</w:t>
      </w:r>
    </w:p>
    <w:p w14:paraId="763CF21D" w14:textId="060AA282" w:rsidR="005A39D8" w:rsidRPr="003E2C60" w:rsidRDefault="005A39D8" w:rsidP="0011591E">
      <w:pPr>
        <w:pStyle w:val="ListParagraph"/>
        <w:numPr>
          <w:ilvl w:val="0"/>
          <w:numId w:val="29"/>
        </w:numPr>
        <w:spacing w:before="60" w:line="280" w:lineRule="atLeast"/>
        <w:ind w:left="714" w:hanging="357"/>
        <w:contextualSpacing w:val="0"/>
        <w:rPr>
          <w:iCs/>
          <w:sz w:val="21"/>
          <w:szCs w:val="21"/>
        </w:rPr>
      </w:pPr>
      <w:r w:rsidRPr="003E2C60">
        <w:rPr>
          <w:iCs/>
          <w:sz w:val="21"/>
          <w:szCs w:val="21"/>
        </w:rPr>
        <w:t xml:space="preserve">Developing partnerships with local organisations who advocate and represent vulnerable or marginalised groups, as some countries have already done with LGBQI+, youth, </w:t>
      </w:r>
      <w:r w:rsidR="006231E0" w:rsidRPr="003E2C60">
        <w:rPr>
          <w:iCs/>
          <w:sz w:val="21"/>
          <w:szCs w:val="21"/>
        </w:rPr>
        <w:t>faith,</w:t>
      </w:r>
      <w:r w:rsidRPr="003E2C60">
        <w:rPr>
          <w:iCs/>
          <w:sz w:val="21"/>
          <w:szCs w:val="21"/>
        </w:rPr>
        <w:t xml:space="preserve"> and other communities</w:t>
      </w:r>
      <w:r w:rsidR="004F5DEC">
        <w:rPr>
          <w:iCs/>
          <w:sz w:val="21"/>
          <w:szCs w:val="21"/>
        </w:rPr>
        <w:t>; and</w:t>
      </w:r>
      <w:r w:rsidRPr="003E2C60">
        <w:rPr>
          <w:iCs/>
          <w:sz w:val="21"/>
          <w:szCs w:val="21"/>
        </w:rPr>
        <w:t xml:space="preserve">  </w:t>
      </w:r>
    </w:p>
    <w:p w14:paraId="761B227E" w14:textId="003BDB9E" w:rsidR="006A6EA2" w:rsidRDefault="009C4861" w:rsidP="0011591E">
      <w:pPr>
        <w:pStyle w:val="ListParagraph"/>
        <w:numPr>
          <w:ilvl w:val="0"/>
          <w:numId w:val="29"/>
        </w:numPr>
        <w:spacing w:before="60" w:line="280" w:lineRule="atLeast"/>
        <w:ind w:left="714" w:hanging="357"/>
        <w:contextualSpacing w:val="0"/>
        <w:rPr>
          <w:iCs/>
          <w:sz w:val="21"/>
          <w:szCs w:val="21"/>
        </w:rPr>
      </w:pPr>
      <w:r w:rsidRPr="006A6EA2">
        <w:rPr>
          <w:iCs/>
          <w:sz w:val="21"/>
          <w:szCs w:val="21"/>
        </w:rPr>
        <w:t xml:space="preserve">AHP partners </w:t>
      </w:r>
      <w:r w:rsidR="0008681E">
        <w:rPr>
          <w:iCs/>
          <w:sz w:val="21"/>
          <w:szCs w:val="21"/>
        </w:rPr>
        <w:t>can</w:t>
      </w:r>
      <w:r w:rsidRPr="006A6EA2">
        <w:rPr>
          <w:iCs/>
          <w:sz w:val="21"/>
          <w:szCs w:val="21"/>
        </w:rPr>
        <w:t xml:space="preserve"> take</w:t>
      </w:r>
      <w:r w:rsidR="005A39D8" w:rsidRPr="006A6EA2">
        <w:rPr>
          <w:iCs/>
          <w:sz w:val="21"/>
          <w:szCs w:val="21"/>
        </w:rPr>
        <w:t xml:space="preserve"> opportunities to partner with and learn from organisations, regional groups and other programs funded by DFAT, such a</w:t>
      </w:r>
      <w:r w:rsidR="005A39D8" w:rsidRPr="00F93987">
        <w:rPr>
          <w:iCs/>
          <w:sz w:val="21"/>
          <w:szCs w:val="21"/>
        </w:rPr>
        <w:t>s Edge Effect working on SOGIESC issues</w:t>
      </w:r>
      <w:r w:rsidR="006A6EA2">
        <w:rPr>
          <w:iCs/>
          <w:sz w:val="21"/>
          <w:szCs w:val="21"/>
        </w:rPr>
        <w:t>.</w:t>
      </w:r>
    </w:p>
    <w:p w14:paraId="1AA1128B" w14:textId="191B0ED3" w:rsidR="006A6EA2" w:rsidRPr="005B092D" w:rsidRDefault="00F93987" w:rsidP="00527E2B">
      <w:pPr>
        <w:pStyle w:val="ListParagraph"/>
        <w:numPr>
          <w:ilvl w:val="0"/>
          <w:numId w:val="12"/>
        </w:numPr>
        <w:tabs>
          <w:tab w:val="left" w:pos="284"/>
          <w:tab w:val="left" w:pos="426"/>
        </w:tabs>
        <w:suppressAutoHyphens w:val="0"/>
        <w:spacing w:before="200" w:after="0" w:line="280" w:lineRule="exact"/>
        <w:ind w:left="0" w:firstLine="0"/>
        <w:contextualSpacing w:val="0"/>
        <w:rPr>
          <w:iCs/>
          <w:sz w:val="21"/>
          <w:szCs w:val="21"/>
        </w:rPr>
      </w:pPr>
      <w:r>
        <w:rPr>
          <w:iCs/>
          <w:sz w:val="21"/>
          <w:szCs w:val="21"/>
        </w:rPr>
        <w:t xml:space="preserve">Taking a more intersectional approach </w:t>
      </w:r>
      <w:r w:rsidR="00310969">
        <w:rPr>
          <w:iCs/>
          <w:sz w:val="21"/>
          <w:szCs w:val="21"/>
        </w:rPr>
        <w:t xml:space="preserve">is complex, </w:t>
      </w:r>
      <w:r>
        <w:rPr>
          <w:iCs/>
          <w:sz w:val="21"/>
          <w:szCs w:val="21"/>
        </w:rPr>
        <w:t>requires</w:t>
      </w:r>
      <w:r w:rsidRPr="005B092D">
        <w:rPr>
          <w:iCs/>
          <w:sz w:val="21"/>
          <w:szCs w:val="21"/>
        </w:rPr>
        <w:t xml:space="preserve"> different skills, more resources, and a commitment to prioritizing and valuing relationships with partners in order to meaningfully work through complexities, rather than a focus on deliverables. </w:t>
      </w:r>
      <w:r w:rsidR="004C6A16">
        <w:rPr>
          <w:iCs/>
          <w:sz w:val="21"/>
          <w:szCs w:val="21"/>
        </w:rPr>
        <w:t xml:space="preserve">While </w:t>
      </w:r>
      <w:r w:rsidR="00F74434">
        <w:rPr>
          <w:iCs/>
          <w:sz w:val="21"/>
          <w:szCs w:val="21"/>
        </w:rPr>
        <w:t xml:space="preserve">there is intention to strengthen progress in this area in Phase II, it is acknowledged that </w:t>
      </w:r>
      <w:r w:rsidR="00EA447C">
        <w:rPr>
          <w:iCs/>
          <w:sz w:val="21"/>
          <w:szCs w:val="21"/>
        </w:rPr>
        <w:t xml:space="preserve">this will take time and </w:t>
      </w:r>
      <w:r w:rsidR="00E570ED">
        <w:rPr>
          <w:iCs/>
          <w:sz w:val="21"/>
          <w:szCs w:val="21"/>
        </w:rPr>
        <w:t>would benefit from additional resources currently beyond the capacity and budget of the program.</w:t>
      </w:r>
      <w:r w:rsidR="004C6A16">
        <w:rPr>
          <w:iCs/>
          <w:sz w:val="21"/>
          <w:szCs w:val="21"/>
        </w:rPr>
        <w:t xml:space="preserve"> </w:t>
      </w:r>
    </w:p>
    <w:p w14:paraId="0159C6EA" w14:textId="77777777" w:rsidR="001D4260" w:rsidRPr="00E93683" w:rsidRDefault="001D4260" w:rsidP="001D4260">
      <w:pPr>
        <w:spacing w:before="200" w:after="0"/>
        <w:rPr>
          <w:b/>
          <w:bCs/>
          <w:i/>
          <w:iCs/>
        </w:rPr>
      </w:pPr>
      <w:r w:rsidRPr="00E93683">
        <w:rPr>
          <w:b/>
          <w:bCs/>
          <w:i/>
          <w:iCs/>
        </w:rPr>
        <w:t xml:space="preserve">Climate Change  </w:t>
      </w:r>
    </w:p>
    <w:p w14:paraId="3E32335E" w14:textId="4C677FC1" w:rsidR="0008681E" w:rsidRPr="0084637F" w:rsidRDefault="001D4260" w:rsidP="0084637F">
      <w:pPr>
        <w:pStyle w:val="ListParagraph"/>
        <w:numPr>
          <w:ilvl w:val="0"/>
          <w:numId w:val="12"/>
        </w:numPr>
        <w:tabs>
          <w:tab w:val="left" w:pos="284"/>
          <w:tab w:val="left" w:pos="426"/>
        </w:tabs>
        <w:suppressAutoHyphens w:val="0"/>
        <w:spacing w:before="200" w:after="0" w:line="280" w:lineRule="exact"/>
        <w:ind w:left="0" w:firstLine="0"/>
        <w:contextualSpacing w:val="0"/>
        <w:rPr>
          <w:rFonts w:eastAsia="Times New Roman" w:cs="Times New Roman"/>
          <w:sz w:val="21"/>
          <w:szCs w:val="24"/>
          <w:lang w:val="en-AU"/>
        </w:rPr>
      </w:pPr>
      <w:r w:rsidRPr="00527E2B">
        <w:rPr>
          <w:rFonts w:eastAsia="Times New Roman" w:cs="Times New Roman"/>
          <w:iCs/>
          <w:sz w:val="21"/>
          <w:szCs w:val="24"/>
          <w:lang w:val="en-AU" w:eastAsia="en-AU"/>
        </w:rPr>
        <w:t>AHP</w:t>
      </w:r>
      <w:r>
        <w:rPr>
          <w:sz w:val="21"/>
          <w:szCs w:val="21"/>
        </w:rPr>
        <w:t xml:space="preserve"> Phase II </w:t>
      </w:r>
      <w:r w:rsidR="0008681E">
        <w:rPr>
          <w:sz w:val="21"/>
          <w:szCs w:val="21"/>
        </w:rPr>
        <w:t xml:space="preserve">will </w:t>
      </w:r>
      <w:r>
        <w:rPr>
          <w:sz w:val="21"/>
          <w:szCs w:val="21"/>
        </w:rPr>
        <w:t xml:space="preserve">contribute to DFAT’s </w:t>
      </w:r>
      <w:r w:rsidRPr="003E2C60">
        <w:rPr>
          <w:i/>
          <w:iCs/>
          <w:sz w:val="21"/>
          <w:szCs w:val="21"/>
        </w:rPr>
        <w:t>Climate Change Action Strategy 2020-25</w:t>
      </w:r>
      <w:r>
        <w:rPr>
          <w:sz w:val="21"/>
          <w:szCs w:val="21"/>
        </w:rPr>
        <w:t xml:space="preserve"> and recent </w:t>
      </w:r>
      <w:r w:rsidR="00DA5D19">
        <w:rPr>
          <w:sz w:val="21"/>
          <w:szCs w:val="21"/>
        </w:rPr>
        <w:t xml:space="preserve">Australian </w:t>
      </w:r>
      <w:r>
        <w:rPr>
          <w:sz w:val="21"/>
          <w:szCs w:val="21"/>
        </w:rPr>
        <w:t>Government commitments, as well as</w:t>
      </w:r>
      <w:r w:rsidRPr="00B37ACB">
        <w:rPr>
          <w:rFonts w:eastAsia="Times New Roman" w:cs="Times New Roman"/>
          <w:sz w:val="21"/>
          <w:szCs w:val="24"/>
          <w:lang w:val="en-AU"/>
        </w:rPr>
        <w:t xml:space="preserve"> </w:t>
      </w:r>
      <w:r>
        <w:rPr>
          <w:rFonts w:eastAsia="Times New Roman" w:cs="Times New Roman"/>
          <w:sz w:val="21"/>
          <w:szCs w:val="24"/>
          <w:lang w:val="en-AU"/>
        </w:rPr>
        <w:t xml:space="preserve">the </w:t>
      </w:r>
      <w:r w:rsidR="004510FC">
        <w:rPr>
          <w:rFonts w:eastAsia="Times New Roman" w:cs="Times New Roman"/>
          <w:sz w:val="21"/>
          <w:szCs w:val="24"/>
          <w:lang w:val="en-AU"/>
        </w:rPr>
        <w:t>FRDP</w:t>
      </w:r>
      <w:r>
        <w:rPr>
          <w:rFonts w:eastAsia="Times New Roman" w:cs="Times New Roman"/>
          <w:sz w:val="21"/>
          <w:szCs w:val="24"/>
          <w:lang w:val="en-AU"/>
        </w:rPr>
        <w:t xml:space="preserve"> and the Sendai Framework</w:t>
      </w:r>
      <w:r w:rsidR="001A6FE7">
        <w:rPr>
          <w:rFonts w:eastAsia="Times New Roman" w:cs="Times New Roman"/>
          <w:sz w:val="21"/>
          <w:szCs w:val="24"/>
          <w:lang w:val="en-AU"/>
        </w:rPr>
        <w:t xml:space="preserve">, </w:t>
      </w:r>
      <w:r w:rsidR="009D4D0E">
        <w:rPr>
          <w:rFonts w:eastAsia="Times New Roman" w:cs="Times New Roman"/>
          <w:sz w:val="21"/>
          <w:szCs w:val="24"/>
          <w:lang w:val="en-AU"/>
        </w:rPr>
        <w:t>through its updated resilience objective</w:t>
      </w:r>
      <w:r w:rsidR="00263AEA">
        <w:rPr>
          <w:rFonts w:eastAsia="Times New Roman" w:cs="Times New Roman"/>
          <w:sz w:val="21"/>
          <w:szCs w:val="24"/>
          <w:lang w:val="en-AU"/>
        </w:rPr>
        <w:t xml:space="preserve"> and </w:t>
      </w:r>
      <w:r w:rsidR="0084637F">
        <w:rPr>
          <w:rFonts w:eastAsia="Times New Roman" w:cs="Times New Roman"/>
          <w:sz w:val="21"/>
          <w:szCs w:val="24"/>
          <w:lang w:val="en-AU"/>
        </w:rPr>
        <w:t>outcomes</w:t>
      </w:r>
      <w:r w:rsidR="00902BA8">
        <w:rPr>
          <w:rFonts w:eastAsia="Times New Roman" w:cs="Times New Roman"/>
          <w:sz w:val="21"/>
          <w:szCs w:val="24"/>
          <w:lang w:val="en-AU"/>
        </w:rPr>
        <w:t xml:space="preserve"> and</w:t>
      </w:r>
      <w:r w:rsidR="0084637F">
        <w:rPr>
          <w:rFonts w:eastAsia="Times New Roman" w:cs="Times New Roman"/>
          <w:sz w:val="21"/>
          <w:szCs w:val="24"/>
          <w:lang w:val="en-AU"/>
        </w:rPr>
        <w:t xml:space="preserve"> Disaster READY</w:t>
      </w:r>
      <w:r>
        <w:rPr>
          <w:sz w:val="21"/>
          <w:szCs w:val="21"/>
        </w:rPr>
        <w:t xml:space="preserve">. </w:t>
      </w:r>
      <w:r w:rsidR="0008681E" w:rsidRPr="0084637F">
        <w:rPr>
          <w:rFonts w:eastAsia="Times New Roman" w:cs="Times New Roman"/>
          <w:sz w:val="21"/>
          <w:szCs w:val="24"/>
          <w:lang w:val="en-AU"/>
        </w:rPr>
        <w:t xml:space="preserve">Strategies and opportunities for </w:t>
      </w:r>
      <w:r w:rsidR="0077596B">
        <w:rPr>
          <w:rFonts w:eastAsia="Times New Roman" w:cs="Times New Roman"/>
          <w:sz w:val="21"/>
          <w:szCs w:val="24"/>
          <w:lang w:val="en-AU"/>
        </w:rPr>
        <w:t>achieving the</w:t>
      </w:r>
      <w:r w:rsidR="00902BA8">
        <w:rPr>
          <w:rFonts w:eastAsia="Times New Roman" w:cs="Times New Roman"/>
          <w:sz w:val="21"/>
          <w:szCs w:val="24"/>
          <w:lang w:val="en-AU"/>
        </w:rPr>
        <w:t>se outcomes</w:t>
      </w:r>
      <w:r w:rsidR="0008681E" w:rsidRPr="0084637F">
        <w:rPr>
          <w:rFonts w:eastAsia="Times New Roman" w:cs="Times New Roman"/>
          <w:sz w:val="21"/>
          <w:szCs w:val="24"/>
          <w:lang w:val="en-AU"/>
        </w:rPr>
        <w:t xml:space="preserve"> include:</w:t>
      </w:r>
    </w:p>
    <w:p w14:paraId="304E4792" w14:textId="77777777" w:rsidR="00EC17BA" w:rsidRDefault="00EC17BA" w:rsidP="0011591E">
      <w:pPr>
        <w:pStyle w:val="ListParagraph"/>
        <w:numPr>
          <w:ilvl w:val="0"/>
          <w:numId w:val="29"/>
        </w:numPr>
        <w:spacing w:before="60" w:line="280" w:lineRule="atLeast"/>
        <w:ind w:left="714" w:hanging="357"/>
        <w:contextualSpacing w:val="0"/>
        <w:rPr>
          <w:rFonts w:eastAsia="Times New Roman" w:cs="Times New Roman"/>
          <w:sz w:val="21"/>
          <w:szCs w:val="24"/>
          <w:lang w:val="en-AU"/>
        </w:rPr>
      </w:pPr>
      <w:r>
        <w:rPr>
          <w:sz w:val="21"/>
          <w:szCs w:val="21"/>
        </w:rPr>
        <w:t>Incorporating c</w:t>
      </w:r>
      <w:r w:rsidR="0084637F">
        <w:rPr>
          <w:sz w:val="21"/>
          <w:szCs w:val="21"/>
        </w:rPr>
        <w:t xml:space="preserve">limate change </w:t>
      </w:r>
      <w:r w:rsidR="0084637F">
        <w:rPr>
          <w:rFonts w:eastAsia="Times New Roman" w:cs="Times New Roman"/>
          <w:sz w:val="21"/>
          <w:szCs w:val="24"/>
          <w:lang w:val="en-AU"/>
        </w:rPr>
        <w:t>and resilience into the Program Logic through the updated program goal and EOPOs</w:t>
      </w:r>
      <w:r>
        <w:rPr>
          <w:rFonts w:eastAsia="Times New Roman" w:cs="Times New Roman"/>
          <w:sz w:val="21"/>
          <w:szCs w:val="24"/>
          <w:lang w:val="en-AU"/>
        </w:rPr>
        <w:t>;</w:t>
      </w:r>
    </w:p>
    <w:p w14:paraId="4B25D212" w14:textId="5A1F8F15" w:rsidR="00EC17BA" w:rsidRDefault="0084637F" w:rsidP="0011591E">
      <w:pPr>
        <w:pStyle w:val="ListParagraph"/>
        <w:numPr>
          <w:ilvl w:val="0"/>
          <w:numId w:val="29"/>
        </w:numPr>
        <w:spacing w:before="60" w:line="280" w:lineRule="atLeast"/>
        <w:ind w:left="714" w:hanging="357"/>
        <w:contextualSpacing w:val="0"/>
        <w:rPr>
          <w:rFonts w:eastAsia="Times New Roman" w:cs="Times New Roman"/>
          <w:sz w:val="21"/>
          <w:szCs w:val="24"/>
          <w:lang w:val="en-AU"/>
        </w:rPr>
      </w:pPr>
      <w:r>
        <w:rPr>
          <w:rFonts w:eastAsia="Times New Roman" w:cs="Times New Roman"/>
          <w:sz w:val="21"/>
          <w:szCs w:val="24"/>
          <w:lang w:val="en-AU"/>
        </w:rPr>
        <w:t xml:space="preserve">While disaster preparedness will remain the key thematic driver and intended outcome </w:t>
      </w:r>
      <w:r w:rsidRPr="0084637F">
        <w:rPr>
          <w:iCs/>
          <w:sz w:val="21"/>
          <w:szCs w:val="21"/>
        </w:rPr>
        <w:t>for</w:t>
      </w:r>
      <w:r>
        <w:rPr>
          <w:rFonts w:eastAsia="Times New Roman" w:cs="Times New Roman"/>
          <w:sz w:val="21"/>
          <w:szCs w:val="24"/>
          <w:lang w:val="en-AU"/>
        </w:rPr>
        <w:t xml:space="preserve"> Disaster READY, ANGOs will be required to undertake an analysis of climate risks in the development of Disaster READY Country Plans, and have the flexibility to build on existing climate change adaptation activities in line with community priorities</w:t>
      </w:r>
      <w:r w:rsidR="00EC17BA">
        <w:rPr>
          <w:rFonts w:eastAsia="Times New Roman" w:cs="Times New Roman"/>
          <w:sz w:val="21"/>
          <w:szCs w:val="24"/>
          <w:lang w:val="en-AU"/>
        </w:rPr>
        <w:t>;</w:t>
      </w:r>
      <w:r>
        <w:rPr>
          <w:rFonts w:eastAsia="Times New Roman" w:cs="Times New Roman"/>
          <w:sz w:val="21"/>
          <w:szCs w:val="24"/>
          <w:lang w:val="en-AU"/>
        </w:rPr>
        <w:t xml:space="preserve"> </w:t>
      </w:r>
    </w:p>
    <w:p w14:paraId="785577DD" w14:textId="77777777" w:rsidR="00AC4CDD" w:rsidRPr="009C1B56" w:rsidRDefault="00AC4CDD" w:rsidP="0011591E">
      <w:pPr>
        <w:pStyle w:val="ListParagraph"/>
        <w:numPr>
          <w:ilvl w:val="0"/>
          <w:numId w:val="29"/>
        </w:numPr>
        <w:spacing w:before="60" w:line="280" w:lineRule="atLeast"/>
        <w:ind w:left="714" w:hanging="357"/>
        <w:contextualSpacing w:val="0"/>
        <w:rPr>
          <w:iCs/>
          <w:sz w:val="21"/>
          <w:szCs w:val="21"/>
        </w:rPr>
      </w:pPr>
      <w:r>
        <w:rPr>
          <w:iCs/>
          <w:sz w:val="21"/>
          <w:szCs w:val="21"/>
        </w:rPr>
        <w:t>R</w:t>
      </w:r>
      <w:r w:rsidRPr="009C1B56">
        <w:rPr>
          <w:iCs/>
          <w:sz w:val="21"/>
          <w:szCs w:val="21"/>
        </w:rPr>
        <w:t xml:space="preserve">esilience criteria </w:t>
      </w:r>
      <w:r>
        <w:rPr>
          <w:iCs/>
          <w:sz w:val="21"/>
          <w:szCs w:val="21"/>
        </w:rPr>
        <w:t xml:space="preserve">will be embedded </w:t>
      </w:r>
      <w:r w:rsidRPr="009C1B56">
        <w:rPr>
          <w:iCs/>
          <w:sz w:val="21"/>
          <w:szCs w:val="21"/>
        </w:rPr>
        <w:t>in assessment of Disaster READY country and activity plans and larger protracted activations</w:t>
      </w:r>
      <w:r>
        <w:rPr>
          <w:iCs/>
          <w:sz w:val="21"/>
          <w:szCs w:val="21"/>
        </w:rPr>
        <w:t>;</w:t>
      </w:r>
    </w:p>
    <w:p w14:paraId="48260657" w14:textId="09DA0891" w:rsidR="0084637F" w:rsidRPr="00B670CD" w:rsidRDefault="00B670CD" w:rsidP="0011591E">
      <w:pPr>
        <w:pStyle w:val="ListParagraph"/>
        <w:numPr>
          <w:ilvl w:val="0"/>
          <w:numId w:val="29"/>
        </w:numPr>
        <w:spacing w:before="60" w:line="280" w:lineRule="atLeast"/>
        <w:ind w:left="714" w:hanging="357"/>
        <w:contextualSpacing w:val="0"/>
        <w:rPr>
          <w:iCs/>
          <w:sz w:val="21"/>
          <w:szCs w:val="21"/>
        </w:rPr>
      </w:pPr>
      <w:r w:rsidRPr="009C1B56">
        <w:rPr>
          <w:iCs/>
          <w:sz w:val="21"/>
          <w:szCs w:val="21"/>
        </w:rPr>
        <w:t xml:space="preserve">ANGO partners </w:t>
      </w:r>
      <w:r>
        <w:rPr>
          <w:iCs/>
          <w:sz w:val="21"/>
          <w:szCs w:val="21"/>
        </w:rPr>
        <w:t xml:space="preserve">will be encouraged </w:t>
      </w:r>
      <w:r w:rsidRPr="009C1B56">
        <w:rPr>
          <w:iCs/>
          <w:sz w:val="21"/>
          <w:szCs w:val="21"/>
        </w:rPr>
        <w:t>to draw on their</w:t>
      </w:r>
      <w:r>
        <w:rPr>
          <w:iCs/>
          <w:sz w:val="21"/>
          <w:szCs w:val="21"/>
        </w:rPr>
        <w:t xml:space="preserve"> </w:t>
      </w:r>
      <w:r w:rsidRPr="009C1B56">
        <w:rPr>
          <w:iCs/>
          <w:sz w:val="21"/>
          <w:szCs w:val="21"/>
        </w:rPr>
        <w:t>internal organisational capability and other programs in climate change adaptation</w:t>
      </w:r>
      <w:r>
        <w:rPr>
          <w:iCs/>
          <w:sz w:val="21"/>
          <w:szCs w:val="21"/>
        </w:rPr>
        <w:t xml:space="preserve">. They are also </w:t>
      </w:r>
      <w:r w:rsidR="0084637F" w:rsidRPr="00B670CD">
        <w:rPr>
          <w:rFonts w:eastAsia="Times New Roman" w:cs="Times New Roman"/>
          <w:sz w:val="21"/>
          <w:szCs w:val="24"/>
          <w:lang w:val="en-AU"/>
        </w:rPr>
        <w:t>able to expand their consortia members where needed to strengthen capability in designing community-based CCA/DRR activities and facilitating effective community/public participation in key relevant Government planning processes</w:t>
      </w:r>
      <w:r w:rsidR="00EC17BA" w:rsidRPr="00B670CD">
        <w:rPr>
          <w:rFonts w:eastAsia="Times New Roman" w:cs="Times New Roman"/>
          <w:sz w:val="21"/>
          <w:szCs w:val="24"/>
          <w:lang w:val="en-AU"/>
        </w:rPr>
        <w:t>;</w:t>
      </w:r>
      <w:r w:rsidR="0084637F" w:rsidRPr="00B670CD">
        <w:rPr>
          <w:rFonts w:eastAsia="Times New Roman" w:cs="Times New Roman"/>
          <w:sz w:val="21"/>
          <w:szCs w:val="24"/>
          <w:lang w:val="en-AU"/>
        </w:rPr>
        <w:t xml:space="preserve"> </w:t>
      </w:r>
    </w:p>
    <w:p w14:paraId="25EA38A5" w14:textId="56E7D428" w:rsidR="00B670CD" w:rsidRPr="009C1B56" w:rsidRDefault="003D7E7E" w:rsidP="0011591E">
      <w:pPr>
        <w:pStyle w:val="ListParagraph"/>
        <w:numPr>
          <w:ilvl w:val="0"/>
          <w:numId w:val="29"/>
        </w:numPr>
        <w:spacing w:before="60" w:line="280" w:lineRule="atLeast"/>
        <w:ind w:left="714" w:hanging="357"/>
        <w:contextualSpacing w:val="0"/>
        <w:rPr>
          <w:iCs/>
          <w:sz w:val="21"/>
          <w:szCs w:val="21"/>
        </w:rPr>
      </w:pPr>
      <w:r>
        <w:rPr>
          <w:iCs/>
          <w:sz w:val="21"/>
          <w:szCs w:val="21"/>
        </w:rPr>
        <w:lastRenderedPageBreak/>
        <w:t>C</w:t>
      </w:r>
      <w:r w:rsidR="00B670CD" w:rsidRPr="009C1B56">
        <w:rPr>
          <w:iCs/>
          <w:sz w:val="21"/>
          <w:szCs w:val="21"/>
        </w:rPr>
        <w:t>ollaborations with</w:t>
      </w:r>
      <w:r>
        <w:rPr>
          <w:iCs/>
          <w:sz w:val="21"/>
          <w:szCs w:val="21"/>
        </w:rPr>
        <w:t xml:space="preserve"> local</w:t>
      </w:r>
      <w:r w:rsidR="00B670CD" w:rsidRPr="009C1B56">
        <w:rPr>
          <w:iCs/>
          <w:sz w:val="21"/>
          <w:szCs w:val="21"/>
        </w:rPr>
        <w:t xml:space="preserve"> climate change agencies and civil society groups</w:t>
      </w:r>
      <w:r w:rsidRPr="009C1B56">
        <w:rPr>
          <w:iCs/>
          <w:sz w:val="21"/>
          <w:szCs w:val="21"/>
        </w:rPr>
        <w:t xml:space="preserve"> and other climate change programs </w:t>
      </w:r>
      <w:r w:rsidR="00AB04C1" w:rsidRPr="009C1B56">
        <w:rPr>
          <w:iCs/>
          <w:sz w:val="21"/>
          <w:szCs w:val="21"/>
        </w:rPr>
        <w:t>with a civil society and community resilience focu</w:t>
      </w:r>
      <w:r w:rsidR="00AB04C1">
        <w:rPr>
          <w:iCs/>
          <w:sz w:val="21"/>
          <w:szCs w:val="21"/>
        </w:rPr>
        <w:t xml:space="preserve">s </w:t>
      </w:r>
      <w:r w:rsidR="00B670CD">
        <w:rPr>
          <w:iCs/>
          <w:sz w:val="21"/>
          <w:szCs w:val="21"/>
        </w:rPr>
        <w:t xml:space="preserve">will be encouraged </w:t>
      </w:r>
      <w:r w:rsidR="00B670CD" w:rsidRPr="009C1B56">
        <w:rPr>
          <w:iCs/>
          <w:sz w:val="21"/>
          <w:szCs w:val="21"/>
        </w:rPr>
        <w:t>to access local expertise in climate adaptation, localise capacity and resilience building</w:t>
      </w:r>
      <w:r>
        <w:rPr>
          <w:iCs/>
          <w:sz w:val="21"/>
          <w:szCs w:val="21"/>
        </w:rPr>
        <w:t xml:space="preserve"> and </w:t>
      </w:r>
      <w:r w:rsidR="00AB04C1">
        <w:rPr>
          <w:iCs/>
          <w:sz w:val="21"/>
          <w:szCs w:val="21"/>
        </w:rPr>
        <w:t>take advantage of synergies</w:t>
      </w:r>
      <w:r w:rsidR="00B670CD">
        <w:rPr>
          <w:iCs/>
          <w:sz w:val="21"/>
          <w:szCs w:val="21"/>
        </w:rPr>
        <w:t>;</w:t>
      </w:r>
    </w:p>
    <w:p w14:paraId="2B11CB1C" w14:textId="591637ED" w:rsidR="003D7E7E" w:rsidRPr="00CB6E0A" w:rsidRDefault="003D7E7E" w:rsidP="0011591E">
      <w:pPr>
        <w:pStyle w:val="ListParagraph"/>
        <w:numPr>
          <w:ilvl w:val="0"/>
          <w:numId w:val="29"/>
        </w:numPr>
        <w:spacing w:before="60" w:line="280" w:lineRule="atLeast"/>
        <w:ind w:left="714" w:hanging="357"/>
        <w:contextualSpacing w:val="0"/>
        <w:rPr>
          <w:iCs/>
          <w:sz w:val="21"/>
          <w:szCs w:val="21"/>
        </w:rPr>
      </w:pPr>
      <w:r>
        <w:rPr>
          <w:rFonts w:eastAsia="Times New Roman" w:cs="Times New Roman"/>
          <w:sz w:val="21"/>
          <w:szCs w:val="24"/>
          <w:lang w:val="en-AU"/>
        </w:rPr>
        <w:t xml:space="preserve">Resources and expertise for climate technical support for </w:t>
      </w:r>
      <w:r w:rsidRPr="009C1B56">
        <w:rPr>
          <w:iCs/>
          <w:sz w:val="21"/>
          <w:szCs w:val="21"/>
        </w:rPr>
        <w:t>country planning</w:t>
      </w:r>
      <w:r>
        <w:rPr>
          <w:iCs/>
          <w:sz w:val="21"/>
          <w:szCs w:val="21"/>
        </w:rPr>
        <w:t xml:space="preserve">, </w:t>
      </w:r>
      <w:r w:rsidRPr="009C1B56">
        <w:rPr>
          <w:iCs/>
          <w:sz w:val="21"/>
          <w:szCs w:val="21"/>
        </w:rPr>
        <w:t>activity design and assessments</w:t>
      </w:r>
      <w:r>
        <w:rPr>
          <w:rFonts w:eastAsia="Times New Roman" w:cs="Times New Roman"/>
          <w:sz w:val="21"/>
          <w:szCs w:val="24"/>
          <w:lang w:val="en-AU"/>
        </w:rPr>
        <w:t xml:space="preserve"> will be available from DRCC budgets, the APCP and AHPSU specialist panel where required</w:t>
      </w:r>
      <w:r w:rsidR="00AB04C1">
        <w:rPr>
          <w:rFonts w:eastAsia="Times New Roman" w:cs="Times New Roman"/>
          <w:sz w:val="21"/>
          <w:szCs w:val="24"/>
          <w:lang w:val="en-AU"/>
        </w:rPr>
        <w:t>;</w:t>
      </w:r>
      <w:r>
        <w:rPr>
          <w:rFonts w:eastAsia="Times New Roman" w:cs="Times New Roman"/>
          <w:sz w:val="21"/>
          <w:szCs w:val="24"/>
          <w:lang w:val="en-AU"/>
        </w:rPr>
        <w:t xml:space="preserve"> </w:t>
      </w:r>
    </w:p>
    <w:p w14:paraId="26E984C7" w14:textId="0D2E93CE" w:rsidR="0008681E" w:rsidRPr="009C1B56" w:rsidRDefault="0008681E" w:rsidP="0011591E">
      <w:pPr>
        <w:pStyle w:val="ListParagraph"/>
        <w:numPr>
          <w:ilvl w:val="0"/>
          <w:numId w:val="29"/>
        </w:numPr>
        <w:spacing w:before="60" w:line="280" w:lineRule="atLeast"/>
        <w:ind w:left="714" w:hanging="357"/>
        <w:contextualSpacing w:val="0"/>
        <w:rPr>
          <w:iCs/>
          <w:sz w:val="21"/>
          <w:szCs w:val="21"/>
        </w:rPr>
      </w:pPr>
      <w:r>
        <w:rPr>
          <w:iCs/>
          <w:sz w:val="21"/>
          <w:szCs w:val="21"/>
        </w:rPr>
        <w:t>S</w:t>
      </w:r>
      <w:r w:rsidRPr="009C1B56">
        <w:rPr>
          <w:iCs/>
          <w:sz w:val="21"/>
          <w:szCs w:val="21"/>
        </w:rPr>
        <w:t xml:space="preserve">pecific resilience indicators </w:t>
      </w:r>
      <w:r w:rsidR="007C2A1A">
        <w:rPr>
          <w:iCs/>
          <w:sz w:val="21"/>
          <w:szCs w:val="21"/>
        </w:rPr>
        <w:t>will</w:t>
      </w:r>
      <w:r>
        <w:rPr>
          <w:iCs/>
          <w:sz w:val="21"/>
          <w:szCs w:val="21"/>
        </w:rPr>
        <w:t xml:space="preserve"> be included </w:t>
      </w:r>
      <w:r w:rsidRPr="009C1B56">
        <w:rPr>
          <w:iCs/>
          <w:sz w:val="21"/>
          <w:szCs w:val="21"/>
        </w:rPr>
        <w:t xml:space="preserve">in all </w:t>
      </w:r>
      <w:r w:rsidR="007C2A1A">
        <w:rPr>
          <w:iCs/>
          <w:sz w:val="21"/>
          <w:szCs w:val="21"/>
        </w:rPr>
        <w:t xml:space="preserve">Disaster READY </w:t>
      </w:r>
      <w:r w:rsidRPr="009C1B56">
        <w:rPr>
          <w:iCs/>
          <w:sz w:val="21"/>
          <w:szCs w:val="21"/>
        </w:rPr>
        <w:t xml:space="preserve">country and activity level MEL frameworks, </w:t>
      </w:r>
      <w:r w:rsidR="006231E0" w:rsidRPr="009C1B56">
        <w:rPr>
          <w:iCs/>
          <w:sz w:val="21"/>
          <w:szCs w:val="21"/>
        </w:rPr>
        <w:t>tools,</w:t>
      </w:r>
      <w:r w:rsidRPr="009C1B56">
        <w:rPr>
          <w:iCs/>
          <w:sz w:val="21"/>
          <w:szCs w:val="21"/>
        </w:rPr>
        <w:t xml:space="preserve"> and evaluations, to capture progress towards EOPOs</w:t>
      </w:r>
      <w:r>
        <w:rPr>
          <w:iCs/>
          <w:sz w:val="21"/>
          <w:szCs w:val="21"/>
        </w:rPr>
        <w:t>;</w:t>
      </w:r>
    </w:p>
    <w:p w14:paraId="4DC46A71" w14:textId="77777777" w:rsidR="00CB6E0A" w:rsidRPr="00CB6E0A" w:rsidRDefault="00AC4CDD" w:rsidP="0011591E">
      <w:pPr>
        <w:pStyle w:val="ListParagraph"/>
        <w:numPr>
          <w:ilvl w:val="0"/>
          <w:numId w:val="29"/>
        </w:numPr>
        <w:spacing w:before="60" w:line="280" w:lineRule="atLeast"/>
        <w:ind w:left="714" w:hanging="357"/>
        <w:contextualSpacing w:val="0"/>
        <w:rPr>
          <w:iCs/>
          <w:sz w:val="21"/>
          <w:szCs w:val="21"/>
        </w:rPr>
      </w:pPr>
      <w:r>
        <w:rPr>
          <w:rFonts w:eastAsia="Times New Roman" w:cs="Times New Roman"/>
          <w:sz w:val="21"/>
          <w:szCs w:val="24"/>
          <w:lang w:val="en-AU"/>
        </w:rPr>
        <w:t xml:space="preserve">Further resources and opportunities for research and learning related to climate and disaster risk reduction, including for human-centred behavioural design, may be identified as a priority at country and partnership levels. </w:t>
      </w:r>
    </w:p>
    <w:p w14:paraId="7E80A064" w14:textId="77777777" w:rsidR="00B670CD" w:rsidRPr="00B670CD" w:rsidRDefault="00AC4CDD" w:rsidP="0011591E">
      <w:pPr>
        <w:pStyle w:val="ListParagraph"/>
        <w:numPr>
          <w:ilvl w:val="0"/>
          <w:numId w:val="29"/>
        </w:numPr>
        <w:spacing w:before="60" w:line="280" w:lineRule="atLeast"/>
        <w:ind w:left="714" w:hanging="357"/>
        <w:contextualSpacing w:val="0"/>
        <w:rPr>
          <w:iCs/>
          <w:sz w:val="21"/>
          <w:szCs w:val="21"/>
        </w:rPr>
      </w:pPr>
      <w:r>
        <w:rPr>
          <w:rFonts w:eastAsia="Times New Roman" w:cs="Times New Roman"/>
          <w:sz w:val="21"/>
          <w:szCs w:val="24"/>
          <w:lang w:val="en-AU"/>
        </w:rPr>
        <w:t xml:space="preserve">Opportunities to increase the funding available for climate change adaptation activities will be proactively explored by DFAT HPD in line with evidence for demand. </w:t>
      </w:r>
    </w:p>
    <w:p w14:paraId="237734D9" w14:textId="0DEAA9CC" w:rsidR="00AC4CDD" w:rsidRPr="00AC4CDD" w:rsidRDefault="00AC4CDD" w:rsidP="0011591E">
      <w:pPr>
        <w:pStyle w:val="ListParagraph"/>
        <w:numPr>
          <w:ilvl w:val="0"/>
          <w:numId w:val="29"/>
        </w:numPr>
        <w:spacing w:before="60" w:line="280" w:lineRule="atLeast"/>
        <w:ind w:left="714" w:hanging="357"/>
        <w:contextualSpacing w:val="0"/>
        <w:rPr>
          <w:iCs/>
          <w:sz w:val="21"/>
          <w:szCs w:val="21"/>
        </w:rPr>
      </w:pPr>
      <w:r>
        <w:rPr>
          <w:rFonts w:eastAsia="Times New Roman" w:cs="Times New Roman"/>
          <w:sz w:val="21"/>
          <w:szCs w:val="24"/>
          <w:lang w:val="en-AU"/>
        </w:rPr>
        <w:t>Opportunities to assess and address the environmental impact of humanitarian responses will also be a potential pilot area in Phase II</w:t>
      </w:r>
    </w:p>
    <w:p w14:paraId="0D934D17" w14:textId="021F25C7" w:rsidR="0008681E" w:rsidRPr="009C1B56" w:rsidRDefault="0008681E" w:rsidP="0011591E">
      <w:pPr>
        <w:pStyle w:val="ListParagraph"/>
        <w:numPr>
          <w:ilvl w:val="0"/>
          <w:numId w:val="29"/>
        </w:numPr>
        <w:spacing w:before="60" w:line="280" w:lineRule="atLeast"/>
        <w:ind w:left="714" w:hanging="357"/>
        <w:contextualSpacing w:val="0"/>
        <w:rPr>
          <w:iCs/>
          <w:sz w:val="21"/>
          <w:szCs w:val="21"/>
        </w:rPr>
      </w:pPr>
      <w:r w:rsidRPr="009C1B56">
        <w:rPr>
          <w:iCs/>
          <w:sz w:val="21"/>
          <w:szCs w:val="21"/>
        </w:rPr>
        <w:t xml:space="preserve">AHP </w:t>
      </w:r>
      <w:r w:rsidR="00AB04C1">
        <w:rPr>
          <w:iCs/>
          <w:sz w:val="21"/>
          <w:szCs w:val="21"/>
        </w:rPr>
        <w:t>NGO P</w:t>
      </w:r>
      <w:r w:rsidRPr="009C1B56">
        <w:rPr>
          <w:iCs/>
          <w:sz w:val="21"/>
          <w:szCs w:val="21"/>
        </w:rPr>
        <w:t>artners</w:t>
      </w:r>
      <w:r w:rsidR="00AB04C1">
        <w:rPr>
          <w:iCs/>
          <w:sz w:val="21"/>
          <w:szCs w:val="21"/>
        </w:rPr>
        <w:t xml:space="preserve"> will be encouraged and supported</w:t>
      </w:r>
      <w:r w:rsidRPr="009C1B56">
        <w:rPr>
          <w:iCs/>
          <w:sz w:val="21"/>
          <w:szCs w:val="21"/>
        </w:rPr>
        <w:t xml:space="preserve"> to share stories of their experiences in climate and disaster resilience through the program as part of the overall </w:t>
      </w:r>
      <w:r w:rsidR="008805B9">
        <w:rPr>
          <w:iCs/>
          <w:sz w:val="21"/>
          <w:szCs w:val="21"/>
        </w:rPr>
        <w:t>communications</w:t>
      </w:r>
      <w:r w:rsidRPr="009C1B56">
        <w:rPr>
          <w:iCs/>
          <w:sz w:val="21"/>
          <w:szCs w:val="21"/>
        </w:rPr>
        <w:t xml:space="preserve"> effort, including through APCP channels and related programs</w:t>
      </w:r>
      <w:r>
        <w:rPr>
          <w:iCs/>
          <w:sz w:val="21"/>
          <w:szCs w:val="21"/>
        </w:rPr>
        <w:t>; and</w:t>
      </w:r>
    </w:p>
    <w:p w14:paraId="3B889B5F" w14:textId="77777777" w:rsidR="008805B9" w:rsidRDefault="008805B9" w:rsidP="0011591E">
      <w:pPr>
        <w:pStyle w:val="ListParagraph"/>
        <w:numPr>
          <w:ilvl w:val="0"/>
          <w:numId w:val="29"/>
        </w:numPr>
        <w:spacing w:before="60" w:line="280" w:lineRule="atLeast"/>
        <w:ind w:left="714" w:hanging="357"/>
        <w:contextualSpacing w:val="0"/>
        <w:rPr>
          <w:iCs/>
          <w:sz w:val="21"/>
          <w:szCs w:val="21"/>
        </w:rPr>
      </w:pPr>
      <w:r>
        <w:rPr>
          <w:iCs/>
          <w:sz w:val="21"/>
          <w:szCs w:val="21"/>
        </w:rPr>
        <w:t>I</w:t>
      </w:r>
      <w:r w:rsidR="0008681E" w:rsidRPr="009C1B56">
        <w:rPr>
          <w:iCs/>
          <w:sz w:val="21"/>
          <w:szCs w:val="21"/>
        </w:rPr>
        <w:t>nnovation by partners to explore adaptive action and resilience building</w:t>
      </w:r>
      <w:r>
        <w:rPr>
          <w:iCs/>
          <w:sz w:val="21"/>
          <w:szCs w:val="21"/>
        </w:rPr>
        <w:t xml:space="preserve"> will be supported where possible</w:t>
      </w:r>
      <w:r w:rsidR="0008681E" w:rsidRPr="009C1B56">
        <w:rPr>
          <w:iCs/>
          <w:sz w:val="21"/>
          <w:szCs w:val="21"/>
        </w:rPr>
        <w:t>. </w:t>
      </w:r>
    </w:p>
    <w:p w14:paraId="14900AF3" w14:textId="1BC406A4" w:rsidR="000E6711" w:rsidRPr="008805B9" w:rsidRDefault="000E6711" w:rsidP="003C5977">
      <w:pPr>
        <w:spacing w:before="200" w:after="0"/>
        <w:rPr>
          <w:iCs/>
          <w:sz w:val="21"/>
          <w:szCs w:val="21"/>
        </w:rPr>
      </w:pPr>
      <w:r w:rsidRPr="003C5977">
        <w:rPr>
          <w:b/>
          <w:bCs/>
          <w:i/>
          <w:iCs/>
        </w:rPr>
        <w:t>Sustainability</w:t>
      </w:r>
    </w:p>
    <w:p w14:paraId="5681A937" w14:textId="17C218C5" w:rsidR="000E6711" w:rsidRDefault="00480B3A" w:rsidP="008805B9">
      <w:pPr>
        <w:pStyle w:val="ListParagraph"/>
        <w:keepNext/>
        <w:numPr>
          <w:ilvl w:val="0"/>
          <w:numId w:val="12"/>
        </w:numPr>
        <w:tabs>
          <w:tab w:val="left" w:pos="284"/>
          <w:tab w:val="left" w:pos="426"/>
        </w:tabs>
        <w:suppressAutoHyphens w:val="0"/>
        <w:spacing w:before="200" w:after="0" w:line="280" w:lineRule="exact"/>
        <w:ind w:left="0" w:firstLine="0"/>
        <w:contextualSpacing w:val="0"/>
        <w:rPr>
          <w:iCs/>
          <w:sz w:val="21"/>
          <w:szCs w:val="21"/>
        </w:rPr>
      </w:pPr>
      <w:r>
        <w:rPr>
          <w:iCs/>
          <w:sz w:val="21"/>
          <w:szCs w:val="21"/>
        </w:rPr>
        <w:t xml:space="preserve">Sustainability considerations inform </w:t>
      </w:r>
      <w:r w:rsidR="00F757E0">
        <w:rPr>
          <w:iCs/>
          <w:sz w:val="21"/>
          <w:szCs w:val="21"/>
        </w:rPr>
        <w:t>AHP Phase II</w:t>
      </w:r>
      <w:r>
        <w:rPr>
          <w:iCs/>
          <w:sz w:val="21"/>
          <w:szCs w:val="21"/>
        </w:rPr>
        <w:t xml:space="preserve"> at multiple levels. At the implementation level</w:t>
      </w:r>
      <w:r w:rsidR="00D40382">
        <w:rPr>
          <w:iCs/>
          <w:sz w:val="21"/>
          <w:szCs w:val="21"/>
        </w:rPr>
        <w:t>,</w:t>
      </w:r>
      <w:r>
        <w:rPr>
          <w:iCs/>
          <w:sz w:val="21"/>
          <w:szCs w:val="21"/>
        </w:rPr>
        <w:t xml:space="preserve"> Disaster READY</w:t>
      </w:r>
      <w:r w:rsidR="00D40382">
        <w:rPr>
          <w:iCs/>
          <w:sz w:val="21"/>
          <w:szCs w:val="21"/>
        </w:rPr>
        <w:t xml:space="preserve">’s key focus is </w:t>
      </w:r>
      <w:r>
        <w:rPr>
          <w:iCs/>
          <w:sz w:val="21"/>
          <w:szCs w:val="21"/>
        </w:rPr>
        <w:t xml:space="preserve">building </w:t>
      </w:r>
      <w:r w:rsidR="00D40382">
        <w:rPr>
          <w:iCs/>
          <w:sz w:val="21"/>
          <w:szCs w:val="21"/>
        </w:rPr>
        <w:t xml:space="preserve">sustainable </w:t>
      </w:r>
      <w:r>
        <w:rPr>
          <w:iCs/>
          <w:sz w:val="21"/>
          <w:szCs w:val="21"/>
        </w:rPr>
        <w:t>community capacity to prevent</w:t>
      </w:r>
      <w:r w:rsidR="0044731A">
        <w:rPr>
          <w:iCs/>
          <w:sz w:val="21"/>
          <w:szCs w:val="21"/>
        </w:rPr>
        <w:t>, prepare for</w:t>
      </w:r>
      <w:r>
        <w:rPr>
          <w:iCs/>
          <w:sz w:val="21"/>
          <w:szCs w:val="21"/>
        </w:rPr>
        <w:t xml:space="preserve"> and respond to </w:t>
      </w:r>
      <w:r w:rsidR="00D40382">
        <w:rPr>
          <w:iCs/>
          <w:sz w:val="21"/>
          <w:szCs w:val="21"/>
        </w:rPr>
        <w:t>crises</w:t>
      </w:r>
      <w:r w:rsidR="006C532D">
        <w:rPr>
          <w:iCs/>
          <w:sz w:val="21"/>
          <w:szCs w:val="21"/>
        </w:rPr>
        <w:t xml:space="preserve"> beyond the life of the investment</w:t>
      </w:r>
      <w:r w:rsidR="009634D7">
        <w:rPr>
          <w:iCs/>
          <w:sz w:val="21"/>
          <w:szCs w:val="21"/>
        </w:rPr>
        <w:t xml:space="preserve">. </w:t>
      </w:r>
      <w:r w:rsidR="006C532D">
        <w:rPr>
          <w:iCs/>
          <w:sz w:val="21"/>
          <w:szCs w:val="21"/>
        </w:rPr>
        <w:t>The</w:t>
      </w:r>
      <w:r w:rsidR="0062174C">
        <w:rPr>
          <w:iCs/>
          <w:sz w:val="21"/>
          <w:szCs w:val="21"/>
        </w:rPr>
        <w:t xml:space="preserve"> renewed focus on </w:t>
      </w:r>
      <w:r w:rsidR="00F179D1" w:rsidRPr="00F179D1">
        <w:rPr>
          <w:iCs/>
          <w:sz w:val="21"/>
          <w:szCs w:val="21"/>
        </w:rPr>
        <w:t>local engagement</w:t>
      </w:r>
      <w:r w:rsidR="00F179D1">
        <w:rPr>
          <w:iCs/>
          <w:sz w:val="21"/>
          <w:szCs w:val="21"/>
        </w:rPr>
        <w:t xml:space="preserve">, </w:t>
      </w:r>
      <w:r w:rsidR="00F179D1" w:rsidRPr="00F179D1">
        <w:rPr>
          <w:iCs/>
          <w:sz w:val="21"/>
          <w:szCs w:val="21"/>
        </w:rPr>
        <w:t xml:space="preserve">contextual understanding, </w:t>
      </w:r>
      <w:r w:rsidR="00263404">
        <w:rPr>
          <w:iCs/>
          <w:sz w:val="21"/>
          <w:szCs w:val="21"/>
        </w:rPr>
        <w:t>climate risk analysis</w:t>
      </w:r>
      <w:r w:rsidR="00B22C76">
        <w:rPr>
          <w:iCs/>
          <w:sz w:val="21"/>
          <w:szCs w:val="21"/>
        </w:rPr>
        <w:t xml:space="preserve">, </w:t>
      </w:r>
      <w:r w:rsidR="0062174C">
        <w:rPr>
          <w:iCs/>
          <w:sz w:val="21"/>
          <w:szCs w:val="21"/>
        </w:rPr>
        <w:t>adaptation</w:t>
      </w:r>
      <w:r w:rsidR="00F179D1">
        <w:rPr>
          <w:iCs/>
          <w:sz w:val="21"/>
          <w:szCs w:val="21"/>
        </w:rPr>
        <w:t xml:space="preserve">, </w:t>
      </w:r>
      <w:r w:rsidR="00263404">
        <w:rPr>
          <w:iCs/>
          <w:sz w:val="21"/>
          <w:szCs w:val="21"/>
        </w:rPr>
        <w:t xml:space="preserve">resilience </w:t>
      </w:r>
      <w:r w:rsidR="00F179D1">
        <w:rPr>
          <w:iCs/>
          <w:sz w:val="21"/>
          <w:szCs w:val="21"/>
        </w:rPr>
        <w:t xml:space="preserve">and GEDSI </w:t>
      </w:r>
      <w:r w:rsidR="006C532D">
        <w:rPr>
          <w:iCs/>
          <w:sz w:val="21"/>
          <w:szCs w:val="21"/>
        </w:rPr>
        <w:t xml:space="preserve">seeks to </w:t>
      </w:r>
      <w:r w:rsidR="00B22C76">
        <w:rPr>
          <w:iCs/>
          <w:sz w:val="21"/>
          <w:szCs w:val="21"/>
        </w:rPr>
        <w:t xml:space="preserve">bring about sustained </w:t>
      </w:r>
      <w:r w:rsidR="00F179D1">
        <w:rPr>
          <w:iCs/>
          <w:sz w:val="21"/>
          <w:szCs w:val="21"/>
        </w:rPr>
        <w:t xml:space="preserve">and transformational </w:t>
      </w:r>
      <w:r w:rsidR="00B22C76">
        <w:rPr>
          <w:iCs/>
          <w:sz w:val="21"/>
          <w:szCs w:val="21"/>
        </w:rPr>
        <w:t>shifts</w:t>
      </w:r>
      <w:r w:rsidR="00F179D1">
        <w:rPr>
          <w:iCs/>
          <w:sz w:val="21"/>
          <w:szCs w:val="21"/>
        </w:rPr>
        <w:t xml:space="preserve"> towards greater climate and disaster resilience and equality</w:t>
      </w:r>
      <w:r w:rsidR="0062174C">
        <w:rPr>
          <w:iCs/>
          <w:sz w:val="21"/>
          <w:szCs w:val="21"/>
        </w:rPr>
        <w:t xml:space="preserve">. </w:t>
      </w:r>
      <w:r w:rsidR="00263404">
        <w:rPr>
          <w:iCs/>
          <w:sz w:val="21"/>
          <w:szCs w:val="21"/>
        </w:rPr>
        <w:t>In addition, r</w:t>
      </w:r>
      <w:r w:rsidR="0044731A">
        <w:rPr>
          <w:iCs/>
          <w:sz w:val="21"/>
          <w:szCs w:val="21"/>
        </w:rPr>
        <w:t xml:space="preserve">esponse activations for rapid onset disasters </w:t>
      </w:r>
      <w:r w:rsidR="003F122E">
        <w:rPr>
          <w:iCs/>
          <w:sz w:val="21"/>
          <w:szCs w:val="21"/>
        </w:rPr>
        <w:t>are</w:t>
      </w:r>
      <w:r w:rsidR="0044731A">
        <w:rPr>
          <w:iCs/>
          <w:sz w:val="21"/>
          <w:szCs w:val="21"/>
        </w:rPr>
        <w:t xml:space="preserve"> required to</w:t>
      </w:r>
      <w:r w:rsidR="003F122E">
        <w:rPr>
          <w:iCs/>
          <w:sz w:val="21"/>
          <w:szCs w:val="21"/>
        </w:rPr>
        <w:t xml:space="preserve"> mainstream early recovery, while protracted crises </w:t>
      </w:r>
      <w:r w:rsidR="00E46DAA">
        <w:rPr>
          <w:iCs/>
          <w:sz w:val="21"/>
          <w:szCs w:val="21"/>
        </w:rPr>
        <w:t>will</w:t>
      </w:r>
      <w:r w:rsidR="003F122E">
        <w:rPr>
          <w:iCs/>
          <w:sz w:val="21"/>
          <w:szCs w:val="21"/>
        </w:rPr>
        <w:t xml:space="preserve"> be required to </w:t>
      </w:r>
      <w:r w:rsidR="00E46DAA">
        <w:rPr>
          <w:iCs/>
          <w:sz w:val="21"/>
          <w:szCs w:val="21"/>
        </w:rPr>
        <w:t>consider</w:t>
      </w:r>
      <w:r w:rsidR="003F122E">
        <w:rPr>
          <w:iCs/>
          <w:sz w:val="21"/>
          <w:szCs w:val="21"/>
        </w:rPr>
        <w:t xml:space="preserve"> sustainability</w:t>
      </w:r>
      <w:r w:rsidR="00E46DAA">
        <w:rPr>
          <w:iCs/>
          <w:sz w:val="21"/>
          <w:szCs w:val="21"/>
        </w:rPr>
        <w:t xml:space="preserve"> principles or</w:t>
      </w:r>
      <w:r w:rsidR="003F122E">
        <w:rPr>
          <w:iCs/>
          <w:sz w:val="21"/>
          <w:szCs w:val="21"/>
        </w:rPr>
        <w:t xml:space="preserve"> strategies. </w:t>
      </w:r>
      <w:r w:rsidR="009634D7">
        <w:rPr>
          <w:iCs/>
          <w:sz w:val="21"/>
          <w:szCs w:val="21"/>
        </w:rPr>
        <w:t xml:space="preserve">At a country and program management level, the design incorporates </w:t>
      </w:r>
      <w:r w:rsidR="00962019">
        <w:rPr>
          <w:iCs/>
          <w:sz w:val="21"/>
          <w:szCs w:val="21"/>
        </w:rPr>
        <w:t xml:space="preserve">commitments </w:t>
      </w:r>
      <w:r w:rsidR="009634D7">
        <w:rPr>
          <w:iCs/>
          <w:sz w:val="21"/>
          <w:szCs w:val="21"/>
        </w:rPr>
        <w:t xml:space="preserve">and processes for localisation, accountability to affected population and for country level learning and adaptation which are sustainability strategies for building local organisational and institutional capacity. </w:t>
      </w:r>
      <w:r w:rsidR="00C17049">
        <w:rPr>
          <w:iCs/>
          <w:sz w:val="21"/>
          <w:szCs w:val="21"/>
        </w:rPr>
        <w:t>Over time,</w:t>
      </w:r>
      <w:r w:rsidR="005068F2">
        <w:rPr>
          <w:iCs/>
          <w:sz w:val="21"/>
          <w:szCs w:val="21"/>
        </w:rPr>
        <w:t xml:space="preserve"> this will assist </w:t>
      </w:r>
      <w:r w:rsidR="002A3CA3">
        <w:rPr>
          <w:iCs/>
          <w:sz w:val="21"/>
          <w:szCs w:val="21"/>
        </w:rPr>
        <w:t xml:space="preserve">local partners to advocate for and manage </w:t>
      </w:r>
      <w:r w:rsidR="007C3D9F">
        <w:rPr>
          <w:iCs/>
          <w:sz w:val="21"/>
          <w:szCs w:val="21"/>
        </w:rPr>
        <w:t xml:space="preserve">other </w:t>
      </w:r>
      <w:r w:rsidR="002A3CA3">
        <w:rPr>
          <w:iCs/>
          <w:sz w:val="21"/>
          <w:szCs w:val="21"/>
        </w:rPr>
        <w:t>funding</w:t>
      </w:r>
      <w:r w:rsidR="007C3D9F">
        <w:rPr>
          <w:iCs/>
          <w:sz w:val="21"/>
          <w:szCs w:val="21"/>
        </w:rPr>
        <w:t xml:space="preserve"> sources including </w:t>
      </w:r>
      <w:r w:rsidR="002A3CA3">
        <w:rPr>
          <w:iCs/>
          <w:sz w:val="21"/>
          <w:szCs w:val="21"/>
        </w:rPr>
        <w:t>from partner governments</w:t>
      </w:r>
      <w:r w:rsidR="007C3D9F">
        <w:rPr>
          <w:iCs/>
          <w:sz w:val="21"/>
          <w:szCs w:val="21"/>
        </w:rPr>
        <w:t xml:space="preserve">. There </w:t>
      </w:r>
      <w:r w:rsidR="00B3228D">
        <w:rPr>
          <w:iCs/>
          <w:sz w:val="21"/>
          <w:szCs w:val="21"/>
        </w:rPr>
        <w:t xml:space="preserve">is </w:t>
      </w:r>
      <w:r w:rsidR="007C3D9F">
        <w:rPr>
          <w:iCs/>
          <w:sz w:val="21"/>
          <w:szCs w:val="21"/>
        </w:rPr>
        <w:t xml:space="preserve">also </w:t>
      </w:r>
      <w:r w:rsidR="00B3228D">
        <w:rPr>
          <w:iCs/>
          <w:sz w:val="21"/>
          <w:szCs w:val="21"/>
        </w:rPr>
        <w:t xml:space="preserve">the potential </w:t>
      </w:r>
      <w:r w:rsidR="00C17049">
        <w:rPr>
          <w:iCs/>
          <w:sz w:val="21"/>
          <w:szCs w:val="21"/>
        </w:rPr>
        <w:t xml:space="preserve">DRCCs </w:t>
      </w:r>
      <w:r w:rsidR="00B3228D">
        <w:rPr>
          <w:iCs/>
          <w:sz w:val="21"/>
          <w:szCs w:val="21"/>
        </w:rPr>
        <w:t xml:space="preserve">to </w:t>
      </w:r>
      <w:r w:rsidR="00C17049">
        <w:rPr>
          <w:iCs/>
          <w:sz w:val="21"/>
          <w:szCs w:val="21"/>
        </w:rPr>
        <w:t>become more integrated into existing local coordination mechanisms rather than stand-alone.</w:t>
      </w:r>
      <w:r w:rsidR="009634D7">
        <w:rPr>
          <w:iCs/>
          <w:sz w:val="21"/>
          <w:szCs w:val="21"/>
        </w:rPr>
        <w:t xml:space="preserve">  </w:t>
      </w:r>
    </w:p>
    <w:p w14:paraId="74B6D598" w14:textId="2E8F9E2A" w:rsidR="009634D7" w:rsidRDefault="008B09C6" w:rsidP="00527E2B">
      <w:pPr>
        <w:pStyle w:val="ListParagraph"/>
        <w:numPr>
          <w:ilvl w:val="0"/>
          <w:numId w:val="12"/>
        </w:numPr>
        <w:tabs>
          <w:tab w:val="left" w:pos="284"/>
          <w:tab w:val="left" w:pos="426"/>
        </w:tabs>
        <w:suppressAutoHyphens w:val="0"/>
        <w:spacing w:before="200" w:after="0" w:line="280" w:lineRule="exact"/>
        <w:ind w:left="0" w:firstLine="0"/>
        <w:contextualSpacing w:val="0"/>
        <w:rPr>
          <w:iCs/>
          <w:sz w:val="21"/>
          <w:szCs w:val="21"/>
        </w:rPr>
      </w:pPr>
      <w:r>
        <w:rPr>
          <w:iCs/>
          <w:sz w:val="21"/>
          <w:szCs w:val="21"/>
        </w:rPr>
        <w:t>However, t</w:t>
      </w:r>
      <w:r w:rsidR="009634D7">
        <w:rPr>
          <w:iCs/>
          <w:sz w:val="21"/>
          <w:szCs w:val="21"/>
        </w:rPr>
        <w:t xml:space="preserve">here remain </w:t>
      </w:r>
      <w:r w:rsidR="006231E0">
        <w:rPr>
          <w:iCs/>
          <w:sz w:val="21"/>
          <w:szCs w:val="21"/>
        </w:rPr>
        <w:t>several</w:t>
      </w:r>
      <w:r>
        <w:rPr>
          <w:iCs/>
          <w:sz w:val="21"/>
          <w:szCs w:val="21"/>
        </w:rPr>
        <w:t xml:space="preserve"> </w:t>
      </w:r>
      <w:r w:rsidR="00514555">
        <w:rPr>
          <w:iCs/>
          <w:sz w:val="21"/>
          <w:szCs w:val="21"/>
        </w:rPr>
        <w:t xml:space="preserve">challenges </w:t>
      </w:r>
      <w:r>
        <w:rPr>
          <w:iCs/>
          <w:sz w:val="21"/>
          <w:szCs w:val="21"/>
        </w:rPr>
        <w:t xml:space="preserve">to the </w:t>
      </w:r>
      <w:r w:rsidR="009634D7">
        <w:rPr>
          <w:iCs/>
          <w:sz w:val="21"/>
          <w:szCs w:val="21"/>
        </w:rPr>
        <w:t xml:space="preserve">sustainability </w:t>
      </w:r>
      <w:r>
        <w:rPr>
          <w:iCs/>
          <w:sz w:val="21"/>
          <w:szCs w:val="21"/>
        </w:rPr>
        <w:t xml:space="preserve">of </w:t>
      </w:r>
      <w:r w:rsidR="009634D7">
        <w:rPr>
          <w:iCs/>
          <w:sz w:val="21"/>
          <w:szCs w:val="21"/>
        </w:rPr>
        <w:t>a program of this nature.</w:t>
      </w:r>
      <w:r w:rsidR="004C2359">
        <w:rPr>
          <w:iCs/>
          <w:sz w:val="21"/>
          <w:szCs w:val="21"/>
        </w:rPr>
        <w:t xml:space="preserve"> As recognised by the Grand Bargain 2.0 the international humanitarian system continues to be based on power and financial dynamics </w:t>
      </w:r>
      <w:r w:rsidR="00514555">
        <w:rPr>
          <w:iCs/>
          <w:sz w:val="21"/>
          <w:szCs w:val="21"/>
        </w:rPr>
        <w:t>where</w:t>
      </w:r>
      <w:r w:rsidR="004C2359">
        <w:rPr>
          <w:iCs/>
          <w:sz w:val="21"/>
          <w:szCs w:val="21"/>
        </w:rPr>
        <w:t xml:space="preserve"> development partners and donors </w:t>
      </w:r>
      <w:r w:rsidR="00514555">
        <w:rPr>
          <w:iCs/>
          <w:sz w:val="21"/>
          <w:szCs w:val="21"/>
        </w:rPr>
        <w:t>may</w:t>
      </w:r>
      <w:r w:rsidR="004C2359">
        <w:rPr>
          <w:iCs/>
          <w:sz w:val="21"/>
          <w:szCs w:val="21"/>
        </w:rPr>
        <w:t xml:space="preserve"> drive and direct funding and responses </w:t>
      </w:r>
      <w:r w:rsidR="00514555">
        <w:rPr>
          <w:iCs/>
          <w:sz w:val="21"/>
          <w:szCs w:val="21"/>
        </w:rPr>
        <w:t>and where</w:t>
      </w:r>
      <w:r w:rsidR="004C2359">
        <w:rPr>
          <w:iCs/>
          <w:sz w:val="21"/>
          <w:szCs w:val="21"/>
        </w:rPr>
        <w:t xml:space="preserve"> local Governments and communities </w:t>
      </w:r>
      <w:r w:rsidR="00514555">
        <w:rPr>
          <w:iCs/>
          <w:sz w:val="21"/>
          <w:szCs w:val="21"/>
        </w:rPr>
        <w:t>may not be</w:t>
      </w:r>
      <w:r w:rsidR="004C2359">
        <w:rPr>
          <w:iCs/>
          <w:sz w:val="21"/>
          <w:szCs w:val="21"/>
        </w:rPr>
        <w:t xml:space="preserve"> position</w:t>
      </w:r>
      <w:r w:rsidR="00514555">
        <w:rPr>
          <w:iCs/>
          <w:sz w:val="21"/>
          <w:szCs w:val="21"/>
        </w:rPr>
        <w:t>ed</w:t>
      </w:r>
      <w:r w:rsidR="004C2359">
        <w:rPr>
          <w:iCs/>
          <w:sz w:val="21"/>
          <w:szCs w:val="21"/>
        </w:rPr>
        <w:t xml:space="preserve"> to lead local responses with the resources required. Within the Partnership, ANGOs continue to </w:t>
      </w:r>
      <w:r w:rsidR="00F8632F">
        <w:rPr>
          <w:iCs/>
          <w:sz w:val="21"/>
          <w:szCs w:val="21"/>
        </w:rPr>
        <w:t>play an intermediary role</w:t>
      </w:r>
      <w:r w:rsidR="004C2359">
        <w:rPr>
          <w:iCs/>
          <w:sz w:val="21"/>
          <w:szCs w:val="21"/>
        </w:rPr>
        <w:t>,</w:t>
      </w:r>
      <w:r w:rsidR="00F8632F">
        <w:rPr>
          <w:iCs/>
          <w:sz w:val="21"/>
          <w:szCs w:val="21"/>
        </w:rPr>
        <w:t xml:space="preserve"> influencing the extent to which local partners and CBOs can take on </w:t>
      </w:r>
      <w:r w:rsidR="004C2359">
        <w:rPr>
          <w:iCs/>
          <w:sz w:val="21"/>
          <w:szCs w:val="21"/>
        </w:rPr>
        <w:t xml:space="preserve">more direct responsibility and leadership that is context-specific and responsive to local needs. DFATs internal administrative and resource constraints mean that reliance on contracted intermediaries, such as the AHPSU, results in building capacity and experience of </w:t>
      </w:r>
      <w:r w:rsidR="0081280B">
        <w:rPr>
          <w:iCs/>
          <w:sz w:val="21"/>
          <w:szCs w:val="21"/>
        </w:rPr>
        <w:t>transient organisations and personnel. The design aims to mitigate these inherent challenges by progressing the commitments of the Grand Bargain 2.0</w:t>
      </w:r>
      <w:r w:rsidR="00E875BA">
        <w:rPr>
          <w:iCs/>
          <w:sz w:val="21"/>
          <w:szCs w:val="21"/>
        </w:rPr>
        <w:t xml:space="preserve"> through </w:t>
      </w:r>
      <w:r w:rsidR="000B2D87">
        <w:rPr>
          <w:iCs/>
          <w:sz w:val="21"/>
          <w:szCs w:val="21"/>
        </w:rPr>
        <w:t>progress towards</w:t>
      </w:r>
      <w:r w:rsidR="0081280B">
        <w:rPr>
          <w:iCs/>
          <w:sz w:val="21"/>
          <w:szCs w:val="21"/>
        </w:rPr>
        <w:t xml:space="preserve"> localisation, and promoting</w:t>
      </w:r>
      <w:r w:rsidR="000B2D87">
        <w:rPr>
          <w:iCs/>
          <w:sz w:val="21"/>
          <w:szCs w:val="21"/>
        </w:rPr>
        <w:t xml:space="preserve"> leadership,</w:t>
      </w:r>
      <w:r w:rsidR="0081280B">
        <w:rPr>
          <w:iCs/>
          <w:sz w:val="21"/>
          <w:szCs w:val="21"/>
        </w:rPr>
        <w:t xml:space="preserve"> innovation and flexibility in governance, </w:t>
      </w:r>
      <w:r w:rsidR="00835832">
        <w:rPr>
          <w:iCs/>
          <w:sz w:val="21"/>
          <w:szCs w:val="21"/>
        </w:rPr>
        <w:t>coordination,</w:t>
      </w:r>
      <w:r w:rsidR="0081280B">
        <w:rPr>
          <w:iCs/>
          <w:sz w:val="21"/>
          <w:szCs w:val="21"/>
        </w:rPr>
        <w:t xml:space="preserve"> and implementation at </w:t>
      </w:r>
      <w:r w:rsidR="000B2D87">
        <w:rPr>
          <w:iCs/>
          <w:sz w:val="21"/>
          <w:szCs w:val="21"/>
        </w:rPr>
        <w:t xml:space="preserve">the </w:t>
      </w:r>
      <w:r w:rsidR="0081280B">
        <w:rPr>
          <w:iCs/>
          <w:sz w:val="21"/>
          <w:szCs w:val="21"/>
        </w:rPr>
        <w:t>country level as far as possible</w:t>
      </w:r>
      <w:r w:rsidR="00EC18B4">
        <w:rPr>
          <w:iCs/>
          <w:sz w:val="21"/>
          <w:szCs w:val="21"/>
        </w:rPr>
        <w:t xml:space="preserve"> within the </w:t>
      </w:r>
      <w:r w:rsidR="00622608">
        <w:rPr>
          <w:iCs/>
          <w:sz w:val="21"/>
          <w:szCs w:val="21"/>
        </w:rPr>
        <w:t>delivery model</w:t>
      </w:r>
      <w:r w:rsidR="0081280B">
        <w:rPr>
          <w:iCs/>
          <w:sz w:val="21"/>
          <w:szCs w:val="21"/>
        </w:rPr>
        <w:t xml:space="preserve">. </w:t>
      </w:r>
      <w:r w:rsidR="004C2359">
        <w:rPr>
          <w:iCs/>
          <w:sz w:val="21"/>
          <w:szCs w:val="21"/>
        </w:rPr>
        <w:t xml:space="preserve"> </w:t>
      </w:r>
    </w:p>
    <w:p w14:paraId="18934F75" w14:textId="1E35DA3D" w:rsidR="00B8453D" w:rsidRPr="00115882" w:rsidRDefault="00B8453D" w:rsidP="0083096B">
      <w:pPr>
        <w:pStyle w:val="ListParagraph"/>
        <w:keepNext/>
        <w:tabs>
          <w:tab w:val="left" w:pos="284"/>
        </w:tabs>
        <w:suppressAutoHyphens w:val="0"/>
        <w:spacing w:before="200" w:after="0" w:line="280" w:lineRule="exact"/>
        <w:ind w:left="0"/>
        <w:contextualSpacing w:val="0"/>
        <w:rPr>
          <w:rFonts w:ascii="Calibri" w:hAnsi="Calibri"/>
          <w:b/>
          <w:bCs/>
          <w:i/>
          <w:iCs/>
          <w:lang w:eastAsia="en-AU"/>
        </w:rPr>
      </w:pPr>
      <w:r w:rsidRPr="00115882">
        <w:rPr>
          <w:rFonts w:ascii="Calibri" w:hAnsi="Calibri"/>
          <w:b/>
          <w:bCs/>
          <w:i/>
          <w:iCs/>
          <w:lang w:eastAsia="en-AU"/>
        </w:rPr>
        <w:lastRenderedPageBreak/>
        <w:t>Innovation and private sector engagement</w:t>
      </w:r>
    </w:p>
    <w:p w14:paraId="13022909" w14:textId="6695BB5F" w:rsidR="00B8453D" w:rsidRDefault="00B8453D" w:rsidP="00527E2B">
      <w:pPr>
        <w:pStyle w:val="ListParagraph"/>
        <w:numPr>
          <w:ilvl w:val="0"/>
          <w:numId w:val="12"/>
        </w:numPr>
        <w:tabs>
          <w:tab w:val="left" w:pos="284"/>
          <w:tab w:val="left" w:pos="426"/>
        </w:tabs>
        <w:suppressAutoHyphens w:val="0"/>
        <w:spacing w:before="200" w:after="0" w:line="280" w:lineRule="exact"/>
        <w:ind w:left="0" w:firstLine="0"/>
        <w:contextualSpacing w:val="0"/>
        <w:rPr>
          <w:iCs/>
          <w:sz w:val="21"/>
          <w:szCs w:val="21"/>
        </w:rPr>
      </w:pPr>
      <w:r w:rsidRPr="00527E2B">
        <w:rPr>
          <w:rFonts w:eastAsia="Times New Roman" w:cs="Times New Roman"/>
          <w:iCs/>
          <w:sz w:val="21"/>
          <w:szCs w:val="24"/>
          <w:lang w:val="en-AU" w:eastAsia="en-AU"/>
        </w:rPr>
        <w:t>While</w:t>
      </w:r>
      <w:r>
        <w:rPr>
          <w:iCs/>
          <w:sz w:val="21"/>
          <w:szCs w:val="21"/>
        </w:rPr>
        <w:t xml:space="preserve"> </w:t>
      </w:r>
      <w:r w:rsidR="00165D87">
        <w:rPr>
          <w:iCs/>
          <w:sz w:val="21"/>
          <w:szCs w:val="21"/>
        </w:rPr>
        <w:t xml:space="preserve">the </w:t>
      </w:r>
      <w:r>
        <w:rPr>
          <w:iCs/>
          <w:sz w:val="21"/>
          <w:szCs w:val="21"/>
        </w:rPr>
        <w:t xml:space="preserve">AHP is a mechanism that works primarily through civil society for program delivery, </w:t>
      </w:r>
      <w:r w:rsidR="007B6DFA">
        <w:rPr>
          <w:iCs/>
          <w:sz w:val="21"/>
          <w:szCs w:val="21"/>
        </w:rPr>
        <w:t>AHP NGO partners took advantage of a range of opportunities to engage with the private sector in Phase I</w:t>
      </w:r>
      <w:r>
        <w:rPr>
          <w:iCs/>
          <w:sz w:val="21"/>
          <w:szCs w:val="21"/>
        </w:rPr>
        <w:t>. This inclu</w:t>
      </w:r>
      <w:r w:rsidR="00E14A80">
        <w:rPr>
          <w:iCs/>
          <w:sz w:val="21"/>
          <w:szCs w:val="21"/>
        </w:rPr>
        <w:t>de</w:t>
      </w:r>
      <w:r w:rsidR="007B6DFA">
        <w:rPr>
          <w:iCs/>
          <w:sz w:val="21"/>
          <w:szCs w:val="21"/>
        </w:rPr>
        <w:t>d</w:t>
      </w:r>
      <w:r w:rsidR="00E14A80">
        <w:rPr>
          <w:iCs/>
          <w:sz w:val="21"/>
          <w:szCs w:val="21"/>
        </w:rPr>
        <w:t xml:space="preserve"> procurement of goods and services for disaster response through the </w:t>
      </w:r>
      <w:r w:rsidR="007B6DFA">
        <w:rPr>
          <w:iCs/>
          <w:sz w:val="21"/>
          <w:szCs w:val="21"/>
        </w:rPr>
        <w:t xml:space="preserve">local </w:t>
      </w:r>
      <w:r w:rsidR="00E14A80">
        <w:rPr>
          <w:iCs/>
          <w:sz w:val="21"/>
          <w:szCs w:val="21"/>
        </w:rPr>
        <w:t>supply chain</w:t>
      </w:r>
      <w:r w:rsidR="007B6DFA">
        <w:rPr>
          <w:iCs/>
          <w:sz w:val="21"/>
          <w:szCs w:val="21"/>
        </w:rPr>
        <w:t xml:space="preserve">, partnership and knowledge brokering with private companies for </w:t>
      </w:r>
      <w:r w:rsidR="00456088">
        <w:rPr>
          <w:iCs/>
          <w:sz w:val="21"/>
          <w:szCs w:val="21"/>
        </w:rPr>
        <w:t xml:space="preserve">blockchain technology and </w:t>
      </w:r>
      <w:r w:rsidR="007B6DFA">
        <w:rPr>
          <w:iCs/>
          <w:sz w:val="21"/>
          <w:szCs w:val="21"/>
        </w:rPr>
        <w:t>cash and voucher assistance, and working with media organisations for COVID-19 communications and countering misinformation</w:t>
      </w:r>
      <w:r w:rsidR="00E14A80">
        <w:rPr>
          <w:iCs/>
          <w:sz w:val="21"/>
          <w:szCs w:val="21"/>
        </w:rPr>
        <w:t xml:space="preserve">. </w:t>
      </w:r>
      <w:r w:rsidR="007B6DFA">
        <w:rPr>
          <w:iCs/>
          <w:sz w:val="21"/>
          <w:szCs w:val="21"/>
        </w:rPr>
        <w:t>AHP NGO partners will be encouraged to build on these successes in Phase II, as well as explore further opportunities to</w:t>
      </w:r>
      <w:r w:rsidR="00E14A80">
        <w:rPr>
          <w:iCs/>
          <w:sz w:val="21"/>
          <w:szCs w:val="21"/>
        </w:rPr>
        <w:t xml:space="preserve"> engage with private sector partners</w:t>
      </w:r>
      <w:r w:rsidR="007B6DFA">
        <w:rPr>
          <w:iCs/>
          <w:sz w:val="21"/>
          <w:szCs w:val="21"/>
        </w:rPr>
        <w:t xml:space="preserve">, especially </w:t>
      </w:r>
      <w:r w:rsidR="007B6DFA" w:rsidRPr="007B6DFA">
        <w:rPr>
          <w:iCs/>
          <w:sz w:val="21"/>
          <w:szCs w:val="21"/>
        </w:rPr>
        <w:t>women-led and disability-led options in private sector supply chains</w:t>
      </w:r>
      <w:r w:rsidR="00E14A80">
        <w:rPr>
          <w:iCs/>
          <w:sz w:val="21"/>
          <w:szCs w:val="21"/>
        </w:rPr>
        <w:t>.</w:t>
      </w:r>
    </w:p>
    <w:p w14:paraId="1FB3896E" w14:textId="21BF7D06" w:rsidR="00E14A80" w:rsidRDefault="009A1846" w:rsidP="00527E2B">
      <w:pPr>
        <w:pStyle w:val="ListParagraph"/>
        <w:numPr>
          <w:ilvl w:val="0"/>
          <w:numId w:val="12"/>
        </w:numPr>
        <w:tabs>
          <w:tab w:val="left" w:pos="284"/>
          <w:tab w:val="left" w:pos="426"/>
        </w:tabs>
        <w:suppressAutoHyphens w:val="0"/>
        <w:spacing w:before="200" w:after="0" w:line="280" w:lineRule="exact"/>
        <w:ind w:left="0" w:firstLine="0"/>
        <w:contextualSpacing w:val="0"/>
        <w:rPr>
          <w:iCs/>
          <w:sz w:val="21"/>
          <w:szCs w:val="21"/>
        </w:rPr>
      </w:pPr>
      <w:r>
        <w:rPr>
          <w:iCs/>
          <w:sz w:val="21"/>
          <w:szCs w:val="21"/>
        </w:rPr>
        <w:t xml:space="preserve">Key innovation features </w:t>
      </w:r>
      <w:r w:rsidR="007B6DFA">
        <w:rPr>
          <w:iCs/>
          <w:sz w:val="21"/>
          <w:szCs w:val="21"/>
        </w:rPr>
        <w:t xml:space="preserve">for Phase II </w:t>
      </w:r>
      <w:r>
        <w:rPr>
          <w:iCs/>
          <w:sz w:val="21"/>
          <w:szCs w:val="21"/>
        </w:rPr>
        <w:t xml:space="preserve">include more </w:t>
      </w:r>
      <w:r w:rsidR="007B6DFA">
        <w:rPr>
          <w:iCs/>
          <w:sz w:val="21"/>
          <w:szCs w:val="21"/>
        </w:rPr>
        <w:t xml:space="preserve">a more </w:t>
      </w:r>
      <w:r>
        <w:rPr>
          <w:iCs/>
          <w:sz w:val="21"/>
          <w:szCs w:val="21"/>
        </w:rPr>
        <w:t xml:space="preserve">directed focus and tools for progressing localisation, </w:t>
      </w:r>
      <w:r w:rsidR="007B6DFA">
        <w:rPr>
          <w:iCs/>
          <w:sz w:val="21"/>
          <w:szCs w:val="21"/>
        </w:rPr>
        <w:t xml:space="preserve">including stronger </w:t>
      </w:r>
      <w:r>
        <w:rPr>
          <w:iCs/>
          <w:sz w:val="21"/>
          <w:szCs w:val="21"/>
        </w:rPr>
        <w:t>country</w:t>
      </w:r>
      <w:r w:rsidR="007B6DFA">
        <w:rPr>
          <w:iCs/>
          <w:sz w:val="21"/>
          <w:szCs w:val="21"/>
        </w:rPr>
        <w:t>-level</w:t>
      </w:r>
      <w:r>
        <w:rPr>
          <w:iCs/>
          <w:sz w:val="21"/>
          <w:szCs w:val="21"/>
        </w:rPr>
        <w:t xml:space="preserve"> </w:t>
      </w:r>
      <w:r w:rsidR="007B6DFA">
        <w:rPr>
          <w:iCs/>
          <w:sz w:val="21"/>
          <w:szCs w:val="21"/>
        </w:rPr>
        <w:t>leadership</w:t>
      </w:r>
      <w:r>
        <w:rPr>
          <w:iCs/>
          <w:sz w:val="21"/>
          <w:szCs w:val="21"/>
        </w:rPr>
        <w:t xml:space="preserve"> for Disaster READY, and creating opportunities to pilot anticipatory action and greening responses. </w:t>
      </w:r>
      <w:r w:rsidR="00456088">
        <w:rPr>
          <w:iCs/>
          <w:sz w:val="21"/>
          <w:szCs w:val="21"/>
        </w:rPr>
        <w:t xml:space="preserve">The increased focus on research, learning and adaptation across the program will also ensure that the AHP fosters new ideas throughout implementation, and continually responds to (and replicates where possible) successes. </w:t>
      </w:r>
    </w:p>
    <w:p w14:paraId="2CA87065" w14:textId="2F485CAD" w:rsidR="004F2AF9" w:rsidRPr="00851A62" w:rsidRDefault="004F2AF9" w:rsidP="0011591E">
      <w:pPr>
        <w:pStyle w:val="Heading1"/>
        <w:numPr>
          <w:ilvl w:val="0"/>
          <w:numId w:val="22"/>
        </w:numPr>
        <w:pBdr>
          <w:top w:val="single" w:sz="4" w:space="1" w:color="auto"/>
          <w:left w:val="single" w:sz="4" w:space="4" w:color="auto"/>
          <w:bottom w:val="single" w:sz="4" w:space="1" w:color="auto"/>
          <w:right w:val="single" w:sz="4" w:space="4" w:color="auto"/>
        </w:pBdr>
        <w:shd w:val="clear" w:color="auto" w:fill="E0F3EF" w:themeFill="accent1" w:themeFillTint="33"/>
        <w:spacing w:before="200" w:after="0"/>
        <w:contextualSpacing w:val="0"/>
        <w:rPr>
          <w:rFonts w:eastAsiaTheme="minorHAnsi" w:cstheme="minorBidi"/>
          <w:bCs w:val="0"/>
          <w:sz w:val="22"/>
          <w:szCs w:val="21"/>
        </w:rPr>
      </w:pPr>
      <w:bookmarkStart w:id="47" w:name="_Toc95222009"/>
      <w:bookmarkStart w:id="48" w:name="_Toc95222218"/>
      <w:bookmarkStart w:id="49" w:name="_Toc95222287"/>
      <w:bookmarkStart w:id="50" w:name="_Toc95222350"/>
      <w:bookmarkStart w:id="51" w:name="_Toc95222010"/>
      <w:bookmarkStart w:id="52" w:name="_Toc95222219"/>
      <w:bookmarkStart w:id="53" w:name="_Toc95222288"/>
      <w:bookmarkStart w:id="54" w:name="_Toc95222351"/>
      <w:bookmarkStart w:id="55" w:name="_Toc95222011"/>
      <w:bookmarkStart w:id="56" w:name="_Toc95222220"/>
      <w:bookmarkStart w:id="57" w:name="_Toc95222289"/>
      <w:bookmarkStart w:id="58" w:name="_Toc95222352"/>
      <w:bookmarkStart w:id="59" w:name="_Toc95222012"/>
      <w:bookmarkStart w:id="60" w:name="_Toc95222221"/>
      <w:bookmarkStart w:id="61" w:name="_Toc95222290"/>
      <w:bookmarkStart w:id="62" w:name="_Toc95222353"/>
      <w:bookmarkStart w:id="63" w:name="_Toc95222013"/>
      <w:bookmarkStart w:id="64" w:name="_Toc95222222"/>
      <w:bookmarkStart w:id="65" w:name="_Toc95222291"/>
      <w:bookmarkStart w:id="66" w:name="_Toc95222354"/>
      <w:bookmarkStart w:id="67" w:name="_Toc95222014"/>
      <w:bookmarkStart w:id="68" w:name="_Toc95222223"/>
      <w:bookmarkStart w:id="69" w:name="_Toc95222292"/>
      <w:bookmarkStart w:id="70" w:name="_Toc95222355"/>
      <w:bookmarkStart w:id="71" w:name="_Toc95222015"/>
      <w:bookmarkStart w:id="72" w:name="_Toc95222224"/>
      <w:bookmarkStart w:id="73" w:name="_Toc95222293"/>
      <w:bookmarkStart w:id="74" w:name="_Toc95222356"/>
      <w:bookmarkStart w:id="75" w:name="_Toc95222016"/>
      <w:bookmarkStart w:id="76" w:name="_Toc95222225"/>
      <w:bookmarkStart w:id="77" w:name="_Toc95222294"/>
      <w:bookmarkStart w:id="78" w:name="_Toc95222357"/>
      <w:bookmarkStart w:id="79" w:name="_Toc95222017"/>
      <w:bookmarkStart w:id="80" w:name="_Toc95222226"/>
      <w:bookmarkStart w:id="81" w:name="_Toc95222295"/>
      <w:bookmarkStart w:id="82" w:name="_Toc95222358"/>
      <w:bookmarkStart w:id="83" w:name="_Toc95222018"/>
      <w:bookmarkStart w:id="84" w:name="_Toc95222227"/>
      <w:bookmarkStart w:id="85" w:name="_Toc95222296"/>
      <w:bookmarkStart w:id="86" w:name="_Toc95222359"/>
      <w:bookmarkStart w:id="87" w:name="_Toc10152166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851A62">
        <w:rPr>
          <w:rFonts w:eastAsiaTheme="minorHAnsi" w:cstheme="minorBidi"/>
          <w:bCs w:val="0"/>
          <w:sz w:val="22"/>
          <w:szCs w:val="21"/>
        </w:rPr>
        <w:t>Budget and Resources (What will it cost?)</w:t>
      </w:r>
      <w:bookmarkEnd w:id="87"/>
      <w:r w:rsidR="00CD30B2" w:rsidRPr="00851A62">
        <w:rPr>
          <w:rFonts w:eastAsiaTheme="minorHAnsi" w:cstheme="minorBidi"/>
          <w:bCs w:val="0"/>
          <w:sz w:val="22"/>
          <w:szCs w:val="21"/>
        </w:rPr>
        <w:t xml:space="preserve"> </w:t>
      </w:r>
      <w:r w:rsidR="005006AE">
        <w:rPr>
          <w:rFonts w:eastAsiaTheme="minorHAnsi" w:cstheme="minorBidi"/>
          <w:bCs w:val="0"/>
          <w:sz w:val="22"/>
          <w:szCs w:val="21"/>
        </w:rPr>
        <w:t xml:space="preserve"> </w:t>
      </w:r>
    </w:p>
    <w:p w14:paraId="38C636FB" w14:textId="698906E7" w:rsidR="00CE5FF3" w:rsidRPr="00E93683" w:rsidRDefault="004F2AF9" w:rsidP="00E93683">
      <w:pPr>
        <w:spacing w:before="200" w:after="0"/>
        <w:outlineLvl w:val="1"/>
        <w:rPr>
          <w:b/>
          <w:bCs/>
          <w:i/>
          <w:iCs/>
        </w:rPr>
      </w:pPr>
      <w:bookmarkStart w:id="88" w:name="_Toc101521665"/>
      <w:r w:rsidRPr="00E93683">
        <w:rPr>
          <w:b/>
          <w:bCs/>
          <w:i/>
          <w:iCs/>
        </w:rPr>
        <w:t>Budget</w:t>
      </w:r>
      <w:bookmarkEnd w:id="88"/>
    </w:p>
    <w:p w14:paraId="40C2E531" w14:textId="61E97299" w:rsidR="000F6EFA" w:rsidRPr="003E2C60" w:rsidRDefault="00140CA6" w:rsidP="00527E2B">
      <w:pPr>
        <w:pStyle w:val="ListParagraph"/>
        <w:numPr>
          <w:ilvl w:val="0"/>
          <w:numId w:val="12"/>
        </w:numPr>
        <w:tabs>
          <w:tab w:val="left" w:pos="284"/>
          <w:tab w:val="left" w:pos="426"/>
        </w:tabs>
        <w:suppressAutoHyphens w:val="0"/>
        <w:spacing w:before="200" w:after="0" w:line="280" w:lineRule="exact"/>
        <w:ind w:left="0" w:firstLine="0"/>
        <w:contextualSpacing w:val="0"/>
        <w:rPr>
          <w:iCs/>
          <w:sz w:val="21"/>
          <w:szCs w:val="21"/>
          <w:u w:val="single"/>
        </w:rPr>
      </w:pPr>
      <w:r w:rsidRPr="003E2C60">
        <w:rPr>
          <w:iCs/>
          <w:sz w:val="21"/>
          <w:szCs w:val="21"/>
        </w:rPr>
        <w:t xml:space="preserve"> A total of $50 million over 4.5 years is available for Disaster READY</w:t>
      </w:r>
      <w:r w:rsidR="00165D87">
        <w:rPr>
          <w:iCs/>
          <w:sz w:val="21"/>
          <w:szCs w:val="21"/>
        </w:rPr>
        <w:t xml:space="preserve">, </w:t>
      </w:r>
      <w:r w:rsidRPr="003E2C60">
        <w:rPr>
          <w:iCs/>
          <w:sz w:val="21"/>
          <w:szCs w:val="21"/>
        </w:rPr>
        <w:t>the AHPSU and other fixed costs of the program, while funding for Component 2 (rapid onset and protracted crisis responses) will be allocated by DFAT through the life of the partnership when available.</w:t>
      </w:r>
      <w:r w:rsidR="000F6EFA" w:rsidRPr="003E2C60">
        <w:rPr>
          <w:iCs/>
          <w:sz w:val="21"/>
          <w:szCs w:val="21"/>
        </w:rPr>
        <w:t xml:space="preserve"> </w:t>
      </w:r>
      <w:r w:rsidR="000F6EFA" w:rsidRPr="003E2C60">
        <w:rPr>
          <w:iCs/>
          <w:sz w:val="21"/>
          <w:szCs w:val="21"/>
          <w:u w:val="single"/>
        </w:rPr>
        <w:t>A detailed budget is available for DFAT internal use.</w:t>
      </w:r>
    </w:p>
    <w:p w14:paraId="7565BB08" w14:textId="785F5A04" w:rsidR="00140CA6" w:rsidRPr="003E2C60" w:rsidRDefault="0031444B" w:rsidP="00945E0E">
      <w:pPr>
        <w:pStyle w:val="ListParagraph"/>
        <w:numPr>
          <w:ilvl w:val="0"/>
          <w:numId w:val="12"/>
        </w:numPr>
        <w:tabs>
          <w:tab w:val="left" w:pos="0"/>
          <w:tab w:val="left" w:pos="426"/>
        </w:tabs>
        <w:suppressAutoHyphens w:val="0"/>
        <w:spacing w:before="200" w:after="0" w:line="280" w:lineRule="exact"/>
        <w:ind w:left="0" w:firstLine="0"/>
        <w:contextualSpacing w:val="0"/>
        <w:rPr>
          <w:iCs/>
          <w:sz w:val="21"/>
          <w:szCs w:val="21"/>
        </w:rPr>
      </w:pPr>
      <w:r w:rsidRPr="003E2C60">
        <w:rPr>
          <w:iCs/>
          <w:sz w:val="21"/>
          <w:szCs w:val="21"/>
        </w:rPr>
        <w:t xml:space="preserve">Annual </w:t>
      </w:r>
      <w:r w:rsidR="00140CA6" w:rsidRPr="003E2C60">
        <w:rPr>
          <w:iCs/>
          <w:sz w:val="21"/>
          <w:szCs w:val="21"/>
        </w:rPr>
        <w:t xml:space="preserve">allocations for the </w:t>
      </w:r>
      <w:r w:rsidRPr="003E2C60">
        <w:rPr>
          <w:iCs/>
          <w:sz w:val="21"/>
          <w:szCs w:val="21"/>
        </w:rPr>
        <w:t>P</w:t>
      </w:r>
      <w:r w:rsidR="00140CA6" w:rsidRPr="003E2C60">
        <w:rPr>
          <w:iCs/>
          <w:sz w:val="21"/>
          <w:szCs w:val="21"/>
        </w:rPr>
        <w:t>artnership include:</w:t>
      </w:r>
    </w:p>
    <w:p w14:paraId="5F5EC17D" w14:textId="06A3377B" w:rsidR="00140CA6" w:rsidRPr="003E2C60" w:rsidRDefault="00140CA6" w:rsidP="0011591E">
      <w:pPr>
        <w:pStyle w:val="ListParagraph"/>
        <w:numPr>
          <w:ilvl w:val="0"/>
          <w:numId w:val="29"/>
        </w:numPr>
        <w:spacing w:before="60" w:line="280" w:lineRule="atLeast"/>
        <w:ind w:left="714" w:hanging="357"/>
        <w:contextualSpacing w:val="0"/>
        <w:rPr>
          <w:iCs/>
          <w:sz w:val="21"/>
          <w:szCs w:val="21"/>
        </w:rPr>
      </w:pPr>
      <w:r w:rsidRPr="003E2C60">
        <w:rPr>
          <w:iCs/>
          <w:sz w:val="21"/>
          <w:szCs w:val="21"/>
        </w:rPr>
        <w:t>ANGO core allocation for Disaster READY - $1</w:t>
      </w:r>
      <w:r w:rsidR="00434CBA">
        <w:rPr>
          <w:iCs/>
          <w:sz w:val="21"/>
          <w:szCs w:val="21"/>
        </w:rPr>
        <w:t>.25 million</w:t>
      </w:r>
      <w:r w:rsidRPr="003E2C60">
        <w:rPr>
          <w:iCs/>
          <w:sz w:val="21"/>
          <w:szCs w:val="21"/>
        </w:rPr>
        <w:t xml:space="preserve"> per year.</w:t>
      </w:r>
    </w:p>
    <w:p w14:paraId="5B4C824F" w14:textId="5F944F59" w:rsidR="00140CA6" w:rsidRPr="003E2C60" w:rsidRDefault="00140CA6" w:rsidP="0011591E">
      <w:pPr>
        <w:pStyle w:val="ListParagraph"/>
        <w:numPr>
          <w:ilvl w:val="1"/>
          <w:numId w:val="15"/>
        </w:numPr>
        <w:tabs>
          <w:tab w:val="left" w:pos="284"/>
        </w:tabs>
        <w:suppressAutoHyphens w:val="0"/>
        <w:spacing w:before="200" w:after="0" w:line="280" w:lineRule="exact"/>
        <w:contextualSpacing w:val="0"/>
        <w:rPr>
          <w:iCs/>
          <w:sz w:val="21"/>
          <w:szCs w:val="21"/>
        </w:rPr>
      </w:pPr>
      <w:bookmarkStart w:id="89" w:name="_Hlk90306979"/>
      <w:r w:rsidRPr="003E2C60">
        <w:rPr>
          <w:iCs/>
          <w:sz w:val="21"/>
          <w:szCs w:val="21"/>
        </w:rPr>
        <w:t>on average this equates to $1</w:t>
      </w:r>
      <w:r w:rsidR="00434CBA">
        <w:rPr>
          <w:iCs/>
          <w:sz w:val="21"/>
          <w:szCs w:val="21"/>
        </w:rPr>
        <w:t xml:space="preserve">.5 million </w:t>
      </w:r>
      <w:r w:rsidRPr="003E2C60">
        <w:rPr>
          <w:iCs/>
          <w:sz w:val="21"/>
          <w:szCs w:val="21"/>
        </w:rPr>
        <w:t>per country</w:t>
      </w:r>
      <w:r w:rsidR="00990F3D" w:rsidRPr="003E2C60">
        <w:rPr>
          <w:iCs/>
          <w:sz w:val="21"/>
          <w:szCs w:val="21"/>
        </w:rPr>
        <w:t xml:space="preserve"> per year</w:t>
      </w:r>
      <w:r w:rsidRPr="003E2C60">
        <w:rPr>
          <w:iCs/>
          <w:sz w:val="21"/>
          <w:szCs w:val="21"/>
        </w:rPr>
        <w:t xml:space="preserve">, subject to ANGO and country level planning. While this </w:t>
      </w:r>
      <w:r w:rsidR="00DD62DD" w:rsidRPr="003E2C60">
        <w:rPr>
          <w:iCs/>
          <w:sz w:val="21"/>
          <w:szCs w:val="21"/>
        </w:rPr>
        <w:t xml:space="preserve">will </w:t>
      </w:r>
      <w:r w:rsidRPr="003E2C60">
        <w:rPr>
          <w:iCs/>
          <w:sz w:val="21"/>
          <w:szCs w:val="21"/>
        </w:rPr>
        <w:t>be variable across the countries, no more than</w:t>
      </w:r>
      <w:r w:rsidR="004F3EA2" w:rsidRPr="003E2C60">
        <w:rPr>
          <w:iCs/>
          <w:sz w:val="21"/>
          <w:szCs w:val="21"/>
        </w:rPr>
        <w:t xml:space="preserve"> </w:t>
      </w:r>
      <w:r w:rsidRPr="003E2C60">
        <w:rPr>
          <w:iCs/>
          <w:sz w:val="21"/>
          <w:szCs w:val="21"/>
        </w:rPr>
        <w:t>$</w:t>
      </w:r>
      <w:r w:rsidR="00DD62DD" w:rsidRPr="003E2C60">
        <w:rPr>
          <w:iCs/>
          <w:sz w:val="21"/>
          <w:szCs w:val="21"/>
        </w:rPr>
        <w:t>1</w:t>
      </w:r>
      <w:r w:rsidR="00434CBA">
        <w:rPr>
          <w:iCs/>
          <w:sz w:val="21"/>
          <w:szCs w:val="21"/>
        </w:rPr>
        <w:t>.5 million</w:t>
      </w:r>
      <w:r w:rsidR="004F3EA2" w:rsidRPr="003E2C60">
        <w:rPr>
          <w:iCs/>
          <w:sz w:val="21"/>
          <w:szCs w:val="21"/>
        </w:rPr>
        <w:t xml:space="preserve"> </w:t>
      </w:r>
      <w:r w:rsidR="00DD62DD" w:rsidRPr="003E2C60">
        <w:rPr>
          <w:iCs/>
          <w:sz w:val="21"/>
          <w:szCs w:val="21"/>
        </w:rPr>
        <w:t>can</w:t>
      </w:r>
      <w:r w:rsidRPr="003E2C60">
        <w:rPr>
          <w:iCs/>
          <w:sz w:val="21"/>
          <w:szCs w:val="21"/>
        </w:rPr>
        <w:t xml:space="preserve"> be allocated to PNG </w:t>
      </w:r>
      <w:r w:rsidR="00DD62DD" w:rsidRPr="003E2C60">
        <w:rPr>
          <w:iCs/>
          <w:sz w:val="21"/>
          <w:szCs w:val="21"/>
        </w:rPr>
        <w:t xml:space="preserve">per year </w:t>
      </w:r>
      <w:r w:rsidR="00B0429E" w:rsidRPr="003E2C60">
        <w:rPr>
          <w:iCs/>
          <w:sz w:val="21"/>
          <w:szCs w:val="21"/>
        </w:rPr>
        <w:t xml:space="preserve">in </w:t>
      </w:r>
      <w:r w:rsidR="00406F84">
        <w:rPr>
          <w:iCs/>
          <w:sz w:val="21"/>
          <w:szCs w:val="21"/>
        </w:rPr>
        <w:t>Phase II</w:t>
      </w:r>
      <w:r w:rsidR="00B0429E" w:rsidRPr="003E2C60">
        <w:rPr>
          <w:iCs/>
          <w:sz w:val="21"/>
          <w:szCs w:val="21"/>
        </w:rPr>
        <w:t xml:space="preserve"> </w:t>
      </w:r>
      <w:r w:rsidRPr="003E2C60">
        <w:rPr>
          <w:iCs/>
          <w:sz w:val="21"/>
          <w:szCs w:val="21"/>
        </w:rPr>
        <w:t>without the addition of further funding from bilateral or other sources, given the potential scale and need that could overwhelm the funding available.</w:t>
      </w:r>
    </w:p>
    <w:p w14:paraId="493D5712" w14:textId="6696332D" w:rsidR="00140CA6" w:rsidRPr="003E2C60" w:rsidRDefault="00140CA6" w:rsidP="0011591E">
      <w:pPr>
        <w:pStyle w:val="ListParagraph"/>
        <w:numPr>
          <w:ilvl w:val="1"/>
          <w:numId w:val="15"/>
        </w:numPr>
        <w:tabs>
          <w:tab w:val="left" w:pos="284"/>
        </w:tabs>
        <w:suppressAutoHyphens w:val="0"/>
        <w:spacing w:before="200" w:after="0" w:line="280" w:lineRule="exact"/>
        <w:contextualSpacing w:val="0"/>
        <w:rPr>
          <w:iCs/>
          <w:sz w:val="21"/>
          <w:szCs w:val="21"/>
        </w:rPr>
      </w:pPr>
      <w:r w:rsidRPr="003E2C60">
        <w:rPr>
          <w:iCs/>
          <w:sz w:val="21"/>
          <w:szCs w:val="21"/>
        </w:rPr>
        <w:t>depending on funding available once variable costs are finalised, and subject to expenditure each year, more funding may be made available to ANGOs each year for DR activities.</w:t>
      </w:r>
    </w:p>
    <w:p w14:paraId="4FEB443A" w14:textId="2D96C1D8" w:rsidR="00140CA6" w:rsidRPr="003E2C60" w:rsidRDefault="00B0429E" w:rsidP="0011591E">
      <w:pPr>
        <w:pStyle w:val="ListParagraph"/>
        <w:numPr>
          <w:ilvl w:val="0"/>
          <w:numId w:val="29"/>
        </w:numPr>
        <w:spacing w:before="60" w:line="280" w:lineRule="atLeast"/>
        <w:ind w:left="714" w:hanging="357"/>
        <w:contextualSpacing w:val="0"/>
        <w:rPr>
          <w:iCs/>
          <w:sz w:val="21"/>
          <w:szCs w:val="21"/>
        </w:rPr>
      </w:pPr>
      <w:r w:rsidRPr="003E2C60">
        <w:rPr>
          <w:iCs/>
          <w:sz w:val="21"/>
          <w:szCs w:val="21"/>
        </w:rPr>
        <w:t>DRCC</w:t>
      </w:r>
      <w:r w:rsidR="00676AE9" w:rsidRPr="003E2C60">
        <w:rPr>
          <w:iCs/>
          <w:sz w:val="21"/>
          <w:szCs w:val="21"/>
        </w:rPr>
        <w:t xml:space="preserve"> funds per country</w:t>
      </w:r>
      <w:r w:rsidR="00140CA6" w:rsidRPr="003E2C60">
        <w:rPr>
          <w:iCs/>
          <w:sz w:val="21"/>
          <w:szCs w:val="21"/>
        </w:rPr>
        <w:t xml:space="preserve"> - $</w:t>
      </w:r>
      <w:r w:rsidR="00676AE9" w:rsidRPr="003E2C60">
        <w:rPr>
          <w:iCs/>
          <w:sz w:val="21"/>
          <w:szCs w:val="21"/>
        </w:rPr>
        <w:t>300</w:t>
      </w:r>
      <w:r w:rsidR="00140CA6" w:rsidRPr="003E2C60">
        <w:rPr>
          <w:iCs/>
          <w:sz w:val="21"/>
          <w:szCs w:val="21"/>
        </w:rPr>
        <w:t xml:space="preserve">,000 per year upper limit.  This will cover coordination, </w:t>
      </w:r>
      <w:r w:rsidR="00070348">
        <w:rPr>
          <w:iCs/>
          <w:sz w:val="21"/>
          <w:szCs w:val="21"/>
        </w:rPr>
        <w:t>MEL</w:t>
      </w:r>
      <w:r w:rsidR="00140CA6" w:rsidRPr="003E2C60">
        <w:rPr>
          <w:iCs/>
          <w:sz w:val="21"/>
          <w:szCs w:val="21"/>
        </w:rPr>
        <w:t>,</w:t>
      </w:r>
      <w:r w:rsidR="00A44FC3" w:rsidRPr="003E2C60">
        <w:rPr>
          <w:iCs/>
          <w:sz w:val="21"/>
          <w:szCs w:val="21"/>
        </w:rPr>
        <w:t xml:space="preserve"> research and learning,</w:t>
      </w:r>
      <w:r w:rsidR="00140CA6" w:rsidRPr="003E2C60">
        <w:rPr>
          <w:iCs/>
          <w:sz w:val="21"/>
          <w:szCs w:val="21"/>
        </w:rPr>
        <w:t xml:space="preserve"> </w:t>
      </w:r>
      <w:r w:rsidR="00A44FC3" w:rsidRPr="003E2C60">
        <w:rPr>
          <w:iCs/>
          <w:sz w:val="21"/>
          <w:szCs w:val="21"/>
        </w:rPr>
        <w:t xml:space="preserve">communications, </w:t>
      </w:r>
      <w:r w:rsidR="00140CA6" w:rsidRPr="003E2C60">
        <w:rPr>
          <w:iCs/>
          <w:sz w:val="21"/>
          <w:szCs w:val="21"/>
        </w:rPr>
        <w:t xml:space="preserve">public </w:t>
      </w:r>
      <w:r w:rsidR="00835832" w:rsidRPr="003E2C60">
        <w:rPr>
          <w:iCs/>
          <w:sz w:val="21"/>
          <w:szCs w:val="21"/>
        </w:rPr>
        <w:t>diplomacy,</w:t>
      </w:r>
      <w:r w:rsidR="00140CA6" w:rsidRPr="003E2C60">
        <w:rPr>
          <w:iCs/>
          <w:sz w:val="21"/>
          <w:szCs w:val="21"/>
        </w:rPr>
        <w:t xml:space="preserve"> and operational costs </w:t>
      </w:r>
      <w:r w:rsidR="006506B0" w:rsidRPr="003E2C60">
        <w:rPr>
          <w:iCs/>
          <w:sz w:val="21"/>
          <w:szCs w:val="21"/>
        </w:rPr>
        <w:t xml:space="preserve">to deliver </w:t>
      </w:r>
      <w:r w:rsidR="00BD6F50" w:rsidRPr="003E2C60">
        <w:rPr>
          <w:iCs/>
          <w:sz w:val="21"/>
          <w:szCs w:val="21"/>
        </w:rPr>
        <w:t>the DRCC functions</w:t>
      </w:r>
      <w:r w:rsidR="00140CA6" w:rsidRPr="003E2C60">
        <w:rPr>
          <w:iCs/>
          <w:sz w:val="21"/>
          <w:szCs w:val="21"/>
        </w:rPr>
        <w:t>.</w:t>
      </w:r>
      <w:r w:rsidR="0031444B" w:rsidRPr="003E2C60">
        <w:rPr>
          <w:iCs/>
          <w:sz w:val="21"/>
          <w:szCs w:val="21"/>
        </w:rPr>
        <w:t xml:space="preserve"> Detailed allocation of this budget will be determined in the Country Plan by the Country Committee. Funds will be included in a grant to the lead </w:t>
      </w:r>
      <w:r w:rsidR="00A44FC3" w:rsidRPr="003E2C60">
        <w:rPr>
          <w:iCs/>
          <w:sz w:val="21"/>
          <w:szCs w:val="21"/>
        </w:rPr>
        <w:t>A</w:t>
      </w:r>
      <w:r w:rsidR="0031444B" w:rsidRPr="003E2C60">
        <w:rPr>
          <w:iCs/>
          <w:sz w:val="21"/>
          <w:szCs w:val="21"/>
        </w:rPr>
        <w:t xml:space="preserve">NGO or </w:t>
      </w:r>
      <w:r w:rsidR="00A44FC3" w:rsidRPr="003E2C60">
        <w:rPr>
          <w:iCs/>
          <w:sz w:val="21"/>
          <w:szCs w:val="21"/>
        </w:rPr>
        <w:t xml:space="preserve">other </w:t>
      </w:r>
      <w:r w:rsidR="0031444B" w:rsidRPr="003E2C60">
        <w:rPr>
          <w:iCs/>
          <w:sz w:val="21"/>
          <w:szCs w:val="21"/>
        </w:rPr>
        <w:t>implementation partners</w:t>
      </w:r>
      <w:r w:rsidR="00A44FC3" w:rsidRPr="003E2C60">
        <w:rPr>
          <w:iCs/>
          <w:sz w:val="21"/>
          <w:szCs w:val="21"/>
        </w:rPr>
        <w:t xml:space="preserve"> as agreed</w:t>
      </w:r>
      <w:r w:rsidR="00DF4C1E">
        <w:rPr>
          <w:iCs/>
          <w:sz w:val="21"/>
          <w:szCs w:val="21"/>
        </w:rPr>
        <w:t xml:space="preserve">. Where the full $300,000 is not budgeted the surplus will be reallocated to </w:t>
      </w:r>
      <w:r w:rsidR="00916B91">
        <w:rPr>
          <w:iCs/>
          <w:sz w:val="21"/>
          <w:szCs w:val="21"/>
        </w:rPr>
        <w:t>ANGO core allocations or AHPSU Activity Funds as needed</w:t>
      </w:r>
      <w:r w:rsidR="0031444B" w:rsidRPr="003E2C60">
        <w:rPr>
          <w:iCs/>
          <w:sz w:val="21"/>
          <w:szCs w:val="21"/>
        </w:rPr>
        <w:t xml:space="preserve">.  </w:t>
      </w:r>
    </w:p>
    <w:bookmarkEnd w:id="89"/>
    <w:p w14:paraId="4669E2AF" w14:textId="5EFC3490" w:rsidR="003E31D2" w:rsidRPr="006D1CE9" w:rsidRDefault="004511EC" w:rsidP="0011591E">
      <w:pPr>
        <w:pStyle w:val="ListParagraph"/>
        <w:numPr>
          <w:ilvl w:val="0"/>
          <w:numId w:val="29"/>
        </w:numPr>
        <w:spacing w:before="60" w:line="280" w:lineRule="atLeast"/>
        <w:ind w:left="714" w:hanging="357"/>
        <w:contextualSpacing w:val="0"/>
        <w:rPr>
          <w:iCs/>
          <w:sz w:val="21"/>
          <w:szCs w:val="21"/>
        </w:rPr>
      </w:pPr>
      <w:r w:rsidRPr="006D1CE9">
        <w:rPr>
          <w:iCs/>
          <w:sz w:val="21"/>
          <w:szCs w:val="21"/>
        </w:rPr>
        <w:t xml:space="preserve">AHPSU </w:t>
      </w:r>
      <w:r w:rsidR="008D1110" w:rsidRPr="006D1CE9">
        <w:rPr>
          <w:iCs/>
          <w:sz w:val="21"/>
          <w:szCs w:val="21"/>
        </w:rPr>
        <w:t>costs, including</w:t>
      </w:r>
      <w:r w:rsidR="00115882">
        <w:rPr>
          <w:iCs/>
          <w:sz w:val="21"/>
          <w:szCs w:val="21"/>
        </w:rPr>
        <w:t xml:space="preserve"> approximately</w:t>
      </w:r>
      <w:r w:rsidR="008D1110" w:rsidRPr="006D1CE9">
        <w:rPr>
          <w:iCs/>
          <w:sz w:val="21"/>
          <w:szCs w:val="21"/>
        </w:rPr>
        <w:t xml:space="preserve"> $450,000</w:t>
      </w:r>
      <w:r w:rsidR="006E13EC" w:rsidRPr="006D1CE9">
        <w:rPr>
          <w:iCs/>
          <w:sz w:val="21"/>
          <w:szCs w:val="21"/>
        </w:rPr>
        <w:t xml:space="preserve"> per year </w:t>
      </w:r>
      <w:r w:rsidR="00F17403" w:rsidRPr="006D1CE9">
        <w:rPr>
          <w:iCs/>
          <w:sz w:val="21"/>
          <w:szCs w:val="21"/>
        </w:rPr>
        <w:t xml:space="preserve">in </w:t>
      </w:r>
      <w:r w:rsidR="00AE7530" w:rsidRPr="006D1CE9">
        <w:rPr>
          <w:iCs/>
          <w:sz w:val="21"/>
          <w:szCs w:val="21"/>
        </w:rPr>
        <w:t>A</w:t>
      </w:r>
      <w:r w:rsidR="00F17403" w:rsidRPr="006D1CE9">
        <w:rPr>
          <w:iCs/>
          <w:sz w:val="21"/>
          <w:szCs w:val="21"/>
        </w:rPr>
        <w:t xml:space="preserve">ctivity </w:t>
      </w:r>
      <w:r w:rsidR="00AE7530" w:rsidRPr="006D1CE9">
        <w:rPr>
          <w:iCs/>
          <w:sz w:val="21"/>
          <w:szCs w:val="21"/>
        </w:rPr>
        <w:t>Funds</w:t>
      </w:r>
      <w:r w:rsidR="00F17403" w:rsidRPr="006D1CE9">
        <w:rPr>
          <w:iCs/>
          <w:sz w:val="21"/>
          <w:szCs w:val="21"/>
        </w:rPr>
        <w:t xml:space="preserve"> </w:t>
      </w:r>
      <w:r w:rsidR="00AD1E4A" w:rsidRPr="006D1CE9">
        <w:rPr>
          <w:iCs/>
          <w:sz w:val="21"/>
          <w:szCs w:val="21"/>
        </w:rPr>
        <w:t xml:space="preserve">to </w:t>
      </w:r>
      <w:r w:rsidR="00586AFA" w:rsidRPr="006D1CE9">
        <w:rPr>
          <w:iCs/>
          <w:sz w:val="21"/>
          <w:szCs w:val="21"/>
        </w:rPr>
        <w:t>deliver</w:t>
      </w:r>
      <w:r w:rsidR="009A4A05" w:rsidRPr="006D1CE9">
        <w:rPr>
          <w:iCs/>
          <w:sz w:val="21"/>
          <w:szCs w:val="21"/>
        </w:rPr>
        <w:t>:</w:t>
      </w:r>
      <w:r w:rsidR="00586AFA" w:rsidRPr="006D1CE9">
        <w:rPr>
          <w:iCs/>
          <w:sz w:val="21"/>
          <w:szCs w:val="21"/>
        </w:rPr>
        <w:t xml:space="preserve"> </w:t>
      </w:r>
      <w:r w:rsidR="009C06C2" w:rsidRPr="006D1CE9">
        <w:rPr>
          <w:iCs/>
          <w:sz w:val="21"/>
          <w:szCs w:val="21"/>
        </w:rPr>
        <w:t xml:space="preserve">MEL </w:t>
      </w:r>
      <w:r w:rsidR="009A4A05" w:rsidRPr="006D1CE9">
        <w:rPr>
          <w:iCs/>
          <w:sz w:val="21"/>
          <w:szCs w:val="21"/>
        </w:rPr>
        <w:t>activities</w:t>
      </w:r>
      <w:r w:rsidR="009C06C2" w:rsidRPr="006D1CE9">
        <w:rPr>
          <w:iCs/>
          <w:sz w:val="21"/>
          <w:szCs w:val="21"/>
        </w:rPr>
        <w:t xml:space="preserve"> including</w:t>
      </w:r>
      <w:r w:rsidR="00586AFA" w:rsidRPr="006D1CE9">
        <w:rPr>
          <w:iCs/>
          <w:sz w:val="21"/>
          <w:szCs w:val="21"/>
        </w:rPr>
        <w:t xml:space="preserve"> </w:t>
      </w:r>
      <w:r w:rsidR="0031444B" w:rsidRPr="006D1CE9">
        <w:rPr>
          <w:iCs/>
          <w:sz w:val="21"/>
          <w:szCs w:val="21"/>
        </w:rPr>
        <w:t>independent</w:t>
      </w:r>
      <w:r w:rsidR="00B86A61" w:rsidRPr="006D1CE9">
        <w:rPr>
          <w:iCs/>
          <w:sz w:val="21"/>
          <w:szCs w:val="21"/>
        </w:rPr>
        <w:t xml:space="preserve"> and thematic</w:t>
      </w:r>
      <w:r w:rsidR="00586AFA" w:rsidRPr="006D1CE9">
        <w:rPr>
          <w:iCs/>
          <w:sz w:val="21"/>
          <w:szCs w:val="21"/>
        </w:rPr>
        <w:t xml:space="preserve"> </w:t>
      </w:r>
      <w:r w:rsidR="0031444B" w:rsidRPr="006D1CE9">
        <w:rPr>
          <w:iCs/>
          <w:sz w:val="21"/>
          <w:szCs w:val="21"/>
        </w:rPr>
        <w:t>evaluations</w:t>
      </w:r>
      <w:r w:rsidR="00B86A61" w:rsidRPr="006D1CE9">
        <w:rPr>
          <w:iCs/>
          <w:sz w:val="21"/>
          <w:szCs w:val="21"/>
        </w:rPr>
        <w:t xml:space="preserve">; </w:t>
      </w:r>
      <w:r w:rsidR="00AF75EE" w:rsidRPr="006D1CE9">
        <w:rPr>
          <w:iCs/>
          <w:sz w:val="21"/>
          <w:szCs w:val="21"/>
        </w:rPr>
        <w:t xml:space="preserve">research activities; </w:t>
      </w:r>
      <w:r w:rsidR="00D630BA" w:rsidRPr="006D1CE9">
        <w:rPr>
          <w:iCs/>
          <w:sz w:val="21"/>
          <w:szCs w:val="21"/>
        </w:rPr>
        <w:t>learning events</w:t>
      </w:r>
      <w:r w:rsidR="009A4A05" w:rsidRPr="006D1CE9">
        <w:rPr>
          <w:iCs/>
          <w:sz w:val="21"/>
          <w:szCs w:val="21"/>
        </w:rPr>
        <w:t>;</w:t>
      </w:r>
      <w:r w:rsidR="009C06C2" w:rsidRPr="006D1CE9">
        <w:rPr>
          <w:iCs/>
          <w:sz w:val="21"/>
          <w:szCs w:val="21"/>
        </w:rPr>
        <w:t xml:space="preserve"> </w:t>
      </w:r>
      <w:r w:rsidR="00D630BA" w:rsidRPr="006D1CE9">
        <w:rPr>
          <w:iCs/>
          <w:sz w:val="21"/>
          <w:szCs w:val="21"/>
        </w:rPr>
        <w:t xml:space="preserve">partnership brokering activities; </w:t>
      </w:r>
      <w:r w:rsidR="009C06C2" w:rsidRPr="006D1CE9">
        <w:rPr>
          <w:iCs/>
          <w:sz w:val="21"/>
          <w:szCs w:val="21"/>
        </w:rPr>
        <w:t xml:space="preserve">communications and public diplomacy </w:t>
      </w:r>
      <w:r w:rsidR="009A4A05" w:rsidRPr="006D1CE9">
        <w:rPr>
          <w:iCs/>
          <w:sz w:val="21"/>
          <w:szCs w:val="21"/>
        </w:rPr>
        <w:t xml:space="preserve">activities; </w:t>
      </w:r>
      <w:r w:rsidR="00D630BA" w:rsidRPr="006D1CE9">
        <w:rPr>
          <w:iCs/>
          <w:sz w:val="21"/>
          <w:szCs w:val="21"/>
        </w:rPr>
        <w:t xml:space="preserve">and flexible </w:t>
      </w:r>
      <w:r w:rsidR="00835832" w:rsidRPr="006D1CE9">
        <w:rPr>
          <w:iCs/>
          <w:sz w:val="21"/>
          <w:szCs w:val="21"/>
        </w:rPr>
        <w:t>short- and long-term</w:t>
      </w:r>
      <w:r w:rsidR="00D630BA" w:rsidRPr="006D1CE9">
        <w:rPr>
          <w:iCs/>
          <w:sz w:val="21"/>
          <w:szCs w:val="21"/>
        </w:rPr>
        <w:t xml:space="preserve"> advisory support</w:t>
      </w:r>
      <w:r w:rsidR="00AF75EE" w:rsidRPr="006D1CE9">
        <w:rPr>
          <w:iCs/>
          <w:sz w:val="21"/>
          <w:szCs w:val="21"/>
        </w:rPr>
        <w:t xml:space="preserve"> in line with the TORs</w:t>
      </w:r>
      <w:r w:rsidR="00D630BA" w:rsidRPr="006D1CE9">
        <w:rPr>
          <w:iCs/>
          <w:sz w:val="21"/>
          <w:szCs w:val="21"/>
        </w:rPr>
        <w:t xml:space="preserve">. </w:t>
      </w:r>
      <w:r w:rsidR="00B019D1" w:rsidRPr="006D1CE9">
        <w:rPr>
          <w:iCs/>
          <w:sz w:val="21"/>
          <w:szCs w:val="21"/>
        </w:rPr>
        <w:t xml:space="preserve">The AHPSU may </w:t>
      </w:r>
      <w:r w:rsidR="006D1CE9" w:rsidRPr="006D1CE9">
        <w:rPr>
          <w:iCs/>
          <w:sz w:val="21"/>
          <w:szCs w:val="21"/>
        </w:rPr>
        <w:t>sub-contract/grant</w:t>
      </w:r>
      <w:r w:rsidR="009444F2">
        <w:rPr>
          <w:iCs/>
          <w:sz w:val="21"/>
          <w:szCs w:val="21"/>
        </w:rPr>
        <w:t xml:space="preserve"> Activity Funds</w:t>
      </w:r>
      <w:r w:rsidR="006D1CE9" w:rsidRPr="006D1CE9">
        <w:rPr>
          <w:iCs/>
          <w:sz w:val="21"/>
          <w:szCs w:val="21"/>
        </w:rPr>
        <w:t xml:space="preserve"> to ANGOs</w:t>
      </w:r>
      <w:r w:rsidR="009444F2">
        <w:rPr>
          <w:iCs/>
          <w:sz w:val="21"/>
          <w:szCs w:val="21"/>
        </w:rPr>
        <w:t xml:space="preserve"> or other </w:t>
      </w:r>
      <w:r w:rsidR="00C21CBD">
        <w:rPr>
          <w:iCs/>
          <w:sz w:val="21"/>
          <w:szCs w:val="21"/>
        </w:rPr>
        <w:t>organisations</w:t>
      </w:r>
      <w:r w:rsidR="006D1CE9" w:rsidRPr="006D1CE9">
        <w:rPr>
          <w:iCs/>
          <w:sz w:val="21"/>
          <w:szCs w:val="21"/>
        </w:rPr>
        <w:t xml:space="preserve"> for implementation as appropriate to the needs.</w:t>
      </w:r>
    </w:p>
    <w:p w14:paraId="3C086120" w14:textId="1A2267BF" w:rsidR="0031444B" w:rsidRDefault="0031444B" w:rsidP="0011591E">
      <w:pPr>
        <w:pStyle w:val="ListParagraph"/>
        <w:numPr>
          <w:ilvl w:val="1"/>
          <w:numId w:val="15"/>
        </w:numPr>
        <w:tabs>
          <w:tab w:val="left" w:pos="284"/>
        </w:tabs>
        <w:suppressAutoHyphens w:val="0"/>
        <w:spacing w:before="200" w:after="0" w:line="280" w:lineRule="exact"/>
        <w:contextualSpacing w:val="0"/>
        <w:rPr>
          <w:iCs/>
          <w:sz w:val="21"/>
          <w:szCs w:val="21"/>
        </w:rPr>
      </w:pPr>
      <w:r w:rsidRPr="003E2C60">
        <w:rPr>
          <w:iCs/>
          <w:sz w:val="21"/>
          <w:szCs w:val="21"/>
        </w:rPr>
        <w:lastRenderedPageBreak/>
        <w:t>In addition</w:t>
      </w:r>
      <w:r w:rsidR="004940E6" w:rsidRPr="003E2C60">
        <w:rPr>
          <w:iCs/>
          <w:sz w:val="21"/>
          <w:szCs w:val="21"/>
        </w:rPr>
        <w:t>, up to 2.5%</w:t>
      </w:r>
      <w:r w:rsidRPr="003E2C60">
        <w:rPr>
          <w:iCs/>
          <w:sz w:val="21"/>
          <w:szCs w:val="21"/>
        </w:rPr>
        <w:t xml:space="preserve"> </w:t>
      </w:r>
      <w:r w:rsidR="004940E6" w:rsidRPr="003E2C60">
        <w:rPr>
          <w:iCs/>
          <w:sz w:val="21"/>
          <w:szCs w:val="21"/>
        </w:rPr>
        <w:t xml:space="preserve">of the budget of each activation may </w:t>
      </w:r>
      <w:r w:rsidRPr="003E2C60">
        <w:rPr>
          <w:iCs/>
          <w:sz w:val="21"/>
          <w:szCs w:val="21"/>
        </w:rPr>
        <w:t xml:space="preserve">be </w:t>
      </w:r>
      <w:r w:rsidR="004940E6" w:rsidRPr="003E2C60">
        <w:rPr>
          <w:iCs/>
          <w:sz w:val="21"/>
          <w:szCs w:val="21"/>
        </w:rPr>
        <w:t xml:space="preserve">allocated to the AHPSU </w:t>
      </w:r>
      <w:r w:rsidR="006B585C" w:rsidRPr="003E2C60">
        <w:rPr>
          <w:iCs/>
          <w:sz w:val="21"/>
          <w:szCs w:val="21"/>
        </w:rPr>
        <w:t xml:space="preserve">operational budget </w:t>
      </w:r>
      <w:r w:rsidR="00AF75EE" w:rsidRPr="003E2C60">
        <w:rPr>
          <w:iCs/>
          <w:sz w:val="21"/>
          <w:szCs w:val="21"/>
        </w:rPr>
        <w:t>should this be required to</w:t>
      </w:r>
      <w:r w:rsidRPr="003E2C60">
        <w:rPr>
          <w:iCs/>
          <w:sz w:val="21"/>
          <w:szCs w:val="21"/>
        </w:rPr>
        <w:t xml:space="preserve"> cover evaluation costs associated with the program.</w:t>
      </w:r>
    </w:p>
    <w:p w14:paraId="6A3CCDFF" w14:textId="6573A5E1" w:rsidR="00140CA6" w:rsidRPr="00B468A4" w:rsidRDefault="00BB5252" w:rsidP="00945E0E">
      <w:pPr>
        <w:pStyle w:val="ListParagraph"/>
        <w:numPr>
          <w:ilvl w:val="0"/>
          <w:numId w:val="12"/>
        </w:numPr>
        <w:tabs>
          <w:tab w:val="left" w:pos="0"/>
          <w:tab w:val="left" w:pos="426"/>
        </w:tabs>
        <w:suppressAutoHyphens w:val="0"/>
        <w:spacing w:before="200" w:after="0" w:line="280" w:lineRule="exact"/>
        <w:ind w:left="0" w:firstLine="0"/>
        <w:contextualSpacing w:val="0"/>
      </w:pPr>
      <w:r>
        <w:rPr>
          <w:iCs/>
          <w:sz w:val="21"/>
          <w:szCs w:val="21"/>
        </w:rPr>
        <w:t>The actual</w:t>
      </w:r>
      <w:r w:rsidR="00945E0E">
        <w:rPr>
          <w:iCs/>
          <w:sz w:val="21"/>
          <w:szCs w:val="21"/>
        </w:rPr>
        <w:t xml:space="preserve"> </w:t>
      </w:r>
      <w:r w:rsidR="00D630BA" w:rsidRPr="003E2C60">
        <w:rPr>
          <w:iCs/>
          <w:sz w:val="21"/>
          <w:szCs w:val="21"/>
        </w:rPr>
        <w:t xml:space="preserve">AHPSU </w:t>
      </w:r>
      <w:r w:rsidR="00B468A4">
        <w:rPr>
          <w:iCs/>
          <w:sz w:val="21"/>
          <w:szCs w:val="21"/>
        </w:rPr>
        <w:t>c</w:t>
      </w:r>
      <w:r w:rsidR="00D630BA" w:rsidRPr="003E2C60">
        <w:rPr>
          <w:iCs/>
          <w:sz w:val="21"/>
          <w:szCs w:val="21"/>
        </w:rPr>
        <w:t xml:space="preserve">ore team costs, and AHPSU non-direct corporate costs and fees will be finalised through commercial negotiations </w:t>
      </w:r>
      <w:r w:rsidR="00835832" w:rsidRPr="003E2C60">
        <w:rPr>
          <w:iCs/>
          <w:sz w:val="21"/>
          <w:szCs w:val="21"/>
        </w:rPr>
        <w:t>based on</w:t>
      </w:r>
      <w:r w:rsidR="00D630BA" w:rsidRPr="003E2C60">
        <w:rPr>
          <w:iCs/>
          <w:sz w:val="21"/>
          <w:szCs w:val="21"/>
        </w:rPr>
        <w:t xml:space="preserve"> </w:t>
      </w:r>
      <w:r>
        <w:rPr>
          <w:iCs/>
          <w:sz w:val="21"/>
          <w:szCs w:val="21"/>
        </w:rPr>
        <w:t xml:space="preserve">the </w:t>
      </w:r>
      <w:r w:rsidR="00D630BA" w:rsidRPr="003E2C60">
        <w:rPr>
          <w:iCs/>
          <w:sz w:val="21"/>
          <w:szCs w:val="21"/>
        </w:rPr>
        <w:t>resourcing needs and requirements.</w:t>
      </w:r>
    </w:p>
    <w:p w14:paraId="6B8F14A2" w14:textId="7E15CFF8" w:rsidR="0031444B" w:rsidRPr="003E2C60" w:rsidRDefault="00A56FEF" w:rsidP="00945E0E">
      <w:pPr>
        <w:pStyle w:val="ListParagraph"/>
        <w:numPr>
          <w:ilvl w:val="0"/>
          <w:numId w:val="12"/>
        </w:numPr>
        <w:tabs>
          <w:tab w:val="left" w:pos="0"/>
          <w:tab w:val="left" w:pos="426"/>
        </w:tabs>
        <w:suppressAutoHyphens w:val="0"/>
        <w:spacing w:before="200" w:after="0" w:line="280" w:lineRule="exact"/>
        <w:ind w:left="0" w:firstLine="0"/>
        <w:contextualSpacing w:val="0"/>
        <w:rPr>
          <w:iCs/>
          <w:sz w:val="21"/>
          <w:szCs w:val="21"/>
        </w:rPr>
      </w:pPr>
      <w:r w:rsidRPr="003E2C60">
        <w:rPr>
          <w:iCs/>
          <w:sz w:val="21"/>
          <w:szCs w:val="21"/>
        </w:rPr>
        <w:t xml:space="preserve">DFAT will explore opportunities to secure additional bilateral, </w:t>
      </w:r>
      <w:r w:rsidR="00835832" w:rsidRPr="003E2C60">
        <w:rPr>
          <w:iCs/>
          <w:sz w:val="21"/>
          <w:szCs w:val="21"/>
        </w:rPr>
        <w:t>regional,</w:t>
      </w:r>
      <w:r w:rsidRPr="003E2C60">
        <w:rPr>
          <w:iCs/>
          <w:sz w:val="21"/>
          <w:szCs w:val="21"/>
        </w:rPr>
        <w:t xml:space="preserve"> and global </w:t>
      </w:r>
      <w:r w:rsidR="00F853DD">
        <w:rPr>
          <w:iCs/>
          <w:sz w:val="21"/>
          <w:szCs w:val="21"/>
        </w:rPr>
        <w:t xml:space="preserve">or other donor </w:t>
      </w:r>
      <w:r w:rsidRPr="003E2C60">
        <w:rPr>
          <w:iCs/>
          <w:sz w:val="21"/>
          <w:szCs w:val="21"/>
        </w:rPr>
        <w:t xml:space="preserve">funding </w:t>
      </w:r>
      <w:r w:rsidR="00F853DD">
        <w:rPr>
          <w:iCs/>
          <w:sz w:val="21"/>
          <w:szCs w:val="21"/>
        </w:rPr>
        <w:t>for the Partnership</w:t>
      </w:r>
      <w:r w:rsidRPr="003E2C60">
        <w:rPr>
          <w:iCs/>
          <w:sz w:val="21"/>
          <w:szCs w:val="21"/>
        </w:rPr>
        <w:t xml:space="preserve">, particularly for Disaster READY and multi-year funding for protracted crisis, including from climate financing for disaster preparedness and risk reduction activities. </w:t>
      </w:r>
      <w:r w:rsidR="0031444B" w:rsidRPr="003E2C60">
        <w:rPr>
          <w:iCs/>
          <w:sz w:val="21"/>
          <w:szCs w:val="21"/>
        </w:rPr>
        <w:t xml:space="preserve">Additional funding could have a significant impact on enhancing scope and </w:t>
      </w:r>
      <w:r w:rsidR="00152E52">
        <w:rPr>
          <w:iCs/>
          <w:sz w:val="21"/>
          <w:szCs w:val="21"/>
        </w:rPr>
        <w:t>impact</w:t>
      </w:r>
      <w:r w:rsidR="00152E52" w:rsidRPr="003E2C60">
        <w:rPr>
          <w:iCs/>
          <w:sz w:val="21"/>
          <w:szCs w:val="21"/>
        </w:rPr>
        <w:t xml:space="preserve"> </w:t>
      </w:r>
      <w:r w:rsidR="0031444B" w:rsidRPr="003E2C60">
        <w:rPr>
          <w:iCs/>
          <w:sz w:val="21"/>
          <w:szCs w:val="21"/>
        </w:rPr>
        <w:t>of the program. Key priorities include:</w:t>
      </w:r>
    </w:p>
    <w:p w14:paraId="1D0A2723" w14:textId="77777777" w:rsidR="00B22C76" w:rsidRDefault="0031444B" w:rsidP="0011591E">
      <w:pPr>
        <w:pStyle w:val="ListParagraph"/>
        <w:numPr>
          <w:ilvl w:val="0"/>
          <w:numId w:val="29"/>
        </w:numPr>
        <w:spacing w:before="60" w:line="280" w:lineRule="atLeast"/>
        <w:ind w:left="714" w:hanging="357"/>
        <w:contextualSpacing w:val="0"/>
        <w:rPr>
          <w:iCs/>
          <w:sz w:val="21"/>
          <w:szCs w:val="21"/>
        </w:rPr>
      </w:pPr>
      <w:r w:rsidRPr="003E2C60">
        <w:rPr>
          <w:iCs/>
          <w:sz w:val="21"/>
          <w:szCs w:val="21"/>
        </w:rPr>
        <w:t>Increasing the core funding available for ANGOs for Disaster READY from the $1.2</w:t>
      </w:r>
      <w:r w:rsidR="008D62BC" w:rsidRPr="003E2C60">
        <w:rPr>
          <w:iCs/>
          <w:sz w:val="21"/>
          <w:szCs w:val="21"/>
        </w:rPr>
        <w:t>5</w:t>
      </w:r>
      <w:r w:rsidRPr="003E2C60">
        <w:rPr>
          <w:iCs/>
          <w:sz w:val="21"/>
          <w:szCs w:val="21"/>
        </w:rPr>
        <w:t xml:space="preserve"> million currently available. </w:t>
      </w:r>
      <w:r w:rsidR="008D62BC" w:rsidRPr="003E2C60">
        <w:rPr>
          <w:iCs/>
          <w:sz w:val="21"/>
          <w:szCs w:val="21"/>
        </w:rPr>
        <w:t>An additional amount of $500,000 per ANGO would make a substantial difference to extending the scope of community-based preparedness and resilience activities and building civil society preparedness capacity ($3 million per year in total).</w:t>
      </w:r>
      <w:r w:rsidR="004A5453" w:rsidRPr="003E2C60">
        <w:rPr>
          <w:iCs/>
          <w:sz w:val="21"/>
          <w:szCs w:val="21"/>
        </w:rPr>
        <w:t xml:space="preserve"> Additional funding would also </w:t>
      </w:r>
      <w:r w:rsidRPr="003E2C60">
        <w:rPr>
          <w:iCs/>
          <w:sz w:val="21"/>
          <w:szCs w:val="21"/>
        </w:rPr>
        <w:t xml:space="preserve">enable ANGOs and local partners to </w:t>
      </w:r>
      <w:r w:rsidR="004A5453" w:rsidRPr="003E2C60">
        <w:rPr>
          <w:iCs/>
          <w:sz w:val="21"/>
          <w:szCs w:val="21"/>
        </w:rPr>
        <w:t>invest more resources</w:t>
      </w:r>
      <w:r w:rsidR="008D62BC" w:rsidRPr="003E2C60">
        <w:rPr>
          <w:iCs/>
          <w:sz w:val="21"/>
          <w:szCs w:val="21"/>
        </w:rPr>
        <w:t xml:space="preserve"> </w:t>
      </w:r>
      <w:r w:rsidR="004A5453" w:rsidRPr="003E2C60">
        <w:rPr>
          <w:iCs/>
          <w:sz w:val="21"/>
          <w:szCs w:val="21"/>
        </w:rPr>
        <w:t xml:space="preserve">in </w:t>
      </w:r>
      <w:r w:rsidRPr="003E2C60">
        <w:rPr>
          <w:iCs/>
          <w:sz w:val="21"/>
          <w:szCs w:val="21"/>
        </w:rPr>
        <w:t xml:space="preserve">the localisation agenda and </w:t>
      </w:r>
      <w:r w:rsidR="00952CDB">
        <w:rPr>
          <w:iCs/>
          <w:sz w:val="21"/>
          <w:szCs w:val="21"/>
        </w:rPr>
        <w:t>GEDSI</w:t>
      </w:r>
      <w:r w:rsidR="004A5453" w:rsidRPr="003E2C60">
        <w:rPr>
          <w:iCs/>
          <w:sz w:val="21"/>
          <w:szCs w:val="21"/>
        </w:rPr>
        <w:t>, including greater consideration of core funding to local partners</w:t>
      </w:r>
      <w:r w:rsidR="00157879">
        <w:rPr>
          <w:iCs/>
          <w:sz w:val="21"/>
          <w:szCs w:val="21"/>
        </w:rPr>
        <w:t xml:space="preserve"> and/or a local response fund</w:t>
      </w:r>
      <w:r w:rsidRPr="003E2C60">
        <w:rPr>
          <w:iCs/>
          <w:sz w:val="21"/>
          <w:szCs w:val="21"/>
        </w:rPr>
        <w:t xml:space="preserve">. </w:t>
      </w:r>
    </w:p>
    <w:p w14:paraId="67C23777" w14:textId="1ECCD538" w:rsidR="003833A6" w:rsidRPr="00B22C76" w:rsidRDefault="0031444B" w:rsidP="0011591E">
      <w:pPr>
        <w:pStyle w:val="ListParagraph"/>
        <w:numPr>
          <w:ilvl w:val="0"/>
          <w:numId w:val="29"/>
        </w:numPr>
        <w:spacing w:before="60" w:line="280" w:lineRule="atLeast"/>
        <w:ind w:left="714" w:hanging="357"/>
        <w:contextualSpacing w:val="0"/>
        <w:rPr>
          <w:iCs/>
          <w:sz w:val="21"/>
          <w:szCs w:val="21"/>
        </w:rPr>
      </w:pPr>
      <w:r w:rsidRPr="00B22C76">
        <w:rPr>
          <w:iCs/>
          <w:sz w:val="21"/>
          <w:szCs w:val="21"/>
        </w:rPr>
        <w:t>Provi</w:t>
      </w:r>
      <w:r w:rsidR="000C1BD6" w:rsidRPr="00B22C76">
        <w:rPr>
          <w:iCs/>
          <w:sz w:val="21"/>
          <w:szCs w:val="21"/>
        </w:rPr>
        <w:t>di</w:t>
      </w:r>
      <w:r w:rsidRPr="00B22C76">
        <w:rPr>
          <w:iCs/>
          <w:sz w:val="21"/>
          <w:szCs w:val="21"/>
        </w:rPr>
        <w:t xml:space="preserve">ng funding to enable </w:t>
      </w:r>
      <w:r w:rsidR="00A56FEF" w:rsidRPr="00B22C76">
        <w:rPr>
          <w:iCs/>
          <w:sz w:val="21"/>
          <w:szCs w:val="21"/>
        </w:rPr>
        <w:t>additional country participation in Disaster READY, with Tonga an</w:t>
      </w:r>
      <w:r w:rsidR="00C5344F" w:rsidRPr="00B22C76">
        <w:rPr>
          <w:iCs/>
          <w:sz w:val="21"/>
          <w:szCs w:val="21"/>
        </w:rPr>
        <w:t xml:space="preserve">d Kiribati </w:t>
      </w:r>
      <w:r w:rsidR="00A56FEF" w:rsidRPr="00B22C76">
        <w:rPr>
          <w:iCs/>
          <w:sz w:val="21"/>
          <w:szCs w:val="21"/>
        </w:rPr>
        <w:t xml:space="preserve">being high priority. </w:t>
      </w:r>
      <w:r w:rsidRPr="00B22C76">
        <w:rPr>
          <w:iCs/>
          <w:sz w:val="21"/>
          <w:szCs w:val="21"/>
        </w:rPr>
        <w:t>Additional funding of $</w:t>
      </w:r>
      <w:r w:rsidR="00157879" w:rsidRPr="00B22C76">
        <w:rPr>
          <w:iCs/>
          <w:sz w:val="21"/>
          <w:szCs w:val="21"/>
        </w:rPr>
        <w:t>0</w:t>
      </w:r>
      <w:r w:rsidRPr="00B22C76">
        <w:rPr>
          <w:iCs/>
          <w:sz w:val="21"/>
          <w:szCs w:val="21"/>
        </w:rPr>
        <w:t>.5</w:t>
      </w:r>
      <w:r w:rsidR="00157879" w:rsidRPr="00B22C76">
        <w:rPr>
          <w:iCs/>
          <w:sz w:val="21"/>
          <w:szCs w:val="21"/>
        </w:rPr>
        <w:t>-$1.5</w:t>
      </w:r>
      <w:r w:rsidRPr="00B22C76">
        <w:rPr>
          <w:iCs/>
          <w:sz w:val="21"/>
          <w:szCs w:val="21"/>
        </w:rPr>
        <w:t xml:space="preserve"> million per country </w:t>
      </w:r>
      <w:r w:rsidR="00165D87">
        <w:rPr>
          <w:iCs/>
          <w:sz w:val="21"/>
          <w:szCs w:val="21"/>
        </w:rPr>
        <w:t xml:space="preserve">per year </w:t>
      </w:r>
      <w:r w:rsidRPr="00B22C76">
        <w:rPr>
          <w:iCs/>
          <w:sz w:val="21"/>
          <w:szCs w:val="21"/>
        </w:rPr>
        <w:t xml:space="preserve">would be </w:t>
      </w:r>
      <w:r w:rsidR="00BC494E" w:rsidRPr="00B22C76">
        <w:rPr>
          <w:iCs/>
          <w:sz w:val="21"/>
          <w:szCs w:val="21"/>
        </w:rPr>
        <w:t>the</w:t>
      </w:r>
      <w:r w:rsidRPr="00B22C76">
        <w:rPr>
          <w:iCs/>
          <w:sz w:val="21"/>
          <w:szCs w:val="21"/>
        </w:rPr>
        <w:t xml:space="preserve"> minimum investment required. </w:t>
      </w:r>
    </w:p>
    <w:p w14:paraId="7174E874" w14:textId="093C5EF1" w:rsidR="00140CA6" w:rsidRPr="00E93683" w:rsidRDefault="007C3B3D" w:rsidP="00165D87">
      <w:pPr>
        <w:keepNext/>
        <w:spacing w:before="200" w:after="0"/>
        <w:outlineLvl w:val="1"/>
        <w:rPr>
          <w:b/>
          <w:bCs/>
          <w:i/>
          <w:iCs/>
        </w:rPr>
      </w:pPr>
      <w:bookmarkStart w:id="90" w:name="_Toc101521666"/>
      <w:r>
        <w:rPr>
          <w:b/>
          <w:bCs/>
          <w:i/>
          <w:iCs/>
        </w:rPr>
        <w:t xml:space="preserve">DFAT </w:t>
      </w:r>
      <w:r w:rsidR="004F2AF9" w:rsidRPr="00E93683">
        <w:rPr>
          <w:b/>
          <w:bCs/>
          <w:i/>
          <w:iCs/>
        </w:rPr>
        <w:t>Resources</w:t>
      </w:r>
      <w:bookmarkEnd w:id="90"/>
    </w:p>
    <w:p w14:paraId="2E72894E" w14:textId="5BF7205A" w:rsidR="00CF4346" w:rsidRPr="003E2C60" w:rsidRDefault="000F6EFA" w:rsidP="00165D87">
      <w:pPr>
        <w:pStyle w:val="ListParagraph"/>
        <w:keepNext/>
        <w:numPr>
          <w:ilvl w:val="0"/>
          <w:numId w:val="12"/>
        </w:numPr>
        <w:tabs>
          <w:tab w:val="left" w:pos="284"/>
          <w:tab w:val="left" w:pos="426"/>
        </w:tabs>
        <w:suppressAutoHyphens w:val="0"/>
        <w:spacing w:before="200" w:after="0" w:line="280" w:lineRule="exact"/>
        <w:ind w:left="0" w:firstLine="0"/>
        <w:contextualSpacing w:val="0"/>
        <w:rPr>
          <w:iCs/>
          <w:sz w:val="21"/>
          <w:szCs w:val="21"/>
        </w:rPr>
      </w:pPr>
      <w:r w:rsidRPr="00A56FEF">
        <w:rPr>
          <w:iCs/>
        </w:rPr>
        <w:t xml:space="preserve"> </w:t>
      </w:r>
      <w:r w:rsidR="00AE6CD6" w:rsidRPr="00527E2B">
        <w:rPr>
          <w:rFonts w:eastAsia="Times New Roman" w:cs="Times New Roman"/>
          <w:iCs/>
          <w:sz w:val="21"/>
          <w:szCs w:val="24"/>
          <w:lang w:val="en-AU" w:eastAsia="en-AU"/>
        </w:rPr>
        <w:t>The</w:t>
      </w:r>
      <w:r w:rsidR="00AE6CD6" w:rsidRPr="003E2C60">
        <w:rPr>
          <w:iCs/>
          <w:sz w:val="21"/>
          <w:szCs w:val="21"/>
        </w:rPr>
        <w:t xml:space="preserve"> AHP mechanism will be managed by</w:t>
      </w:r>
      <w:r w:rsidRPr="003E2C60">
        <w:rPr>
          <w:iCs/>
          <w:sz w:val="21"/>
          <w:szCs w:val="21"/>
        </w:rPr>
        <w:t xml:space="preserve"> the Humanitarian </w:t>
      </w:r>
      <w:r w:rsidR="001C5688" w:rsidRPr="003E2C60">
        <w:rPr>
          <w:iCs/>
          <w:sz w:val="21"/>
          <w:szCs w:val="21"/>
        </w:rPr>
        <w:t xml:space="preserve">Response, Risk and Recovery </w:t>
      </w:r>
      <w:r w:rsidRPr="003E2C60">
        <w:rPr>
          <w:iCs/>
          <w:sz w:val="21"/>
          <w:szCs w:val="21"/>
        </w:rPr>
        <w:t>Branch</w:t>
      </w:r>
      <w:r w:rsidR="001C5688" w:rsidRPr="003E2C60">
        <w:rPr>
          <w:iCs/>
          <w:sz w:val="21"/>
          <w:szCs w:val="21"/>
        </w:rPr>
        <w:t xml:space="preserve"> (HMB)</w:t>
      </w:r>
      <w:r w:rsidRPr="003E2C60">
        <w:rPr>
          <w:iCs/>
          <w:sz w:val="21"/>
          <w:szCs w:val="21"/>
        </w:rPr>
        <w:t xml:space="preserve">. A </w:t>
      </w:r>
      <w:r w:rsidR="001C5688" w:rsidRPr="003E2C60">
        <w:rPr>
          <w:iCs/>
          <w:sz w:val="21"/>
          <w:szCs w:val="21"/>
        </w:rPr>
        <w:t>minimum of two FTE</w:t>
      </w:r>
      <w:r w:rsidR="00BD55FF" w:rsidRPr="003E2C60">
        <w:rPr>
          <w:iCs/>
          <w:sz w:val="21"/>
          <w:szCs w:val="21"/>
        </w:rPr>
        <w:t xml:space="preserve"> with at least one</w:t>
      </w:r>
      <w:r w:rsidRPr="003E2C60">
        <w:rPr>
          <w:iCs/>
          <w:sz w:val="21"/>
          <w:szCs w:val="21"/>
        </w:rPr>
        <w:t xml:space="preserve"> Assistant Director </w:t>
      </w:r>
      <w:r w:rsidR="00BD55FF" w:rsidRPr="003E2C60">
        <w:rPr>
          <w:iCs/>
          <w:sz w:val="21"/>
          <w:szCs w:val="21"/>
        </w:rPr>
        <w:t xml:space="preserve">are required to </w:t>
      </w:r>
      <w:r w:rsidRPr="003E2C60">
        <w:rPr>
          <w:iCs/>
          <w:sz w:val="21"/>
          <w:szCs w:val="21"/>
        </w:rPr>
        <w:t xml:space="preserve">manage the </w:t>
      </w:r>
      <w:r w:rsidR="00AE6CD6" w:rsidRPr="003E2C60">
        <w:rPr>
          <w:iCs/>
          <w:sz w:val="21"/>
          <w:szCs w:val="21"/>
        </w:rPr>
        <w:t>P</w:t>
      </w:r>
      <w:r w:rsidRPr="003E2C60">
        <w:rPr>
          <w:iCs/>
          <w:sz w:val="21"/>
          <w:szCs w:val="21"/>
        </w:rPr>
        <w:t>artnership and contract with AHP</w:t>
      </w:r>
      <w:r w:rsidR="00AE6CD6" w:rsidRPr="003E2C60">
        <w:rPr>
          <w:iCs/>
          <w:sz w:val="21"/>
          <w:szCs w:val="21"/>
        </w:rPr>
        <w:t>SU</w:t>
      </w:r>
      <w:r w:rsidRPr="003E2C60">
        <w:rPr>
          <w:iCs/>
          <w:sz w:val="21"/>
          <w:szCs w:val="21"/>
        </w:rPr>
        <w:t xml:space="preserve">. The relevant </w:t>
      </w:r>
      <w:r w:rsidR="00BD55FF" w:rsidRPr="003E2C60">
        <w:rPr>
          <w:iCs/>
          <w:sz w:val="21"/>
          <w:szCs w:val="21"/>
        </w:rPr>
        <w:t xml:space="preserve">section </w:t>
      </w:r>
      <w:r w:rsidRPr="003E2C60">
        <w:rPr>
          <w:iCs/>
          <w:sz w:val="21"/>
          <w:szCs w:val="21"/>
        </w:rPr>
        <w:t>Director will participate in Steering Committee meetings and engagement with the HRG, and the First Assistant Secretary for the HPD Division will meet at least annually with the CEOs of the ANGOs and the AHPSU.</w:t>
      </w:r>
      <w:r w:rsidR="00140CA6" w:rsidRPr="003E2C60">
        <w:rPr>
          <w:iCs/>
          <w:sz w:val="21"/>
          <w:szCs w:val="21"/>
        </w:rPr>
        <w:t xml:space="preserve"> </w:t>
      </w:r>
      <w:r w:rsidR="00962AD7">
        <w:rPr>
          <w:iCs/>
          <w:sz w:val="21"/>
          <w:szCs w:val="21"/>
        </w:rPr>
        <w:t>Posts in Disaster READY countries and countries with AHP activations will require approximately 0.</w:t>
      </w:r>
      <w:r w:rsidR="00B22C76">
        <w:rPr>
          <w:iCs/>
          <w:sz w:val="21"/>
          <w:szCs w:val="21"/>
        </w:rPr>
        <w:t>1</w:t>
      </w:r>
      <w:r w:rsidR="00962AD7">
        <w:rPr>
          <w:iCs/>
          <w:sz w:val="21"/>
          <w:szCs w:val="21"/>
        </w:rPr>
        <w:t xml:space="preserve"> FTE of one A-based and/or LES </w:t>
      </w:r>
      <w:r w:rsidR="00AD7783">
        <w:rPr>
          <w:iCs/>
          <w:sz w:val="21"/>
          <w:szCs w:val="21"/>
        </w:rPr>
        <w:t>to</w:t>
      </w:r>
      <w:r w:rsidR="00962AD7">
        <w:rPr>
          <w:iCs/>
          <w:sz w:val="21"/>
          <w:szCs w:val="21"/>
        </w:rPr>
        <w:t xml:space="preserve"> deliver their responsibilities.</w:t>
      </w:r>
    </w:p>
    <w:p w14:paraId="5A6541B8" w14:textId="77777777" w:rsidR="0074002C" w:rsidRPr="00851A62" w:rsidRDefault="0074002C" w:rsidP="0011591E">
      <w:pPr>
        <w:pStyle w:val="Heading1"/>
        <w:numPr>
          <w:ilvl w:val="0"/>
          <w:numId w:val="22"/>
        </w:numPr>
        <w:pBdr>
          <w:top w:val="single" w:sz="4" w:space="1" w:color="auto"/>
          <w:left w:val="single" w:sz="4" w:space="4" w:color="auto"/>
          <w:bottom w:val="single" w:sz="4" w:space="1" w:color="auto"/>
          <w:right w:val="single" w:sz="4" w:space="4" w:color="auto"/>
        </w:pBdr>
        <w:shd w:val="clear" w:color="auto" w:fill="E0F3EF" w:themeFill="accent1" w:themeFillTint="33"/>
        <w:spacing w:before="200" w:after="0"/>
        <w:contextualSpacing w:val="0"/>
        <w:rPr>
          <w:rFonts w:eastAsiaTheme="minorHAnsi" w:cstheme="minorBidi"/>
          <w:bCs w:val="0"/>
          <w:sz w:val="22"/>
          <w:szCs w:val="21"/>
        </w:rPr>
      </w:pPr>
      <w:bookmarkStart w:id="91" w:name="_Toc89875900"/>
      <w:bookmarkStart w:id="92" w:name="_Toc101521667"/>
      <w:r>
        <w:rPr>
          <w:rFonts w:eastAsiaTheme="minorHAnsi" w:cstheme="minorBidi"/>
          <w:bCs w:val="0"/>
          <w:sz w:val="22"/>
          <w:szCs w:val="21"/>
        </w:rPr>
        <w:t>RISK MANAGEMENT</w:t>
      </w:r>
      <w:bookmarkEnd w:id="91"/>
      <w:bookmarkEnd w:id="92"/>
      <w:r>
        <w:rPr>
          <w:rFonts w:eastAsiaTheme="minorHAnsi" w:cstheme="minorBidi"/>
          <w:bCs w:val="0"/>
          <w:sz w:val="22"/>
          <w:szCs w:val="21"/>
        </w:rPr>
        <w:t xml:space="preserve">  </w:t>
      </w:r>
    </w:p>
    <w:p w14:paraId="5BBAB1D9" w14:textId="1895A557" w:rsidR="0081280B" w:rsidRDefault="0081280B" w:rsidP="00527E2B">
      <w:pPr>
        <w:pStyle w:val="ListParagraph"/>
        <w:numPr>
          <w:ilvl w:val="0"/>
          <w:numId w:val="12"/>
        </w:numPr>
        <w:tabs>
          <w:tab w:val="left" w:pos="284"/>
          <w:tab w:val="left" w:pos="426"/>
        </w:tabs>
        <w:suppressAutoHyphens w:val="0"/>
        <w:spacing w:before="200" w:after="0" w:line="280" w:lineRule="exact"/>
        <w:ind w:left="0" w:firstLine="0"/>
        <w:contextualSpacing w:val="0"/>
        <w:rPr>
          <w:rFonts w:eastAsia="Times New Roman" w:cs="Times New Roman"/>
          <w:iCs/>
          <w:sz w:val="21"/>
          <w:szCs w:val="24"/>
          <w:lang w:eastAsia="en-AU"/>
        </w:rPr>
      </w:pPr>
      <w:r w:rsidRPr="00527E2B">
        <w:rPr>
          <w:rFonts w:eastAsia="Times New Roman" w:cs="Times New Roman"/>
          <w:iCs/>
          <w:sz w:val="21"/>
          <w:szCs w:val="24"/>
          <w:lang w:val="en-AU" w:eastAsia="en-AU"/>
        </w:rPr>
        <w:t>Humanitarian</w:t>
      </w:r>
      <w:r>
        <w:rPr>
          <w:rFonts w:eastAsia="Times New Roman" w:cs="Times New Roman"/>
          <w:iCs/>
          <w:sz w:val="21"/>
          <w:szCs w:val="24"/>
          <w:lang w:eastAsia="en-AU"/>
        </w:rPr>
        <w:t xml:space="preserve"> investments come with a range of inherent risk factors due to the potential for complex and fluid operating environments, </w:t>
      </w:r>
      <w:r w:rsidRPr="00903045">
        <w:rPr>
          <w:rFonts w:eastAsia="Times New Roman" w:cs="Times New Roman"/>
          <w:iCs/>
          <w:sz w:val="21"/>
          <w:szCs w:val="24"/>
          <w:lang w:eastAsia="en-AU"/>
        </w:rPr>
        <w:t>the deployment of personnel, personnel in positions of authority, interactions with vulnerable groups, access to sensitive information, and provision of goods which create a power imbalance.</w:t>
      </w:r>
      <w:r>
        <w:rPr>
          <w:rFonts w:eastAsia="Times New Roman" w:cs="Times New Roman"/>
          <w:iCs/>
          <w:sz w:val="21"/>
          <w:szCs w:val="24"/>
          <w:lang w:eastAsia="en-AU"/>
        </w:rPr>
        <w:t xml:space="preserve"> The AHP is also a complex global program, involving a wide range of DFAT stakeholders, multiple implementing partners in Australia and in-country at national and local levels, </w:t>
      </w:r>
      <w:r w:rsidR="00C5344F">
        <w:rPr>
          <w:rFonts w:eastAsia="Times New Roman" w:cs="Times New Roman"/>
          <w:iCs/>
          <w:sz w:val="21"/>
          <w:szCs w:val="24"/>
          <w:lang w:eastAsia="en-AU"/>
        </w:rPr>
        <w:t>various</w:t>
      </w:r>
      <w:r>
        <w:rPr>
          <w:rFonts w:eastAsia="Times New Roman" w:cs="Times New Roman"/>
          <w:iCs/>
          <w:sz w:val="21"/>
          <w:szCs w:val="24"/>
          <w:lang w:eastAsia="en-AU"/>
        </w:rPr>
        <w:t xml:space="preserve"> partner countries, and a mix of modalities. As a result, the inherent risk rating of the investment is high. </w:t>
      </w:r>
    </w:p>
    <w:p w14:paraId="6019F17C" w14:textId="762295EE" w:rsidR="006F0CE3" w:rsidRDefault="0081280B" w:rsidP="00527E2B">
      <w:pPr>
        <w:pStyle w:val="ListParagraph"/>
        <w:numPr>
          <w:ilvl w:val="0"/>
          <w:numId w:val="12"/>
        </w:numPr>
        <w:tabs>
          <w:tab w:val="left" w:pos="284"/>
          <w:tab w:val="left" w:pos="426"/>
        </w:tabs>
        <w:suppressAutoHyphens w:val="0"/>
        <w:spacing w:before="200" w:after="0" w:line="280" w:lineRule="exact"/>
        <w:ind w:left="0" w:firstLine="0"/>
        <w:contextualSpacing w:val="0"/>
        <w:rPr>
          <w:rFonts w:eastAsia="Times New Roman" w:cs="Times New Roman"/>
          <w:iCs/>
          <w:sz w:val="21"/>
          <w:szCs w:val="24"/>
          <w:lang w:eastAsia="en-AU"/>
        </w:rPr>
      </w:pPr>
      <w:r>
        <w:rPr>
          <w:rFonts w:eastAsia="Times New Roman" w:cs="Times New Roman"/>
          <w:iCs/>
          <w:sz w:val="21"/>
          <w:szCs w:val="24"/>
          <w:lang w:eastAsia="en-AU"/>
        </w:rPr>
        <w:t xml:space="preserve"> </w:t>
      </w:r>
      <w:r w:rsidRPr="00527E2B">
        <w:rPr>
          <w:rFonts w:eastAsia="Times New Roman" w:cs="Times New Roman"/>
          <w:iCs/>
          <w:sz w:val="21"/>
          <w:szCs w:val="24"/>
          <w:lang w:val="en-AU" w:eastAsia="en-AU"/>
        </w:rPr>
        <w:t>The</w:t>
      </w:r>
      <w:r>
        <w:rPr>
          <w:rFonts w:eastAsia="Times New Roman" w:cs="Times New Roman"/>
          <w:iCs/>
          <w:sz w:val="21"/>
          <w:szCs w:val="24"/>
          <w:lang w:eastAsia="en-AU"/>
        </w:rPr>
        <w:t xml:space="preserve"> Phase II design has been informed by risk management lessons learned from Phase I, which included the need for clearer assignment of risk ownership between various stakeholders, and more regular checks of partner compliance with DFAT policies</w:t>
      </w:r>
      <w:r w:rsidR="00404245">
        <w:rPr>
          <w:rFonts w:eastAsia="Times New Roman" w:cs="Times New Roman"/>
          <w:iCs/>
          <w:sz w:val="21"/>
          <w:szCs w:val="24"/>
          <w:lang w:eastAsia="en-AU"/>
        </w:rPr>
        <w:t xml:space="preserve"> (implementation of which was commenced towards the end of Phase I)</w:t>
      </w:r>
      <w:r>
        <w:rPr>
          <w:rFonts w:eastAsia="Times New Roman" w:cs="Times New Roman"/>
          <w:iCs/>
          <w:sz w:val="21"/>
          <w:szCs w:val="24"/>
          <w:lang w:eastAsia="en-AU"/>
        </w:rPr>
        <w:t xml:space="preserve">. These and other mitigation measures will be applied throughout the investment to address the risks associated with Phase II as outlined in the Risk Register </w:t>
      </w:r>
      <w:r w:rsidR="00B33E61">
        <w:rPr>
          <w:rFonts w:eastAsia="Times New Roman" w:cs="Times New Roman"/>
          <w:iCs/>
          <w:sz w:val="21"/>
          <w:szCs w:val="24"/>
          <w:lang w:eastAsia="en-AU"/>
        </w:rPr>
        <w:t>for DFAT internal use</w:t>
      </w:r>
      <w:r>
        <w:rPr>
          <w:rFonts w:eastAsia="Times New Roman" w:cs="Times New Roman"/>
          <w:iCs/>
          <w:sz w:val="21"/>
          <w:szCs w:val="24"/>
          <w:lang w:eastAsia="en-AU"/>
        </w:rPr>
        <w:t xml:space="preserve">. </w:t>
      </w:r>
    </w:p>
    <w:p w14:paraId="2445C18D" w14:textId="57E0A4AA" w:rsidR="0081280B" w:rsidRPr="00D760F3" w:rsidRDefault="0081280B" w:rsidP="00D760F3">
      <w:pPr>
        <w:pStyle w:val="ListParagraph"/>
        <w:numPr>
          <w:ilvl w:val="0"/>
          <w:numId w:val="12"/>
        </w:numPr>
        <w:tabs>
          <w:tab w:val="left" w:pos="0"/>
          <w:tab w:val="left" w:pos="426"/>
        </w:tabs>
        <w:suppressAutoHyphens w:val="0"/>
        <w:spacing w:before="200" w:after="0" w:line="280" w:lineRule="exact"/>
        <w:ind w:left="0" w:firstLine="0"/>
        <w:contextualSpacing w:val="0"/>
        <w:rPr>
          <w:rFonts w:eastAsia="Times New Roman" w:cs="Times New Roman"/>
          <w:iCs/>
          <w:sz w:val="21"/>
          <w:szCs w:val="24"/>
          <w:lang w:eastAsia="en-AU"/>
        </w:rPr>
      </w:pPr>
      <w:r>
        <w:rPr>
          <w:rFonts w:eastAsia="Times New Roman" w:cs="Times New Roman"/>
          <w:iCs/>
          <w:sz w:val="21"/>
          <w:szCs w:val="24"/>
          <w:lang w:eastAsia="en-AU"/>
        </w:rPr>
        <w:t xml:space="preserve">Some of the key risks and mitigations strategies </w:t>
      </w:r>
      <w:r w:rsidR="00D760F3">
        <w:rPr>
          <w:rFonts w:eastAsia="Times New Roman" w:cs="Times New Roman"/>
          <w:iCs/>
          <w:sz w:val="21"/>
          <w:szCs w:val="24"/>
          <w:lang w:eastAsia="en-AU"/>
        </w:rPr>
        <w:t>are detailed as follows.</w:t>
      </w:r>
      <w:r w:rsidR="0064733B" w:rsidRPr="0064733B">
        <w:rPr>
          <w:rFonts w:eastAsia="Times New Roman" w:cs="Times New Roman"/>
          <w:iCs/>
          <w:sz w:val="21"/>
          <w:szCs w:val="24"/>
          <w:lang w:eastAsia="en-AU"/>
        </w:rPr>
        <w:t xml:space="preserve"> </w:t>
      </w:r>
      <w:r w:rsidR="0064733B" w:rsidDel="006F0CE3">
        <w:rPr>
          <w:rFonts w:eastAsia="Times New Roman" w:cs="Times New Roman"/>
          <w:iCs/>
          <w:sz w:val="21"/>
          <w:szCs w:val="24"/>
          <w:lang w:eastAsia="en-AU"/>
        </w:rPr>
        <w:t>After these treatments, the risk rating for the investment is reduced to medium</w:t>
      </w:r>
      <w:r w:rsidR="00D760F3" w:rsidDel="006F0CE3">
        <w:rPr>
          <w:rFonts w:eastAsia="Times New Roman" w:cs="Times New Roman"/>
          <w:iCs/>
          <w:sz w:val="21"/>
          <w:szCs w:val="24"/>
          <w:lang w:eastAsia="en-AU"/>
        </w:rPr>
        <w:t>.</w:t>
      </w:r>
    </w:p>
    <w:p w14:paraId="231F1165" w14:textId="5F6E9F48" w:rsidR="0081280B" w:rsidRPr="00172660" w:rsidRDefault="0081280B" w:rsidP="0011591E">
      <w:pPr>
        <w:pStyle w:val="ListParagraph"/>
        <w:numPr>
          <w:ilvl w:val="0"/>
          <w:numId w:val="29"/>
        </w:numPr>
        <w:spacing w:before="60" w:line="280" w:lineRule="atLeast"/>
        <w:ind w:left="714" w:hanging="357"/>
        <w:contextualSpacing w:val="0"/>
        <w:rPr>
          <w:rFonts w:eastAsia="Times New Roman" w:cs="Times New Roman"/>
          <w:b/>
          <w:bCs/>
          <w:i/>
          <w:sz w:val="21"/>
          <w:szCs w:val="24"/>
          <w:lang w:eastAsia="en-AU"/>
        </w:rPr>
      </w:pPr>
      <w:r w:rsidRPr="00172660">
        <w:rPr>
          <w:rFonts w:eastAsia="Times New Roman" w:cs="Times New Roman"/>
          <w:b/>
          <w:bCs/>
          <w:i/>
          <w:sz w:val="21"/>
          <w:szCs w:val="24"/>
          <w:lang w:eastAsia="en-AU"/>
        </w:rPr>
        <w:lastRenderedPageBreak/>
        <w:t>breaches of social or environmental safeguards</w:t>
      </w:r>
      <w:r>
        <w:rPr>
          <w:rFonts w:eastAsia="Times New Roman" w:cs="Times New Roman"/>
          <w:b/>
          <w:bCs/>
          <w:i/>
          <w:sz w:val="21"/>
          <w:szCs w:val="24"/>
          <w:lang w:eastAsia="en-AU"/>
        </w:rPr>
        <w:t xml:space="preserve"> </w:t>
      </w:r>
      <w:r>
        <w:rPr>
          <w:rFonts w:eastAsia="Times New Roman" w:cs="Times New Roman"/>
          <w:iCs/>
          <w:sz w:val="21"/>
          <w:szCs w:val="24"/>
          <w:lang w:eastAsia="en-AU"/>
        </w:rPr>
        <w:t xml:space="preserve">including sexual exploitation, </w:t>
      </w:r>
      <w:r w:rsidR="00AD7783">
        <w:rPr>
          <w:rFonts w:eastAsia="Times New Roman" w:cs="Times New Roman"/>
          <w:iCs/>
          <w:sz w:val="21"/>
          <w:szCs w:val="24"/>
          <w:lang w:eastAsia="en-AU"/>
        </w:rPr>
        <w:t>abuse,</w:t>
      </w:r>
      <w:r>
        <w:rPr>
          <w:rFonts w:eastAsia="Times New Roman" w:cs="Times New Roman"/>
          <w:iCs/>
          <w:sz w:val="21"/>
          <w:szCs w:val="24"/>
          <w:lang w:eastAsia="en-AU"/>
        </w:rPr>
        <w:t xml:space="preserve"> and harassment (SEAH), child exploitation or abuse, and other adverse impacts on vulnerable groups or the environment. To address this risk, ANGOs undergo</w:t>
      </w:r>
      <w:r w:rsidRPr="001A4B68">
        <w:rPr>
          <w:rFonts w:eastAsia="Times New Roman" w:cs="Times New Roman"/>
          <w:iCs/>
          <w:sz w:val="21"/>
          <w:szCs w:val="24"/>
          <w:lang w:eastAsia="en-AU"/>
        </w:rPr>
        <w:t xml:space="preserve"> </w:t>
      </w:r>
      <w:r>
        <w:rPr>
          <w:rFonts w:eastAsia="Times New Roman" w:cs="Times New Roman"/>
          <w:iCs/>
          <w:sz w:val="21"/>
          <w:szCs w:val="24"/>
          <w:lang w:eastAsia="en-AU"/>
        </w:rPr>
        <w:t>r</w:t>
      </w:r>
      <w:r w:rsidRPr="001A4B68">
        <w:rPr>
          <w:rFonts w:eastAsia="Times New Roman" w:cs="Times New Roman"/>
          <w:iCs/>
          <w:sz w:val="21"/>
          <w:szCs w:val="24"/>
          <w:lang w:eastAsia="en-AU"/>
        </w:rPr>
        <w:t xml:space="preserve">igorous accreditation </w:t>
      </w:r>
      <w:r>
        <w:rPr>
          <w:rFonts w:eastAsia="Times New Roman" w:cs="Times New Roman"/>
          <w:iCs/>
          <w:sz w:val="21"/>
          <w:szCs w:val="24"/>
          <w:lang w:eastAsia="en-AU"/>
        </w:rPr>
        <w:t xml:space="preserve">processes every five years </w:t>
      </w:r>
      <w:r w:rsidRPr="001A4B68">
        <w:rPr>
          <w:rFonts w:eastAsia="Times New Roman" w:cs="Times New Roman"/>
          <w:iCs/>
          <w:sz w:val="21"/>
          <w:szCs w:val="24"/>
          <w:lang w:eastAsia="en-AU"/>
        </w:rPr>
        <w:t>under ANCP</w:t>
      </w:r>
      <w:r>
        <w:rPr>
          <w:rFonts w:eastAsia="Times New Roman" w:cs="Times New Roman"/>
          <w:iCs/>
          <w:sz w:val="21"/>
          <w:szCs w:val="24"/>
          <w:lang w:eastAsia="en-AU"/>
        </w:rPr>
        <w:t xml:space="preserve"> and the AHPSU is subject to a comprehensive due diligence assessment</w:t>
      </w:r>
      <w:r w:rsidR="00CD0513">
        <w:rPr>
          <w:rFonts w:eastAsia="Times New Roman" w:cs="Times New Roman"/>
          <w:iCs/>
          <w:sz w:val="21"/>
          <w:szCs w:val="24"/>
          <w:lang w:eastAsia="en-AU"/>
        </w:rPr>
        <w:t xml:space="preserve"> every three years</w:t>
      </w:r>
      <w:r w:rsidR="0053576D">
        <w:rPr>
          <w:rFonts w:eastAsia="Times New Roman" w:cs="Times New Roman"/>
          <w:iCs/>
          <w:sz w:val="21"/>
          <w:szCs w:val="24"/>
          <w:lang w:eastAsia="en-AU"/>
        </w:rPr>
        <w:t xml:space="preserve"> to </w:t>
      </w:r>
      <w:r w:rsidR="004E52D1">
        <w:rPr>
          <w:rFonts w:eastAsia="Times New Roman" w:cs="Times New Roman"/>
          <w:iCs/>
          <w:sz w:val="21"/>
          <w:szCs w:val="24"/>
          <w:lang w:eastAsia="en-AU"/>
        </w:rPr>
        <w:t>verify appropriate policy compliance systems are in place</w:t>
      </w:r>
      <w:r>
        <w:rPr>
          <w:rFonts w:eastAsia="Times New Roman" w:cs="Times New Roman"/>
          <w:iCs/>
          <w:sz w:val="21"/>
          <w:szCs w:val="24"/>
          <w:lang w:eastAsia="en-AU"/>
        </w:rPr>
        <w:t>. Appropriate safeguards</w:t>
      </w:r>
      <w:r w:rsidRPr="001A4B68">
        <w:rPr>
          <w:rFonts w:eastAsia="Times New Roman" w:cs="Times New Roman"/>
          <w:iCs/>
          <w:sz w:val="21"/>
          <w:szCs w:val="24"/>
          <w:lang w:eastAsia="en-AU"/>
        </w:rPr>
        <w:t xml:space="preserve"> clauses </w:t>
      </w:r>
      <w:r>
        <w:rPr>
          <w:rFonts w:eastAsia="Times New Roman" w:cs="Times New Roman"/>
          <w:iCs/>
          <w:sz w:val="21"/>
          <w:szCs w:val="24"/>
          <w:lang w:eastAsia="en-AU"/>
        </w:rPr>
        <w:t xml:space="preserve">will be refreshed and </w:t>
      </w:r>
      <w:r w:rsidRPr="001A4B68">
        <w:rPr>
          <w:rFonts w:eastAsia="Times New Roman" w:cs="Times New Roman"/>
          <w:iCs/>
          <w:sz w:val="21"/>
          <w:szCs w:val="24"/>
          <w:lang w:eastAsia="en-AU"/>
        </w:rPr>
        <w:t>included in all</w:t>
      </w:r>
      <w:r>
        <w:rPr>
          <w:rFonts w:eastAsia="Times New Roman" w:cs="Times New Roman"/>
          <w:iCs/>
          <w:sz w:val="21"/>
          <w:szCs w:val="24"/>
          <w:lang w:eastAsia="en-AU"/>
        </w:rPr>
        <w:t xml:space="preserve"> Phase II</w:t>
      </w:r>
      <w:r w:rsidRPr="001A4B68">
        <w:rPr>
          <w:rFonts w:eastAsia="Times New Roman" w:cs="Times New Roman"/>
          <w:iCs/>
          <w:sz w:val="21"/>
          <w:szCs w:val="24"/>
          <w:lang w:eastAsia="en-AU"/>
        </w:rPr>
        <w:t xml:space="preserve"> agreements. DFAT </w:t>
      </w:r>
      <w:r>
        <w:rPr>
          <w:rFonts w:eastAsia="Times New Roman" w:cs="Times New Roman"/>
          <w:iCs/>
          <w:sz w:val="21"/>
          <w:szCs w:val="24"/>
          <w:lang w:eastAsia="en-AU"/>
        </w:rPr>
        <w:t>will continue to</w:t>
      </w:r>
      <w:r w:rsidRPr="001A4B68">
        <w:rPr>
          <w:rFonts w:eastAsia="Times New Roman" w:cs="Times New Roman"/>
          <w:iCs/>
          <w:sz w:val="21"/>
          <w:szCs w:val="24"/>
          <w:lang w:eastAsia="en-AU"/>
        </w:rPr>
        <w:t xml:space="preserve"> </w:t>
      </w:r>
      <w:r>
        <w:rPr>
          <w:rFonts w:eastAsia="Times New Roman" w:cs="Times New Roman"/>
          <w:iCs/>
          <w:sz w:val="21"/>
          <w:szCs w:val="24"/>
          <w:lang w:eastAsia="en-AU"/>
        </w:rPr>
        <w:t xml:space="preserve">undertake </w:t>
      </w:r>
      <w:r w:rsidRPr="001A4B68">
        <w:rPr>
          <w:rFonts w:eastAsia="Times New Roman" w:cs="Times New Roman"/>
          <w:iCs/>
          <w:sz w:val="21"/>
          <w:szCs w:val="24"/>
          <w:lang w:eastAsia="en-AU"/>
        </w:rPr>
        <w:t xml:space="preserve">a </w:t>
      </w:r>
      <w:r>
        <w:rPr>
          <w:rFonts w:eastAsia="Times New Roman" w:cs="Times New Roman"/>
          <w:iCs/>
          <w:sz w:val="21"/>
          <w:szCs w:val="24"/>
          <w:lang w:eastAsia="en-AU"/>
        </w:rPr>
        <w:t xml:space="preserve">specific </w:t>
      </w:r>
      <w:r w:rsidRPr="001A4B68">
        <w:rPr>
          <w:rFonts w:eastAsia="Times New Roman" w:cs="Times New Roman"/>
          <w:iCs/>
          <w:sz w:val="21"/>
          <w:szCs w:val="24"/>
          <w:lang w:eastAsia="en-AU"/>
        </w:rPr>
        <w:t xml:space="preserve">risk assessment for all new humanitarian response </w:t>
      </w:r>
      <w:r>
        <w:rPr>
          <w:rFonts w:eastAsia="Times New Roman" w:cs="Times New Roman"/>
          <w:iCs/>
          <w:sz w:val="21"/>
          <w:szCs w:val="24"/>
          <w:lang w:eastAsia="en-AU"/>
        </w:rPr>
        <w:t>activities</w:t>
      </w:r>
      <w:r w:rsidRPr="001A4B68">
        <w:rPr>
          <w:rFonts w:eastAsia="Times New Roman" w:cs="Times New Roman"/>
          <w:iCs/>
          <w:sz w:val="21"/>
          <w:szCs w:val="24"/>
          <w:lang w:eastAsia="en-AU"/>
        </w:rPr>
        <w:t xml:space="preserve"> </w:t>
      </w:r>
      <w:r>
        <w:rPr>
          <w:rFonts w:eastAsia="Times New Roman" w:cs="Times New Roman"/>
          <w:iCs/>
          <w:sz w:val="21"/>
          <w:szCs w:val="24"/>
          <w:lang w:eastAsia="en-AU"/>
        </w:rPr>
        <w:t>including for</w:t>
      </w:r>
      <w:r w:rsidRPr="001A4B68">
        <w:rPr>
          <w:rFonts w:eastAsia="Times New Roman" w:cs="Times New Roman"/>
          <w:iCs/>
          <w:sz w:val="21"/>
          <w:szCs w:val="24"/>
          <w:lang w:eastAsia="en-AU"/>
        </w:rPr>
        <w:t xml:space="preserve"> environment and safeguards risks. </w:t>
      </w:r>
      <w:r>
        <w:rPr>
          <w:rFonts w:eastAsia="Times New Roman" w:cs="Times New Roman"/>
          <w:iCs/>
          <w:sz w:val="21"/>
          <w:szCs w:val="24"/>
          <w:lang w:eastAsia="en-AU"/>
        </w:rPr>
        <w:t>A</w:t>
      </w:r>
      <w:r w:rsidRPr="001A4B68">
        <w:rPr>
          <w:rFonts w:eastAsia="Times New Roman" w:cs="Times New Roman"/>
          <w:iCs/>
          <w:sz w:val="21"/>
          <w:szCs w:val="24"/>
          <w:lang w:eastAsia="en-AU"/>
        </w:rPr>
        <w:t xml:space="preserve">NGOs </w:t>
      </w:r>
      <w:r>
        <w:rPr>
          <w:rFonts w:eastAsia="Times New Roman" w:cs="Times New Roman"/>
          <w:iCs/>
          <w:sz w:val="21"/>
          <w:szCs w:val="24"/>
          <w:lang w:eastAsia="en-AU"/>
        </w:rPr>
        <w:t xml:space="preserve">will continue to be </w:t>
      </w:r>
      <w:r w:rsidRPr="001A4B68">
        <w:rPr>
          <w:rFonts w:eastAsia="Times New Roman" w:cs="Times New Roman"/>
          <w:iCs/>
          <w:sz w:val="21"/>
          <w:szCs w:val="24"/>
          <w:lang w:eastAsia="en-AU"/>
        </w:rPr>
        <w:t>required to include a risk management framework as part of response proposals</w:t>
      </w:r>
      <w:r>
        <w:rPr>
          <w:rFonts w:eastAsia="Times New Roman" w:cs="Times New Roman"/>
          <w:iCs/>
          <w:sz w:val="21"/>
          <w:szCs w:val="24"/>
          <w:lang w:eastAsia="en-AU"/>
        </w:rPr>
        <w:t xml:space="preserve"> and Disaster READY Activity Plans</w:t>
      </w:r>
      <w:r w:rsidRPr="001A4B68">
        <w:rPr>
          <w:rFonts w:eastAsia="Times New Roman" w:cs="Times New Roman"/>
          <w:iCs/>
          <w:sz w:val="21"/>
          <w:szCs w:val="24"/>
          <w:lang w:eastAsia="en-AU"/>
        </w:rPr>
        <w:t>.</w:t>
      </w:r>
      <w:r>
        <w:rPr>
          <w:rFonts w:eastAsia="Times New Roman" w:cs="Times New Roman"/>
          <w:iCs/>
          <w:sz w:val="21"/>
          <w:szCs w:val="24"/>
          <w:lang w:eastAsia="en-AU"/>
        </w:rPr>
        <w:t xml:space="preserve"> </w:t>
      </w:r>
      <w:r w:rsidR="00E55821">
        <w:rPr>
          <w:rFonts w:eastAsia="Times New Roman" w:cs="Times New Roman"/>
          <w:iCs/>
          <w:sz w:val="21"/>
          <w:szCs w:val="24"/>
          <w:lang w:eastAsia="en-AU"/>
        </w:rPr>
        <w:t>ANGOs will be responsible for supporting and training their downstream partners to d</w:t>
      </w:r>
      <w:r w:rsidR="00E55821" w:rsidRPr="00302EDC">
        <w:rPr>
          <w:rFonts w:eastAsia="Times New Roman" w:cs="Times New Roman"/>
          <w:iCs/>
          <w:sz w:val="21"/>
          <w:szCs w:val="24"/>
          <w:lang w:eastAsia="en-AU"/>
        </w:rPr>
        <w:t>evelop, implement and monitor relevant policies</w:t>
      </w:r>
      <w:r w:rsidR="00E55821">
        <w:rPr>
          <w:rFonts w:eastAsia="Times New Roman" w:cs="Times New Roman"/>
          <w:iCs/>
          <w:sz w:val="21"/>
          <w:szCs w:val="24"/>
          <w:lang w:eastAsia="en-AU"/>
        </w:rPr>
        <w:t xml:space="preserve"> and facilitate notification reporting. </w:t>
      </w:r>
      <w:r>
        <w:rPr>
          <w:rFonts w:eastAsia="Times New Roman" w:cs="Times New Roman"/>
          <w:iCs/>
          <w:sz w:val="21"/>
          <w:szCs w:val="24"/>
          <w:lang w:eastAsia="en-AU"/>
        </w:rPr>
        <w:t>T</w:t>
      </w:r>
      <w:r w:rsidRPr="001A4B68">
        <w:rPr>
          <w:rFonts w:eastAsia="Times New Roman" w:cs="Times New Roman"/>
          <w:iCs/>
          <w:sz w:val="21"/>
          <w:szCs w:val="24"/>
          <w:lang w:eastAsia="en-AU"/>
        </w:rPr>
        <w:t xml:space="preserve">he AHPSU </w:t>
      </w:r>
      <w:r>
        <w:rPr>
          <w:rFonts w:eastAsia="Times New Roman" w:cs="Times New Roman"/>
          <w:iCs/>
          <w:sz w:val="21"/>
          <w:szCs w:val="24"/>
          <w:lang w:eastAsia="en-AU"/>
        </w:rPr>
        <w:t>will continue to implement</w:t>
      </w:r>
      <w:r w:rsidRPr="001A4B68">
        <w:rPr>
          <w:rFonts w:eastAsia="Times New Roman" w:cs="Times New Roman"/>
          <w:iCs/>
          <w:sz w:val="21"/>
          <w:szCs w:val="24"/>
          <w:lang w:eastAsia="en-AU"/>
        </w:rPr>
        <w:t xml:space="preserve"> </w:t>
      </w:r>
      <w:r>
        <w:rPr>
          <w:rFonts w:eastAsia="Times New Roman" w:cs="Times New Roman"/>
          <w:iCs/>
          <w:sz w:val="21"/>
          <w:szCs w:val="24"/>
          <w:lang w:eastAsia="en-AU"/>
        </w:rPr>
        <w:t xml:space="preserve">its </w:t>
      </w:r>
      <w:r w:rsidRPr="001A4B68">
        <w:rPr>
          <w:rFonts w:eastAsia="Times New Roman" w:cs="Times New Roman"/>
          <w:iCs/>
          <w:sz w:val="21"/>
          <w:szCs w:val="24"/>
          <w:lang w:eastAsia="en-AU"/>
        </w:rPr>
        <w:t xml:space="preserve">Administrative Controls Framework which includes spot checks and other measures to monitor </w:t>
      </w:r>
      <w:r>
        <w:rPr>
          <w:rFonts w:eastAsia="Times New Roman" w:cs="Times New Roman"/>
          <w:iCs/>
          <w:sz w:val="21"/>
          <w:szCs w:val="24"/>
          <w:lang w:eastAsia="en-AU"/>
        </w:rPr>
        <w:t>ANGO</w:t>
      </w:r>
      <w:r w:rsidRPr="001A4B68">
        <w:rPr>
          <w:rFonts w:eastAsia="Times New Roman" w:cs="Times New Roman"/>
          <w:iCs/>
          <w:sz w:val="21"/>
          <w:szCs w:val="24"/>
          <w:lang w:eastAsia="en-AU"/>
        </w:rPr>
        <w:t xml:space="preserve"> compliance with DFAT policies.</w:t>
      </w:r>
      <w:r w:rsidRPr="001A4B68" w:rsidDel="008C6F6F">
        <w:rPr>
          <w:rFonts w:eastAsia="Times New Roman" w:cs="Times New Roman"/>
          <w:iCs/>
          <w:sz w:val="21"/>
          <w:szCs w:val="24"/>
          <w:lang w:eastAsia="en-AU"/>
        </w:rPr>
        <w:t xml:space="preserve"> </w:t>
      </w:r>
      <w:r w:rsidR="009B4EF8">
        <w:rPr>
          <w:rFonts w:eastAsia="Times New Roman" w:cs="Times New Roman"/>
          <w:iCs/>
          <w:sz w:val="21"/>
          <w:szCs w:val="24"/>
          <w:lang w:eastAsia="en-AU"/>
        </w:rPr>
        <w:t xml:space="preserve">The Steering Committee will </w:t>
      </w:r>
      <w:r w:rsidR="004C044E">
        <w:rPr>
          <w:rFonts w:eastAsia="Times New Roman" w:cs="Times New Roman"/>
          <w:iCs/>
          <w:sz w:val="21"/>
          <w:szCs w:val="24"/>
          <w:lang w:eastAsia="en-AU"/>
        </w:rPr>
        <w:t xml:space="preserve">monitor risk and breaches of compliance and share best practice approaches. </w:t>
      </w:r>
      <w:r>
        <w:rPr>
          <w:rFonts w:eastAsia="Times New Roman" w:cs="Times New Roman"/>
          <w:iCs/>
          <w:sz w:val="21"/>
          <w:szCs w:val="24"/>
          <w:lang w:eastAsia="en-AU"/>
        </w:rPr>
        <w:t>Additional mitigation strategies will be implemented as needed subject to the specific risk assessment of each response.</w:t>
      </w:r>
    </w:p>
    <w:p w14:paraId="79EB1AFE" w14:textId="5363C68B" w:rsidR="0081280B" w:rsidRPr="009D131B" w:rsidRDefault="0081280B" w:rsidP="0011591E">
      <w:pPr>
        <w:pStyle w:val="ListParagraph"/>
        <w:numPr>
          <w:ilvl w:val="0"/>
          <w:numId w:val="29"/>
        </w:numPr>
        <w:spacing w:before="60" w:line="280" w:lineRule="atLeast"/>
        <w:ind w:left="714" w:hanging="357"/>
        <w:contextualSpacing w:val="0"/>
        <w:rPr>
          <w:rFonts w:eastAsia="Times New Roman" w:cs="Times New Roman"/>
          <w:b/>
          <w:bCs/>
          <w:i/>
          <w:sz w:val="21"/>
          <w:szCs w:val="24"/>
          <w:lang w:eastAsia="en-AU"/>
        </w:rPr>
      </w:pPr>
      <w:r>
        <w:rPr>
          <w:rFonts w:eastAsia="Times New Roman" w:cs="Times New Roman"/>
          <w:b/>
          <w:bCs/>
          <w:i/>
          <w:sz w:val="21"/>
          <w:szCs w:val="24"/>
          <w:lang w:eastAsia="en-AU"/>
        </w:rPr>
        <w:t>Inappropriate, fraudulent use or diversion of funds</w:t>
      </w:r>
      <w:r>
        <w:rPr>
          <w:rFonts w:eastAsia="Times New Roman" w:cs="Times New Roman"/>
          <w:iCs/>
          <w:sz w:val="21"/>
          <w:szCs w:val="24"/>
          <w:lang w:eastAsia="en-AU"/>
        </w:rPr>
        <w:t xml:space="preserve"> is a key risk in humanitarian response where funds need to be disbursed quickly, sometimes in complex political environments</w:t>
      </w:r>
      <w:r w:rsidR="00A16BDA">
        <w:rPr>
          <w:rFonts w:eastAsia="Times New Roman" w:cs="Times New Roman"/>
          <w:iCs/>
          <w:sz w:val="21"/>
          <w:szCs w:val="24"/>
          <w:lang w:eastAsia="en-AU"/>
        </w:rPr>
        <w:t xml:space="preserve"> where sanctions are in place</w:t>
      </w:r>
      <w:r>
        <w:rPr>
          <w:rFonts w:eastAsia="Times New Roman" w:cs="Times New Roman"/>
          <w:iCs/>
          <w:sz w:val="21"/>
          <w:szCs w:val="24"/>
          <w:lang w:eastAsia="en-AU"/>
        </w:rPr>
        <w:t>. The mitigation measures outlined above will be applied to managing this risk, with additional strategies implemented as needed subject to the specific risk assessment of each response.</w:t>
      </w:r>
    </w:p>
    <w:p w14:paraId="4F6DB7A7" w14:textId="77777777" w:rsidR="001D715F" w:rsidRDefault="001D715F" w:rsidP="0011591E">
      <w:pPr>
        <w:pStyle w:val="ListParagraph"/>
        <w:numPr>
          <w:ilvl w:val="0"/>
          <w:numId w:val="29"/>
        </w:numPr>
        <w:spacing w:before="60" w:line="280" w:lineRule="atLeast"/>
        <w:ind w:left="714" w:hanging="357"/>
        <w:contextualSpacing w:val="0"/>
        <w:rPr>
          <w:rFonts w:eastAsia="Times New Roman" w:cs="Times New Roman"/>
          <w:iCs/>
          <w:sz w:val="21"/>
          <w:szCs w:val="24"/>
          <w:lang w:eastAsia="en-AU"/>
        </w:rPr>
      </w:pPr>
      <w:r>
        <w:rPr>
          <w:rFonts w:eastAsia="Times New Roman" w:cs="Times New Roman"/>
          <w:b/>
          <w:bCs/>
          <w:i/>
          <w:sz w:val="21"/>
          <w:szCs w:val="24"/>
          <w:lang w:eastAsia="en-AU"/>
        </w:rPr>
        <w:t xml:space="preserve">poor performance and performance management </w:t>
      </w:r>
      <w:r>
        <w:rPr>
          <w:rFonts w:eastAsia="Times New Roman" w:cs="Times New Roman"/>
          <w:iCs/>
          <w:sz w:val="21"/>
          <w:szCs w:val="24"/>
          <w:lang w:eastAsia="en-AU"/>
        </w:rPr>
        <w:t xml:space="preserve">as a result of unclear lines of accountability, and/or insufficient DFAT and/or AHPSU resourcing. This risk is being addressed through the development of a summary of internal DFAT roles and responsibilities in early implementation which will be shared with stakeholders at the outset of a response; </w:t>
      </w:r>
      <w:r w:rsidRPr="00BD7893">
        <w:rPr>
          <w:rFonts w:eastAsia="Times New Roman" w:cs="Times New Roman"/>
          <w:iCs/>
          <w:sz w:val="21"/>
          <w:szCs w:val="24"/>
          <w:lang w:eastAsia="en-AU"/>
        </w:rPr>
        <w:t>design and governance processes established for large-scale activations; and more explicit terms of reference for DRCCs. There is also an increase to the AHPSU resourcing for Phase II which will improve capacity for issues identification and supporting DFAT management. It is also mitigated by the Partnership’s inbuilt incentives related to public transparency of individual ANGO performance through evaluation findings and recommendations, and the implications of poor performance for future funding. Performance concerns will be raised through partnership approaches, in line with agreed partnership principles.</w:t>
      </w:r>
    </w:p>
    <w:p w14:paraId="1B2A78E3" w14:textId="37176BF5" w:rsidR="001D715F" w:rsidRPr="00B36002" w:rsidRDefault="001D715F" w:rsidP="0011591E">
      <w:pPr>
        <w:pStyle w:val="ListParagraph"/>
        <w:numPr>
          <w:ilvl w:val="0"/>
          <w:numId w:val="29"/>
        </w:numPr>
        <w:spacing w:before="60" w:line="280" w:lineRule="atLeast"/>
        <w:ind w:left="714" w:hanging="357"/>
        <w:contextualSpacing w:val="0"/>
        <w:rPr>
          <w:rFonts w:eastAsia="Times New Roman" w:cs="Times New Roman"/>
          <w:b/>
          <w:bCs/>
          <w:i/>
          <w:sz w:val="21"/>
          <w:szCs w:val="24"/>
          <w:lang w:eastAsia="en-AU"/>
        </w:rPr>
      </w:pPr>
      <w:r w:rsidRPr="00B36002">
        <w:rPr>
          <w:rFonts w:eastAsia="Times New Roman" w:cs="Times New Roman"/>
          <w:b/>
          <w:bCs/>
          <w:i/>
          <w:sz w:val="21"/>
          <w:szCs w:val="24"/>
          <w:lang w:eastAsia="en-AU"/>
        </w:rPr>
        <w:t xml:space="preserve">Failure to strengthen </w:t>
      </w:r>
      <w:r>
        <w:rPr>
          <w:rFonts w:eastAsia="Times New Roman" w:cs="Times New Roman"/>
          <w:b/>
          <w:bCs/>
          <w:i/>
          <w:sz w:val="21"/>
          <w:szCs w:val="24"/>
          <w:lang w:eastAsia="en-AU"/>
        </w:rPr>
        <w:t xml:space="preserve">GEDSI </w:t>
      </w:r>
      <w:r>
        <w:rPr>
          <w:rFonts w:eastAsia="Times New Roman" w:cs="Times New Roman"/>
          <w:iCs/>
          <w:sz w:val="21"/>
          <w:szCs w:val="24"/>
          <w:lang w:eastAsia="en-AU"/>
        </w:rPr>
        <w:t xml:space="preserve">in Phase II based on lessons learned, due to insufficient consideration of evaluation recommendations, insufficient resourcing, strategies or policies, and weak MEL. This risk is addressed at multiple levels. Recommendations on GEDSI have been addressed in the Phase II design, resulting in an increase in resources for DRCCs and the AHPSU for GEDSI technical advice, </w:t>
      </w:r>
      <w:r w:rsidR="00AD7783">
        <w:rPr>
          <w:rFonts w:eastAsia="Times New Roman" w:cs="Times New Roman"/>
          <w:iCs/>
          <w:sz w:val="21"/>
          <w:szCs w:val="24"/>
          <w:lang w:eastAsia="en-AU"/>
        </w:rPr>
        <w:t>research,</w:t>
      </w:r>
      <w:r>
        <w:rPr>
          <w:rFonts w:eastAsia="Times New Roman" w:cs="Times New Roman"/>
          <w:iCs/>
          <w:sz w:val="21"/>
          <w:szCs w:val="24"/>
          <w:lang w:eastAsia="en-AU"/>
        </w:rPr>
        <w:t xml:space="preserve"> and learning. GEDSI organisations are represented in governance forums. DRCCs will be supported to set and resource GEDSI objectives through the country planning process, including for capacity strengthening of relevant local partners. GEDSI analysis and strategies will continue as key features of all humanitarian </w:t>
      </w:r>
      <w:r w:rsidR="00AD7783">
        <w:rPr>
          <w:rFonts w:eastAsia="Times New Roman" w:cs="Times New Roman"/>
          <w:iCs/>
          <w:sz w:val="21"/>
          <w:szCs w:val="24"/>
          <w:lang w:eastAsia="en-AU"/>
        </w:rPr>
        <w:t>responses and</w:t>
      </w:r>
      <w:r>
        <w:rPr>
          <w:rFonts w:eastAsia="Times New Roman" w:cs="Times New Roman"/>
          <w:iCs/>
          <w:sz w:val="21"/>
          <w:szCs w:val="24"/>
          <w:lang w:eastAsia="en-AU"/>
        </w:rPr>
        <w:t xml:space="preserve"> will be routinely evaluated. The MELF will ensure marginalised groups will be engaged at all stages, including for strengthened accountability. </w:t>
      </w:r>
    </w:p>
    <w:p w14:paraId="5F954A8E" w14:textId="77777777" w:rsidR="001D715F" w:rsidRDefault="001D715F" w:rsidP="0011591E">
      <w:pPr>
        <w:pStyle w:val="ListParagraph"/>
        <w:numPr>
          <w:ilvl w:val="0"/>
          <w:numId w:val="29"/>
        </w:numPr>
        <w:spacing w:before="60" w:line="280" w:lineRule="atLeast"/>
        <w:ind w:left="714" w:hanging="357"/>
        <w:contextualSpacing w:val="0"/>
        <w:rPr>
          <w:rFonts w:eastAsia="Times New Roman" w:cs="Times New Roman"/>
          <w:iCs/>
          <w:sz w:val="21"/>
          <w:szCs w:val="24"/>
          <w:lang w:eastAsia="en-AU"/>
        </w:rPr>
      </w:pPr>
      <w:r>
        <w:rPr>
          <w:rFonts w:eastAsia="Times New Roman" w:cs="Times New Roman"/>
          <w:b/>
          <w:bCs/>
          <w:i/>
          <w:sz w:val="21"/>
          <w:szCs w:val="24"/>
          <w:lang w:eastAsia="en-AU"/>
        </w:rPr>
        <w:t xml:space="preserve">COVID-19 or other </w:t>
      </w:r>
      <w:r w:rsidRPr="001445F6">
        <w:rPr>
          <w:rFonts w:eastAsia="Times New Roman" w:cs="Times New Roman"/>
          <w:b/>
          <w:bCs/>
          <w:i/>
          <w:sz w:val="21"/>
          <w:szCs w:val="24"/>
          <w:lang w:eastAsia="en-AU"/>
        </w:rPr>
        <w:t>major humanitarian crisis</w:t>
      </w:r>
      <w:r>
        <w:rPr>
          <w:rFonts w:eastAsia="Times New Roman" w:cs="Times New Roman"/>
          <w:iCs/>
          <w:sz w:val="21"/>
          <w:szCs w:val="24"/>
          <w:lang w:eastAsia="en-AU"/>
        </w:rPr>
        <w:t xml:space="preserve"> in a country or </w:t>
      </w:r>
      <w:r w:rsidRPr="0074002C">
        <w:rPr>
          <w:rFonts w:eastAsia="Times New Roman" w:cs="Times New Roman"/>
          <w:b/>
          <w:bCs/>
          <w:i/>
          <w:sz w:val="21"/>
          <w:szCs w:val="24"/>
          <w:lang w:eastAsia="en-AU"/>
        </w:rPr>
        <w:t>multiple disasters</w:t>
      </w:r>
      <w:r>
        <w:rPr>
          <w:rFonts w:eastAsia="Times New Roman" w:cs="Times New Roman"/>
          <w:iCs/>
          <w:sz w:val="21"/>
          <w:szCs w:val="24"/>
          <w:lang w:eastAsia="en-AU"/>
        </w:rPr>
        <w:t xml:space="preserve"> in countries in the region which overwhelm or distract the resources and capacity of AHP Partners, including disrupting the ongoing work of </w:t>
      </w:r>
      <w:r w:rsidRPr="003E2C60">
        <w:rPr>
          <w:iCs/>
          <w:sz w:val="21"/>
          <w:szCs w:val="21"/>
        </w:rPr>
        <w:t>preparedness</w:t>
      </w:r>
      <w:r>
        <w:rPr>
          <w:rFonts w:eastAsia="Times New Roman" w:cs="Times New Roman"/>
          <w:iCs/>
          <w:sz w:val="21"/>
          <w:szCs w:val="24"/>
          <w:lang w:eastAsia="en-AU"/>
        </w:rPr>
        <w:t xml:space="preserve"> in Disaster READY.</w:t>
      </w:r>
      <w:r w:rsidRPr="00F8053D">
        <w:t xml:space="preserve"> </w:t>
      </w:r>
      <w:r w:rsidRPr="00F8053D">
        <w:rPr>
          <w:rFonts w:eastAsia="Times New Roman" w:cs="Times New Roman"/>
          <w:iCs/>
          <w:sz w:val="21"/>
          <w:szCs w:val="24"/>
          <w:lang w:eastAsia="en-AU"/>
        </w:rPr>
        <w:t>AHP partners were selected through a competitive selection process based on their capacity, global footprint and local presence which enables response in multiple regions simultaneously</w:t>
      </w:r>
      <w:r>
        <w:rPr>
          <w:rFonts w:eastAsia="Times New Roman" w:cs="Times New Roman"/>
          <w:iCs/>
          <w:sz w:val="21"/>
          <w:szCs w:val="24"/>
          <w:lang w:eastAsia="en-AU"/>
        </w:rPr>
        <w:t xml:space="preserve"> and often without international ‘boots on the ground.’ Partners have also developed effective procedures for response in COVID-restricted contexts, and commitment to localisation and capacity building in Phase II will strengthen in-country leadership. In addition,</w:t>
      </w:r>
      <w:r w:rsidRPr="00F8053D">
        <w:rPr>
          <w:rFonts w:eastAsia="Times New Roman" w:cs="Times New Roman"/>
          <w:iCs/>
          <w:sz w:val="21"/>
          <w:szCs w:val="24"/>
          <w:lang w:eastAsia="en-AU"/>
        </w:rPr>
        <w:t xml:space="preserve"> DFAT has a broad range of mechanisms </w:t>
      </w:r>
      <w:r w:rsidRPr="00F8053D">
        <w:rPr>
          <w:rFonts w:eastAsia="Times New Roman" w:cs="Times New Roman"/>
          <w:iCs/>
          <w:sz w:val="21"/>
          <w:szCs w:val="24"/>
          <w:lang w:eastAsia="en-AU"/>
        </w:rPr>
        <w:lastRenderedPageBreak/>
        <w:t>to respond to major cris</w:t>
      </w:r>
      <w:r>
        <w:rPr>
          <w:rFonts w:eastAsia="Times New Roman" w:cs="Times New Roman"/>
          <w:iCs/>
          <w:sz w:val="21"/>
          <w:szCs w:val="24"/>
          <w:lang w:eastAsia="en-AU"/>
        </w:rPr>
        <w:t>e</w:t>
      </w:r>
      <w:r w:rsidRPr="00F8053D">
        <w:rPr>
          <w:rFonts w:eastAsia="Times New Roman" w:cs="Times New Roman"/>
          <w:iCs/>
          <w:sz w:val="21"/>
          <w:szCs w:val="24"/>
          <w:lang w:eastAsia="en-AU"/>
        </w:rPr>
        <w:t>s</w:t>
      </w:r>
      <w:r>
        <w:rPr>
          <w:rFonts w:eastAsia="Times New Roman" w:cs="Times New Roman"/>
          <w:iCs/>
          <w:sz w:val="21"/>
          <w:szCs w:val="24"/>
          <w:lang w:eastAsia="en-AU"/>
        </w:rPr>
        <w:t xml:space="preserve"> to complement AHP</w:t>
      </w:r>
      <w:r w:rsidRPr="00F8053D">
        <w:rPr>
          <w:rFonts w:eastAsia="Times New Roman" w:cs="Times New Roman"/>
          <w:iCs/>
          <w:sz w:val="21"/>
          <w:szCs w:val="24"/>
          <w:lang w:eastAsia="en-AU"/>
        </w:rPr>
        <w:t>, including working with the ADF,</w:t>
      </w:r>
      <w:r>
        <w:rPr>
          <w:rFonts w:eastAsia="Times New Roman" w:cs="Times New Roman"/>
          <w:iCs/>
          <w:sz w:val="21"/>
          <w:szCs w:val="24"/>
          <w:lang w:eastAsia="en-AU"/>
        </w:rPr>
        <w:t xml:space="preserve"> ARC,</w:t>
      </w:r>
      <w:r w:rsidRPr="00F8053D">
        <w:rPr>
          <w:rFonts w:eastAsia="Times New Roman" w:cs="Times New Roman"/>
          <w:iCs/>
          <w:sz w:val="21"/>
          <w:szCs w:val="24"/>
          <w:lang w:eastAsia="en-AU"/>
        </w:rPr>
        <w:t xml:space="preserve"> UN organisations and partner governments directly. </w:t>
      </w:r>
    </w:p>
    <w:p w14:paraId="4B77712B" w14:textId="37F08324" w:rsidR="0081280B" w:rsidRDefault="0081280B" w:rsidP="0011591E">
      <w:pPr>
        <w:pStyle w:val="ListParagraph"/>
        <w:numPr>
          <w:ilvl w:val="0"/>
          <w:numId w:val="29"/>
        </w:numPr>
        <w:spacing w:before="60" w:line="280" w:lineRule="atLeast"/>
        <w:ind w:left="714" w:hanging="357"/>
        <w:contextualSpacing w:val="0"/>
        <w:rPr>
          <w:rFonts w:eastAsia="Times New Roman" w:cs="Times New Roman"/>
          <w:iCs/>
          <w:sz w:val="21"/>
          <w:szCs w:val="24"/>
          <w:lang w:eastAsia="en-AU"/>
        </w:rPr>
      </w:pPr>
      <w:r w:rsidRPr="001445F6">
        <w:rPr>
          <w:rFonts w:eastAsia="Times New Roman" w:cs="Times New Roman"/>
          <w:b/>
          <w:bCs/>
          <w:i/>
          <w:sz w:val="21"/>
          <w:szCs w:val="24"/>
          <w:lang w:eastAsia="en-AU"/>
        </w:rPr>
        <w:t>fragmentation and lack of efficiency</w:t>
      </w:r>
      <w:r>
        <w:rPr>
          <w:rFonts w:eastAsia="Times New Roman" w:cs="Times New Roman"/>
          <w:iCs/>
          <w:sz w:val="21"/>
          <w:szCs w:val="24"/>
          <w:lang w:eastAsia="en-AU"/>
        </w:rPr>
        <w:t xml:space="preserve"> associated with multiple partners undertaking multiple activities or responses in a partner country or geographic location. </w:t>
      </w:r>
      <w:r w:rsidR="00974F4F">
        <w:rPr>
          <w:rFonts w:eastAsia="Times New Roman" w:cs="Times New Roman"/>
          <w:iCs/>
          <w:sz w:val="21"/>
          <w:szCs w:val="24"/>
          <w:lang w:eastAsia="en-AU"/>
        </w:rPr>
        <w:t>The DRCC in each Disaster READY will mitigate this risk, but similar mechanisms may be required for AHP to improve coordination in other locations</w:t>
      </w:r>
      <w:r w:rsidR="008B3F35">
        <w:rPr>
          <w:rFonts w:eastAsia="Times New Roman" w:cs="Times New Roman"/>
          <w:iCs/>
          <w:sz w:val="21"/>
          <w:szCs w:val="24"/>
          <w:lang w:eastAsia="en-AU"/>
        </w:rPr>
        <w:t xml:space="preserve"> and will be considered on a </w:t>
      </w:r>
      <w:r w:rsidR="00AD7783">
        <w:rPr>
          <w:rFonts w:eastAsia="Times New Roman" w:cs="Times New Roman"/>
          <w:iCs/>
          <w:sz w:val="21"/>
          <w:szCs w:val="24"/>
          <w:lang w:eastAsia="en-AU"/>
        </w:rPr>
        <w:t>case-by-case</w:t>
      </w:r>
      <w:r w:rsidR="008B3F35">
        <w:rPr>
          <w:rFonts w:eastAsia="Times New Roman" w:cs="Times New Roman"/>
          <w:iCs/>
          <w:sz w:val="21"/>
          <w:szCs w:val="24"/>
          <w:lang w:eastAsia="en-AU"/>
        </w:rPr>
        <w:t xml:space="preserve"> basis</w:t>
      </w:r>
      <w:r w:rsidR="00974F4F">
        <w:rPr>
          <w:rFonts w:eastAsia="Times New Roman" w:cs="Times New Roman"/>
          <w:iCs/>
          <w:sz w:val="21"/>
          <w:szCs w:val="24"/>
          <w:lang w:eastAsia="en-AU"/>
        </w:rPr>
        <w:t xml:space="preserve">. In addition, </w:t>
      </w:r>
      <w:r w:rsidR="008B3F35">
        <w:rPr>
          <w:rFonts w:eastAsia="Times New Roman" w:cs="Times New Roman"/>
          <w:iCs/>
          <w:sz w:val="21"/>
          <w:szCs w:val="24"/>
          <w:lang w:eastAsia="en-AU"/>
        </w:rPr>
        <w:t xml:space="preserve">close involvement of DFAT posts, and assessment of partner </w:t>
      </w:r>
      <w:r w:rsidR="00FF2C0C">
        <w:rPr>
          <w:rFonts w:eastAsia="Times New Roman" w:cs="Times New Roman"/>
          <w:iCs/>
          <w:sz w:val="21"/>
          <w:szCs w:val="24"/>
          <w:lang w:eastAsia="en-AU"/>
        </w:rPr>
        <w:t>coordination and involvement in humanitarian coordination mechanisms including the cluster system will remain key in response activations</w:t>
      </w:r>
      <w:r>
        <w:rPr>
          <w:rFonts w:eastAsia="Times New Roman" w:cs="Times New Roman"/>
          <w:iCs/>
          <w:sz w:val="21"/>
          <w:szCs w:val="24"/>
          <w:lang w:eastAsia="en-AU"/>
        </w:rPr>
        <w:t xml:space="preserve">. </w:t>
      </w:r>
    </w:p>
    <w:p w14:paraId="5376F890" w14:textId="68F9D6D7" w:rsidR="0081280B" w:rsidRDefault="00E9602B" w:rsidP="0081280B">
      <w:pPr>
        <w:pStyle w:val="ListParagraph"/>
        <w:numPr>
          <w:ilvl w:val="0"/>
          <w:numId w:val="12"/>
        </w:numPr>
        <w:tabs>
          <w:tab w:val="left" w:pos="0"/>
          <w:tab w:val="left" w:pos="426"/>
        </w:tabs>
        <w:suppressAutoHyphens w:val="0"/>
        <w:spacing w:before="200" w:after="0" w:line="280" w:lineRule="exact"/>
        <w:ind w:left="0" w:firstLine="0"/>
        <w:contextualSpacing w:val="0"/>
        <w:rPr>
          <w:rFonts w:eastAsia="Times New Roman" w:cs="Times New Roman"/>
          <w:iCs/>
          <w:sz w:val="21"/>
          <w:szCs w:val="24"/>
          <w:lang w:eastAsia="en-AU"/>
        </w:rPr>
      </w:pPr>
      <w:r>
        <w:rPr>
          <w:rFonts w:eastAsia="Times New Roman" w:cs="Times New Roman"/>
          <w:iCs/>
          <w:sz w:val="21"/>
          <w:szCs w:val="24"/>
          <w:lang w:eastAsia="en-AU"/>
        </w:rPr>
        <w:t>Responsibility for r</w:t>
      </w:r>
      <w:r w:rsidR="0081280B">
        <w:rPr>
          <w:rFonts w:eastAsia="Times New Roman" w:cs="Times New Roman"/>
          <w:iCs/>
          <w:sz w:val="21"/>
          <w:szCs w:val="24"/>
          <w:lang w:eastAsia="en-AU"/>
        </w:rPr>
        <w:t xml:space="preserve">isk management is shared by AHP Partners. Each Partner (DFAT, AHPSU and ANGOs) is responsible for developing and maintaining their Risk Registers related to the scope of their responsibility and accountability within the program. </w:t>
      </w:r>
    </w:p>
    <w:p w14:paraId="162A827C" w14:textId="0D30B665" w:rsidR="0081280B" w:rsidRPr="003E2C60" w:rsidRDefault="0081280B" w:rsidP="0011591E">
      <w:pPr>
        <w:pStyle w:val="ListParagraph"/>
        <w:numPr>
          <w:ilvl w:val="0"/>
          <w:numId w:val="29"/>
        </w:numPr>
        <w:spacing w:before="60" w:line="280" w:lineRule="atLeast"/>
        <w:ind w:left="714" w:hanging="357"/>
        <w:contextualSpacing w:val="0"/>
        <w:rPr>
          <w:iCs/>
          <w:sz w:val="21"/>
          <w:szCs w:val="21"/>
        </w:rPr>
      </w:pPr>
      <w:r w:rsidRPr="00666C2B">
        <w:rPr>
          <w:rFonts w:eastAsia="Times New Roman" w:cs="Times New Roman"/>
          <w:b/>
          <w:bCs/>
          <w:i/>
          <w:sz w:val="21"/>
          <w:szCs w:val="21"/>
          <w:lang w:eastAsia="en-AU"/>
        </w:rPr>
        <w:t xml:space="preserve">Strategic </w:t>
      </w:r>
      <w:r w:rsidRPr="003E2C60">
        <w:rPr>
          <w:b/>
          <w:bCs/>
          <w:i/>
          <w:sz w:val="21"/>
          <w:szCs w:val="21"/>
        </w:rPr>
        <w:t>and policy risks</w:t>
      </w:r>
      <w:r w:rsidRPr="003E2C60">
        <w:rPr>
          <w:iCs/>
          <w:sz w:val="21"/>
          <w:szCs w:val="21"/>
        </w:rPr>
        <w:t xml:space="preserve"> are the responsibility of DFAT HPD.  This includes engaging in the selection and assessment processes for response activations to ensure that the best placed partners are selected; engaging with Posts to identify priorities and resources available for response; and coordinating the investment with other DFAT bilateral and regional programs to ensure policy coherence and consistency. A risk includes the possibility of strategic drift, whereby AHP is used as a convenient mechanism to deliver a broad range of programs beyond the purpose for which it was established.</w:t>
      </w:r>
    </w:p>
    <w:p w14:paraId="77DC7E2C" w14:textId="77777777" w:rsidR="0081280B" w:rsidRPr="003E2C60" w:rsidRDefault="0081280B" w:rsidP="0011591E">
      <w:pPr>
        <w:pStyle w:val="ListParagraph"/>
        <w:numPr>
          <w:ilvl w:val="0"/>
          <w:numId w:val="29"/>
        </w:numPr>
        <w:spacing w:before="60" w:line="280" w:lineRule="atLeast"/>
        <w:ind w:left="714" w:hanging="357"/>
        <w:contextualSpacing w:val="0"/>
        <w:rPr>
          <w:iCs/>
          <w:sz w:val="21"/>
          <w:szCs w:val="21"/>
        </w:rPr>
      </w:pPr>
      <w:r w:rsidRPr="003E2C60">
        <w:rPr>
          <w:b/>
          <w:bCs/>
          <w:i/>
          <w:sz w:val="21"/>
          <w:szCs w:val="21"/>
        </w:rPr>
        <w:t>Partnership risks</w:t>
      </w:r>
      <w:r w:rsidRPr="003E2C60">
        <w:rPr>
          <w:iCs/>
          <w:sz w:val="21"/>
          <w:szCs w:val="21"/>
        </w:rPr>
        <w:t xml:space="preserve"> are the responsibility of the AHPSU and the Steering Committee (which includes all ANGOs and DFAT).  Effective governance of the partnership will ensure that strategic alignment, program coordination and common approaches are adopted.</w:t>
      </w:r>
    </w:p>
    <w:p w14:paraId="60E167DA" w14:textId="55CB2D92" w:rsidR="0081280B" w:rsidRPr="00D03282" w:rsidRDefault="0081280B" w:rsidP="0011591E">
      <w:pPr>
        <w:pStyle w:val="ListParagraph"/>
        <w:numPr>
          <w:ilvl w:val="0"/>
          <w:numId w:val="29"/>
        </w:numPr>
        <w:spacing w:before="60" w:line="280" w:lineRule="atLeast"/>
        <w:ind w:left="714" w:hanging="357"/>
        <w:contextualSpacing w:val="0"/>
        <w:rPr>
          <w:rFonts w:eastAsia="Times New Roman" w:cs="Times New Roman"/>
          <w:iCs/>
          <w:sz w:val="21"/>
          <w:szCs w:val="24"/>
          <w:lang w:eastAsia="en-AU"/>
        </w:rPr>
        <w:sectPr w:rsidR="0081280B" w:rsidRPr="00D03282" w:rsidSect="008E650B">
          <w:headerReference w:type="default" r:id="rId13"/>
          <w:footerReference w:type="default" r:id="rId14"/>
          <w:headerReference w:type="first" r:id="rId15"/>
          <w:footerReference w:type="first" r:id="rId16"/>
          <w:pgSz w:w="11906" w:h="16838" w:code="9"/>
          <w:pgMar w:top="1440" w:right="1440" w:bottom="1418" w:left="1440" w:header="425" w:footer="493" w:gutter="0"/>
          <w:pgNumType w:start="1"/>
          <w:cols w:space="397"/>
          <w:titlePg/>
          <w:docGrid w:linePitch="360"/>
        </w:sectPr>
      </w:pPr>
      <w:r w:rsidRPr="00D03282">
        <w:rPr>
          <w:b/>
          <w:bCs/>
          <w:i/>
          <w:sz w:val="21"/>
          <w:szCs w:val="21"/>
        </w:rPr>
        <w:t xml:space="preserve">Implementation risks </w:t>
      </w:r>
      <w:r w:rsidRPr="00D03282">
        <w:rPr>
          <w:iCs/>
          <w:sz w:val="21"/>
          <w:szCs w:val="21"/>
        </w:rPr>
        <w:t>are the responsibility of AHP Partners (ANGOs</w:t>
      </w:r>
      <w:r w:rsidR="006558C4">
        <w:rPr>
          <w:iCs/>
          <w:sz w:val="21"/>
          <w:szCs w:val="21"/>
        </w:rPr>
        <w:t>, consortia</w:t>
      </w:r>
      <w:r w:rsidRPr="00D03282">
        <w:rPr>
          <w:iCs/>
          <w:sz w:val="21"/>
          <w:szCs w:val="21"/>
        </w:rPr>
        <w:t xml:space="preserve"> and local Partners).  ANGOs were selected to implement AHP (including Disaster READY) through a competitive grants process. All AHP NGOs have undergone DFAT’s rigorous due diligence assessment and are accredited Australian NGO Cooperation Program agencies. They are required to comply with DFAT policies including Child Protection, PSEAH</w:t>
      </w:r>
      <w:r w:rsidR="00EB679D">
        <w:rPr>
          <w:iCs/>
          <w:sz w:val="21"/>
          <w:szCs w:val="21"/>
        </w:rPr>
        <w:t xml:space="preserve">, </w:t>
      </w:r>
      <w:r w:rsidR="00AD7783">
        <w:rPr>
          <w:iCs/>
          <w:sz w:val="21"/>
          <w:szCs w:val="21"/>
        </w:rPr>
        <w:t>Counterterrorism</w:t>
      </w:r>
      <w:r w:rsidRPr="00D03282">
        <w:rPr>
          <w:iCs/>
          <w:sz w:val="21"/>
          <w:szCs w:val="21"/>
        </w:rPr>
        <w:t xml:space="preserve"> and Fraud policies, and these requirements extend to their</w:t>
      </w:r>
      <w:r w:rsidRPr="00D03282">
        <w:rPr>
          <w:rFonts w:eastAsia="Times New Roman" w:cs="Times New Roman"/>
          <w:iCs/>
          <w:sz w:val="21"/>
          <w:szCs w:val="21"/>
          <w:lang w:eastAsia="en-AU"/>
        </w:rPr>
        <w:t xml:space="preserve"> implementing partners. The AHPSU has established an Administrative Controls Framework through which the Support Unit monitors ANGO compliance with</w:t>
      </w:r>
      <w:r w:rsidR="006F0CE3">
        <w:rPr>
          <w:rFonts w:eastAsia="Times New Roman" w:cs="Times New Roman"/>
          <w:iCs/>
          <w:sz w:val="21"/>
          <w:szCs w:val="21"/>
          <w:lang w:eastAsia="en-AU"/>
        </w:rPr>
        <w:t xml:space="preserve"> fraud, </w:t>
      </w:r>
      <w:r w:rsidR="00AD7783" w:rsidRPr="00D03282">
        <w:rPr>
          <w:rFonts w:eastAsia="Times New Roman" w:cs="Times New Roman"/>
          <w:iCs/>
          <w:sz w:val="21"/>
          <w:szCs w:val="21"/>
          <w:lang w:eastAsia="en-AU"/>
        </w:rPr>
        <w:t>safeguards,</w:t>
      </w:r>
      <w:r w:rsidRPr="00D03282">
        <w:rPr>
          <w:rFonts w:eastAsia="Times New Roman" w:cs="Times New Roman"/>
          <w:iCs/>
          <w:sz w:val="21"/>
          <w:szCs w:val="21"/>
          <w:lang w:eastAsia="en-AU"/>
        </w:rPr>
        <w:t xml:space="preserve"> and due diligence requirements in accordance with its contractual obligations.</w:t>
      </w:r>
    </w:p>
    <w:p w14:paraId="1337EAB5" w14:textId="5A4BA3FD" w:rsidR="00FD07BD" w:rsidRDefault="00C35428" w:rsidP="001D7C61">
      <w:pPr>
        <w:pStyle w:val="Heading1"/>
        <w:rPr>
          <w:rFonts w:ascii="Calibri" w:eastAsia="Times New Roman" w:hAnsi="Calibri" w:cs="Calibri"/>
          <w:b w:val="0"/>
          <w:bCs w:val="0"/>
          <w:color w:val="000000"/>
          <w:lang w:val="en-AU" w:eastAsia="en-AU"/>
        </w:rPr>
      </w:pPr>
      <w:bookmarkStart w:id="93" w:name="_Toc101521668"/>
      <w:r w:rsidRPr="00851A62">
        <w:rPr>
          <w:sz w:val="22"/>
          <w:szCs w:val="22"/>
        </w:rPr>
        <w:lastRenderedPageBreak/>
        <w:t xml:space="preserve">Annex 1: </w:t>
      </w:r>
      <w:r w:rsidR="005674B1">
        <w:rPr>
          <w:sz w:val="22"/>
          <w:szCs w:val="22"/>
        </w:rPr>
        <w:t xml:space="preserve">Australian humanitarian partnership phase II </w:t>
      </w:r>
      <w:r w:rsidRPr="00851A62">
        <w:rPr>
          <w:sz w:val="22"/>
          <w:szCs w:val="22"/>
        </w:rPr>
        <w:t>Program Logic</w:t>
      </w:r>
      <w:bookmarkEnd w:id="93"/>
      <w:r w:rsidRPr="00851A62">
        <w:rPr>
          <w:sz w:val="22"/>
          <w:szCs w:val="22"/>
        </w:rPr>
        <w:t xml:space="preserve"> </w:t>
      </w:r>
    </w:p>
    <w:p w14:paraId="205D936D" w14:textId="6D16D115" w:rsidR="001D7C61" w:rsidRDefault="001D7C61" w:rsidP="00F945EC">
      <w:pPr>
        <w:suppressAutoHyphens w:val="0"/>
        <w:spacing w:before="0" w:after="0" w:line="240" w:lineRule="auto"/>
        <w:rPr>
          <w:rFonts w:ascii="Calibri" w:eastAsia="Times New Roman" w:hAnsi="Calibri" w:cs="Calibri"/>
          <w:b/>
          <w:bCs/>
          <w:color w:val="000000"/>
          <w:lang w:val="en-AU" w:eastAsia="en-AU"/>
        </w:rPr>
        <w:sectPr w:rsidR="001D7C61" w:rsidSect="005C04B0">
          <w:headerReference w:type="default" r:id="rId17"/>
          <w:footerReference w:type="default" r:id="rId18"/>
          <w:headerReference w:type="first" r:id="rId19"/>
          <w:footerReference w:type="first" r:id="rId20"/>
          <w:pgSz w:w="11906" w:h="16838"/>
          <w:pgMar w:top="720" w:right="720" w:bottom="720" w:left="720" w:header="708" w:footer="708" w:gutter="0"/>
          <w:cols w:space="708"/>
          <w:docGrid w:linePitch="360"/>
        </w:sectPr>
      </w:pPr>
      <w:r w:rsidRPr="001D7C61">
        <w:rPr>
          <w:noProof/>
        </w:rPr>
        <w:drawing>
          <wp:inline distT="0" distB="0" distL="0" distR="0" wp14:anchorId="7B9191A4" wp14:editId="7AE1F9CC">
            <wp:extent cx="6153702" cy="8772525"/>
            <wp:effectExtent l="0" t="0" r="0" b="0"/>
            <wp:docPr id="3" name="Picture 3" descr="This diagram illustrates the program logic for the AHP Phase II. &#10;&#10;The goal of the AHP Phase II is: To save lives and alleviate suffering by supporting partner countries, local organisations and communities to prevent, prepare for, respond to and recover from disasters and other humanitarian crises.&#10;&#10;The objective is: To strengthen resilience, stability and equality, particularly in the Indo-Pacific region, by addressing the challenges of disasters, changing climate, conflict and other threats and hazards.&#10;&#10;There are three key components to the Partnership, with associated End of Program (EOPOs) and Intermediate Outcomes (IOs):&#10;&#10;Component and EOPO 1: Disaster READY: Preparedness and Resilience&#10;1.Women, youth, children, people with disabilities and other at-risk groups, are better prepared for and more resilient to disasters and climate change, in selected Pacific countries and Timor-Leste.&#10;Intermediate Outcomes:&#10;1.1Communities (especially at-risk groups) are empowered to plan and implement effective, gender-responsive, socially inclusive and integrated disaster preparedness and adaptation activities.&#10;1.2 Local civil society actors (NGOs, Community Based Organisations (CBOs), Organisations of Persons with Disability (OPDs), churches, informal groups) have improved institutional and technical capacity to fulfil their role in effective disaster preparedness and adaptation.&#10;1.3 National and sub-national governments are supported to lead effective, gender responsive, socially inclusive and better coordinated disaster preparedness, adaptation and response activities.&#10;&#10;Component and EOPO 2: Rapid Onset and Protracted Crisis Response&#10;2. Affected populations, particularly women, people with a disability and other at-risk groups, benefit from timely, high quality and locally led humanitarian assistance that meets priority needs appropriate to the context.&#10;Intermediate Outcomes:&#10;2.1 AHP NGO partners deliver timely, well-coordinated and integrated responses to rapid onset disasters that promote early recovery and resilience to future disaster. &#10;2.2 AHP NGO partners deliver responses to protracted crises with context-specific design and management arrangements that promote sustainability. &#10;2.3 AHP NGO partner responses in Disaster READY countries demonstrate increased local leadership, coordination and capacity.&#10;&#10;Component and EOPO 3: Partnership learning and practice&#10;3. AHP Partners and other humanitarian stakeholders in Australia and the region strengthen policy and practice through collaboration and lessons learnt.&#10;Intermediate Outcomes:&#10;3.1 AHP NGO Partners learn and adapt through reflection, monitoring, evaluation and learning (MEL) and research. &#10;3.2 AHP NGO Partners enhance program quality through joint activity in key cross-cutting areas, including localisation, accountability to affected populations, and GEDSI.&#10;3.3 AHP Partners engage effectively with external stakeholders at country, regional and global levels. &#10;&#10;Phase II will continue to be delivered through the AHP’s three delivery mechanisms:&#10;1. ANGOs and their local partners plan, implement and adapt humanitarian programs in accordance with international humanitarian, DFAT policy and agreed MEL standards.&#10;2. The AHPSU facilitates coordination, communication and learning between DFAT, ANGOs and other stakeholders to promote overall program quality, compliance and collaboration. &#10;3. DFAT HPD leads policy and program engagement with internal and external stakeholders to mobilise resources, ensure policy coherence and represent Australia's inter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diagram illustrates the program logic for the AHP Phase II. &#10;&#10;The goal of the AHP Phase II is: To save lives and alleviate suffering by supporting partner countries, local organisations and communities to prevent, prepare for, respond to and recover from disasters and other humanitarian crises.&#10;&#10;The objective is: To strengthen resilience, stability and equality, particularly in the Indo-Pacific region, by addressing the challenges of disasters, changing climate, conflict and other threats and hazards.&#10;&#10;There are three key components to the Partnership, with associated End of Program (EOPOs) and Intermediate Outcomes (IOs):&#10;&#10;Component and EOPO 1: Disaster READY: Preparedness and Resilience&#10;1.Women, youth, children, people with disabilities and other at-risk groups, are better prepared for and more resilient to disasters and climate change, in selected Pacific countries and Timor-Leste.&#10;Intermediate Outcomes:&#10;1.1Communities (especially at-risk groups) are empowered to plan and implement effective, gender-responsive, socially inclusive and integrated disaster preparedness and adaptation activities.&#10;1.2 Local civil society actors (NGOs, Community Based Organisations (CBOs), Organisations of Persons with Disability (OPDs), churches, informal groups) have improved institutional and technical capacity to fulfil their role in effective disaster preparedness and adaptation.&#10;1.3 National and sub-national governments are supported to lead effective, gender responsive, socially inclusive and better coordinated disaster preparedness, adaptation and response activities.&#10;&#10;Component and EOPO 2: Rapid Onset and Protracted Crisis Response&#10;2. Affected populations, particularly women, people with a disability and other at-risk groups, benefit from timely, high quality and locally led humanitarian assistance that meets priority needs appropriate to the context.&#10;Intermediate Outcomes:&#10;2.1 AHP NGO partners deliver timely, well-coordinated and integrated responses to rapid onset disasters that promote early recovery and resilience to future disaster. &#10;2.2 AHP NGO partners deliver responses to protracted crises with context-specific design and management arrangements that promote sustainability. &#10;2.3 AHP NGO partner responses in Disaster READY countries demonstrate increased local leadership, coordination and capacity.&#10;&#10;Component and EOPO 3: Partnership learning and practice&#10;3. AHP Partners and other humanitarian stakeholders in Australia and the region strengthen policy and practice through collaboration and lessons learnt.&#10;Intermediate Outcomes:&#10;3.1 AHP NGO Partners learn and adapt through reflection, monitoring, evaluation and learning (MEL) and research. &#10;3.2 AHP NGO Partners enhance program quality through joint activity in key cross-cutting areas, including localisation, accountability to affected populations, and GEDSI.&#10;3.3 AHP Partners engage effectively with external stakeholders at country, regional and global levels. &#10;&#10;Phase II will continue to be delivered through the AHP’s three delivery mechanisms:&#10;1. ANGOs and their local partners plan, implement and adapt humanitarian programs in accordance with international humanitarian, DFAT policy and agreed MEL standards.&#10;2. The AHPSU facilitates coordination, communication and learning between DFAT, ANGOs and other stakeholders to promote overall program quality, compliance and collaboration. &#10;3. DFAT HPD leads policy and program engagement with internal and external stakeholders to mobilise resources, ensure policy coherence and represent Australia's interest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63220" cy="8786093"/>
                    </a:xfrm>
                    <a:prstGeom prst="rect">
                      <a:avLst/>
                    </a:prstGeom>
                    <a:noFill/>
                    <a:ln>
                      <a:noFill/>
                    </a:ln>
                  </pic:spPr>
                </pic:pic>
              </a:graphicData>
            </a:graphic>
          </wp:inline>
        </w:drawing>
      </w:r>
    </w:p>
    <w:p w14:paraId="4F5564FF" w14:textId="7201F4CD" w:rsidR="006230CD" w:rsidRDefault="00A239AB" w:rsidP="0058133C">
      <w:pPr>
        <w:pStyle w:val="Heading1"/>
        <w:rPr>
          <w:sz w:val="22"/>
          <w:szCs w:val="22"/>
        </w:rPr>
      </w:pPr>
      <w:bookmarkStart w:id="94" w:name="_Toc101521669"/>
      <w:r w:rsidRPr="00851A62">
        <w:rPr>
          <w:sz w:val="22"/>
          <w:szCs w:val="22"/>
        </w:rPr>
        <w:lastRenderedPageBreak/>
        <w:t xml:space="preserve">Annex 2: </w:t>
      </w:r>
      <w:r w:rsidR="00E16C70">
        <w:rPr>
          <w:sz w:val="22"/>
          <w:szCs w:val="22"/>
        </w:rPr>
        <w:t>ACTIVATION DECISION PATHWAY AND PROCESS</w:t>
      </w:r>
      <w:bookmarkEnd w:id="94"/>
    </w:p>
    <w:p w14:paraId="7D4802A8" w14:textId="6F46B288" w:rsidR="00090EDD" w:rsidRDefault="00E16C70" w:rsidP="0058133C">
      <w:pPr>
        <w:sectPr w:rsidR="00090EDD" w:rsidSect="005C04B0">
          <w:pgSz w:w="11906" w:h="16838"/>
          <w:pgMar w:top="720" w:right="720" w:bottom="720" w:left="720" w:header="708" w:footer="708" w:gutter="0"/>
          <w:cols w:space="708"/>
          <w:docGrid w:linePitch="360"/>
        </w:sectPr>
      </w:pPr>
      <w:r>
        <w:t xml:space="preserve"> </w:t>
      </w:r>
      <w:r w:rsidR="00905B74" w:rsidRPr="00905B74">
        <w:rPr>
          <w:noProof/>
        </w:rPr>
        <w:drawing>
          <wp:inline distT="0" distB="0" distL="0" distR="0" wp14:anchorId="24C3BFD4" wp14:editId="669D1D8B">
            <wp:extent cx="6645910" cy="8471535"/>
            <wp:effectExtent l="0" t="0" r="0" b="5715"/>
            <wp:docPr id="280" name="Picture 280" descr="This diagram shows the indicative process for an AHP activation. The steps differ depending on whether the response is taking place in a Disaster READY country, whether a collaborative or competitive approach is preferred, and whether there is a need for a rapid respon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Picture 280" descr="This diagram shows the indicative process for an AHP activation. The steps differ depending on whether the response is taking place in a Disaster READY country, whether a collaborative or competitive approach is preferred, and whether there is a need for a rapid response.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5910" cy="8471535"/>
                    </a:xfrm>
                    <a:prstGeom prst="rect">
                      <a:avLst/>
                    </a:prstGeom>
                    <a:noFill/>
                    <a:ln>
                      <a:noFill/>
                    </a:ln>
                  </pic:spPr>
                </pic:pic>
              </a:graphicData>
            </a:graphic>
          </wp:inline>
        </w:drawing>
      </w:r>
    </w:p>
    <w:p w14:paraId="4A64CDED" w14:textId="28371AEF" w:rsidR="002D574C" w:rsidRPr="00C75EEA" w:rsidRDefault="00A239AB" w:rsidP="00E93683">
      <w:pPr>
        <w:pStyle w:val="Heading1"/>
      </w:pPr>
      <w:bookmarkStart w:id="95" w:name="_Toc101521670"/>
      <w:r w:rsidRPr="00E93683">
        <w:rPr>
          <w:sz w:val="22"/>
          <w:szCs w:val="22"/>
        </w:rPr>
        <w:lastRenderedPageBreak/>
        <w:t xml:space="preserve">Annex 3: </w:t>
      </w:r>
      <w:r w:rsidR="008E205F">
        <w:rPr>
          <w:sz w:val="22"/>
          <w:szCs w:val="22"/>
        </w:rPr>
        <w:t xml:space="preserve">DRAFT </w:t>
      </w:r>
      <w:r w:rsidRPr="00E93683">
        <w:rPr>
          <w:sz w:val="22"/>
          <w:szCs w:val="22"/>
        </w:rPr>
        <w:t>Localisation Framework</w:t>
      </w:r>
      <w:bookmarkEnd w:id="95"/>
    </w:p>
    <w:p w14:paraId="75371A3F" w14:textId="716F0020" w:rsidR="00FC10E9" w:rsidRPr="00751F46" w:rsidRDefault="00FC10E9" w:rsidP="00E93683">
      <w:pPr>
        <w:rPr>
          <w:b/>
          <w:bCs/>
        </w:rPr>
      </w:pPr>
      <w:r w:rsidRPr="00751F46">
        <w:rPr>
          <w:b/>
          <w:bCs/>
        </w:rPr>
        <w:t>Localisation Framework and Approach</w:t>
      </w:r>
    </w:p>
    <w:p w14:paraId="75160C6E" w14:textId="385ED1A0" w:rsidR="00FC10E9" w:rsidRDefault="00FC10E9" w:rsidP="0058133C">
      <w:pPr>
        <w:rPr>
          <w:sz w:val="21"/>
          <w:szCs w:val="21"/>
        </w:rPr>
      </w:pPr>
      <w:r w:rsidRPr="003E2C60">
        <w:rPr>
          <w:sz w:val="21"/>
          <w:szCs w:val="21"/>
        </w:rPr>
        <w:t xml:space="preserve">AHP will utilise a framework for analysing and assessing the </w:t>
      </w:r>
      <w:r w:rsidR="00AD7783" w:rsidRPr="003E2C60">
        <w:rPr>
          <w:sz w:val="21"/>
          <w:szCs w:val="21"/>
        </w:rPr>
        <w:t>status</w:t>
      </w:r>
      <w:r w:rsidRPr="003E2C60">
        <w:rPr>
          <w:sz w:val="21"/>
          <w:szCs w:val="21"/>
        </w:rPr>
        <w:t xml:space="preserve"> of localisation in contexts in which it operates, particularly in Disaster READY country planning and reporting.</w:t>
      </w:r>
    </w:p>
    <w:p w14:paraId="54C32330" w14:textId="3BF8BF07" w:rsidR="00443EBB" w:rsidRPr="003E2C60" w:rsidRDefault="00443EBB" w:rsidP="0058133C">
      <w:pPr>
        <w:rPr>
          <w:b/>
          <w:bCs/>
          <w:sz w:val="21"/>
          <w:szCs w:val="21"/>
        </w:rPr>
      </w:pPr>
      <w:r>
        <w:rPr>
          <w:sz w:val="21"/>
          <w:szCs w:val="21"/>
        </w:rPr>
        <w:t xml:space="preserve">The following draft Framework is indicative and provides a foundation </w:t>
      </w:r>
      <w:r w:rsidR="0046568C">
        <w:rPr>
          <w:sz w:val="21"/>
          <w:szCs w:val="21"/>
        </w:rPr>
        <w:t>that will be refined and finalised through the Disaster READY country planning process</w:t>
      </w:r>
      <w:r w:rsidR="00176263">
        <w:rPr>
          <w:sz w:val="21"/>
          <w:szCs w:val="21"/>
        </w:rPr>
        <w:t>, along with the development of relevant indicators for inclusion in the MELF</w:t>
      </w:r>
      <w:r w:rsidR="0046568C">
        <w:rPr>
          <w:sz w:val="21"/>
          <w:szCs w:val="21"/>
        </w:rPr>
        <w:t xml:space="preserve">. </w:t>
      </w:r>
    </w:p>
    <w:p w14:paraId="5DF6DF44" w14:textId="2C4FCDF2" w:rsidR="00FC10E9" w:rsidRDefault="00FC10E9" w:rsidP="0058133C">
      <w:pPr>
        <w:rPr>
          <w:b/>
          <w:bCs/>
        </w:rPr>
      </w:pPr>
      <w:r>
        <w:rPr>
          <w:b/>
          <w:bCs/>
        </w:rPr>
        <w:t>The approach to developing and using the framework includes:</w:t>
      </w:r>
    </w:p>
    <w:p w14:paraId="4B76BC82" w14:textId="6E6A1A9E" w:rsidR="00FC10E9" w:rsidRPr="003E2C60" w:rsidRDefault="00FC10E9" w:rsidP="00E93683">
      <w:pPr>
        <w:rPr>
          <w:sz w:val="21"/>
          <w:szCs w:val="21"/>
        </w:rPr>
      </w:pPr>
      <w:r w:rsidRPr="003E2C60">
        <w:rPr>
          <w:sz w:val="21"/>
          <w:szCs w:val="21"/>
        </w:rPr>
        <w:t>Apply a multi-dimensional continuum framework that simplifies GB2.0 commitments with localisation as driving commitment along notional stages</w:t>
      </w:r>
    </w:p>
    <w:p w14:paraId="252AA8B6" w14:textId="55C4C758" w:rsidR="00FC10E9" w:rsidRPr="003E2C60" w:rsidRDefault="00FC10E9" w:rsidP="00E93683">
      <w:pPr>
        <w:rPr>
          <w:sz w:val="21"/>
          <w:szCs w:val="21"/>
        </w:rPr>
      </w:pPr>
      <w:r w:rsidRPr="003E2C60">
        <w:rPr>
          <w:sz w:val="21"/>
          <w:szCs w:val="21"/>
        </w:rPr>
        <w:t>Analyse and understand the country context and stakeholders</w:t>
      </w:r>
    </w:p>
    <w:p w14:paraId="70970DA7" w14:textId="08795CEF" w:rsidR="00FC10E9" w:rsidRPr="003E2C60" w:rsidRDefault="00FC10E9" w:rsidP="00E93683">
      <w:pPr>
        <w:rPr>
          <w:sz w:val="21"/>
          <w:szCs w:val="21"/>
        </w:rPr>
      </w:pPr>
      <w:r w:rsidRPr="003E2C60">
        <w:rPr>
          <w:sz w:val="21"/>
          <w:szCs w:val="21"/>
        </w:rPr>
        <w:t xml:space="preserve">Identify opportunities to progress leadership, decision making and delivery by affected populations and stakeholders at local and national level (including local actors and national governments) </w:t>
      </w:r>
    </w:p>
    <w:p w14:paraId="6DF3C111" w14:textId="5C041CD0" w:rsidR="00FC10E9" w:rsidRPr="003E2C60" w:rsidRDefault="00FC10E9" w:rsidP="00E93683">
      <w:pPr>
        <w:rPr>
          <w:sz w:val="21"/>
          <w:szCs w:val="21"/>
        </w:rPr>
      </w:pPr>
      <w:r w:rsidRPr="003E2C60">
        <w:rPr>
          <w:sz w:val="21"/>
          <w:szCs w:val="21"/>
        </w:rPr>
        <w:t>Develop a country level tailored strategy for progressing along the continuum in the framework.</w:t>
      </w:r>
    </w:p>
    <w:p w14:paraId="3B429DB1" w14:textId="3072FA6F" w:rsidR="00FC10E9" w:rsidRPr="003E2C60" w:rsidRDefault="00FC10E9" w:rsidP="00E93683">
      <w:pPr>
        <w:rPr>
          <w:sz w:val="21"/>
          <w:szCs w:val="21"/>
        </w:rPr>
      </w:pPr>
      <w:r w:rsidRPr="003E2C60">
        <w:rPr>
          <w:sz w:val="21"/>
          <w:szCs w:val="21"/>
        </w:rPr>
        <w:t>Include local actors and stakeholders in review and reflection of progress and aspirations on a regular basis.</w:t>
      </w:r>
    </w:p>
    <w:p w14:paraId="05A8542A" w14:textId="4615496F" w:rsidR="00FC10E9" w:rsidRDefault="00FC10E9" w:rsidP="0058133C">
      <w:pPr>
        <w:rPr>
          <w:b/>
          <w:bCs/>
        </w:rPr>
      </w:pPr>
      <w:r>
        <w:rPr>
          <w:b/>
          <w:bCs/>
        </w:rPr>
        <w:t>Existing definition to inform development of dimensions and framework included:</w:t>
      </w:r>
    </w:p>
    <w:p w14:paraId="25B17FF7" w14:textId="5F52A2C8" w:rsidR="00FC10E9" w:rsidRPr="00415B58" w:rsidRDefault="00FC10E9" w:rsidP="00E93683">
      <w:pPr>
        <w:rPr>
          <w:b/>
          <w:bCs/>
        </w:rPr>
      </w:pPr>
      <w:r w:rsidRPr="00415B58">
        <w:rPr>
          <w:b/>
          <w:bCs/>
        </w:rPr>
        <w:t>Grand Bargain, two enabling priorities:</w:t>
      </w:r>
    </w:p>
    <w:p w14:paraId="2586DCC1" w14:textId="5C44043B" w:rsidR="00FC10E9" w:rsidRPr="003E2C60" w:rsidRDefault="00FC10E9" w:rsidP="00E93683">
      <w:pPr>
        <w:rPr>
          <w:sz w:val="21"/>
          <w:szCs w:val="21"/>
        </w:rPr>
      </w:pPr>
      <w:r w:rsidRPr="003E2C60">
        <w:rPr>
          <w:sz w:val="21"/>
          <w:szCs w:val="21"/>
        </w:rPr>
        <w:t>(i) a critical mass of quality funding is reached that allows an effective and efficient response, ensuring visibility and accountability, (ii) greater support is provided for the leadership, delivery and capacity of local responders and the participation of affected communities in addressing humanitarian need”.</w:t>
      </w:r>
    </w:p>
    <w:p w14:paraId="41CFB087" w14:textId="51C3FF9E" w:rsidR="00FC10E9" w:rsidRPr="00415B58" w:rsidRDefault="00FC10E9" w:rsidP="00E93683">
      <w:pPr>
        <w:rPr>
          <w:b/>
          <w:bCs/>
        </w:rPr>
      </w:pPr>
      <w:r w:rsidRPr="00415B58">
        <w:rPr>
          <w:b/>
          <w:bCs/>
        </w:rPr>
        <w:t>IASC definitions:</w:t>
      </w:r>
    </w:p>
    <w:p w14:paraId="57B411C5" w14:textId="64216BE7" w:rsidR="00FC10E9" w:rsidRPr="003E2C60" w:rsidRDefault="00FC10E9" w:rsidP="00E93683">
      <w:pPr>
        <w:rPr>
          <w:sz w:val="21"/>
          <w:szCs w:val="21"/>
        </w:rPr>
      </w:pPr>
      <w:r w:rsidRPr="003E2C60">
        <w:rPr>
          <w:sz w:val="21"/>
          <w:szCs w:val="21"/>
        </w:rPr>
        <w:t>Local and national non-State actors are “Organisations engaged in relied that are headquartered and operating in their own aid recipient country and which are not affiliated to an international NGO.  Note: “A local actor is not considered to be affiliated merely because it is part of a network, confederation or alliance where it maintains independent fundraising and governance systems”.</w:t>
      </w:r>
    </w:p>
    <w:p w14:paraId="321A8D88" w14:textId="334D94DE" w:rsidR="00FC10E9" w:rsidRPr="00415B58" w:rsidRDefault="00FC10E9" w:rsidP="00E93683">
      <w:pPr>
        <w:rPr>
          <w:b/>
          <w:bCs/>
        </w:rPr>
      </w:pPr>
      <w:r w:rsidRPr="00415B58">
        <w:rPr>
          <w:b/>
          <w:bCs/>
        </w:rPr>
        <w:t>DFAT HPD’s Localisation Policy note:</w:t>
      </w:r>
    </w:p>
    <w:p w14:paraId="3FB46183" w14:textId="5DB17A9D" w:rsidR="00FC10E9" w:rsidRPr="003E2C60" w:rsidRDefault="00FC10E9" w:rsidP="00E93683">
      <w:pPr>
        <w:rPr>
          <w:sz w:val="21"/>
          <w:szCs w:val="21"/>
        </w:rPr>
      </w:pPr>
      <w:r w:rsidRPr="003E2C60">
        <w:rPr>
          <w:sz w:val="21"/>
          <w:szCs w:val="21"/>
        </w:rPr>
        <w:t xml:space="preserve">For Australia, localisation means recognising, </w:t>
      </w:r>
      <w:r w:rsidR="007F7644" w:rsidRPr="003E2C60">
        <w:rPr>
          <w:sz w:val="21"/>
          <w:szCs w:val="21"/>
        </w:rPr>
        <w:t>respecting,</w:t>
      </w:r>
      <w:r w:rsidRPr="003E2C60">
        <w:rPr>
          <w:sz w:val="21"/>
          <w:szCs w:val="21"/>
        </w:rPr>
        <w:t xml:space="preserve"> and strengthening leadership and decision-making by national and local actors in humanitarian action, </w:t>
      </w:r>
      <w:r w:rsidR="007F7644" w:rsidRPr="003E2C60">
        <w:rPr>
          <w:sz w:val="21"/>
          <w:szCs w:val="21"/>
        </w:rPr>
        <w:t>to</w:t>
      </w:r>
      <w:r w:rsidRPr="003E2C60">
        <w:rPr>
          <w:sz w:val="21"/>
          <w:szCs w:val="21"/>
        </w:rPr>
        <w:t xml:space="preserve"> better address the needs of affected populations.</w:t>
      </w:r>
    </w:p>
    <w:p w14:paraId="060DC6E5" w14:textId="7FB6D1D9" w:rsidR="00FC10E9" w:rsidRPr="00415B58" w:rsidRDefault="00FC10E9" w:rsidP="00E93683">
      <w:pPr>
        <w:rPr>
          <w:b/>
          <w:bCs/>
        </w:rPr>
      </w:pPr>
      <w:r w:rsidRPr="00415B58">
        <w:rPr>
          <w:b/>
          <w:bCs/>
        </w:rPr>
        <w:t>DFAT draft internal good practice note:</w:t>
      </w:r>
    </w:p>
    <w:p w14:paraId="5993ECAC" w14:textId="513443FB" w:rsidR="00FC10E9" w:rsidRPr="003E2C60" w:rsidRDefault="00FC10E9" w:rsidP="00E93683">
      <w:pPr>
        <w:rPr>
          <w:sz w:val="21"/>
          <w:szCs w:val="21"/>
        </w:rPr>
      </w:pPr>
      <w:r w:rsidRPr="003E2C60">
        <w:rPr>
          <w:sz w:val="21"/>
          <w:szCs w:val="21"/>
        </w:rPr>
        <w:t>At DFAT localisation in development is understood as a “method to drive more effective development outcomes by improving the agency of affected people and local actors (including partner governments) so that development action is locally informed, locally led and meets the needs of local people.”</w:t>
      </w:r>
    </w:p>
    <w:p w14:paraId="2C91053B" w14:textId="4761DCE5" w:rsidR="00905B74" w:rsidRPr="00415B58" w:rsidRDefault="00905B74" w:rsidP="00905B74">
      <w:pPr>
        <w:rPr>
          <w:b/>
          <w:bCs/>
        </w:rPr>
      </w:pPr>
      <w:r>
        <w:rPr>
          <w:b/>
          <w:bCs/>
        </w:rPr>
        <w:t xml:space="preserve">The </w:t>
      </w:r>
      <w:r w:rsidRPr="00415B58">
        <w:rPr>
          <w:b/>
          <w:bCs/>
        </w:rPr>
        <w:t>Framework</w:t>
      </w:r>
      <w:r>
        <w:rPr>
          <w:b/>
          <w:bCs/>
        </w:rPr>
        <w:t xml:space="preserve"> itself:</w:t>
      </w:r>
    </w:p>
    <w:p w14:paraId="52827862" w14:textId="77777777" w:rsidR="00905B74" w:rsidRPr="003E2C60" w:rsidRDefault="00905B74" w:rsidP="0011591E">
      <w:pPr>
        <w:pStyle w:val="ListParagraph"/>
        <w:numPr>
          <w:ilvl w:val="0"/>
          <w:numId w:val="33"/>
        </w:numPr>
        <w:rPr>
          <w:sz w:val="21"/>
          <w:szCs w:val="21"/>
        </w:rPr>
      </w:pPr>
      <w:r w:rsidRPr="003E2C60">
        <w:rPr>
          <w:sz w:val="21"/>
          <w:szCs w:val="21"/>
        </w:rPr>
        <w:t>recognises that it is a fluid continuum</w:t>
      </w:r>
    </w:p>
    <w:p w14:paraId="72511A2B" w14:textId="77777777" w:rsidR="00905B74" w:rsidRPr="003E2C60" w:rsidRDefault="00905B74" w:rsidP="0011591E">
      <w:pPr>
        <w:pStyle w:val="ListParagraph"/>
        <w:numPr>
          <w:ilvl w:val="0"/>
          <w:numId w:val="33"/>
        </w:numPr>
        <w:rPr>
          <w:sz w:val="21"/>
          <w:szCs w:val="21"/>
        </w:rPr>
      </w:pPr>
      <w:r w:rsidRPr="003E2C60">
        <w:rPr>
          <w:sz w:val="21"/>
          <w:szCs w:val="21"/>
        </w:rPr>
        <w:t>identifies key stages where elements of localisation agenda progress through key features or steps</w:t>
      </w:r>
    </w:p>
    <w:p w14:paraId="2C65EA45" w14:textId="77777777" w:rsidR="00905B74" w:rsidRPr="003E2C60" w:rsidRDefault="00905B74" w:rsidP="0011591E">
      <w:pPr>
        <w:pStyle w:val="ListParagraph"/>
        <w:numPr>
          <w:ilvl w:val="0"/>
          <w:numId w:val="33"/>
        </w:numPr>
        <w:rPr>
          <w:sz w:val="21"/>
          <w:szCs w:val="21"/>
        </w:rPr>
      </w:pPr>
      <w:r w:rsidRPr="003E2C60">
        <w:rPr>
          <w:sz w:val="21"/>
          <w:szCs w:val="21"/>
        </w:rPr>
        <w:t>uses the narrow IASC definition as a starting point for one key dimension of the framework</w:t>
      </w:r>
    </w:p>
    <w:p w14:paraId="5CD91C47" w14:textId="77777777" w:rsidR="00905B74" w:rsidRPr="003E2C60" w:rsidRDefault="00905B74" w:rsidP="0011591E">
      <w:pPr>
        <w:pStyle w:val="ListParagraph"/>
        <w:numPr>
          <w:ilvl w:val="0"/>
          <w:numId w:val="33"/>
        </w:numPr>
        <w:rPr>
          <w:sz w:val="21"/>
          <w:szCs w:val="21"/>
        </w:rPr>
      </w:pPr>
      <w:r w:rsidRPr="003E2C60">
        <w:rPr>
          <w:sz w:val="21"/>
          <w:szCs w:val="21"/>
        </w:rPr>
        <w:t xml:space="preserve">acknowledges the work already undertaken in the Pacific towards this end by PIANGO, HAG and others </w:t>
      </w:r>
    </w:p>
    <w:p w14:paraId="101EA703" w14:textId="05E8D69B" w:rsidR="00905B74" w:rsidRPr="003E2C60" w:rsidRDefault="00905B74" w:rsidP="0011591E">
      <w:pPr>
        <w:pStyle w:val="ListParagraph"/>
        <w:numPr>
          <w:ilvl w:val="0"/>
          <w:numId w:val="33"/>
        </w:numPr>
        <w:rPr>
          <w:sz w:val="21"/>
          <w:szCs w:val="21"/>
        </w:rPr>
      </w:pPr>
      <w:r w:rsidRPr="003E2C60">
        <w:rPr>
          <w:sz w:val="21"/>
          <w:szCs w:val="21"/>
        </w:rPr>
        <w:t xml:space="preserve">includes a second dimension of National government and country capacity, </w:t>
      </w:r>
      <w:r w:rsidR="007F7644" w:rsidRPr="003E2C60">
        <w:rPr>
          <w:sz w:val="21"/>
          <w:szCs w:val="21"/>
        </w:rPr>
        <w:t>coordination,</w:t>
      </w:r>
      <w:r w:rsidRPr="003E2C60">
        <w:rPr>
          <w:sz w:val="21"/>
          <w:szCs w:val="21"/>
        </w:rPr>
        <w:t xml:space="preserve"> and resourcing</w:t>
      </w:r>
    </w:p>
    <w:p w14:paraId="02F9E20E" w14:textId="77777777" w:rsidR="00905B74" w:rsidRDefault="00905B74" w:rsidP="0011591E">
      <w:pPr>
        <w:pStyle w:val="ListParagraph"/>
        <w:numPr>
          <w:ilvl w:val="0"/>
          <w:numId w:val="33"/>
        </w:numPr>
        <w:rPr>
          <w:sz w:val="21"/>
          <w:szCs w:val="21"/>
        </w:rPr>
      </w:pPr>
      <w:r w:rsidRPr="003E2C60">
        <w:rPr>
          <w:sz w:val="21"/>
          <w:szCs w:val="21"/>
        </w:rPr>
        <w:lastRenderedPageBreak/>
        <w:t>the third dimension includes the enabling environment, and the roles and resourcing of external stakeholders</w:t>
      </w:r>
    </w:p>
    <w:p w14:paraId="22FB3429" w14:textId="77777777" w:rsidR="00905B74" w:rsidRPr="00FC10E9" w:rsidRDefault="00905B74" w:rsidP="00905B74">
      <w:pPr>
        <w:rPr>
          <w:b/>
          <w:bCs/>
        </w:rPr>
      </w:pPr>
      <w:r w:rsidRPr="00FC10E9">
        <w:rPr>
          <w:b/>
          <w:bCs/>
        </w:rPr>
        <w:t>AHP Localisation Framework</w:t>
      </w:r>
    </w:p>
    <w:p w14:paraId="1A0CC4EA" w14:textId="069E664F" w:rsidR="00905B74" w:rsidRDefault="00905B74" w:rsidP="00905B74">
      <w:pPr>
        <w:rPr>
          <w:sz w:val="21"/>
          <w:szCs w:val="21"/>
        </w:rPr>
      </w:pPr>
      <w:r w:rsidRPr="003E2C60">
        <w:rPr>
          <w:sz w:val="21"/>
          <w:szCs w:val="21"/>
        </w:rPr>
        <w:t xml:space="preserve">The following </w:t>
      </w:r>
      <w:r w:rsidR="0046568C">
        <w:rPr>
          <w:sz w:val="21"/>
          <w:szCs w:val="21"/>
        </w:rPr>
        <w:t>draft</w:t>
      </w:r>
      <w:r w:rsidRPr="003E2C60">
        <w:rPr>
          <w:sz w:val="21"/>
          <w:szCs w:val="21"/>
        </w:rPr>
        <w:t xml:space="preserve"> matrix provides a series of key markers and indicators that can be used as a tool to map and plot </w:t>
      </w:r>
      <w:r w:rsidR="00673397">
        <w:rPr>
          <w:sz w:val="21"/>
          <w:szCs w:val="21"/>
        </w:rPr>
        <w:t xml:space="preserve">the </w:t>
      </w:r>
      <w:r w:rsidRPr="003E2C60">
        <w:rPr>
          <w:sz w:val="21"/>
          <w:szCs w:val="21"/>
        </w:rPr>
        <w:t xml:space="preserve">localisation </w:t>
      </w:r>
      <w:r w:rsidR="00673397">
        <w:rPr>
          <w:sz w:val="21"/>
          <w:szCs w:val="21"/>
        </w:rPr>
        <w:t xml:space="preserve">continuum </w:t>
      </w:r>
      <w:r w:rsidRPr="003E2C60">
        <w:rPr>
          <w:sz w:val="21"/>
          <w:szCs w:val="21"/>
        </w:rPr>
        <w:t xml:space="preserve">in a particular setting. It is not meant to be prescriptive or </w:t>
      </w:r>
      <w:r w:rsidR="007F7644" w:rsidRPr="003E2C60">
        <w:rPr>
          <w:sz w:val="21"/>
          <w:szCs w:val="21"/>
        </w:rPr>
        <w:t>limiting but</w:t>
      </w:r>
      <w:r w:rsidRPr="003E2C60">
        <w:rPr>
          <w:sz w:val="21"/>
          <w:szCs w:val="21"/>
        </w:rPr>
        <w:t xml:space="preserve"> used as a guide</w:t>
      </w:r>
      <w:r w:rsidR="0046568C">
        <w:rPr>
          <w:sz w:val="21"/>
          <w:szCs w:val="21"/>
        </w:rPr>
        <w:t xml:space="preserve"> and may be further refined in consultation with AHP NGO Partners</w:t>
      </w:r>
      <w:r w:rsidRPr="003E2C60">
        <w:rPr>
          <w:sz w:val="21"/>
          <w:szCs w:val="21"/>
        </w:rPr>
        <w:t xml:space="preserve">. The analysis of localisation in each setting will be unique and context specific, and the strategies for progress </w:t>
      </w:r>
      <w:r w:rsidR="00673397">
        <w:rPr>
          <w:sz w:val="21"/>
          <w:szCs w:val="21"/>
        </w:rPr>
        <w:t>through the stages of the continuum</w:t>
      </w:r>
      <w:r w:rsidRPr="003E2C60">
        <w:rPr>
          <w:sz w:val="21"/>
          <w:szCs w:val="21"/>
        </w:rPr>
        <w:t xml:space="preserve"> will also be tailored to the aspirations and opportunities available to the actors in that setting.  It is likely and to be expected that analysis will show that status and progress is </w:t>
      </w:r>
      <w:r w:rsidR="00673397">
        <w:rPr>
          <w:sz w:val="21"/>
          <w:szCs w:val="21"/>
        </w:rPr>
        <w:t>un</w:t>
      </w:r>
      <w:r w:rsidRPr="003E2C60">
        <w:rPr>
          <w:sz w:val="21"/>
          <w:szCs w:val="21"/>
        </w:rPr>
        <w:t>even across dimensions and stages.</w:t>
      </w:r>
    </w:p>
    <w:p w14:paraId="6E8C3934" w14:textId="77777777" w:rsidR="00673397" w:rsidRDefault="00673397" w:rsidP="00905B74">
      <w:pPr>
        <w:rPr>
          <w:sz w:val="21"/>
          <w:szCs w:val="21"/>
        </w:rPr>
      </w:pPr>
    </w:p>
    <w:p w14:paraId="1B34722B" w14:textId="77777777" w:rsidR="00673397" w:rsidRPr="003E2C60" w:rsidRDefault="00673397" w:rsidP="00905B74">
      <w:pPr>
        <w:rPr>
          <w:sz w:val="21"/>
          <w:szCs w:val="21"/>
        </w:rPr>
      </w:pPr>
    </w:p>
    <w:p w14:paraId="25CD4B6E" w14:textId="2142C9CA" w:rsidR="00090EDD" w:rsidRDefault="00090EDD"/>
    <w:tbl>
      <w:tblPr>
        <w:tblStyle w:val="TableGrid"/>
        <w:tblpPr w:leftFromText="180" w:rightFromText="180" w:vertAnchor="page" w:horzAnchor="margin" w:tblpY="4816"/>
        <w:tblW w:w="0" w:type="auto"/>
        <w:tblLook w:val="04A0" w:firstRow="1" w:lastRow="0" w:firstColumn="1" w:lastColumn="0" w:noHBand="0" w:noVBand="1"/>
        <w:tblDescription w:val="This row depicts a series of arrows pointing from left to right, illustrating that the stages 1-5 described above are a continuum. "/>
      </w:tblPr>
      <w:tblGrid>
        <w:gridCol w:w="1695"/>
        <w:gridCol w:w="7321"/>
      </w:tblGrid>
      <w:tr w:rsidR="00F20D73" w:rsidRPr="00B221B0" w14:paraId="4F68D535" w14:textId="77777777" w:rsidTr="00673397">
        <w:trPr>
          <w:trHeight w:val="255"/>
        </w:trPr>
        <w:tc>
          <w:tcPr>
            <w:tcW w:w="1695" w:type="dxa"/>
          </w:tcPr>
          <w:p w14:paraId="315FB70A" w14:textId="77777777" w:rsidR="00F20D73" w:rsidRDefault="00F20D73" w:rsidP="00673397">
            <w:pPr>
              <w:rPr>
                <w:b/>
                <w:bCs/>
                <w:i/>
                <w:iCs/>
                <w:sz w:val="18"/>
                <w:szCs w:val="18"/>
              </w:rPr>
            </w:pPr>
          </w:p>
        </w:tc>
        <w:tc>
          <w:tcPr>
            <w:tcW w:w="7321" w:type="dxa"/>
          </w:tcPr>
          <w:p w14:paraId="48646AFA" w14:textId="3BCC8D91" w:rsidR="00F20D73" w:rsidRPr="00B221B0" w:rsidRDefault="00F20D73" w:rsidP="00673397">
            <w:pPr>
              <w:rPr>
                <w:b/>
                <w:bCs/>
                <w:i/>
                <w:iCs/>
                <w:sz w:val="18"/>
                <w:szCs w:val="18"/>
              </w:rPr>
            </w:pPr>
            <w:r>
              <w:rPr>
                <w:b/>
                <w:bCs/>
                <w:i/>
                <w:iCs/>
                <w:sz w:val="18"/>
                <w:szCs w:val="18"/>
              </w:rPr>
              <w:t>Questions for analysis to map a country context on the continuum</w:t>
            </w:r>
          </w:p>
        </w:tc>
      </w:tr>
      <w:tr w:rsidR="00F20D73" w:rsidRPr="00021523" w14:paraId="0EC77001" w14:textId="77777777" w:rsidTr="00673397">
        <w:trPr>
          <w:trHeight w:val="2444"/>
        </w:trPr>
        <w:tc>
          <w:tcPr>
            <w:tcW w:w="1695" w:type="dxa"/>
            <w:shd w:val="clear" w:color="auto" w:fill="FFFDEA" w:themeFill="accent4" w:themeFillTint="33"/>
          </w:tcPr>
          <w:p w14:paraId="03BF4652" w14:textId="3EA7983D" w:rsidR="00F20D73" w:rsidRPr="00751F46" w:rsidRDefault="00F20D73" w:rsidP="00673397">
            <w:pPr>
              <w:rPr>
                <w:sz w:val="18"/>
                <w:szCs w:val="18"/>
              </w:rPr>
            </w:pPr>
            <w:r>
              <w:rPr>
                <w:sz w:val="18"/>
                <w:szCs w:val="18"/>
              </w:rPr>
              <w:t>Local Actors</w:t>
            </w:r>
          </w:p>
        </w:tc>
        <w:tc>
          <w:tcPr>
            <w:tcW w:w="7321" w:type="dxa"/>
            <w:shd w:val="clear" w:color="auto" w:fill="FFFDEA" w:themeFill="accent4" w:themeFillTint="33"/>
          </w:tcPr>
          <w:p w14:paraId="3119C8D9" w14:textId="3FFDB96C" w:rsidR="00F20D73" w:rsidRPr="00021523" w:rsidRDefault="00F20D73" w:rsidP="00673397">
            <w:pPr>
              <w:rPr>
                <w:sz w:val="18"/>
                <w:szCs w:val="18"/>
              </w:rPr>
            </w:pPr>
            <w:r w:rsidRPr="00751F46">
              <w:rPr>
                <w:sz w:val="18"/>
                <w:szCs w:val="18"/>
              </w:rPr>
              <w:t>To what extent are there individuals and networks exercising leadership, who represent</w:t>
            </w:r>
            <w:r>
              <w:rPr>
                <w:b/>
                <w:bCs/>
                <w:sz w:val="18"/>
                <w:szCs w:val="18"/>
              </w:rPr>
              <w:t xml:space="preserve"> </w:t>
            </w:r>
            <w:r>
              <w:rPr>
                <w:sz w:val="18"/>
                <w:szCs w:val="18"/>
              </w:rPr>
              <w:t xml:space="preserve">of affected populations (including women and people living with disabilities, other marginalised populations) </w:t>
            </w:r>
            <w:r w:rsidRPr="00751F46">
              <w:rPr>
                <w:sz w:val="18"/>
                <w:szCs w:val="18"/>
              </w:rPr>
              <w:t>with influence</w:t>
            </w:r>
            <w:r>
              <w:rPr>
                <w:sz w:val="18"/>
                <w:szCs w:val="18"/>
              </w:rPr>
              <w:t xml:space="preserve"> in forums of decision making for humanitarian response policy, planning, and delivery?</w:t>
            </w:r>
          </w:p>
          <w:p w14:paraId="453B07CC" w14:textId="766D85B9" w:rsidR="00F20D73" w:rsidRDefault="00F20D73" w:rsidP="00673397">
            <w:pPr>
              <w:rPr>
                <w:sz w:val="18"/>
                <w:szCs w:val="18"/>
              </w:rPr>
            </w:pPr>
            <w:r w:rsidRPr="00751F46">
              <w:rPr>
                <w:sz w:val="18"/>
                <w:szCs w:val="18"/>
              </w:rPr>
              <w:t xml:space="preserve">To what extent are there </w:t>
            </w:r>
            <w:r w:rsidRPr="00021523">
              <w:rPr>
                <w:sz w:val="18"/>
                <w:szCs w:val="18"/>
              </w:rPr>
              <w:t xml:space="preserve">Institutional arrangements </w:t>
            </w:r>
            <w:r>
              <w:rPr>
                <w:sz w:val="18"/>
                <w:szCs w:val="18"/>
              </w:rPr>
              <w:t>for coordination</w:t>
            </w:r>
            <w:r w:rsidRPr="00021523">
              <w:rPr>
                <w:sz w:val="18"/>
                <w:szCs w:val="18"/>
              </w:rPr>
              <w:t xml:space="preserve"> </w:t>
            </w:r>
            <w:r>
              <w:rPr>
                <w:sz w:val="18"/>
                <w:szCs w:val="18"/>
              </w:rPr>
              <w:t>amongst</w:t>
            </w:r>
            <w:r w:rsidRPr="00021523">
              <w:rPr>
                <w:sz w:val="18"/>
                <w:szCs w:val="18"/>
              </w:rPr>
              <w:t xml:space="preserve"> each other, the national Government, and external actors</w:t>
            </w:r>
            <w:r>
              <w:rPr>
                <w:sz w:val="18"/>
                <w:szCs w:val="18"/>
              </w:rPr>
              <w:t>?</w:t>
            </w:r>
          </w:p>
          <w:p w14:paraId="04A6E438" w14:textId="77777777" w:rsidR="00F20D73" w:rsidRPr="00751F46" w:rsidRDefault="00F20D73" w:rsidP="00673397">
            <w:pPr>
              <w:rPr>
                <w:sz w:val="18"/>
                <w:szCs w:val="18"/>
              </w:rPr>
            </w:pPr>
            <w:r w:rsidRPr="00751F46">
              <w:rPr>
                <w:sz w:val="18"/>
                <w:szCs w:val="18"/>
              </w:rPr>
              <w:t>To what extent are there CSOs with the governance and management capability to utilise resources, manage risk and be accountable</w:t>
            </w:r>
            <w:r>
              <w:rPr>
                <w:sz w:val="18"/>
                <w:szCs w:val="18"/>
              </w:rPr>
              <w:t>?</w:t>
            </w:r>
          </w:p>
          <w:p w14:paraId="118DFA49" w14:textId="77777777" w:rsidR="00F20D73" w:rsidRPr="00751F46" w:rsidRDefault="00F20D73" w:rsidP="00673397">
            <w:pPr>
              <w:rPr>
                <w:sz w:val="18"/>
                <w:szCs w:val="18"/>
              </w:rPr>
            </w:pPr>
            <w:r w:rsidRPr="00751F46">
              <w:rPr>
                <w:sz w:val="18"/>
                <w:szCs w:val="18"/>
              </w:rPr>
              <w:t>What is the geographic and population footprint of local actors positioned to enable local communities to be first responders drawing on own resources and capabilities, with external support</w:t>
            </w:r>
            <w:r>
              <w:rPr>
                <w:sz w:val="18"/>
                <w:szCs w:val="18"/>
              </w:rPr>
              <w:t>?</w:t>
            </w:r>
          </w:p>
        </w:tc>
      </w:tr>
      <w:tr w:rsidR="00F20D73" w:rsidRPr="00021523" w14:paraId="06C1EF5E" w14:textId="77777777" w:rsidTr="00673397">
        <w:trPr>
          <w:trHeight w:val="255"/>
        </w:trPr>
        <w:tc>
          <w:tcPr>
            <w:tcW w:w="1695" w:type="dxa"/>
            <w:shd w:val="clear" w:color="auto" w:fill="D5EEE0" w:themeFill="accent5" w:themeFillTint="33"/>
          </w:tcPr>
          <w:p w14:paraId="093ED0C5" w14:textId="45BC88CA" w:rsidR="00F20D73" w:rsidRDefault="00F20D73" w:rsidP="00673397">
            <w:pPr>
              <w:rPr>
                <w:sz w:val="18"/>
                <w:szCs w:val="18"/>
              </w:rPr>
            </w:pPr>
            <w:r>
              <w:rPr>
                <w:sz w:val="18"/>
                <w:szCs w:val="18"/>
              </w:rPr>
              <w:t>National Governments</w:t>
            </w:r>
          </w:p>
        </w:tc>
        <w:tc>
          <w:tcPr>
            <w:tcW w:w="7321" w:type="dxa"/>
            <w:shd w:val="clear" w:color="auto" w:fill="D5EEE0" w:themeFill="accent5" w:themeFillTint="33"/>
          </w:tcPr>
          <w:p w14:paraId="40CD5DD6" w14:textId="5BF96259" w:rsidR="00F20D73" w:rsidRDefault="00F20D73" w:rsidP="00673397">
            <w:pPr>
              <w:rPr>
                <w:sz w:val="18"/>
                <w:szCs w:val="18"/>
              </w:rPr>
            </w:pPr>
            <w:r>
              <w:rPr>
                <w:sz w:val="18"/>
                <w:szCs w:val="18"/>
              </w:rPr>
              <w:t xml:space="preserve">To what extent is there capable and experienced political and public sector </w:t>
            </w:r>
            <w:r w:rsidRPr="00CC504D">
              <w:rPr>
                <w:sz w:val="18"/>
                <w:szCs w:val="18"/>
              </w:rPr>
              <w:t xml:space="preserve">leadership </w:t>
            </w:r>
            <w:r>
              <w:rPr>
                <w:sz w:val="18"/>
                <w:szCs w:val="18"/>
              </w:rPr>
              <w:t>for effective</w:t>
            </w:r>
            <w:r w:rsidRPr="00751F46">
              <w:rPr>
                <w:sz w:val="18"/>
                <w:szCs w:val="18"/>
              </w:rPr>
              <w:t xml:space="preserve"> decision making</w:t>
            </w:r>
            <w:r>
              <w:rPr>
                <w:sz w:val="18"/>
                <w:szCs w:val="18"/>
              </w:rPr>
              <w:t xml:space="preserve"> and resourcing for humanitarian response?</w:t>
            </w:r>
          </w:p>
          <w:p w14:paraId="2195B15D" w14:textId="77777777" w:rsidR="00F20D73" w:rsidRPr="00021523" w:rsidRDefault="00F20D73" w:rsidP="00673397">
            <w:pPr>
              <w:rPr>
                <w:b/>
                <w:bCs/>
                <w:sz w:val="18"/>
                <w:szCs w:val="18"/>
              </w:rPr>
            </w:pPr>
            <w:r>
              <w:rPr>
                <w:sz w:val="18"/>
                <w:szCs w:val="18"/>
              </w:rPr>
              <w:t>To what extent does the policy and regulatory environment support effective government functions and coordination with local actors at national and local levels?</w:t>
            </w:r>
          </w:p>
        </w:tc>
      </w:tr>
      <w:tr w:rsidR="00F20D73" w:rsidRPr="00021523" w14:paraId="0707DEDE" w14:textId="77777777" w:rsidTr="00673397">
        <w:trPr>
          <w:trHeight w:val="2155"/>
        </w:trPr>
        <w:tc>
          <w:tcPr>
            <w:tcW w:w="1695" w:type="dxa"/>
            <w:shd w:val="clear" w:color="auto" w:fill="B4F7FF" w:themeFill="accent6" w:themeFillTint="33"/>
          </w:tcPr>
          <w:p w14:paraId="0E6C2BCD" w14:textId="2F5E65ED" w:rsidR="00F20D73" w:rsidRDefault="00D5136E" w:rsidP="00673397">
            <w:pPr>
              <w:rPr>
                <w:sz w:val="18"/>
                <w:szCs w:val="18"/>
              </w:rPr>
            </w:pPr>
            <w:r>
              <w:rPr>
                <w:sz w:val="18"/>
                <w:szCs w:val="18"/>
              </w:rPr>
              <w:t>Enabling environment</w:t>
            </w:r>
          </w:p>
        </w:tc>
        <w:tc>
          <w:tcPr>
            <w:tcW w:w="7321" w:type="dxa"/>
            <w:shd w:val="clear" w:color="auto" w:fill="B4F7FF" w:themeFill="accent6" w:themeFillTint="33"/>
          </w:tcPr>
          <w:p w14:paraId="382BB1CB" w14:textId="49DBC046" w:rsidR="00F20D73" w:rsidRDefault="00F20D73" w:rsidP="00673397">
            <w:pPr>
              <w:rPr>
                <w:sz w:val="18"/>
                <w:szCs w:val="18"/>
              </w:rPr>
            </w:pPr>
            <w:r>
              <w:rPr>
                <w:sz w:val="18"/>
                <w:szCs w:val="18"/>
              </w:rPr>
              <w:t>To what extent are h</w:t>
            </w:r>
            <w:r w:rsidRPr="00634625">
              <w:rPr>
                <w:sz w:val="18"/>
                <w:szCs w:val="18"/>
              </w:rPr>
              <w:t xml:space="preserve">umanitarian responses </w:t>
            </w:r>
            <w:r w:rsidRPr="00751F46">
              <w:rPr>
                <w:sz w:val="18"/>
                <w:szCs w:val="18"/>
              </w:rPr>
              <w:t>led by external organisations</w:t>
            </w:r>
            <w:r w:rsidRPr="00634625">
              <w:rPr>
                <w:sz w:val="18"/>
                <w:szCs w:val="18"/>
              </w:rPr>
              <w:t xml:space="preserve"> and international personnel, </w:t>
            </w:r>
            <w:r>
              <w:rPr>
                <w:sz w:val="18"/>
                <w:szCs w:val="18"/>
              </w:rPr>
              <w:t>and who undertakes</w:t>
            </w:r>
            <w:r w:rsidRPr="00634625">
              <w:rPr>
                <w:sz w:val="18"/>
                <w:szCs w:val="18"/>
              </w:rPr>
              <w:t xml:space="preserve"> coordination and engagement with National Government and local actors</w:t>
            </w:r>
            <w:r>
              <w:rPr>
                <w:sz w:val="18"/>
                <w:szCs w:val="18"/>
              </w:rPr>
              <w:t>?</w:t>
            </w:r>
          </w:p>
          <w:p w14:paraId="7F508279" w14:textId="77777777" w:rsidR="00F20D73" w:rsidRPr="00751F46" w:rsidRDefault="00F20D73" w:rsidP="00673397">
            <w:pPr>
              <w:rPr>
                <w:sz w:val="18"/>
                <w:szCs w:val="18"/>
              </w:rPr>
            </w:pPr>
            <w:r>
              <w:rPr>
                <w:sz w:val="18"/>
                <w:szCs w:val="18"/>
              </w:rPr>
              <w:t xml:space="preserve">To what extent do Development Partners channel </w:t>
            </w:r>
            <w:r w:rsidRPr="00751F46">
              <w:rPr>
                <w:sz w:val="18"/>
                <w:szCs w:val="18"/>
              </w:rPr>
              <w:t>resources through IOs and INGOS</w:t>
            </w:r>
            <w:r>
              <w:rPr>
                <w:sz w:val="18"/>
                <w:szCs w:val="18"/>
              </w:rPr>
              <w:t>, CSOs and National Governments?</w:t>
            </w:r>
          </w:p>
          <w:p w14:paraId="59D2CCCE" w14:textId="337DC8C2" w:rsidR="00F20D73" w:rsidRPr="00021523" w:rsidRDefault="00F20D73" w:rsidP="00673397">
            <w:pPr>
              <w:rPr>
                <w:b/>
                <w:bCs/>
                <w:sz w:val="18"/>
                <w:szCs w:val="18"/>
              </w:rPr>
            </w:pPr>
            <w:r>
              <w:rPr>
                <w:sz w:val="18"/>
                <w:szCs w:val="18"/>
              </w:rPr>
              <w:t xml:space="preserve">What are the respective roles and comparative advantage of IOs and INGOs and local actors?  </w:t>
            </w:r>
          </w:p>
        </w:tc>
      </w:tr>
    </w:tbl>
    <w:p w14:paraId="1A441EC1" w14:textId="77777777" w:rsidR="00090EDD" w:rsidRDefault="00090EDD" w:rsidP="00E93683"/>
    <w:p w14:paraId="5D5D49FA" w14:textId="77777777" w:rsidR="00090EDD" w:rsidRDefault="00090EDD" w:rsidP="0058133C">
      <w:bookmarkStart w:id="96" w:name="_Hlk87020219"/>
    </w:p>
    <w:p w14:paraId="65AB8839" w14:textId="77777777" w:rsidR="00090EDD" w:rsidRDefault="00090EDD" w:rsidP="0058133C">
      <w:pPr>
        <w:sectPr w:rsidR="00090EDD" w:rsidSect="00090EDD">
          <w:pgSz w:w="11906" w:h="16838"/>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Description w:val="This row depicts a series of arrows pointing from left to right, illustrating that the stages 1-5 described above are a continuum. "/>
      </w:tblPr>
      <w:tblGrid>
        <w:gridCol w:w="1569"/>
        <w:gridCol w:w="2763"/>
        <w:gridCol w:w="2764"/>
        <w:gridCol w:w="2764"/>
        <w:gridCol w:w="2764"/>
        <w:gridCol w:w="2764"/>
      </w:tblGrid>
      <w:tr w:rsidR="00FC10E9" w:rsidRPr="00021523" w14:paraId="3FE3EC73" w14:textId="0A02050F" w:rsidTr="00905B74">
        <w:trPr>
          <w:trHeight w:val="299"/>
        </w:trPr>
        <w:tc>
          <w:tcPr>
            <w:tcW w:w="510" w:type="pct"/>
          </w:tcPr>
          <w:bookmarkEnd w:id="96"/>
          <w:p w14:paraId="2DD9B4E4" w14:textId="163C59E0" w:rsidR="00FC10E9" w:rsidRPr="00021523" w:rsidRDefault="00FC10E9" w:rsidP="00E93683">
            <w:pPr>
              <w:rPr>
                <w:b/>
                <w:bCs/>
                <w:sz w:val="18"/>
                <w:szCs w:val="18"/>
              </w:rPr>
            </w:pPr>
            <w:r>
              <w:rPr>
                <w:b/>
                <w:bCs/>
                <w:sz w:val="18"/>
                <w:szCs w:val="18"/>
              </w:rPr>
              <w:lastRenderedPageBreak/>
              <w:t>Dimension</w:t>
            </w:r>
          </w:p>
        </w:tc>
        <w:tc>
          <w:tcPr>
            <w:tcW w:w="898" w:type="pct"/>
          </w:tcPr>
          <w:p w14:paraId="7A240B1F" w14:textId="325A846A" w:rsidR="00FC10E9" w:rsidRPr="00021523" w:rsidRDefault="00FC10E9" w:rsidP="00E93683">
            <w:pPr>
              <w:rPr>
                <w:b/>
                <w:bCs/>
                <w:sz w:val="18"/>
                <w:szCs w:val="18"/>
              </w:rPr>
            </w:pPr>
            <w:r w:rsidRPr="00021523">
              <w:rPr>
                <w:b/>
                <w:bCs/>
                <w:sz w:val="18"/>
                <w:szCs w:val="18"/>
              </w:rPr>
              <w:t>Stage 1</w:t>
            </w:r>
          </w:p>
        </w:tc>
        <w:tc>
          <w:tcPr>
            <w:tcW w:w="898" w:type="pct"/>
          </w:tcPr>
          <w:p w14:paraId="53CB8CC9" w14:textId="7B4343AD" w:rsidR="00FC10E9" w:rsidRPr="00021523" w:rsidRDefault="00FC10E9" w:rsidP="00E93683">
            <w:pPr>
              <w:rPr>
                <w:b/>
                <w:bCs/>
                <w:sz w:val="18"/>
                <w:szCs w:val="18"/>
              </w:rPr>
            </w:pPr>
            <w:r w:rsidRPr="00021523">
              <w:rPr>
                <w:b/>
                <w:bCs/>
                <w:sz w:val="18"/>
                <w:szCs w:val="18"/>
              </w:rPr>
              <w:t>Stage 2</w:t>
            </w:r>
          </w:p>
        </w:tc>
        <w:tc>
          <w:tcPr>
            <w:tcW w:w="898" w:type="pct"/>
          </w:tcPr>
          <w:p w14:paraId="42E4E3D8" w14:textId="2CFDB497" w:rsidR="00FC10E9" w:rsidRPr="00021523" w:rsidRDefault="00FC10E9" w:rsidP="00E93683">
            <w:pPr>
              <w:rPr>
                <w:b/>
                <w:bCs/>
                <w:sz w:val="18"/>
                <w:szCs w:val="18"/>
              </w:rPr>
            </w:pPr>
            <w:r w:rsidRPr="00021523">
              <w:rPr>
                <w:b/>
                <w:bCs/>
                <w:sz w:val="18"/>
                <w:szCs w:val="18"/>
              </w:rPr>
              <w:t>Stage 3</w:t>
            </w:r>
          </w:p>
        </w:tc>
        <w:tc>
          <w:tcPr>
            <w:tcW w:w="898" w:type="pct"/>
          </w:tcPr>
          <w:p w14:paraId="6205B3BA" w14:textId="27EF87D4" w:rsidR="00FC10E9" w:rsidRPr="00021523" w:rsidRDefault="00FC10E9" w:rsidP="00E93683">
            <w:pPr>
              <w:rPr>
                <w:b/>
                <w:bCs/>
                <w:sz w:val="18"/>
                <w:szCs w:val="18"/>
              </w:rPr>
            </w:pPr>
            <w:r w:rsidRPr="00021523">
              <w:rPr>
                <w:b/>
                <w:bCs/>
                <w:sz w:val="18"/>
                <w:szCs w:val="18"/>
              </w:rPr>
              <w:t>Stage 4</w:t>
            </w:r>
          </w:p>
        </w:tc>
        <w:tc>
          <w:tcPr>
            <w:tcW w:w="898" w:type="pct"/>
          </w:tcPr>
          <w:p w14:paraId="0FCCD3BE" w14:textId="03EF2F9B" w:rsidR="00FC10E9" w:rsidRPr="00021523" w:rsidRDefault="00FC10E9" w:rsidP="00E93683">
            <w:pPr>
              <w:rPr>
                <w:b/>
                <w:bCs/>
                <w:sz w:val="18"/>
                <w:szCs w:val="18"/>
              </w:rPr>
            </w:pPr>
            <w:r w:rsidRPr="00021523">
              <w:rPr>
                <w:b/>
                <w:bCs/>
                <w:sz w:val="18"/>
                <w:szCs w:val="18"/>
              </w:rPr>
              <w:t>Stage 5</w:t>
            </w:r>
          </w:p>
        </w:tc>
      </w:tr>
      <w:tr w:rsidR="000E5C5A" w:rsidRPr="00B221B0" w14:paraId="3C43E551" w14:textId="689EB799" w:rsidTr="003E2C60">
        <w:trPr>
          <w:trHeight w:val="269"/>
        </w:trPr>
        <w:tc>
          <w:tcPr>
            <w:tcW w:w="510" w:type="pct"/>
          </w:tcPr>
          <w:p w14:paraId="42A4A026" w14:textId="3EFB39B4" w:rsidR="00FC10E9" w:rsidRPr="00B221B0" w:rsidRDefault="00FC10E9" w:rsidP="00E93683">
            <w:pPr>
              <w:rPr>
                <w:b/>
                <w:bCs/>
                <w:i/>
                <w:iCs/>
                <w:sz w:val="18"/>
                <w:szCs w:val="18"/>
              </w:rPr>
            </w:pPr>
          </w:p>
        </w:tc>
        <w:tc>
          <w:tcPr>
            <w:tcW w:w="898" w:type="pct"/>
          </w:tcPr>
          <w:p w14:paraId="40A0AA38" w14:textId="54EC3456" w:rsidR="00FC10E9" w:rsidRPr="00B221B0" w:rsidRDefault="00FC10E9" w:rsidP="00E93683">
            <w:pPr>
              <w:rPr>
                <w:b/>
                <w:bCs/>
                <w:i/>
                <w:iCs/>
                <w:sz w:val="18"/>
                <w:szCs w:val="18"/>
              </w:rPr>
            </w:pPr>
            <w:r>
              <w:rPr>
                <w:b/>
                <w:bCs/>
                <w:i/>
                <w:iCs/>
                <w:sz w:val="18"/>
                <w:szCs w:val="18"/>
              </w:rPr>
              <w:t>Latent</w:t>
            </w:r>
          </w:p>
        </w:tc>
        <w:tc>
          <w:tcPr>
            <w:tcW w:w="898" w:type="pct"/>
          </w:tcPr>
          <w:p w14:paraId="6EAF0D11" w14:textId="253027AF" w:rsidR="00FC10E9" w:rsidRPr="00B221B0" w:rsidRDefault="00FC10E9" w:rsidP="00E93683">
            <w:pPr>
              <w:rPr>
                <w:b/>
                <w:bCs/>
                <w:i/>
                <w:iCs/>
                <w:sz w:val="18"/>
                <w:szCs w:val="18"/>
              </w:rPr>
            </w:pPr>
            <w:r>
              <w:rPr>
                <w:b/>
                <w:bCs/>
                <w:i/>
                <w:iCs/>
                <w:sz w:val="18"/>
                <w:szCs w:val="18"/>
              </w:rPr>
              <w:t>Emerging</w:t>
            </w:r>
          </w:p>
        </w:tc>
        <w:tc>
          <w:tcPr>
            <w:tcW w:w="898" w:type="pct"/>
          </w:tcPr>
          <w:p w14:paraId="4C954680" w14:textId="1D4FDEF8" w:rsidR="00FC10E9" w:rsidRPr="00B221B0" w:rsidRDefault="00FC10E9" w:rsidP="00E93683">
            <w:pPr>
              <w:rPr>
                <w:b/>
                <w:bCs/>
                <w:i/>
                <w:iCs/>
                <w:sz w:val="18"/>
                <w:szCs w:val="18"/>
              </w:rPr>
            </w:pPr>
            <w:r>
              <w:rPr>
                <w:b/>
                <w:bCs/>
                <w:i/>
                <w:iCs/>
                <w:sz w:val="18"/>
                <w:szCs w:val="18"/>
              </w:rPr>
              <w:t xml:space="preserve"> Progressing</w:t>
            </w:r>
          </w:p>
        </w:tc>
        <w:tc>
          <w:tcPr>
            <w:tcW w:w="898" w:type="pct"/>
          </w:tcPr>
          <w:p w14:paraId="15BE8A1F" w14:textId="7F72AC2A" w:rsidR="00FC10E9" w:rsidRPr="00B221B0" w:rsidRDefault="00FC10E9" w:rsidP="00E93683">
            <w:pPr>
              <w:rPr>
                <w:b/>
                <w:bCs/>
                <w:i/>
                <w:iCs/>
                <w:sz w:val="18"/>
                <w:szCs w:val="18"/>
              </w:rPr>
            </w:pPr>
            <w:r>
              <w:rPr>
                <w:b/>
                <w:bCs/>
                <w:i/>
                <w:iCs/>
                <w:sz w:val="18"/>
                <w:szCs w:val="18"/>
              </w:rPr>
              <w:t>Advancing</w:t>
            </w:r>
          </w:p>
        </w:tc>
        <w:tc>
          <w:tcPr>
            <w:tcW w:w="898" w:type="pct"/>
          </w:tcPr>
          <w:p w14:paraId="49C59723" w14:textId="3F7E3AB3" w:rsidR="00FC10E9" w:rsidRPr="00B221B0" w:rsidRDefault="00FC10E9" w:rsidP="00E93683">
            <w:pPr>
              <w:rPr>
                <w:b/>
                <w:bCs/>
                <w:i/>
                <w:iCs/>
                <w:sz w:val="18"/>
                <w:szCs w:val="18"/>
              </w:rPr>
            </w:pPr>
            <w:r>
              <w:rPr>
                <w:b/>
                <w:bCs/>
                <w:i/>
                <w:iCs/>
                <w:sz w:val="18"/>
                <w:szCs w:val="18"/>
              </w:rPr>
              <w:t>R</w:t>
            </w:r>
            <w:r w:rsidRPr="00B221B0">
              <w:rPr>
                <w:b/>
                <w:bCs/>
                <w:i/>
                <w:iCs/>
                <w:sz w:val="18"/>
                <w:szCs w:val="18"/>
              </w:rPr>
              <w:t>ealised</w:t>
            </w:r>
          </w:p>
        </w:tc>
      </w:tr>
      <w:tr w:rsidR="00FC10E9" w:rsidRPr="00021523" w14:paraId="5B81E5C1" w14:textId="690A00B4" w:rsidTr="003E2C60">
        <w:trPr>
          <w:trHeight w:val="558"/>
        </w:trPr>
        <w:tc>
          <w:tcPr>
            <w:tcW w:w="510" w:type="pct"/>
            <w:shd w:val="clear" w:color="auto" w:fill="FFFDEA" w:themeFill="accent4" w:themeFillTint="33"/>
          </w:tcPr>
          <w:p w14:paraId="13C138D5" w14:textId="22562FC9" w:rsidR="00FC10E9" w:rsidRPr="00021523" w:rsidRDefault="00FC10E9" w:rsidP="0058133C">
            <w:pPr>
              <w:rPr>
                <w:b/>
                <w:bCs/>
                <w:sz w:val="18"/>
                <w:szCs w:val="18"/>
              </w:rPr>
            </w:pPr>
            <w:r w:rsidRPr="00021523">
              <w:rPr>
                <w:b/>
                <w:bCs/>
                <w:sz w:val="18"/>
                <w:szCs w:val="18"/>
              </w:rPr>
              <w:t xml:space="preserve">Local Actors </w:t>
            </w:r>
          </w:p>
          <w:p w14:paraId="76AE0623" w14:textId="77EBDD9D" w:rsidR="00FC10E9" w:rsidRPr="00021523" w:rsidRDefault="00FC10E9" w:rsidP="0058133C">
            <w:pPr>
              <w:rPr>
                <w:b/>
                <w:bCs/>
                <w:i/>
                <w:iCs/>
                <w:sz w:val="18"/>
                <w:szCs w:val="18"/>
              </w:rPr>
            </w:pPr>
            <w:r w:rsidRPr="00021523">
              <w:rPr>
                <w:b/>
                <w:bCs/>
                <w:sz w:val="18"/>
                <w:szCs w:val="18"/>
              </w:rPr>
              <w:t>(</w:t>
            </w:r>
            <w:r w:rsidR="000E5C5A">
              <w:rPr>
                <w:b/>
                <w:bCs/>
                <w:sz w:val="18"/>
                <w:szCs w:val="18"/>
              </w:rPr>
              <w:t xml:space="preserve">communities, and </w:t>
            </w:r>
            <w:r w:rsidRPr="00021523">
              <w:rPr>
                <w:b/>
                <w:bCs/>
                <w:i/>
                <w:iCs/>
                <w:sz w:val="18"/>
                <w:szCs w:val="18"/>
              </w:rPr>
              <w:t>affected populations, local and national non-State actors)</w:t>
            </w:r>
          </w:p>
          <w:p w14:paraId="0D2E66DA" w14:textId="0D129020" w:rsidR="00FC10E9" w:rsidRPr="00021523" w:rsidRDefault="00FC10E9" w:rsidP="00E93683">
            <w:pPr>
              <w:rPr>
                <w:sz w:val="18"/>
                <w:szCs w:val="18"/>
              </w:rPr>
            </w:pPr>
            <w:r w:rsidRPr="00021523">
              <w:rPr>
                <w:sz w:val="18"/>
                <w:szCs w:val="18"/>
              </w:rPr>
              <w:t>leadership, decision making, capacity, access to resources</w:t>
            </w:r>
          </w:p>
        </w:tc>
        <w:tc>
          <w:tcPr>
            <w:tcW w:w="898" w:type="pct"/>
            <w:shd w:val="clear" w:color="auto" w:fill="FFFDEA" w:themeFill="accent4" w:themeFillTint="33"/>
          </w:tcPr>
          <w:p w14:paraId="482C6FAB" w14:textId="65FD1314" w:rsidR="00FC10E9" w:rsidRPr="00021523" w:rsidRDefault="00FC10E9" w:rsidP="00E93683">
            <w:pPr>
              <w:rPr>
                <w:sz w:val="18"/>
                <w:szCs w:val="18"/>
              </w:rPr>
            </w:pPr>
            <w:r w:rsidRPr="005B5EB0">
              <w:rPr>
                <w:b/>
                <w:bCs/>
                <w:sz w:val="18"/>
                <w:szCs w:val="18"/>
              </w:rPr>
              <w:t>Few</w:t>
            </w:r>
            <w:r>
              <w:rPr>
                <w:sz w:val="18"/>
                <w:szCs w:val="18"/>
              </w:rPr>
              <w:t xml:space="preserve"> </w:t>
            </w:r>
            <w:r w:rsidRPr="00021523">
              <w:rPr>
                <w:sz w:val="18"/>
                <w:szCs w:val="18"/>
              </w:rPr>
              <w:t>individuals</w:t>
            </w:r>
            <w:r>
              <w:rPr>
                <w:sz w:val="18"/>
                <w:szCs w:val="18"/>
              </w:rPr>
              <w:t xml:space="preserve"> exercising leadership, with </w:t>
            </w:r>
            <w:r>
              <w:rPr>
                <w:b/>
                <w:bCs/>
                <w:sz w:val="18"/>
                <w:szCs w:val="18"/>
              </w:rPr>
              <w:t>little</w:t>
            </w:r>
            <w:r w:rsidRPr="005B5EB0">
              <w:rPr>
                <w:b/>
                <w:bCs/>
                <w:sz w:val="18"/>
                <w:szCs w:val="18"/>
              </w:rPr>
              <w:t xml:space="preserve"> representation</w:t>
            </w:r>
            <w:r>
              <w:rPr>
                <w:sz w:val="18"/>
                <w:szCs w:val="18"/>
              </w:rPr>
              <w:t xml:space="preserve"> of affected populations (including women and </w:t>
            </w:r>
            <w:r w:rsidR="009029B3">
              <w:rPr>
                <w:sz w:val="18"/>
                <w:szCs w:val="18"/>
              </w:rPr>
              <w:t>people living with disabilities</w:t>
            </w:r>
            <w:r>
              <w:rPr>
                <w:sz w:val="18"/>
                <w:szCs w:val="18"/>
              </w:rPr>
              <w:t xml:space="preserve">, other marginalised populations) </w:t>
            </w:r>
            <w:r w:rsidRPr="005B5EB0">
              <w:rPr>
                <w:b/>
                <w:bCs/>
                <w:sz w:val="18"/>
                <w:szCs w:val="18"/>
              </w:rPr>
              <w:t xml:space="preserve">with little </w:t>
            </w:r>
            <w:r>
              <w:rPr>
                <w:b/>
                <w:bCs/>
                <w:sz w:val="18"/>
                <w:szCs w:val="18"/>
              </w:rPr>
              <w:t>influence</w:t>
            </w:r>
            <w:r>
              <w:rPr>
                <w:sz w:val="18"/>
                <w:szCs w:val="18"/>
              </w:rPr>
              <w:t xml:space="preserve"> in forums of decision making for humanitarian response policy, </w:t>
            </w:r>
            <w:r w:rsidR="007F7644">
              <w:rPr>
                <w:sz w:val="18"/>
                <w:szCs w:val="18"/>
              </w:rPr>
              <w:t>planning,</w:t>
            </w:r>
            <w:r>
              <w:rPr>
                <w:sz w:val="18"/>
                <w:szCs w:val="18"/>
              </w:rPr>
              <w:t xml:space="preserve"> and delivery</w:t>
            </w:r>
          </w:p>
          <w:p w14:paraId="6BC4CEFB" w14:textId="1557D52D" w:rsidR="00FC10E9" w:rsidRDefault="00FC10E9" w:rsidP="00E93683">
            <w:pPr>
              <w:rPr>
                <w:sz w:val="18"/>
                <w:szCs w:val="18"/>
              </w:rPr>
            </w:pPr>
            <w:r w:rsidRPr="005B5EB0">
              <w:rPr>
                <w:b/>
                <w:bCs/>
                <w:sz w:val="18"/>
                <w:szCs w:val="18"/>
              </w:rPr>
              <w:t>Informal</w:t>
            </w:r>
            <w:r>
              <w:rPr>
                <w:sz w:val="18"/>
                <w:szCs w:val="18"/>
              </w:rPr>
              <w:t xml:space="preserve"> </w:t>
            </w:r>
            <w:r w:rsidRPr="00021523">
              <w:rPr>
                <w:sz w:val="18"/>
                <w:szCs w:val="18"/>
              </w:rPr>
              <w:t xml:space="preserve">Institutional arrangements </w:t>
            </w:r>
            <w:r>
              <w:rPr>
                <w:sz w:val="18"/>
                <w:szCs w:val="18"/>
              </w:rPr>
              <w:t xml:space="preserve">with </w:t>
            </w:r>
            <w:r w:rsidRPr="005B5EB0">
              <w:rPr>
                <w:b/>
                <w:bCs/>
                <w:sz w:val="18"/>
                <w:szCs w:val="18"/>
              </w:rPr>
              <w:t>weak coordination</w:t>
            </w:r>
            <w:r w:rsidRPr="00021523">
              <w:rPr>
                <w:sz w:val="18"/>
                <w:szCs w:val="18"/>
              </w:rPr>
              <w:t xml:space="preserve"> </w:t>
            </w:r>
            <w:r>
              <w:rPr>
                <w:sz w:val="18"/>
                <w:szCs w:val="18"/>
              </w:rPr>
              <w:t>amongst</w:t>
            </w:r>
            <w:r w:rsidRPr="00021523">
              <w:rPr>
                <w:sz w:val="18"/>
                <w:szCs w:val="18"/>
              </w:rPr>
              <w:t xml:space="preserve"> each other, the national </w:t>
            </w:r>
            <w:r w:rsidR="007F7644" w:rsidRPr="00021523">
              <w:rPr>
                <w:sz w:val="18"/>
                <w:szCs w:val="18"/>
              </w:rPr>
              <w:t>Government,</w:t>
            </w:r>
            <w:r w:rsidRPr="00021523">
              <w:rPr>
                <w:sz w:val="18"/>
                <w:szCs w:val="18"/>
              </w:rPr>
              <w:t xml:space="preserve"> and external actors</w:t>
            </w:r>
          </w:p>
          <w:p w14:paraId="7845678B" w14:textId="7FCA9D92" w:rsidR="00FC10E9" w:rsidRDefault="00FC10E9" w:rsidP="00E93683">
            <w:pPr>
              <w:rPr>
                <w:sz w:val="18"/>
                <w:szCs w:val="18"/>
              </w:rPr>
            </w:pPr>
            <w:r w:rsidRPr="00F441D7">
              <w:rPr>
                <w:b/>
                <w:bCs/>
                <w:sz w:val="18"/>
                <w:szCs w:val="18"/>
              </w:rPr>
              <w:t>Few, weak CSOs</w:t>
            </w:r>
            <w:r>
              <w:rPr>
                <w:sz w:val="18"/>
                <w:szCs w:val="18"/>
              </w:rPr>
              <w:t xml:space="preserve"> with </w:t>
            </w:r>
            <w:r w:rsidRPr="00F441D7">
              <w:rPr>
                <w:b/>
                <w:bCs/>
                <w:sz w:val="18"/>
                <w:szCs w:val="18"/>
              </w:rPr>
              <w:t>poor</w:t>
            </w:r>
            <w:r>
              <w:rPr>
                <w:sz w:val="18"/>
                <w:szCs w:val="18"/>
              </w:rPr>
              <w:t xml:space="preserve"> governance and management capability to utilise resources, manage risk and be accountable</w:t>
            </w:r>
          </w:p>
          <w:p w14:paraId="19A24326" w14:textId="73D7EE7A" w:rsidR="00FC10E9" w:rsidRPr="00021523" w:rsidRDefault="00FC10E9" w:rsidP="00E93683">
            <w:pPr>
              <w:rPr>
                <w:sz w:val="18"/>
                <w:szCs w:val="18"/>
              </w:rPr>
            </w:pPr>
            <w:r>
              <w:rPr>
                <w:b/>
                <w:bCs/>
                <w:sz w:val="18"/>
                <w:szCs w:val="18"/>
              </w:rPr>
              <w:t>Ad hoc footprint</w:t>
            </w:r>
            <w:r>
              <w:rPr>
                <w:sz w:val="18"/>
                <w:szCs w:val="18"/>
              </w:rPr>
              <w:t xml:space="preserve"> of local actors </w:t>
            </w:r>
            <w:r>
              <w:rPr>
                <w:b/>
                <w:bCs/>
                <w:sz w:val="18"/>
                <w:szCs w:val="18"/>
              </w:rPr>
              <w:t>poorly</w:t>
            </w:r>
            <w:r w:rsidRPr="00F441D7">
              <w:rPr>
                <w:b/>
                <w:bCs/>
                <w:sz w:val="18"/>
                <w:szCs w:val="18"/>
              </w:rPr>
              <w:t xml:space="preserve"> positioned</w:t>
            </w:r>
            <w:r>
              <w:rPr>
                <w:sz w:val="18"/>
                <w:szCs w:val="18"/>
              </w:rPr>
              <w:t xml:space="preserve"> to enable local communities to be first responders drawing on own resources and capabilities, with external support</w:t>
            </w:r>
          </w:p>
        </w:tc>
        <w:tc>
          <w:tcPr>
            <w:tcW w:w="898" w:type="pct"/>
            <w:shd w:val="clear" w:color="auto" w:fill="FFFDEA" w:themeFill="accent4" w:themeFillTint="33"/>
          </w:tcPr>
          <w:p w14:paraId="00F6C1D4" w14:textId="675B1D13" w:rsidR="00FC10E9" w:rsidRPr="00021523" w:rsidRDefault="00FC10E9" w:rsidP="00E93683">
            <w:pPr>
              <w:rPr>
                <w:sz w:val="18"/>
                <w:szCs w:val="18"/>
              </w:rPr>
            </w:pPr>
            <w:r>
              <w:rPr>
                <w:b/>
                <w:bCs/>
                <w:sz w:val="18"/>
                <w:szCs w:val="18"/>
              </w:rPr>
              <w:t>Some</w:t>
            </w:r>
            <w:r>
              <w:rPr>
                <w:sz w:val="18"/>
                <w:szCs w:val="18"/>
              </w:rPr>
              <w:t xml:space="preserve"> </w:t>
            </w:r>
            <w:r w:rsidRPr="00021523">
              <w:rPr>
                <w:sz w:val="18"/>
                <w:szCs w:val="18"/>
              </w:rPr>
              <w:t>individuals</w:t>
            </w:r>
            <w:r>
              <w:rPr>
                <w:sz w:val="18"/>
                <w:szCs w:val="18"/>
              </w:rPr>
              <w:t xml:space="preserve"> exercising leadership, with </w:t>
            </w:r>
            <w:r w:rsidRPr="005B5EB0">
              <w:rPr>
                <w:b/>
                <w:bCs/>
                <w:sz w:val="18"/>
                <w:szCs w:val="18"/>
              </w:rPr>
              <w:t>some representation</w:t>
            </w:r>
            <w:r>
              <w:rPr>
                <w:sz w:val="18"/>
                <w:szCs w:val="18"/>
              </w:rPr>
              <w:t xml:space="preserve"> of affected populations (including women and </w:t>
            </w:r>
            <w:r w:rsidR="009029B3">
              <w:rPr>
                <w:sz w:val="18"/>
                <w:szCs w:val="18"/>
              </w:rPr>
              <w:t>people living with disabilities</w:t>
            </w:r>
            <w:r>
              <w:rPr>
                <w:sz w:val="18"/>
                <w:szCs w:val="18"/>
              </w:rPr>
              <w:t xml:space="preserve">, other marginalised populations) </w:t>
            </w:r>
            <w:r w:rsidRPr="005B5EB0">
              <w:rPr>
                <w:b/>
                <w:bCs/>
                <w:sz w:val="18"/>
                <w:szCs w:val="18"/>
              </w:rPr>
              <w:t xml:space="preserve">with </w:t>
            </w:r>
            <w:r>
              <w:rPr>
                <w:b/>
                <w:bCs/>
                <w:sz w:val="18"/>
                <w:szCs w:val="18"/>
              </w:rPr>
              <w:t>ad hoc</w:t>
            </w:r>
            <w:r w:rsidRPr="005B5EB0">
              <w:rPr>
                <w:b/>
                <w:bCs/>
                <w:sz w:val="18"/>
                <w:szCs w:val="18"/>
              </w:rPr>
              <w:t xml:space="preserve"> </w:t>
            </w:r>
            <w:r>
              <w:rPr>
                <w:b/>
                <w:bCs/>
                <w:sz w:val="18"/>
                <w:szCs w:val="18"/>
              </w:rPr>
              <w:t>influence</w:t>
            </w:r>
            <w:r>
              <w:rPr>
                <w:sz w:val="18"/>
                <w:szCs w:val="18"/>
              </w:rPr>
              <w:t xml:space="preserve"> in forums of decision making for humanitarian response policy, </w:t>
            </w:r>
            <w:r w:rsidR="007F7644">
              <w:rPr>
                <w:sz w:val="18"/>
                <w:szCs w:val="18"/>
              </w:rPr>
              <w:t>planning,</w:t>
            </w:r>
            <w:r>
              <w:rPr>
                <w:sz w:val="18"/>
                <w:szCs w:val="18"/>
              </w:rPr>
              <w:t xml:space="preserve"> and delivery</w:t>
            </w:r>
          </w:p>
          <w:p w14:paraId="15769E43" w14:textId="0046C445" w:rsidR="00FC10E9" w:rsidRDefault="00FC10E9" w:rsidP="00E93683">
            <w:pPr>
              <w:rPr>
                <w:sz w:val="18"/>
                <w:szCs w:val="18"/>
              </w:rPr>
            </w:pPr>
            <w:r w:rsidRPr="005B5EB0">
              <w:rPr>
                <w:b/>
                <w:bCs/>
                <w:sz w:val="18"/>
                <w:szCs w:val="18"/>
              </w:rPr>
              <w:t>Informal</w:t>
            </w:r>
            <w:r>
              <w:rPr>
                <w:sz w:val="18"/>
                <w:szCs w:val="18"/>
              </w:rPr>
              <w:t xml:space="preserve"> </w:t>
            </w:r>
            <w:r w:rsidRPr="00021523">
              <w:rPr>
                <w:sz w:val="18"/>
                <w:szCs w:val="18"/>
              </w:rPr>
              <w:t xml:space="preserve">Institutional arrangements </w:t>
            </w:r>
            <w:r>
              <w:rPr>
                <w:sz w:val="18"/>
                <w:szCs w:val="18"/>
              </w:rPr>
              <w:t xml:space="preserve">with </w:t>
            </w:r>
            <w:r>
              <w:rPr>
                <w:b/>
                <w:bCs/>
                <w:sz w:val="18"/>
                <w:szCs w:val="18"/>
              </w:rPr>
              <w:t>some</w:t>
            </w:r>
            <w:r w:rsidRPr="005B5EB0">
              <w:rPr>
                <w:b/>
                <w:bCs/>
                <w:sz w:val="18"/>
                <w:szCs w:val="18"/>
              </w:rPr>
              <w:t xml:space="preserve"> coordination</w:t>
            </w:r>
            <w:r w:rsidRPr="00021523">
              <w:rPr>
                <w:sz w:val="18"/>
                <w:szCs w:val="18"/>
              </w:rPr>
              <w:t xml:space="preserve"> </w:t>
            </w:r>
            <w:r>
              <w:rPr>
                <w:sz w:val="18"/>
                <w:szCs w:val="18"/>
              </w:rPr>
              <w:t>amongst</w:t>
            </w:r>
            <w:r w:rsidRPr="00021523">
              <w:rPr>
                <w:sz w:val="18"/>
                <w:szCs w:val="18"/>
              </w:rPr>
              <w:t xml:space="preserve"> each other, the national </w:t>
            </w:r>
            <w:r w:rsidR="007F7644" w:rsidRPr="00021523">
              <w:rPr>
                <w:sz w:val="18"/>
                <w:szCs w:val="18"/>
              </w:rPr>
              <w:t>Government,</w:t>
            </w:r>
            <w:r w:rsidRPr="00021523">
              <w:rPr>
                <w:sz w:val="18"/>
                <w:szCs w:val="18"/>
              </w:rPr>
              <w:t xml:space="preserve"> and external actors</w:t>
            </w:r>
          </w:p>
          <w:p w14:paraId="02A22552" w14:textId="5D457A03" w:rsidR="00FC10E9" w:rsidRDefault="00FC10E9" w:rsidP="00E93683">
            <w:pPr>
              <w:rPr>
                <w:sz w:val="18"/>
                <w:szCs w:val="18"/>
              </w:rPr>
            </w:pPr>
            <w:r>
              <w:rPr>
                <w:b/>
                <w:bCs/>
                <w:sz w:val="18"/>
                <w:szCs w:val="18"/>
              </w:rPr>
              <w:t xml:space="preserve">Disparate group of </w:t>
            </w:r>
            <w:r w:rsidRPr="00F441D7">
              <w:rPr>
                <w:b/>
                <w:bCs/>
                <w:sz w:val="18"/>
                <w:szCs w:val="18"/>
              </w:rPr>
              <w:t>CSOs</w:t>
            </w:r>
            <w:r>
              <w:rPr>
                <w:sz w:val="18"/>
                <w:szCs w:val="18"/>
              </w:rPr>
              <w:t xml:space="preserve"> with </w:t>
            </w:r>
            <w:r>
              <w:rPr>
                <w:b/>
                <w:bCs/>
                <w:sz w:val="18"/>
                <w:szCs w:val="18"/>
              </w:rPr>
              <w:t>variable</w:t>
            </w:r>
            <w:r>
              <w:rPr>
                <w:sz w:val="18"/>
                <w:szCs w:val="18"/>
              </w:rPr>
              <w:t xml:space="preserve"> governance and management capability to utilise resources, manage risk and be accountable</w:t>
            </w:r>
          </w:p>
          <w:p w14:paraId="217E6384" w14:textId="6DAC653B" w:rsidR="00FC10E9" w:rsidRPr="00EB31C7" w:rsidRDefault="00FC10E9" w:rsidP="00E93683">
            <w:pPr>
              <w:rPr>
                <w:sz w:val="18"/>
                <w:szCs w:val="18"/>
              </w:rPr>
            </w:pPr>
            <w:r>
              <w:rPr>
                <w:b/>
                <w:bCs/>
                <w:sz w:val="18"/>
                <w:szCs w:val="18"/>
              </w:rPr>
              <w:t>Localised</w:t>
            </w:r>
            <w:r w:rsidRPr="00EB31C7">
              <w:rPr>
                <w:b/>
                <w:bCs/>
                <w:sz w:val="18"/>
                <w:szCs w:val="18"/>
              </w:rPr>
              <w:t xml:space="preserve"> footprint</w:t>
            </w:r>
            <w:r w:rsidRPr="00EB31C7">
              <w:rPr>
                <w:sz w:val="18"/>
                <w:szCs w:val="18"/>
              </w:rPr>
              <w:t xml:space="preserve"> of local actors </w:t>
            </w:r>
            <w:r>
              <w:rPr>
                <w:b/>
                <w:bCs/>
                <w:sz w:val="18"/>
                <w:szCs w:val="18"/>
              </w:rPr>
              <w:t>variably</w:t>
            </w:r>
            <w:r w:rsidRPr="00EB31C7">
              <w:rPr>
                <w:b/>
                <w:bCs/>
                <w:sz w:val="18"/>
                <w:szCs w:val="18"/>
              </w:rPr>
              <w:t xml:space="preserve"> positioned</w:t>
            </w:r>
            <w:r w:rsidRPr="00EB31C7">
              <w:rPr>
                <w:sz w:val="18"/>
                <w:szCs w:val="18"/>
              </w:rPr>
              <w:t xml:space="preserve"> to enable local communities to be first responders drawing on own resources and capabilities, with external support</w:t>
            </w:r>
          </w:p>
        </w:tc>
        <w:tc>
          <w:tcPr>
            <w:tcW w:w="898" w:type="pct"/>
            <w:shd w:val="clear" w:color="auto" w:fill="FFFDEA" w:themeFill="accent4" w:themeFillTint="33"/>
          </w:tcPr>
          <w:p w14:paraId="08BC7AF0" w14:textId="5510191B" w:rsidR="00FC10E9" w:rsidRPr="00021523" w:rsidRDefault="00FC10E9" w:rsidP="00E93683">
            <w:pPr>
              <w:rPr>
                <w:sz w:val="18"/>
                <w:szCs w:val="18"/>
              </w:rPr>
            </w:pPr>
            <w:r>
              <w:rPr>
                <w:b/>
                <w:bCs/>
                <w:sz w:val="18"/>
                <w:szCs w:val="18"/>
              </w:rPr>
              <w:t>Many</w:t>
            </w:r>
            <w:r>
              <w:rPr>
                <w:sz w:val="18"/>
                <w:szCs w:val="18"/>
              </w:rPr>
              <w:t xml:space="preserve"> </w:t>
            </w:r>
            <w:r w:rsidRPr="00021523">
              <w:rPr>
                <w:sz w:val="18"/>
                <w:szCs w:val="18"/>
              </w:rPr>
              <w:t>individuals</w:t>
            </w:r>
            <w:r>
              <w:rPr>
                <w:sz w:val="18"/>
                <w:szCs w:val="18"/>
              </w:rPr>
              <w:t xml:space="preserve"> exercising leadership, with </w:t>
            </w:r>
            <w:r>
              <w:rPr>
                <w:b/>
                <w:bCs/>
                <w:sz w:val="18"/>
                <w:szCs w:val="18"/>
              </w:rPr>
              <w:t>consistent</w:t>
            </w:r>
            <w:r w:rsidRPr="005B5EB0">
              <w:rPr>
                <w:b/>
                <w:bCs/>
                <w:sz w:val="18"/>
                <w:szCs w:val="18"/>
              </w:rPr>
              <w:t xml:space="preserve"> representation</w:t>
            </w:r>
            <w:r>
              <w:rPr>
                <w:sz w:val="18"/>
                <w:szCs w:val="18"/>
              </w:rPr>
              <w:t xml:space="preserve"> of affected populations (including women and </w:t>
            </w:r>
            <w:r w:rsidR="009029B3">
              <w:rPr>
                <w:sz w:val="18"/>
                <w:szCs w:val="18"/>
              </w:rPr>
              <w:t>people living with disabilities</w:t>
            </w:r>
            <w:r>
              <w:rPr>
                <w:sz w:val="18"/>
                <w:szCs w:val="18"/>
              </w:rPr>
              <w:t xml:space="preserve">, other marginalised populations) </w:t>
            </w:r>
            <w:r>
              <w:rPr>
                <w:b/>
                <w:bCs/>
                <w:sz w:val="18"/>
                <w:szCs w:val="18"/>
              </w:rPr>
              <w:t>with consistent</w:t>
            </w:r>
            <w:r w:rsidRPr="005B5EB0">
              <w:rPr>
                <w:b/>
                <w:bCs/>
                <w:sz w:val="18"/>
                <w:szCs w:val="18"/>
              </w:rPr>
              <w:t xml:space="preserve"> </w:t>
            </w:r>
            <w:r>
              <w:rPr>
                <w:b/>
                <w:bCs/>
                <w:sz w:val="18"/>
                <w:szCs w:val="18"/>
              </w:rPr>
              <w:t>influence</w:t>
            </w:r>
            <w:r>
              <w:rPr>
                <w:sz w:val="18"/>
                <w:szCs w:val="18"/>
              </w:rPr>
              <w:t xml:space="preserve"> in forums of decision making for humanitarian response policy, </w:t>
            </w:r>
            <w:r w:rsidR="007F7644">
              <w:rPr>
                <w:sz w:val="18"/>
                <w:szCs w:val="18"/>
              </w:rPr>
              <w:t>planning,</w:t>
            </w:r>
            <w:r>
              <w:rPr>
                <w:sz w:val="18"/>
                <w:szCs w:val="18"/>
              </w:rPr>
              <w:t xml:space="preserve"> and delivery</w:t>
            </w:r>
          </w:p>
          <w:p w14:paraId="41C50FF5" w14:textId="3A68A265" w:rsidR="00FC10E9" w:rsidRDefault="00FC10E9" w:rsidP="00E93683">
            <w:pPr>
              <w:rPr>
                <w:sz w:val="18"/>
                <w:szCs w:val="18"/>
              </w:rPr>
            </w:pPr>
            <w:r>
              <w:rPr>
                <w:b/>
                <w:bCs/>
                <w:sz w:val="18"/>
                <w:szCs w:val="18"/>
              </w:rPr>
              <w:t>Formal</w:t>
            </w:r>
            <w:r>
              <w:rPr>
                <w:sz w:val="18"/>
                <w:szCs w:val="18"/>
              </w:rPr>
              <w:t xml:space="preserve"> </w:t>
            </w:r>
            <w:r w:rsidRPr="00021523">
              <w:rPr>
                <w:sz w:val="18"/>
                <w:szCs w:val="18"/>
              </w:rPr>
              <w:t xml:space="preserve">Institutional arrangements </w:t>
            </w:r>
            <w:r>
              <w:rPr>
                <w:sz w:val="18"/>
                <w:szCs w:val="18"/>
              </w:rPr>
              <w:t xml:space="preserve">with </w:t>
            </w:r>
            <w:r>
              <w:rPr>
                <w:b/>
                <w:bCs/>
                <w:sz w:val="18"/>
                <w:szCs w:val="18"/>
              </w:rPr>
              <w:t>regular</w:t>
            </w:r>
            <w:r w:rsidRPr="005B5EB0">
              <w:rPr>
                <w:b/>
                <w:bCs/>
                <w:sz w:val="18"/>
                <w:szCs w:val="18"/>
              </w:rPr>
              <w:t xml:space="preserve"> coordination</w:t>
            </w:r>
            <w:r w:rsidRPr="00021523">
              <w:rPr>
                <w:sz w:val="18"/>
                <w:szCs w:val="18"/>
              </w:rPr>
              <w:t xml:space="preserve"> </w:t>
            </w:r>
            <w:r>
              <w:rPr>
                <w:sz w:val="18"/>
                <w:szCs w:val="18"/>
              </w:rPr>
              <w:t>amongst</w:t>
            </w:r>
            <w:r w:rsidRPr="00021523">
              <w:rPr>
                <w:sz w:val="18"/>
                <w:szCs w:val="18"/>
              </w:rPr>
              <w:t xml:space="preserve"> each other, the national </w:t>
            </w:r>
            <w:r w:rsidR="007F7644" w:rsidRPr="00021523">
              <w:rPr>
                <w:sz w:val="18"/>
                <w:szCs w:val="18"/>
              </w:rPr>
              <w:t>Government,</w:t>
            </w:r>
            <w:r w:rsidRPr="00021523">
              <w:rPr>
                <w:sz w:val="18"/>
                <w:szCs w:val="18"/>
              </w:rPr>
              <w:t xml:space="preserve"> and external actors</w:t>
            </w:r>
          </w:p>
          <w:p w14:paraId="40020621" w14:textId="29F33BC3" w:rsidR="00FC10E9" w:rsidRDefault="00FC10E9" w:rsidP="00E93683">
            <w:pPr>
              <w:rPr>
                <w:sz w:val="18"/>
                <w:szCs w:val="18"/>
              </w:rPr>
            </w:pPr>
            <w:r>
              <w:rPr>
                <w:b/>
                <w:bCs/>
                <w:sz w:val="18"/>
                <w:szCs w:val="18"/>
              </w:rPr>
              <w:t>Generally capable</w:t>
            </w:r>
            <w:r w:rsidRPr="00F441D7">
              <w:rPr>
                <w:b/>
                <w:bCs/>
                <w:sz w:val="18"/>
                <w:szCs w:val="18"/>
              </w:rPr>
              <w:t xml:space="preserve"> CSOs</w:t>
            </w:r>
            <w:r>
              <w:rPr>
                <w:sz w:val="18"/>
                <w:szCs w:val="18"/>
              </w:rPr>
              <w:t xml:space="preserve"> with </w:t>
            </w:r>
            <w:r>
              <w:rPr>
                <w:b/>
                <w:bCs/>
                <w:sz w:val="18"/>
                <w:szCs w:val="18"/>
              </w:rPr>
              <w:t>emerging</w:t>
            </w:r>
            <w:r>
              <w:rPr>
                <w:sz w:val="18"/>
                <w:szCs w:val="18"/>
              </w:rPr>
              <w:t xml:space="preserve"> governance and management capability to utilise resources, manage risk and be accountable</w:t>
            </w:r>
          </w:p>
          <w:p w14:paraId="28B1F329" w14:textId="5C96900B" w:rsidR="00FC10E9" w:rsidRPr="00EB31C7" w:rsidRDefault="00FC10E9" w:rsidP="00E93683">
            <w:pPr>
              <w:rPr>
                <w:sz w:val="18"/>
                <w:szCs w:val="18"/>
              </w:rPr>
            </w:pPr>
            <w:r>
              <w:rPr>
                <w:b/>
                <w:bCs/>
                <w:sz w:val="18"/>
                <w:szCs w:val="18"/>
              </w:rPr>
              <w:t>Widespread</w:t>
            </w:r>
            <w:r w:rsidRPr="00EB31C7">
              <w:rPr>
                <w:b/>
                <w:bCs/>
                <w:sz w:val="18"/>
                <w:szCs w:val="18"/>
              </w:rPr>
              <w:t xml:space="preserve"> footprint</w:t>
            </w:r>
            <w:r w:rsidRPr="00EB31C7">
              <w:rPr>
                <w:sz w:val="18"/>
                <w:szCs w:val="18"/>
              </w:rPr>
              <w:t xml:space="preserve"> of local actors </w:t>
            </w:r>
            <w:r>
              <w:rPr>
                <w:b/>
                <w:bCs/>
                <w:sz w:val="18"/>
                <w:szCs w:val="18"/>
              </w:rPr>
              <w:t>variably</w:t>
            </w:r>
            <w:r w:rsidRPr="00EB31C7">
              <w:rPr>
                <w:b/>
                <w:bCs/>
                <w:sz w:val="18"/>
                <w:szCs w:val="18"/>
              </w:rPr>
              <w:t xml:space="preserve"> positioned</w:t>
            </w:r>
            <w:r w:rsidRPr="00EB31C7">
              <w:rPr>
                <w:sz w:val="18"/>
                <w:szCs w:val="18"/>
              </w:rPr>
              <w:t xml:space="preserve"> to enable local communities to be first responders drawing on own resources and capabilities, with external support</w:t>
            </w:r>
          </w:p>
        </w:tc>
        <w:tc>
          <w:tcPr>
            <w:tcW w:w="898" w:type="pct"/>
            <w:shd w:val="clear" w:color="auto" w:fill="FFFDEA" w:themeFill="accent4" w:themeFillTint="33"/>
          </w:tcPr>
          <w:p w14:paraId="4DCA3732" w14:textId="44E6C969" w:rsidR="00FC10E9" w:rsidRPr="00021523" w:rsidRDefault="00FC10E9" w:rsidP="00E93683">
            <w:pPr>
              <w:rPr>
                <w:sz w:val="18"/>
                <w:szCs w:val="18"/>
              </w:rPr>
            </w:pPr>
            <w:r>
              <w:rPr>
                <w:b/>
                <w:bCs/>
                <w:sz w:val="18"/>
                <w:szCs w:val="18"/>
              </w:rPr>
              <w:t>Groups of</w:t>
            </w:r>
            <w:r>
              <w:rPr>
                <w:sz w:val="18"/>
                <w:szCs w:val="18"/>
              </w:rPr>
              <w:t xml:space="preserve"> </w:t>
            </w:r>
            <w:r w:rsidRPr="00021523">
              <w:rPr>
                <w:sz w:val="18"/>
                <w:szCs w:val="18"/>
              </w:rPr>
              <w:t>individuals</w:t>
            </w:r>
            <w:r>
              <w:rPr>
                <w:sz w:val="18"/>
                <w:szCs w:val="18"/>
              </w:rPr>
              <w:t xml:space="preserve"> exercising leadership, with </w:t>
            </w:r>
            <w:r w:rsidRPr="005B5EB0">
              <w:rPr>
                <w:b/>
                <w:bCs/>
                <w:sz w:val="18"/>
                <w:szCs w:val="18"/>
              </w:rPr>
              <w:t>representation</w:t>
            </w:r>
            <w:r>
              <w:rPr>
                <w:sz w:val="18"/>
                <w:szCs w:val="18"/>
              </w:rPr>
              <w:t xml:space="preserve"> of affected populations (including women and </w:t>
            </w:r>
            <w:r w:rsidR="009029B3">
              <w:rPr>
                <w:sz w:val="18"/>
                <w:szCs w:val="18"/>
              </w:rPr>
              <w:t>people living with disabilities</w:t>
            </w:r>
            <w:r>
              <w:rPr>
                <w:sz w:val="18"/>
                <w:szCs w:val="18"/>
              </w:rPr>
              <w:t xml:space="preserve">, other marginalised populations) </w:t>
            </w:r>
            <w:r w:rsidRPr="005B5EB0">
              <w:rPr>
                <w:b/>
                <w:bCs/>
                <w:sz w:val="18"/>
                <w:szCs w:val="18"/>
              </w:rPr>
              <w:t xml:space="preserve">with </w:t>
            </w:r>
            <w:r>
              <w:rPr>
                <w:b/>
                <w:bCs/>
                <w:sz w:val="18"/>
                <w:szCs w:val="18"/>
              </w:rPr>
              <w:t>influence</w:t>
            </w:r>
            <w:r>
              <w:rPr>
                <w:sz w:val="18"/>
                <w:szCs w:val="18"/>
              </w:rPr>
              <w:t xml:space="preserve"> in forums of decision making for humanitarian response policy, </w:t>
            </w:r>
            <w:r w:rsidR="007F7644">
              <w:rPr>
                <w:sz w:val="18"/>
                <w:szCs w:val="18"/>
              </w:rPr>
              <w:t>planning,</w:t>
            </w:r>
            <w:r>
              <w:rPr>
                <w:sz w:val="18"/>
                <w:szCs w:val="18"/>
              </w:rPr>
              <w:t xml:space="preserve"> and delivery</w:t>
            </w:r>
          </w:p>
          <w:p w14:paraId="61B4680E" w14:textId="65FF0DF9" w:rsidR="00FC10E9" w:rsidRDefault="00FC10E9" w:rsidP="00E93683">
            <w:pPr>
              <w:rPr>
                <w:sz w:val="18"/>
                <w:szCs w:val="18"/>
              </w:rPr>
            </w:pPr>
            <w:r>
              <w:rPr>
                <w:b/>
                <w:bCs/>
                <w:sz w:val="18"/>
                <w:szCs w:val="18"/>
              </w:rPr>
              <w:t>Formal</w:t>
            </w:r>
            <w:r>
              <w:rPr>
                <w:sz w:val="18"/>
                <w:szCs w:val="18"/>
              </w:rPr>
              <w:t xml:space="preserve"> </w:t>
            </w:r>
            <w:r w:rsidRPr="00021523">
              <w:rPr>
                <w:sz w:val="18"/>
                <w:szCs w:val="18"/>
              </w:rPr>
              <w:t xml:space="preserve">Institutional arrangements </w:t>
            </w:r>
            <w:r>
              <w:rPr>
                <w:sz w:val="18"/>
                <w:szCs w:val="18"/>
              </w:rPr>
              <w:t xml:space="preserve">with </w:t>
            </w:r>
            <w:r>
              <w:rPr>
                <w:b/>
                <w:bCs/>
                <w:sz w:val="18"/>
                <w:szCs w:val="18"/>
              </w:rPr>
              <w:t>consistent</w:t>
            </w:r>
            <w:r w:rsidRPr="005B5EB0">
              <w:rPr>
                <w:b/>
                <w:bCs/>
                <w:sz w:val="18"/>
                <w:szCs w:val="18"/>
              </w:rPr>
              <w:t xml:space="preserve"> coordination</w:t>
            </w:r>
            <w:r w:rsidRPr="00021523">
              <w:rPr>
                <w:sz w:val="18"/>
                <w:szCs w:val="18"/>
              </w:rPr>
              <w:t xml:space="preserve"> </w:t>
            </w:r>
            <w:r>
              <w:rPr>
                <w:sz w:val="18"/>
                <w:szCs w:val="18"/>
              </w:rPr>
              <w:t>amongst</w:t>
            </w:r>
            <w:r w:rsidRPr="00021523">
              <w:rPr>
                <w:sz w:val="18"/>
                <w:szCs w:val="18"/>
              </w:rPr>
              <w:t xml:space="preserve"> each other, the national </w:t>
            </w:r>
            <w:r w:rsidR="007F7644" w:rsidRPr="00021523">
              <w:rPr>
                <w:sz w:val="18"/>
                <w:szCs w:val="18"/>
              </w:rPr>
              <w:t>Government,</w:t>
            </w:r>
            <w:r w:rsidRPr="00021523">
              <w:rPr>
                <w:sz w:val="18"/>
                <w:szCs w:val="18"/>
              </w:rPr>
              <w:t xml:space="preserve"> and external actors</w:t>
            </w:r>
          </w:p>
          <w:p w14:paraId="6108DAB1" w14:textId="34A3449F" w:rsidR="00FC10E9" w:rsidRDefault="00FC10E9" w:rsidP="00E93683">
            <w:pPr>
              <w:rPr>
                <w:sz w:val="18"/>
                <w:szCs w:val="18"/>
              </w:rPr>
            </w:pPr>
            <w:r>
              <w:rPr>
                <w:b/>
                <w:bCs/>
                <w:sz w:val="18"/>
                <w:szCs w:val="18"/>
              </w:rPr>
              <w:t>Moderately strong and diverse group of</w:t>
            </w:r>
            <w:r w:rsidRPr="00F441D7">
              <w:rPr>
                <w:b/>
                <w:bCs/>
                <w:sz w:val="18"/>
                <w:szCs w:val="18"/>
              </w:rPr>
              <w:t xml:space="preserve"> CSOs</w:t>
            </w:r>
            <w:r>
              <w:rPr>
                <w:sz w:val="18"/>
                <w:szCs w:val="18"/>
              </w:rPr>
              <w:t xml:space="preserve"> with </w:t>
            </w:r>
            <w:r>
              <w:rPr>
                <w:b/>
                <w:bCs/>
                <w:sz w:val="18"/>
                <w:szCs w:val="18"/>
              </w:rPr>
              <w:t>consistent</w:t>
            </w:r>
            <w:r>
              <w:rPr>
                <w:sz w:val="18"/>
                <w:szCs w:val="18"/>
              </w:rPr>
              <w:t xml:space="preserve"> governance and management capability to utilise resources, manage risk and be accountable</w:t>
            </w:r>
          </w:p>
          <w:p w14:paraId="2BBAB0F0" w14:textId="7DBEFE3B" w:rsidR="00FC10E9" w:rsidRDefault="00FC10E9" w:rsidP="00E93683">
            <w:pPr>
              <w:rPr>
                <w:sz w:val="18"/>
                <w:szCs w:val="18"/>
              </w:rPr>
            </w:pPr>
            <w:r>
              <w:rPr>
                <w:b/>
                <w:bCs/>
                <w:sz w:val="18"/>
                <w:szCs w:val="18"/>
              </w:rPr>
              <w:t>Widespread</w:t>
            </w:r>
            <w:r w:rsidRPr="00EB31C7">
              <w:rPr>
                <w:b/>
                <w:bCs/>
                <w:sz w:val="18"/>
                <w:szCs w:val="18"/>
              </w:rPr>
              <w:t xml:space="preserve"> footprint</w:t>
            </w:r>
            <w:r w:rsidRPr="00EB31C7">
              <w:rPr>
                <w:sz w:val="18"/>
                <w:szCs w:val="18"/>
              </w:rPr>
              <w:t xml:space="preserve"> of local actors </w:t>
            </w:r>
            <w:r>
              <w:rPr>
                <w:b/>
                <w:bCs/>
                <w:sz w:val="18"/>
                <w:szCs w:val="18"/>
              </w:rPr>
              <w:t>well</w:t>
            </w:r>
            <w:r w:rsidRPr="00EB31C7">
              <w:rPr>
                <w:b/>
                <w:bCs/>
                <w:sz w:val="18"/>
                <w:szCs w:val="18"/>
              </w:rPr>
              <w:t xml:space="preserve"> positioned</w:t>
            </w:r>
            <w:r w:rsidRPr="00EB31C7">
              <w:rPr>
                <w:sz w:val="18"/>
                <w:szCs w:val="18"/>
              </w:rPr>
              <w:t xml:space="preserve"> to enable local communities to be first responders drawing on own resources and capabilities, with external support</w:t>
            </w:r>
          </w:p>
          <w:p w14:paraId="3422AB99" w14:textId="2C11F19D" w:rsidR="00FC10E9" w:rsidRPr="00EB31C7" w:rsidRDefault="00FC10E9" w:rsidP="00E93683">
            <w:pPr>
              <w:rPr>
                <w:sz w:val="18"/>
                <w:szCs w:val="18"/>
              </w:rPr>
            </w:pPr>
            <w:r w:rsidRPr="00FE38E5">
              <w:rPr>
                <w:sz w:val="18"/>
                <w:szCs w:val="18"/>
              </w:rPr>
              <w:t xml:space="preserve">Communities </w:t>
            </w:r>
            <w:r w:rsidRPr="00FE38E5">
              <w:rPr>
                <w:b/>
                <w:bCs/>
                <w:sz w:val="18"/>
                <w:szCs w:val="18"/>
              </w:rPr>
              <w:t>have increased opportunities</w:t>
            </w:r>
            <w:r w:rsidRPr="00FE38E5">
              <w:rPr>
                <w:sz w:val="18"/>
                <w:szCs w:val="18"/>
              </w:rPr>
              <w:t xml:space="preserve"> to shape programming, including evaluating international actor programs</w:t>
            </w:r>
            <w:r w:rsidR="000E5C5A">
              <w:rPr>
                <w:sz w:val="18"/>
                <w:szCs w:val="18"/>
              </w:rPr>
              <w:t>.</w:t>
            </w:r>
          </w:p>
        </w:tc>
        <w:tc>
          <w:tcPr>
            <w:tcW w:w="898" w:type="pct"/>
            <w:shd w:val="clear" w:color="auto" w:fill="FFFDEA" w:themeFill="accent4" w:themeFillTint="33"/>
          </w:tcPr>
          <w:p w14:paraId="311DE034" w14:textId="226BA854" w:rsidR="00FC10E9" w:rsidRPr="00021523" w:rsidRDefault="00FC10E9" w:rsidP="00E93683">
            <w:pPr>
              <w:rPr>
                <w:sz w:val="18"/>
                <w:szCs w:val="18"/>
              </w:rPr>
            </w:pPr>
            <w:r w:rsidRPr="005B5EB0">
              <w:rPr>
                <w:b/>
                <w:bCs/>
                <w:sz w:val="18"/>
                <w:szCs w:val="18"/>
              </w:rPr>
              <w:t>Network</w:t>
            </w:r>
            <w:r>
              <w:rPr>
                <w:sz w:val="18"/>
                <w:szCs w:val="18"/>
              </w:rPr>
              <w:t xml:space="preserve"> of</w:t>
            </w:r>
            <w:r w:rsidRPr="00021523">
              <w:rPr>
                <w:sz w:val="18"/>
                <w:szCs w:val="18"/>
              </w:rPr>
              <w:t xml:space="preserve"> capable individuals</w:t>
            </w:r>
            <w:r>
              <w:rPr>
                <w:sz w:val="18"/>
                <w:szCs w:val="18"/>
              </w:rPr>
              <w:t xml:space="preserve"> exercising </w:t>
            </w:r>
            <w:r w:rsidRPr="005B5EB0">
              <w:rPr>
                <w:b/>
                <w:bCs/>
                <w:sz w:val="18"/>
                <w:szCs w:val="18"/>
              </w:rPr>
              <w:t>strong leadership</w:t>
            </w:r>
            <w:r>
              <w:rPr>
                <w:sz w:val="18"/>
                <w:szCs w:val="18"/>
              </w:rPr>
              <w:t xml:space="preserve"> who </w:t>
            </w:r>
            <w:r w:rsidRPr="005B5EB0">
              <w:rPr>
                <w:b/>
                <w:bCs/>
                <w:sz w:val="18"/>
                <w:szCs w:val="18"/>
              </w:rPr>
              <w:t>represent affected populations</w:t>
            </w:r>
            <w:r>
              <w:rPr>
                <w:sz w:val="18"/>
                <w:szCs w:val="18"/>
              </w:rPr>
              <w:t xml:space="preserve"> (including women and </w:t>
            </w:r>
            <w:r w:rsidR="009029B3">
              <w:rPr>
                <w:sz w:val="18"/>
                <w:szCs w:val="18"/>
              </w:rPr>
              <w:t>people living with disabilities</w:t>
            </w:r>
            <w:r>
              <w:rPr>
                <w:sz w:val="18"/>
                <w:szCs w:val="18"/>
              </w:rPr>
              <w:t xml:space="preserve">, other marginalised populations) with </w:t>
            </w:r>
            <w:r>
              <w:rPr>
                <w:b/>
                <w:bCs/>
                <w:sz w:val="18"/>
                <w:szCs w:val="18"/>
              </w:rPr>
              <w:t>control over</w:t>
            </w:r>
            <w:r w:rsidRPr="005B5EB0">
              <w:rPr>
                <w:b/>
                <w:bCs/>
                <w:sz w:val="18"/>
                <w:szCs w:val="18"/>
              </w:rPr>
              <w:t xml:space="preserve"> decision making </w:t>
            </w:r>
            <w:r>
              <w:rPr>
                <w:sz w:val="18"/>
                <w:szCs w:val="18"/>
              </w:rPr>
              <w:t xml:space="preserve">in </w:t>
            </w:r>
            <w:r w:rsidR="007F7644">
              <w:rPr>
                <w:sz w:val="18"/>
                <w:szCs w:val="18"/>
              </w:rPr>
              <w:t>forums humanitarian</w:t>
            </w:r>
            <w:r>
              <w:rPr>
                <w:sz w:val="18"/>
                <w:szCs w:val="18"/>
              </w:rPr>
              <w:t xml:space="preserve"> response policy, </w:t>
            </w:r>
            <w:r w:rsidR="007F7644">
              <w:rPr>
                <w:sz w:val="18"/>
                <w:szCs w:val="18"/>
              </w:rPr>
              <w:t>planning,</w:t>
            </w:r>
            <w:r>
              <w:rPr>
                <w:sz w:val="18"/>
                <w:szCs w:val="18"/>
              </w:rPr>
              <w:t xml:space="preserve"> and delivery</w:t>
            </w:r>
          </w:p>
          <w:p w14:paraId="622EF9A3" w14:textId="4DE68607" w:rsidR="00FC10E9" w:rsidRDefault="00FC10E9" w:rsidP="00E93683">
            <w:pPr>
              <w:rPr>
                <w:sz w:val="18"/>
                <w:szCs w:val="18"/>
              </w:rPr>
            </w:pPr>
            <w:r>
              <w:rPr>
                <w:b/>
                <w:bCs/>
                <w:sz w:val="18"/>
                <w:szCs w:val="18"/>
              </w:rPr>
              <w:t xml:space="preserve">Formalised, </w:t>
            </w:r>
            <w:r w:rsidR="007F7644">
              <w:rPr>
                <w:b/>
                <w:bCs/>
                <w:sz w:val="18"/>
                <w:szCs w:val="18"/>
              </w:rPr>
              <w:t>inclusive,</w:t>
            </w:r>
            <w:r>
              <w:rPr>
                <w:b/>
                <w:bCs/>
                <w:sz w:val="18"/>
                <w:szCs w:val="18"/>
              </w:rPr>
              <w:t xml:space="preserve"> and </w:t>
            </w:r>
            <w:r w:rsidRPr="005B5EB0">
              <w:rPr>
                <w:b/>
                <w:bCs/>
                <w:sz w:val="18"/>
                <w:szCs w:val="18"/>
              </w:rPr>
              <w:t>tested</w:t>
            </w:r>
            <w:r>
              <w:rPr>
                <w:sz w:val="18"/>
                <w:szCs w:val="18"/>
              </w:rPr>
              <w:t xml:space="preserve"> i</w:t>
            </w:r>
            <w:r w:rsidRPr="00021523">
              <w:rPr>
                <w:sz w:val="18"/>
                <w:szCs w:val="18"/>
              </w:rPr>
              <w:t xml:space="preserve">nstitutional arrangements that support coordination with each other, the national </w:t>
            </w:r>
            <w:r w:rsidR="007F7644" w:rsidRPr="00021523">
              <w:rPr>
                <w:sz w:val="18"/>
                <w:szCs w:val="18"/>
              </w:rPr>
              <w:t>Government,</w:t>
            </w:r>
            <w:r w:rsidRPr="00021523">
              <w:rPr>
                <w:sz w:val="18"/>
                <w:szCs w:val="18"/>
              </w:rPr>
              <w:t xml:space="preserve"> and external actors</w:t>
            </w:r>
          </w:p>
          <w:p w14:paraId="3F2BDEBF" w14:textId="48B87DB8" w:rsidR="00FC10E9" w:rsidRDefault="00FC10E9" w:rsidP="00E93683">
            <w:pPr>
              <w:rPr>
                <w:sz w:val="18"/>
                <w:szCs w:val="18"/>
              </w:rPr>
            </w:pPr>
            <w:r w:rsidRPr="00F441D7">
              <w:rPr>
                <w:b/>
                <w:bCs/>
                <w:sz w:val="18"/>
                <w:szCs w:val="18"/>
              </w:rPr>
              <w:t>Strong and diverse group of CSOs</w:t>
            </w:r>
            <w:r>
              <w:rPr>
                <w:sz w:val="18"/>
                <w:szCs w:val="18"/>
              </w:rPr>
              <w:t xml:space="preserve"> with demonstrated governance and management capability to utilise resources, manage risk and be accountable</w:t>
            </w:r>
          </w:p>
          <w:p w14:paraId="110D1AE2" w14:textId="04C9F9EB" w:rsidR="00FC10E9" w:rsidRDefault="00FC10E9" w:rsidP="00E93683">
            <w:pPr>
              <w:rPr>
                <w:sz w:val="18"/>
                <w:szCs w:val="18"/>
              </w:rPr>
            </w:pPr>
            <w:r>
              <w:rPr>
                <w:b/>
                <w:bCs/>
                <w:sz w:val="18"/>
                <w:szCs w:val="18"/>
              </w:rPr>
              <w:t>Comprehensive</w:t>
            </w:r>
            <w:r w:rsidRPr="00F441D7">
              <w:rPr>
                <w:b/>
                <w:bCs/>
                <w:sz w:val="18"/>
                <w:szCs w:val="18"/>
              </w:rPr>
              <w:t xml:space="preserve"> footprint</w:t>
            </w:r>
            <w:r>
              <w:rPr>
                <w:sz w:val="18"/>
                <w:szCs w:val="18"/>
              </w:rPr>
              <w:t xml:space="preserve"> of local actors </w:t>
            </w:r>
            <w:r>
              <w:rPr>
                <w:b/>
                <w:bCs/>
                <w:sz w:val="18"/>
                <w:szCs w:val="18"/>
              </w:rPr>
              <w:t>fully</w:t>
            </w:r>
            <w:r w:rsidRPr="00F441D7">
              <w:rPr>
                <w:b/>
                <w:bCs/>
                <w:sz w:val="18"/>
                <w:szCs w:val="18"/>
              </w:rPr>
              <w:t xml:space="preserve"> positioned</w:t>
            </w:r>
            <w:r>
              <w:rPr>
                <w:sz w:val="18"/>
                <w:szCs w:val="18"/>
              </w:rPr>
              <w:t xml:space="preserve"> to enable local communities to be first responders drawing on own resources and capabilities, with external support</w:t>
            </w:r>
          </w:p>
          <w:p w14:paraId="3ECD0D3E" w14:textId="648F5057" w:rsidR="00FC10E9" w:rsidRPr="00021523" w:rsidRDefault="00FC10E9" w:rsidP="00E93683">
            <w:pPr>
              <w:rPr>
                <w:sz w:val="18"/>
                <w:szCs w:val="18"/>
              </w:rPr>
            </w:pPr>
            <w:r w:rsidRPr="00FE38E5">
              <w:rPr>
                <w:sz w:val="18"/>
                <w:szCs w:val="18"/>
              </w:rPr>
              <w:t xml:space="preserve">Local and national actors </w:t>
            </w:r>
            <w:r w:rsidRPr="00FE38E5">
              <w:rPr>
                <w:b/>
                <w:bCs/>
                <w:sz w:val="18"/>
                <w:szCs w:val="18"/>
              </w:rPr>
              <w:t>have influence on donor priorities</w:t>
            </w:r>
            <w:r w:rsidRPr="00FE38E5">
              <w:rPr>
                <w:sz w:val="18"/>
                <w:szCs w:val="18"/>
              </w:rPr>
              <w:t xml:space="preserve"> in-country, including program design and implementation</w:t>
            </w:r>
          </w:p>
        </w:tc>
      </w:tr>
      <w:tr w:rsidR="00FC10E9" w:rsidRPr="00021523" w14:paraId="247B827E" w14:textId="17310539" w:rsidTr="003E2C60">
        <w:trPr>
          <w:trHeight w:val="269"/>
        </w:trPr>
        <w:tc>
          <w:tcPr>
            <w:tcW w:w="510" w:type="pct"/>
            <w:shd w:val="clear" w:color="auto" w:fill="D5EEE0" w:themeFill="accent5" w:themeFillTint="33"/>
          </w:tcPr>
          <w:p w14:paraId="2157FBFA" w14:textId="421D1207" w:rsidR="00FC10E9" w:rsidRPr="00021523" w:rsidRDefault="00FC10E9" w:rsidP="00E93683">
            <w:pPr>
              <w:rPr>
                <w:b/>
                <w:bCs/>
                <w:sz w:val="18"/>
                <w:szCs w:val="18"/>
              </w:rPr>
            </w:pPr>
            <w:r w:rsidRPr="00021523">
              <w:rPr>
                <w:b/>
                <w:bCs/>
                <w:sz w:val="18"/>
                <w:szCs w:val="18"/>
              </w:rPr>
              <w:lastRenderedPageBreak/>
              <w:t>National Governments</w:t>
            </w:r>
          </w:p>
          <w:p w14:paraId="476A57A6" w14:textId="4EDBD514" w:rsidR="00FC10E9" w:rsidRPr="00021523" w:rsidRDefault="00FC10E9" w:rsidP="00E93683">
            <w:pPr>
              <w:rPr>
                <w:sz w:val="18"/>
                <w:szCs w:val="18"/>
              </w:rPr>
            </w:pPr>
            <w:r w:rsidRPr="00021523">
              <w:rPr>
                <w:sz w:val="18"/>
                <w:szCs w:val="18"/>
              </w:rPr>
              <w:t>capacity, resourcing, leadership, coordination</w:t>
            </w:r>
          </w:p>
          <w:p w14:paraId="55B14D20" w14:textId="628A4FFB" w:rsidR="00FC10E9" w:rsidRPr="00021523" w:rsidRDefault="00FC10E9" w:rsidP="00E93683">
            <w:pPr>
              <w:rPr>
                <w:sz w:val="18"/>
                <w:szCs w:val="18"/>
              </w:rPr>
            </w:pPr>
          </w:p>
        </w:tc>
        <w:tc>
          <w:tcPr>
            <w:tcW w:w="898" w:type="pct"/>
            <w:shd w:val="clear" w:color="auto" w:fill="D5EEE0" w:themeFill="accent5" w:themeFillTint="33"/>
          </w:tcPr>
          <w:p w14:paraId="0DE8ABF4" w14:textId="35872230" w:rsidR="00FC10E9" w:rsidRDefault="00FC10E9" w:rsidP="00E93683">
            <w:pPr>
              <w:rPr>
                <w:sz w:val="18"/>
                <w:szCs w:val="18"/>
              </w:rPr>
            </w:pPr>
            <w:r>
              <w:rPr>
                <w:sz w:val="18"/>
                <w:szCs w:val="18"/>
              </w:rPr>
              <w:t xml:space="preserve">Weak or inexperienced political and public sector </w:t>
            </w:r>
            <w:r w:rsidRPr="00CC504D">
              <w:rPr>
                <w:sz w:val="18"/>
                <w:szCs w:val="18"/>
              </w:rPr>
              <w:t>leadership with</w:t>
            </w:r>
            <w:r>
              <w:rPr>
                <w:b/>
                <w:bCs/>
                <w:sz w:val="18"/>
                <w:szCs w:val="18"/>
              </w:rPr>
              <w:t xml:space="preserve"> ad hoc</w:t>
            </w:r>
            <w:r w:rsidRPr="00CC504D">
              <w:rPr>
                <w:b/>
                <w:bCs/>
                <w:sz w:val="18"/>
                <w:szCs w:val="18"/>
              </w:rPr>
              <w:t xml:space="preserve"> decision making</w:t>
            </w:r>
            <w:r>
              <w:rPr>
                <w:sz w:val="18"/>
                <w:szCs w:val="18"/>
              </w:rPr>
              <w:t xml:space="preserve"> and resourcing for humanitarian response</w:t>
            </w:r>
          </w:p>
          <w:p w14:paraId="321975A0" w14:textId="51BE9408" w:rsidR="00FC10E9" w:rsidRPr="00CC504D" w:rsidRDefault="00FC10E9" w:rsidP="00E93683">
            <w:pPr>
              <w:rPr>
                <w:sz w:val="18"/>
                <w:szCs w:val="18"/>
              </w:rPr>
            </w:pPr>
            <w:r>
              <w:rPr>
                <w:sz w:val="18"/>
                <w:szCs w:val="18"/>
              </w:rPr>
              <w:t xml:space="preserve">Policy and regulatory environment </w:t>
            </w:r>
            <w:r>
              <w:rPr>
                <w:b/>
                <w:bCs/>
                <w:sz w:val="18"/>
                <w:szCs w:val="18"/>
              </w:rPr>
              <w:t>absent</w:t>
            </w:r>
            <w:r>
              <w:rPr>
                <w:sz w:val="18"/>
                <w:szCs w:val="18"/>
              </w:rPr>
              <w:t xml:space="preserve"> for effective government functions and coordination with local actors at national and local levels</w:t>
            </w:r>
          </w:p>
        </w:tc>
        <w:tc>
          <w:tcPr>
            <w:tcW w:w="898" w:type="pct"/>
            <w:shd w:val="clear" w:color="auto" w:fill="D5EEE0" w:themeFill="accent5" w:themeFillTint="33"/>
          </w:tcPr>
          <w:p w14:paraId="15C247A1" w14:textId="0041A302" w:rsidR="00FC10E9" w:rsidRDefault="00FC10E9" w:rsidP="00E93683">
            <w:pPr>
              <w:rPr>
                <w:sz w:val="18"/>
                <w:szCs w:val="18"/>
              </w:rPr>
            </w:pPr>
            <w:r w:rsidRPr="00CC504D">
              <w:rPr>
                <w:b/>
                <w:bCs/>
                <w:sz w:val="18"/>
                <w:szCs w:val="18"/>
              </w:rPr>
              <w:t>Emerging</w:t>
            </w:r>
            <w:r>
              <w:rPr>
                <w:sz w:val="18"/>
                <w:szCs w:val="18"/>
              </w:rPr>
              <w:t xml:space="preserve"> political and public sector </w:t>
            </w:r>
            <w:r w:rsidRPr="00CC504D">
              <w:rPr>
                <w:sz w:val="18"/>
                <w:szCs w:val="18"/>
              </w:rPr>
              <w:t>leadership with</w:t>
            </w:r>
            <w:r>
              <w:rPr>
                <w:b/>
                <w:bCs/>
                <w:sz w:val="18"/>
                <w:szCs w:val="18"/>
              </w:rPr>
              <w:t xml:space="preserve"> variable</w:t>
            </w:r>
            <w:r w:rsidRPr="00CC504D">
              <w:rPr>
                <w:b/>
                <w:bCs/>
                <w:sz w:val="18"/>
                <w:szCs w:val="18"/>
              </w:rPr>
              <w:t xml:space="preserve"> decision making</w:t>
            </w:r>
            <w:r>
              <w:rPr>
                <w:sz w:val="18"/>
                <w:szCs w:val="18"/>
              </w:rPr>
              <w:t xml:space="preserve"> and resourcing for humanitarian response</w:t>
            </w:r>
          </w:p>
          <w:p w14:paraId="5942B06C" w14:textId="7C09654F" w:rsidR="00FC10E9" w:rsidRPr="00CC504D" w:rsidRDefault="00FC10E9" w:rsidP="00E93683">
            <w:pPr>
              <w:rPr>
                <w:sz w:val="18"/>
                <w:szCs w:val="18"/>
              </w:rPr>
            </w:pPr>
            <w:r w:rsidRPr="00CC504D">
              <w:rPr>
                <w:sz w:val="18"/>
                <w:szCs w:val="18"/>
              </w:rPr>
              <w:t xml:space="preserve">Policy and regulatory environment </w:t>
            </w:r>
            <w:r>
              <w:rPr>
                <w:b/>
                <w:bCs/>
                <w:sz w:val="18"/>
                <w:szCs w:val="18"/>
              </w:rPr>
              <w:t>emerging</w:t>
            </w:r>
            <w:r w:rsidRPr="00CC504D">
              <w:rPr>
                <w:sz w:val="18"/>
                <w:szCs w:val="18"/>
              </w:rPr>
              <w:t xml:space="preserve"> for effective government functions and coordination with local actors at national and local levels</w:t>
            </w:r>
          </w:p>
        </w:tc>
        <w:tc>
          <w:tcPr>
            <w:tcW w:w="898" w:type="pct"/>
            <w:shd w:val="clear" w:color="auto" w:fill="D5EEE0" w:themeFill="accent5" w:themeFillTint="33"/>
          </w:tcPr>
          <w:p w14:paraId="6E76FD44" w14:textId="146303E4" w:rsidR="00FC10E9" w:rsidRDefault="00FC10E9" w:rsidP="00E93683">
            <w:pPr>
              <w:rPr>
                <w:sz w:val="18"/>
                <w:szCs w:val="18"/>
              </w:rPr>
            </w:pPr>
            <w:r>
              <w:rPr>
                <w:b/>
                <w:bCs/>
                <w:sz w:val="18"/>
                <w:szCs w:val="18"/>
              </w:rPr>
              <w:t>Variable</w:t>
            </w:r>
            <w:r>
              <w:rPr>
                <w:sz w:val="18"/>
                <w:szCs w:val="18"/>
              </w:rPr>
              <w:t xml:space="preserve"> political and public sector </w:t>
            </w:r>
            <w:r w:rsidRPr="00CC504D">
              <w:rPr>
                <w:sz w:val="18"/>
                <w:szCs w:val="18"/>
              </w:rPr>
              <w:t>leadership with</w:t>
            </w:r>
            <w:r>
              <w:rPr>
                <w:b/>
                <w:bCs/>
                <w:sz w:val="18"/>
                <w:szCs w:val="18"/>
              </w:rPr>
              <w:t xml:space="preserve"> consistent</w:t>
            </w:r>
            <w:r w:rsidRPr="00CC504D">
              <w:rPr>
                <w:b/>
                <w:bCs/>
                <w:sz w:val="18"/>
                <w:szCs w:val="18"/>
              </w:rPr>
              <w:t xml:space="preserve"> decision making</w:t>
            </w:r>
            <w:r>
              <w:rPr>
                <w:sz w:val="18"/>
                <w:szCs w:val="18"/>
              </w:rPr>
              <w:t xml:space="preserve"> and resourcing for humanitarian response</w:t>
            </w:r>
          </w:p>
          <w:p w14:paraId="65DF1854" w14:textId="1E933F0F" w:rsidR="00FC10E9" w:rsidRPr="0027597B" w:rsidRDefault="00FC10E9" w:rsidP="00E93683">
            <w:pPr>
              <w:rPr>
                <w:sz w:val="18"/>
                <w:szCs w:val="18"/>
              </w:rPr>
            </w:pPr>
            <w:r w:rsidRPr="0027597B">
              <w:rPr>
                <w:sz w:val="18"/>
                <w:szCs w:val="18"/>
              </w:rPr>
              <w:t xml:space="preserve">Policy and regulatory environment </w:t>
            </w:r>
            <w:r>
              <w:rPr>
                <w:b/>
                <w:bCs/>
                <w:sz w:val="18"/>
                <w:szCs w:val="18"/>
              </w:rPr>
              <w:t>supportive</w:t>
            </w:r>
            <w:r w:rsidRPr="0027597B">
              <w:rPr>
                <w:sz w:val="18"/>
                <w:szCs w:val="18"/>
              </w:rPr>
              <w:t xml:space="preserve"> for </w:t>
            </w:r>
            <w:r w:rsidRPr="0027597B">
              <w:rPr>
                <w:b/>
                <w:bCs/>
                <w:sz w:val="18"/>
                <w:szCs w:val="18"/>
              </w:rPr>
              <w:t>basic</w:t>
            </w:r>
            <w:r w:rsidRPr="0027597B">
              <w:rPr>
                <w:sz w:val="18"/>
                <w:szCs w:val="18"/>
              </w:rPr>
              <w:t xml:space="preserve"> government functions and </w:t>
            </w:r>
            <w:r w:rsidRPr="0027597B">
              <w:rPr>
                <w:b/>
                <w:bCs/>
                <w:sz w:val="18"/>
                <w:szCs w:val="18"/>
              </w:rPr>
              <w:t>limited</w:t>
            </w:r>
            <w:r>
              <w:rPr>
                <w:sz w:val="18"/>
                <w:szCs w:val="18"/>
              </w:rPr>
              <w:t xml:space="preserve"> </w:t>
            </w:r>
            <w:r w:rsidRPr="0027597B">
              <w:rPr>
                <w:sz w:val="18"/>
                <w:szCs w:val="18"/>
              </w:rPr>
              <w:t>coordination with local actors at national and local levels</w:t>
            </w:r>
          </w:p>
        </w:tc>
        <w:tc>
          <w:tcPr>
            <w:tcW w:w="898" w:type="pct"/>
            <w:shd w:val="clear" w:color="auto" w:fill="D5EEE0" w:themeFill="accent5" w:themeFillTint="33"/>
          </w:tcPr>
          <w:p w14:paraId="3AB54DD2" w14:textId="6A5D3298" w:rsidR="00FC10E9" w:rsidRDefault="00FC10E9" w:rsidP="00E93683">
            <w:pPr>
              <w:rPr>
                <w:sz w:val="18"/>
                <w:szCs w:val="18"/>
              </w:rPr>
            </w:pPr>
            <w:r>
              <w:rPr>
                <w:b/>
                <w:bCs/>
                <w:sz w:val="18"/>
                <w:szCs w:val="18"/>
              </w:rPr>
              <w:t>Widespread</w:t>
            </w:r>
            <w:r>
              <w:rPr>
                <w:sz w:val="18"/>
                <w:szCs w:val="18"/>
              </w:rPr>
              <w:t xml:space="preserve"> political and public sector </w:t>
            </w:r>
            <w:r w:rsidRPr="00CC504D">
              <w:rPr>
                <w:sz w:val="18"/>
                <w:szCs w:val="18"/>
              </w:rPr>
              <w:t>leadership with</w:t>
            </w:r>
            <w:r>
              <w:rPr>
                <w:b/>
                <w:bCs/>
                <w:sz w:val="18"/>
                <w:szCs w:val="18"/>
              </w:rPr>
              <w:t xml:space="preserve"> consistent</w:t>
            </w:r>
            <w:r w:rsidRPr="00CC504D">
              <w:rPr>
                <w:b/>
                <w:bCs/>
                <w:sz w:val="18"/>
                <w:szCs w:val="18"/>
              </w:rPr>
              <w:t xml:space="preserve"> decision making</w:t>
            </w:r>
            <w:r>
              <w:rPr>
                <w:sz w:val="18"/>
                <w:szCs w:val="18"/>
              </w:rPr>
              <w:t xml:space="preserve"> and resourcing for humanitarian response</w:t>
            </w:r>
          </w:p>
          <w:p w14:paraId="58773C11" w14:textId="49EC988E" w:rsidR="00FC10E9" w:rsidRPr="0027597B" w:rsidRDefault="00FC10E9" w:rsidP="00E93683">
            <w:pPr>
              <w:rPr>
                <w:sz w:val="18"/>
                <w:szCs w:val="18"/>
              </w:rPr>
            </w:pPr>
            <w:r w:rsidRPr="0027597B">
              <w:rPr>
                <w:sz w:val="18"/>
                <w:szCs w:val="18"/>
              </w:rPr>
              <w:t xml:space="preserve">Policy and regulatory environment </w:t>
            </w:r>
            <w:r>
              <w:rPr>
                <w:b/>
                <w:bCs/>
                <w:sz w:val="18"/>
                <w:szCs w:val="18"/>
              </w:rPr>
              <w:t>supportive of</w:t>
            </w:r>
            <w:r w:rsidRPr="0027597B">
              <w:rPr>
                <w:sz w:val="18"/>
                <w:szCs w:val="18"/>
              </w:rPr>
              <w:t xml:space="preserve"> effective government functions and coordination with</w:t>
            </w:r>
            <w:r>
              <w:rPr>
                <w:sz w:val="18"/>
                <w:szCs w:val="18"/>
              </w:rPr>
              <w:t xml:space="preserve"> </w:t>
            </w:r>
            <w:r w:rsidRPr="0027597B">
              <w:rPr>
                <w:b/>
                <w:bCs/>
                <w:sz w:val="18"/>
                <w:szCs w:val="18"/>
              </w:rPr>
              <w:t>some</w:t>
            </w:r>
            <w:r w:rsidRPr="0027597B">
              <w:rPr>
                <w:sz w:val="18"/>
                <w:szCs w:val="18"/>
              </w:rPr>
              <w:t xml:space="preserve"> local actors at national and local levels</w:t>
            </w:r>
          </w:p>
        </w:tc>
        <w:tc>
          <w:tcPr>
            <w:tcW w:w="898" w:type="pct"/>
            <w:shd w:val="clear" w:color="auto" w:fill="D5EEE0" w:themeFill="accent5" w:themeFillTint="33"/>
          </w:tcPr>
          <w:p w14:paraId="71483CA7" w14:textId="27F81385" w:rsidR="00FC10E9" w:rsidRDefault="00FC10E9" w:rsidP="00E93683">
            <w:pPr>
              <w:rPr>
                <w:sz w:val="18"/>
                <w:szCs w:val="18"/>
              </w:rPr>
            </w:pPr>
            <w:r>
              <w:rPr>
                <w:sz w:val="18"/>
                <w:szCs w:val="18"/>
              </w:rPr>
              <w:t xml:space="preserve">Strong demonstrated political and public sector </w:t>
            </w:r>
            <w:r w:rsidRPr="00CC504D">
              <w:rPr>
                <w:b/>
                <w:bCs/>
                <w:sz w:val="18"/>
                <w:szCs w:val="18"/>
              </w:rPr>
              <w:t>leadership enables efficient</w:t>
            </w:r>
            <w:r>
              <w:rPr>
                <w:b/>
                <w:bCs/>
                <w:sz w:val="18"/>
                <w:szCs w:val="18"/>
              </w:rPr>
              <w:t xml:space="preserve"> and inclusive</w:t>
            </w:r>
            <w:r w:rsidRPr="00CC504D">
              <w:rPr>
                <w:b/>
                <w:bCs/>
                <w:sz w:val="18"/>
                <w:szCs w:val="18"/>
              </w:rPr>
              <w:t xml:space="preserve"> decision making</w:t>
            </w:r>
            <w:r>
              <w:rPr>
                <w:sz w:val="18"/>
                <w:szCs w:val="18"/>
              </w:rPr>
              <w:t xml:space="preserve"> and resourcing for humanitarian response</w:t>
            </w:r>
          </w:p>
          <w:p w14:paraId="7B4BC2C2" w14:textId="6CC330B8" w:rsidR="00FC10E9" w:rsidRPr="00CC504D" w:rsidRDefault="00FC10E9" w:rsidP="00E93683">
            <w:pPr>
              <w:rPr>
                <w:sz w:val="18"/>
                <w:szCs w:val="18"/>
              </w:rPr>
            </w:pPr>
            <w:r>
              <w:rPr>
                <w:sz w:val="18"/>
                <w:szCs w:val="18"/>
              </w:rPr>
              <w:t xml:space="preserve">Policy and regulatory environment </w:t>
            </w:r>
            <w:r w:rsidRPr="0027597B">
              <w:rPr>
                <w:b/>
                <w:bCs/>
                <w:sz w:val="18"/>
                <w:szCs w:val="18"/>
              </w:rPr>
              <w:t>operating</w:t>
            </w:r>
            <w:r>
              <w:rPr>
                <w:sz w:val="18"/>
                <w:szCs w:val="18"/>
              </w:rPr>
              <w:t xml:space="preserve"> for effective government functions and coordination with local actors at national and local levels</w:t>
            </w:r>
          </w:p>
        </w:tc>
      </w:tr>
      <w:tr w:rsidR="00FC10E9" w:rsidRPr="00021523" w14:paraId="1622547E" w14:textId="5F8EE87F" w:rsidTr="003E2C60">
        <w:trPr>
          <w:trHeight w:val="70"/>
        </w:trPr>
        <w:tc>
          <w:tcPr>
            <w:tcW w:w="510" w:type="pct"/>
            <w:shd w:val="clear" w:color="auto" w:fill="B4F7FF" w:themeFill="accent6" w:themeFillTint="33"/>
          </w:tcPr>
          <w:p w14:paraId="3149D28C" w14:textId="3A7DCC20" w:rsidR="00FC10E9" w:rsidRPr="00021523" w:rsidRDefault="00FC10E9" w:rsidP="0058133C">
            <w:pPr>
              <w:rPr>
                <w:b/>
                <w:bCs/>
                <w:sz w:val="18"/>
                <w:szCs w:val="18"/>
              </w:rPr>
            </w:pPr>
            <w:r w:rsidRPr="00021523">
              <w:rPr>
                <w:b/>
                <w:bCs/>
                <w:sz w:val="18"/>
                <w:szCs w:val="18"/>
              </w:rPr>
              <w:t>Enabling environment</w:t>
            </w:r>
          </w:p>
          <w:p w14:paraId="781F163A" w14:textId="0F4A0533" w:rsidR="00FC10E9" w:rsidRPr="00021523" w:rsidRDefault="00FC10E9" w:rsidP="00E93683">
            <w:pPr>
              <w:rPr>
                <w:sz w:val="18"/>
                <w:szCs w:val="18"/>
              </w:rPr>
            </w:pPr>
            <w:r w:rsidRPr="00021523">
              <w:rPr>
                <w:sz w:val="18"/>
                <w:szCs w:val="18"/>
              </w:rPr>
              <w:t>capacity, role, experience, resourcing, interests of external actors (regional and international organisations, INGOs, Development Partners)</w:t>
            </w:r>
          </w:p>
        </w:tc>
        <w:tc>
          <w:tcPr>
            <w:tcW w:w="898" w:type="pct"/>
            <w:shd w:val="clear" w:color="auto" w:fill="B4F7FF" w:themeFill="accent6" w:themeFillTint="33"/>
          </w:tcPr>
          <w:p w14:paraId="5BA4B950" w14:textId="41461B53" w:rsidR="00FC10E9" w:rsidRDefault="00FC10E9" w:rsidP="00E93683">
            <w:pPr>
              <w:rPr>
                <w:sz w:val="18"/>
                <w:szCs w:val="18"/>
              </w:rPr>
            </w:pPr>
            <w:r w:rsidRPr="00634625">
              <w:rPr>
                <w:sz w:val="18"/>
                <w:szCs w:val="18"/>
              </w:rPr>
              <w:t xml:space="preserve">Humanitarian responses </w:t>
            </w:r>
            <w:r w:rsidRPr="00634625">
              <w:rPr>
                <w:b/>
                <w:bCs/>
                <w:sz w:val="18"/>
                <w:szCs w:val="18"/>
              </w:rPr>
              <w:t>primarily led by external organisations</w:t>
            </w:r>
            <w:r w:rsidRPr="00634625">
              <w:rPr>
                <w:sz w:val="18"/>
                <w:szCs w:val="18"/>
              </w:rPr>
              <w:t xml:space="preserve"> and international personnel, with minimal coordination and engagement with National Government and local actors</w:t>
            </w:r>
          </w:p>
          <w:p w14:paraId="596610D8" w14:textId="33FE7707" w:rsidR="00FC10E9" w:rsidRPr="00634625" w:rsidRDefault="00FC10E9" w:rsidP="00E93683">
            <w:pPr>
              <w:rPr>
                <w:b/>
                <w:bCs/>
                <w:sz w:val="18"/>
                <w:szCs w:val="18"/>
              </w:rPr>
            </w:pPr>
            <w:r>
              <w:rPr>
                <w:sz w:val="18"/>
                <w:szCs w:val="18"/>
              </w:rPr>
              <w:t xml:space="preserve">Development Partners channel </w:t>
            </w:r>
            <w:r w:rsidRPr="00634625">
              <w:rPr>
                <w:b/>
                <w:bCs/>
                <w:sz w:val="18"/>
                <w:szCs w:val="18"/>
              </w:rPr>
              <w:t>resources primarily through IOs and INGOS</w:t>
            </w:r>
          </w:p>
          <w:p w14:paraId="3BA1260E" w14:textId="2063D08B" w:rsidR="00FC10E9" w:rsidRPr="00634625" w:rsidRDefault="00FC10E9" w:rsidP="00E93683">
            <w:pPr>
              <w:rPr>
                <w:sz w:val="18"/>
                <w:szCs w:val="18"/>
              </w:rPr>
            </w:pPr>
            <w:r>
              <w:rPr>
                <w:sz w:val="18"/>
                <w:szCs w:val="18"/>
              </w:rPr>
              <w:t xml:space="preserve">IOs and INGOs </w:t>
            </w:r>
            <w:r w:rsidRPr="00634625">
              <w:rPr>
                <w:b/>
                <w:bCs/>
                <w:sz w:val="18"/>
                <w:szCs w:val="18"/>
              </w:rPr>
              <w:t>primarily responsible</w:t>
            </w:r>
            <w:r>
              <w:rPr>
                <w:sz w:val="18"/>
                <w:szCs w:val="18"/>
              </w:rPr>
              <w:t xml:space="preserve"> for assessment, direct service delivery, logistics, procurement, </w:t>
            </w:r>
            <w:r w:rsidR="007F7644">
              <w:rPr>
                <w:sz w:val="18"/>
                <w:szCs w:val="18"/>
              </w:rPr>
              <w:t>communications,</w:t>
            </w:r>
            <w:r>
              <w:rPr>
                <w:sz w:val="18"/>
                <w:szCs w:val="18"/>
              </w:rPr>
              <w:t xml:space="preserve"> and accountability.</w:t>
            </w:r>
          </w:p>
          <w:p w14:paraId="303DBD08" w14:textId="633FF8DE" w:rsidR="00FC10E9" w:rsidRDefault="00FC10E9" w:rsidP="0058133C">
            <w:pPr>
              <w:rPr>
                <w:sz w:val="18"/>
                <w:szCs w:val="18"/>
              </w:rPr>
            </w:pPr>
          </w:p>
          <w:p w14:paraId="4B899C7E" w14:textId="283B3750" w:rsidR="00FC10E9" w:rsidRDefault="00FC10E9" w:rsidP="0058133C">
            <w:pPr>
              <w:rPr>
                <w:sz w:val="18"/>
                <w:szCs w:val="18"/>
              </w:rPr>
            </w:pPr>
          </w:p>
          <w:p w14:paraId="79457DA3" w14:textId="02C5C9AA" w:rsidR="00FC10E9" w:rsidRPr="00021523" w:rsidRDefault="00FC10E9" w:rsidP="0058133C">
            <w:pPr>
              <w:rPr>
                <w:sz w:val="18"/>
                <w:szCs w:val="18"/>
              </w:rPr>
            </w:pPr>
          </w:p>
        </w:tc>
        <w:tc>
          <w:tcPr>
            <w:tcW w:w="898" w:type="pct"/>
            <w:shd w:val="clear" w:color="auto" w:fill="B4F7FF" w:themeFill="accent6" w:themeFillTint="33"/>
          </w:tcPr>
          <w:p w14:paraId="79F1DDAF" w14:textId="50DB971C" w:rsidR="00FC10E9" w:rsidRDefault="00FC10E9" w:rsidP="00E93683">
            <w:pPr>
              <w:rPr>
                <w:sz w:val="18"/>
                <w:szCs w:val="18"/>
              </w:rPr>
            </w:pPr>
            <w:r w:rsidRPr="00634625">
              <w:rPr>
                <w:sz w:val="18"/>
                <w:szCs w:val="18"/>
              </w:rPr>
              <w:t xml:space="preserve">Humanitarian responses </w:t>
            </w:r>
            <w:r>
              <w:rPr>
                <w:b/>
                <w:bCs/>
                <w:sz w:val="18"/>
                <w:szCs w:val="18"/>
              </w:rPr>
              <w:t xml:space="preserve">heavily supported and resourced </w:t>
            </w:r>
            <w:r w:rsidRPr="00AC6BC6">
              <w:rPr>
                <w:sz w:val="18"/>
                <w:szCs w:val="18"/>
              </w:rPr>
              <w:t>by external organisations</w:t>
            </w:r>
            <w:r w:rsidRPr="00634625">
              <w:rPr>
                <w:sz w:val="18"/>
                <w:szCs w:val="18"/>
              </w:rPr>
              <w:t xml:space="preserve"> and international personnel, with coordination and engagement </w:t>
            </w:r>
            <w:r>
              <w:rPr>
                <w:sz w:val="18"/>
                <w:szCs w:val="18"/>
              </w:rPr>
              <w:t>with</w:t>
            </w:r>
            <w:r w:rsidRPr="00634625">
              <w:rPr>
                <w:sz w:val="18"/>
                <w:szCs w:val="18"/>
              </w:rPr>
              <w:t xml:space="preserve"> National Government and local actors</w:t>
            </w:r>
          </w:p>
          <w:p w14:paraId="4ED26BFF" w14:textId="60BA8DB7" w:rsidR="00FC10E9" w:rsidRPr="00634625" w:rsidRDefault="00FC10E9" w:rsidP="00E93683">
            <w:pPr>
              <w:rPr>
                <w:b/>
                <w:bCs/>
                <w:sz w:val="18"/>
                <w:szCs w:val="18"/>
              </w:rPr>
            </w:pPr>
            <w:r>
              <w:rPr>
                <w:sz w:val="18"/>
                <w:szCs w:val="18"/>
              </w:rPr>
              <w:t xml:space="preserve">Development Partners channel </w:t>
            </w:r>
            <w:r w:rsidRPr="00634625">
              <w:rPr>
                <w:b/>
                <w:bCs/>
                <w:sz w:val="18"/>
                <w:szCs w:val="18"/>
              </w:rPr>
              <w:t>resources primarily through IOs and INGOS</w:t>
            </w:r>
            <w:r>
              <w:rPr>
                <w:b/>
                <w:bCs/>
                <w:sz w:val="18"/>
                <w:szCs w:val="18"/>
              </w:rPr>
              <w:t xml:space="preserve"> working in partnership with local actors</w:t>
            </w:r>
          </w:p>
          <w:p w14:paraId="7986055A" w14:textId="6187D7FB" w:rsidR="00FC10E9" w:rsidRPr="00634625" w:rsidRDefault="00FC10E9" w:rsidP="00E93683">
            <w:pPr>
              <w:rPr>
                <w:sz w:val="18"/>
                <w:szCs w:val="18"/>
              </w:rPr>
            </w:pPr>
            <w:r>
              <w:rPr>
                <w:sz w:val="18"/>
                <w:szCs w:val="18"/>
              </w:rPr>
              <w:t xml:space="preserve">Local actors responsible for direct service delivery and response, with IOs and INGOs </w:t>
            </w:r>
            <w:r w:rsidRPr="00634625">
              <w:rPr>
                <w:b/>
                <w:bCs/>
                <w:sz w:val="18"/>
                <w:szCs w:val="18"/>
              </w:rPr>
              <w:t>responsible</w:t>
            </w:r>
            <w:r>
              <w:rPr>
                <w:sz w:val="18"/>
                <w:szCs w:val="18"/>
              </w:rPr>
              <w:t xml:space="preserve"> for assessment, logistics, procurement communications and accountability</w:t>
            </w:r>
          </w:p>
          <w:p w14:paraId="2588473B" w14:textId="0698B0AC" w:rsidR="00FC10E9" w:rsidRPr="00021523" w:rsidRDefault="00FC10E9" w:rsidP="00E93683">
            <w:pPr>
              <w:rPr>
                <w:sz w:val="18"/>
                <w:szCs w:val="18"/>
              </w:rPr>
            </w:pPr>
            <w:r w:rsidRPr="00FE38E5">
              <w:rPr>
                <w:b/>
                <w:bCs/>
                <w:sz w:val="18"/>
                <w:szCs w:val="18"/>
              </w:rPr>
              <w:t>Longer-term strategic partnerships exist</w:t>
            </w:r>
            <w:r w:rsidRPr="00FE38E5">
              <w:rPr>
                <w:sz w:val="18"/>
                <w:szCs w:val="18"/>
              </w:rPr>
              <w:t xml:space="preserve"> that aim to build systems and processes mirroring the ambition and goals of the local or national partner</w:t>
            </w:r>
          </w:p>
        </w:tc>
        <w:tc>
          <w:tcPr>
            <w:tcW w:w="898" w:type="pct"/>
            <w:shd w:val="clear" w:color="auto" w:fill="B4F7FF" w:themeFill="accent6" w:themeFillTint="33"/>
          </w:tcPr>
          <w:p w14:paraId="78216DE2" w14:textId="619DCB3D" w:rsidR="00FC10E9" w:rsidRDefault="00FC10E9" w:rsidP="00E93683">
            <w:pPr>
              <w:rPr>
                <w:sz w:val="18"/>
                <w:szCs w:val="18"/>
              </w:rPr>
            </w:pPr>
            <w:r w:rsidRPr="00634625">
              <w:rPr>
                <w:sz w:val="18"/>
                <w:szCs w:val="18"/>
              </w:rPr>
              <w:t>Humanitarian respon</w:t>
            </w:r>
            <w:r>
              <w:rPr>
                <w:sz w:val="18"/>
                <w:szCs w:val="18"/>
              </w:rPr>
              <w:t>s</w:t>
            </w:r>
            <w:r w:rsidRPr="00634625">
              <w:rPr>
                <w:sz w:val="18"/>
                <w:szCs w:val="18"/>
              </w:rPr>
              <w:t>es</w:t>
            </w:r>
            <w:r>
              <w:rPr>
                <w:b/>
                <w:bCs/>
                <w:sz w:val="18"/>
                <w:szCs w:val="18"/>
              </w:rPr>
              <w:t xml:space="preserve">   variably managed and implemented by external organisations and local actors </w:t>
            </w:r>
            <w:r w:rsidRPr="00634625">
              <w:rPr>
                <w:sz w:val="18"/>
                <w:szCs w:val="18"/>
              </w:rPr>
              <w:t xml:space="preserve">with coordination </w:t>
            </w:r>
            <w:r>
              <w:rPr>
                <w:sz w:val="18"/>
                <w:szCs w:val="18"/>
              </w:rPr>
              <w:t>conducted by</w:t>
            </w:r>
            <w:r w:rsidRPr="00634625">
              <w:rPr>
                <w:sz w:val="18"/>
                <w:szCs w:val="18"/>
              </w:rPr>
              <w:t xml:space="preserve"> National Government </w:t>
            </w:r>
            <w:r>
              <w:rPr>
                <w:sz w:val="18"/>
                <w:szCs w:val="18"/>
              </w:rPr>
              <w:t>with</w:t>
            </w:r>
            <w:r w:rsidRPr="00634625">
              <w:rPr>
                <w:sz w:val="18"/>
                <w:szCs w:val="18"/>
              </w:rPr>
              <w:t xml:space="preserve"> local actors</w:t>
            </w:r>
            <w:r>
              <w:rPr>
                <w:sz w:val="18"/>
                <w:szCs w:val="18"/>
              </w:rPr>
              <w:t>, supported by external organisations and international personnel</w:t>
            </w:r>
          </w:p>
          <w:p w14:paraId="358173EF" w14:textId="52F45FAC" w:rsidR="00FC10E9" w:rsidRPr="00634625" w:rsidRDefault="00FC10E9" w:rsidP="00E93683">
            <w:pPr>
              <w:rPr>
                <w:b/>
                <w:bCs/>
                <w:sz w:val="18"/>
                <w:szCs w:val="18"/>
              </w:rPr>
            </w:pPr>
            <w:r>
              <w:rPr>
                <w:sz w:val="18"/>
                <w:szCs w:val="18"/>
              </w:rPr>
              <w:t xml:space="preserve">Development Partners channel </w:t>
            </w:r>
            <w:r w:rsidRPr="00634625">
              <w:rPr>
                <w:b/>
                <w:bCs/>
                <w:sz w:val="18"/>
                <w:szCs w:val="18"/>
              </w:rPr>
              <w:t xml:space="preserve">resources </w:t>
            </w:r>
            <w:r>
              <w:rPr>
                <w:b/>
                <w:bCs/>
                <w:sz w:val="18"/>
                <w:szCs w:val="18"/>
              </w:rPr>
              <w:t>both</w:t>
            </w:r>
            <w:r w:rsidRPr="00634625">
              <w:rPr>
                <w:b/>
                <w:bCs/>
                <w:sz w:val="18"/>
                <w:szCs w:val="18"/>
              </w:rPr>
              <w:t xml:space="preserve"> through IOs and INGOS</w:t>
            </w:r>
            <w:r>
              <w:rPr>
                <w:b/>
                <w:bCs/>
                <w:sz w:val="18"/>
                <w:szCs w:val="18"/>
              </w:rPr>
              <w:t xml:space="preserve"> (to their partners), and at times directly local actors</w:t>
            </w:r>
          </w:p>
          <w:p w14:paraId="4C563AC8" w14:textId="200CDB24" w:rsidR="00FC10E9" w:rsidRPr="000E5C5A" w:rsidRDefault="00FC10E9" w:rsidP="00E93683">
            <w:pPr>
              <w:rPr>
                <w:sz w:val="18"/>
                <w:szCs w:val="18"/>
              </w:rPr>
            </w:pPr>
            <w:r>
              <w:rPr>
                <w:sz w:val="18"/>
                <w:szCs w:val="18"/>
              </w:rPr>
              <w:t xml:space="preserve">Local actors responsible for assessment, direct service delivery and response, logistics, </w:t>
            </w:r>
            <w:r w:rsidR="007F7644">
              <w:rPr>
                <w:sz w:val="18"/>
                <w:szCs w:val="18"/>
              </w:rPr>
              <w:t>procurement,</w:t>
            </w:r>
            <w:r>
              <w:rPr>
                <w:sz w:val="18"/>
                <w:szCs w:val="18"/>
              </w:rPr>
              <w:t xml:space="preserve"> and engagement with </w:t>
            </w:r>
            <w:r w:rsidR="007F7644">
              <w:rPr>
                <w:sz w:val="18"/>
                <w:szCs w:val="18"/>
              </w:rPr>
              <w:t>governments</w:t>
            </w:r>
            <w:r>
              <w:rPr>
                <w:sz w:val="18"/>
                <w:szCs w:val="18"/>
              </w:rPr>
              <w:t xml:space="preserve"> with IOs and INGOs </w:t>
            </w:r>
            <w:r w:rsidRPr="00634625">
              <w:rPr>
                <w:b/>
                <w:bCs/>
                <w:sz w:val="18"/>
                <w:szCs w:val="18"/>
              </w:rPr>
              <w:t>responsible</w:t>
            </w:r>
            <w:r>
              <w:rPr>
                <w:sz w:val="18"/>
                <w:szCs w:val="18"/>
              </w:rPr>
              <w:t xml:space="preserve"> for communications, accountability, quality assurance and capacity building</w:t>
            </w:r>
            <w:r w:rsidR="000E5C5A">
              <w:rPr>
                <w:sz w:val="18"/>
                <w:szCs w:val="18"/>
              </w:rPr>
              <w:t>.</w:t>
            </w:r>
          </w:p>
        </w:tc>
        <w:tc>
          <w:tcPr>
            <w:tcW w:w="898" w:type="pct"/>
            <w:shd w:val="clear" w:color="auto" w:fill="B4F7FF" w:themeFill="accent6" w:themeFillTint="33"/>
          </w:tcPr>
          <w:p w14:paraId="2319DC2E" w14:textId="6EEA0954" w:rsidR="00FC10E9" w:rsidRDefault="00FC10E9" w:rsidP="00E93683">
            <w:pPr>
              <w:rPr>
                <w:sz w:val="18"/>
                <w:szCs w:val="18"/>
              </w:rPr>
            </w:pPr>
            <w:r w:rsidRPr="00634625">
              <w:rPr>
                <w:sz w:val="18"/>
                <w:szCs w:val="18"/>
              </w:rPr>
              <w:t>Humanitarian respon</w:t>
            </w:r>
            <w:r>
              <w:rPr>
                <w:sz w:val="18"/>
                <w:szCs w:val="18"/>
              </w:rPr>
              <w:t>s</w:t>
            </w:r>
            <w:r w:rsidRPr="00634625">
              <w:rPr>
                <w:sz w:val="18"/>
                <w:szCs w:val="18"/>
              </w:rPr>
              <w:t>es</w:t>
            </w:r>
            <w:r>
              <w:rPr>
                <w:b/>
                <w:bCs/>
                <w:sz w:val="18"/>
                <w:szCs w:val="18"/>
              </w:rPr>
              <w:t xml:space="preserve">   supported by </w:t>
            </w:r>
            <w:r w:rsidRPr="00634625">
              <w:rPr>
                <w:sz w:val="18"/>
                <w:szCs w:val="18"/>
              </w:rPr>
              <w:t>external organisations</w:t>
            </w:r>
            <w:r>
              <w:rPr>
                <w:sz w:val="18"/>
                <w:szCs w:val="18"/>
              </w:rPr>
              <w:t xml:space="preserve"> with international personnel </w:t>
            </w:r>
            <w:r>
              <w:rPr>
                <w:b/>
                <w:bCs/>
                <w:sz w:val="18"/>
                <w:szCs w:val="18"/>
              </w:rPr>
              <w:t>by invitation</w:t>
            </w:r>
            <w:r w:rsidRPr="00634625">
              <w:rPr>
                <w:sz w:val="18"/>
                <w:szCs w:val="18"/>
              </w:rPr>
              <w:t xml:space="preserve">, with coordination </w:t>
            </w:r>
            <w:r>
              <w:rPr>
                <w:sz w:val="18"/>
                <w:szCs w:val="18"/>
              </w:rPr>
              <w:t>led by</w:t>
            </w:r>
            <w:r w:rsidRPr="00634625">
              <w:rPr>
                <w:sz w:val="18"/>
                <w:szCs w:val="18"/>
              </w:rPr>
              <w:t xml:space="preserve"> National Government </w:t>
            </w:r>
            <w:r>
              <w:rPr>
                <w:sz w:val="18"/>
                <w:szCs w:val="18"/>
              </w:rPr>
              <w:t>with</w:t>
            </w:r>
            <w:r w:rsidRPr="00634625">
              <w:rPr>
                <w:sz w:val="18"/>
                <w:szCs w:val="18"/>
              </w:rPr>
              <w:t xml:space="preserve"> local actors</w:t>
            </w:r>
          </w:p>
          <w:p w14:paraId="32209C2A" w14:textId="2143CA72" w:rsidR="00FC10E9" w:rsidRPr="00634625" w:rsidRDefault="00FC10E9" w:rsidP="00E93683">
            <w:pPr>
              <w:rPr>
                <w:b/>
                <w:bCs/>
                <w:sz w:val="18"/>
                <w:szCs w:val="18"/>
              </w:rPr>
            </w:pPr>
            <w:r>
              <w:rPr>
                <w:sz w:val="18"/>
                <w:szCs w:val="18"/>
              </w:rPr>
              <w:t xml:space="preserve">Development Partners channel </w:t>
            </w:r>
            <w:r w:rsidRPr="00634625">
              <w:rPr>
                <w:b/>
                <w:bCs/>
                <w:sz w:val="18"/>
                <w:szCs w:val="18"/>
              </w:rPr>
              <w:t xml:space="preserve">resources </w:t>
            </w:r>
            <w:r>
              <w:rPr>
                <w:b/>
                <w:bCs/>
                <w:sz w:val="18"/>
                <w:szCs w:val="18"/>
              </w:rPr>
              <w:t>both</w:t>
            </w:r>
            <w:r w:rsidRPr="00634625">
              <w:rPr>
                <w:b/>
                <w:bCs/>
                <w:sz w:val="18"/>
                <w:szCs w:val="18"/>
              </w:rPr>
              <w:t xml:space="preserve"> through IOs and INGOS</w:t>
            </w:r>
            <w:r>
              <w:rPr>
                <w:b/>
                <w:bCs/>
                <w:sz w:val="18"/>
                <w:szCs w:val="18"/>
              </w:rPr>
              <w:t xml:space="preserve"> (to their partners), and at times directly local actors</w:t>
            </w:r>
          </w:p>
          <w:p w14:paraId="2813CDBA" w14:textId="391D9B38" w:rsidR="00FC10E9" w:rsidRDefault="00FC10E9" w:rsidP="00E93683">
            <w:pPr>
              <w:rPr>
                <w:sz w:val="18"/>
                <w:szCs w:val="18"/>
              </w:rPr>
            </w:pPr>
            <w:r>
              <w:rPr>
                <w:sz w:val="18"/>
                <w:szCs w:val="18"/>
              </w:rPr>
              <w:t xml:space="preserve">Local actors responsible for assessment, direct service delivery, </w:t>
            </w:r>
            <w:r w:rsidR="00070348">
              <w:rPr>
                <w:sz w:val="18"/>
                <w:szCs w:val="18"/>
              </w:rPr>
              <w:t>MEL</w:t>
            </w:r>
            <w:r>
              <w:rPr>
                <w:sz w:val="18"/>
                <w:szCs w:val="18"/>
              </w:rPr>
              <w:t xml:space="preserve">, performance, risk management, logistics, </w:t>
            </w:r>
            <w:r w:rsidR="007F7644">
              <w:rPr>
                <w:sz w:val="18"/>
                <w:szCs w:val="18"/>
              </w:rPr>
              <w:t>coordination,</w:t>
            </w:r>
            <w:r>
              <w:rPr>
                <w:sz w:val="18"/>
                <w:szCs w:val="18"/>
              </w:rPr>
              <w:t xml:space="preserve"> and engagement with governments, with IOs and INGOs </w:t>
            </w:r>
            <w:r w:rsidRPr="00634625">
              <w:rPr>
                <w:b/>
                <w:bCs/>
                <w:sz w:val="18"/>
                <w:szCs w:val="18"/>
              </w:rPr>
              <w:t>responsible</w:t>
            </w:r>
            <w:r>
              <w:rPr>
                <w:sz w:val="18"/>
                <w:szCs w:val="18"/>
              </w:rPr>
              <w:t xml:space="preserve"> for communications, accountability, quality assurance and capacity building.</w:t>
            </w:r>
          </w:p>
          <w:p w14:paraId="0B09916D" w14:textId="04DC0B95" w:rsidR="00FC10E9" w:rsidRPr="00021523" w:rsidRDefault="00FC10E9" w:rsidP="00E93683">
            <w:pPr>
              <w:rPr>
                <w:sz w:val="18"/>
                <w:szCs w:val="18"/>
              </w:rPr>
            </w:pPr>
            <w:r w:rsidRPr="00FE38E5">
              <w:rPr>
                <w:b/>
                <w:bCs/>
                <w:sz w:val="18"/>
                <w:szCs w:val="18"/>
              </w:rPr>
              <w:t>Community/contextualised standards exist</w:t>
            </w:r>
            <w:r w:rsidRPr="00FE38E5">
              <w:rPr>
                <w:sz w:val="18"/>
                <w:szCs w:val="18"/>
              </w:rPr>
              <w:t xml:space="preserve"> for all actors working in that context</w:t>
            </w:r>
            <w:r w:rsidR="000E5C5A">
              <w:rPr>
                <w:sz w:val="18"/>
                <w:szCs w:val="18"/>
              </w:rPr>
              <w:t>.</w:t>
            </w:r>
          </w:p>
        </w:tc>
        <w:tc>
          <w:tcPr>
            <w:tcW w:w="898" w:type="pct"/>
            <w:shd w:val="clear" w:color="auto" w:fill="B4F7FF" w:themeFill="accent6" w:themeFillTint="33"/>
          </w:tcPr>
          <w:p w14:paraId="091CBFF8" w14:textId="4FC0C1AB" w:rsidR="00FC10E9" w:rsidRDefault="00FC10E9" w:rsidP="00E93683">
            <w:pPr>
              <w:rPr>
                <w:sz w:val="18"/>
                <w:szCs w:val="18"/>
              </w:rPr>
            </w:pPr>
            <w:r w:rsidRPr="00634625">
              <w:rPr>
                <w:sz w:val="18"/>
                <w:szCs w:val="18"/>
              </w:rPr>
              <w:t xml:space="preserve">Humanitarian responses </w:t>
            </w:r>
            <w:r w:rsidRPr="00634625">
              <w:rPr>
                <w:b/>
                <w:bCs/>
                <w:sz w:val="18"/>
                <w:szCs w:val="18"/>
              </w:rPr>
              <w:t xml:space="preserve">primarily led by </w:t>
            </w:r>
            <w:r>
              <w:rPr>
                <w:b/>
                <w:bCs/>
                <w:sz w:val="18"/>
                <w:szCs w:val="18"/>
              </w:rPr>
              <w:t>local communities</w:t>
            </w:r>
            <w:r w:rsidRPr="00634625">
              <w:rPr>
                <w:sz w:val="18"/>
                <w:szCs w:val="18"/>
              </w:rPr>
              <w:t xml:space="preserve"> and </w:t>
            </w:r>
            <w:r>
              <w:rPr>
                <w:sz w:val="18"/>
                <w:szCs w:val="18"/>
              </w:rPr>
              <w:t>national</w:t>
            </w:r>
            <w:r w:rsidRPr="00634625">
              <w:rPr>
                <w:sz w:val="18"/>
                <w:szCs w:val="18"/>
              </w:rPr>
              <w:t xml:space="preserve"> personnel, with coordination </w:t>
            </w:r>
            <w:r>
              <w:rPr>
                <w:sz w:val="18"/>
                <w:szCs w:val="18"/>
              </w:rPr>
              <w:t>led by</w:t>
            </w:r>
            <w:r w:rsidRPr="00634625">
              <w:rPr>
                <w:sz w:val="18"/>
                <w:szCs w:val="18"/>
              </w:rPr>
              <w:t xml:space="preserve"> National Government </w:t>
            </w:r>
            <w:r>
              <w:rPr>
                <w:sz w:val="18"/>
                <w:szCs w:val="18"/>
              </w:rPr>
              <w:t>with</w:t>
            </w:r>
            <w:r w:rsidRPr="00634625">
              <w:rPr>
                <w:sz w:val="18"/>
                <w:szCs w:val="18"/>
              </w:rPr>
              <w:t xml:space="preserve"> local actors</w:t>
            </w:r>
          </w:p>
          <w:p w14:paraId="2EFD3781" w14:textId="0F3C109B" w:rsidR="00FC10E9" w:rsidRPr="00634625" w:rsidRDefault="00FC10E9" w:rsidP="00E93683">
            <w:pPr>
              <w:rPr>
                <w:b/>
                <w:bCs/>
                <w:sz w:val="18"/>
                <w:szCs w:val="18"/>
              </w:rPr>
            </w:pPr>
            <w:r>
              <w:rPr>
                <w:sz w:val="18"/>
                <w:szCs w:val="18"/>
              </w:rPr>
              <w:t xml:space="preserve">Development Partners channel </w:t>
            </w:r>
            <w:r w:rsidRPr="00634625">
              <w:rPr>
                <w:b/>
                <w:bCs/>
                <w:sz w:val="18"/>
                <w:szCs w:val="18"/>
              </w:rPr>
              <w:t>resources</w:t>
            </w:r>
            <w:r>
              <w:rPr>
                <w:b/>
                <w:bCs/>
                <w:sz w:val="18"/>
                <w:szCs w:val="18"/>
              </w:rPr>
              <w:t xml:space="preserve"> separately though INGOs and OIs for their functions, and directly to</w:t>
            </w:r>
            <w:r w:rsidRPr="00634625">
              <w:rPr>
                <w:b/>
                <w:bCs/>
                <w:sz w:val="18"/>
                <w:szCs w:val="18"/>
              </w:rPr>
              <w:t xml:space="preserve"> through </w:t>
            </w:r>
            <w:r>
              <w:rPr>
                <w:b/>
                <w:bCs/>
                <w:sz w:val="18"/>
                <w:szCs w:val="18"/>
              </w:rPr>
              <w:t>PGs and local actors for implementation</w:t>
            </w:r>
          </w:p>
          <w:p w14:paraId="4347225C" w14:textId="15D0FAF2" w:rsidR="00FC10E9" w:rsidRDefault="00FC10E9" w:rsidP="00E93683">
            <w:pPr>
              <w:rPr>
                <w:sz w:val="18"/>
                <w:szCs w:val="18"/>
              </w:rPr>
            </w:pPr>
            <w:r>
              <w:rPr>
                <w:sz w:val="18"/>
                <w:szCs w:val="18"/>
              </w:rPr>
              <w:t xml:space="preserve">IOs and INGOs </w:t>
            </w:r>
            <w:r w:rsidRPr="00634625">
              <w:rPr>
                <w:b/>
                <w:bCs/>
                <w:sz w:val="18"/>
                <w:szCs w:val="18"/>
              </w:rPr>
              <w:t>primarily responsible</w:t>
            </w:r>
            <w:r>
              <w:rPr>
                <w:sz w:val="18"/>
                <w:szCs w:val="18"/>
              </w:rPr>
              <w:t xml:space="preserve"> communications, technical support, quality assurance and international advocacy and review.</w:t>
            </w:r>
          </w:p>
          <w:p w14:paraId="1AFDFCBD" w14:textId="7387D3F7" w:rsidR="00FC10E9" w:rsidRPr="00FE38E5" w:rsidRDefault="00FC10E9" w:rsidP="00E93683">
            <w:pPr>
              <w:rPr>
                <w:b/>
                <w:bCs/>
                <w:sz w:val="18"/>
                <w:szCs w:val="18"/>
              </w:rPr>
            </w:pPr>
            <w:r w:rsidRPr="00FE38E5">
              <w:rPr>
                <w:sz w:val="18"/>
                <w:szCs w:val="18"/>
              </w:rPr>
              <w:t>Contextualised humanitarian standards, tools and policies are available</w:t>
            </w:r>
            <w:r>
              <w:rPr>
                <w:sz w:val="18"/>
                <w:szCs w:val="18"/>
              </w:rPr>
              <w:t xml:space="preserve"> </w:t>
            </w:r>
            <w:r w:rsidRPr="00FE38E5">
              <w:rPr>
                <w:b/>
                <w:bCs/>
                <w:sz w:val="18"/>
                <w:szCs w:val="18"/>
              </w:rPr>
              <w:t>and utilised by all actors</w:t>
            </w:r>
            <w:r>
              <w:rPr>
                <w:b/>
                <w:bCs/>
                <w:sz w:val="18"/>
                <w:szCs w:val="18"/>
              </w:rPr>
              <w:t>.</w:t>
            </w:r>
          </w:p>
          <w:p w14:paraId="1CD5A5EB" w14:textId="3CDBA1DE" w:rsidR="00FC10E9" w:rsidRPr="00FE38E5" w:rsidRDefault="00FC10E9" w:rsidP="00E93683">
            <w:pPr>
              <w:rPr>
                <w:sz w:val="18"/>
                <w:szCs w:val="18"/>
              </w:rPr>
            </w:pPr>
          </w:p>
          <w:p w14:paraId="4B4AF83F" w14:textId="50DD944B" w:rsidR="00FC10E9" w:rsidRPr="00634625" w:rsidRDefault="00FC10E9" w:rsidP="0058133C">
            <w:pPr>
              <w:rPr>
                <w:b/>
                <w:bCs/>
                <w:sz w:val="18"/>
                <w:szCs w:val="18"/>
              </w:rPr>
            </w:pPr>
          </w:p>
        </w:tc>
      </w:tr>
    </w:tbl>
    <w:p w14:paraId="1472913E" w14:textId="03BDBBBA" w:rsidR="004D54CB" w:rsidRDefault="004D54CB" w:rsidP="004D54CB">
      <w:pPr>
        <w:pStyle w:val="Heading1"/>
      </w:pPr>
      <w:bookmarkStart w:id="97" w:name="_Toc89876026"/>
      <w:bookmarkStart w:id="98" w:name="_Toc101521671"/>
      <w:r>
        <w:rPr>
          <w:sz w:val="22"/>
          <w:szCs w:val="22"/>
        </w:rPr>
        <w:lastRenderedPageBreak/>
        <w:t xml:space="preserve">Annex 4: </w:t>
      </w:r>
      <w:r w:rsidR="0046568C">
        <w:rPr>
          <w:sz w:val="22"/>
          <w:szCs w:val="22"/>
        </w:rPr>
        <w:t xml:space="preserve">DRAFT </w:t>
      </w:r>
      <w:r>
        <w:rPr>
          <w:sz w:val="22"/>
          <w:szCs w:val="22"/>
        </w:rPr>
        <w:t>StrategIC LEVEL Monitoring, Evaluation and Learning Framework</w:t>
      </w:r>
      <w:bookmarkEnd w:id="97"/>
      <w:bookmarkEnd w:id="98"/>
      <w:r>
        <w:rPr>
          <w:sz w:val="22"/>
          <w:szCs w:val="22"/>
        </w:rPr>
        <w:t xml:space="preserve"> </w:t>
      </w:r>
    </w:p>
    <w:p w14:paraId="0A3AA3E2" w14:textId="2280669B" w:rsidR="004D54CB" w:rsidRDefault="004D54CB" w:rsidP="004D54CB">
      <w:r>
        <w:t xml:space="preserve">This is an indicative Framework outlining the key MEL processes and responsibilities which could apply at a whole-of-Program level. In addition, individual Country Plans for Disaster READY, and individual response activations, will have their own proposals and MEL arrangements, and ANGOs are responsible for MEL within their own programs and internal systems. </w:t>
      </w:r>
      <w:r w:rsidR="009E4AA4">
        <w:t>The</w:t>
      </w:r>
      <w:r>
        <w:t xml:space="preserve"> MEL Framework and guidance</w:t>
      </w:r>
      <w:r w:rsidR="009E4AA4">
        <w:t xml:space="preserve"> will be reviewed, </w:t>
      </w:r>
      <w:r w:rsidR="004B0AC3">
        <w:t>adjusted,</w:t>
      </w:r>
      <w:r w:rsidR="009E4AA4">
        <w:t xml:space="preserve"> and finalised by the AHPSU in consultation with ANGOs </w:t>
      </w:r>
      <w:r w:rsidR="00DC2A5E">
        <w:t>in the first half of 2022</w:t>
      </w:r>
      <w:r w:rsidR="00A6018D">
        <w:t xml:space="preserve"> following finalisation of the Disaster READY MELF, with </w:t>
      </w:r>
      <w:r w:rsidR="004B0AC3">
        <w:t>consideration</w:t>
      </w:r>
      <w:r w:rsidR="00A6018D">
        <w:t xml:space="preserve"> provided to appropriate localisation and GEDSI indicators</w:t>
      </w:r>
      <w:r>
        <w:t>.</w:t>
      </w:r>
    </w:p>
    <w:tbl>
      <w:tblPr>
        <w:tblStyle w:val="TableGrid"/>
        <w:tblW w:w="0" w:type="auto"/>
        <w:tblLook w:val="04A0" w:firstRow="1" w:lastRow="0" w:firstColumn="1" w:lastColumn="0" w:noHBand="0" w:noVBand="1"/>
      </w:tblPr>
      <w:tblGrid>
        <w:gridCol w:w="2524"/>
        <w:gridCol w:w="2537"/>
        <w:gridCol w:w="4573"/>
        <w:gridCol w:w="1562"/>
        <w:gridCol w:w="1658"/>
        <w:gridCol w:w="2534"/>
      </w:tblGrid>
      <w:tr w:rsidR="00A14F58" w14:paraId="675A8161" w14:textId="77777777" w:rsidTr="00A14F58">
        <w:tc>
          <w:tcPr>
            <w:tcW w:w="2524" w:type="dxa"/>
          </w:tcPr>
          <w:p w14:paraId="26AEE93E" w14:textId="04DB45D5" w:rsidR="00A14F58" w:rsidRPr="00673397" w:rsidRDefault="00A14F58" w:rsidP="00A14F58">
            <w:r w:rsidRPr="00673397">
              <w:rPr>
                <w:rFonts w:ascii="Calibri" w:eastAsia="Times New Roman" w:hAnsi="Calibri" w:cs="Calibri"/>
                <w:b/>
                <w:bCs/>
                <w:sz w:val="24"/>
                <w:szCs w:val="24"/>
                <w:lang w:val="en-AU" w:eastAsia="en-AU"/>
              </w:rPr>
              <w:t>Program Logic</w:t>
            </w:r>
          </w:p>
        </w:tc>
        <w:tc>
          <w:tcPr>
            <w:tcW w:w="2537" w:type="dxa"/>
          </w:tcPr>
          <w:p w14:paraId="1F36AF84" w14:textId="6B12AC7B" w:rsidR="00A14F58" w:rsidRPr="00673397" w:rsidRDefault="00A14F58" w:rsidP="00A14F58">
            <w:r w:rsidRPr="00673397">
              <w:rPr>
                <w:rFonts w:ascii="Calibri" w:eastAsia="Times New Roman" w:hAnsi="Calibri" w:cs="Calibri"/>
                <w:b/>
                <w:bCs/>
                <w:sz w:val="24"/>
                <w:szCs w:val="24"/>
                <w:lang w:val="en-AU" w:eastAsia="en-AU"/>
              </w:rPr>
              <w:t>Methodology</w:t>
            </w:r>
          </w:p>
        </w:tc>
        <w:tc>
          <w:tcPr>
            <w:tcW w:w="4573" w:type="dxa"/>
          </w:tcPr>
          <w:p w14:paraId="0FF81314" w14:textId="466FDC0D" w:rsidR="00A14F58" w:rsidRPr="00673397" w:rsidRDefault="00A14F58" w:rsidP="00A14F58">
            <w:r w:rsidRPr="00673397">
              <w:rPr>
                <w:rFonts w:ascii="Calibri" w:eastAsia="Times New Roman" w:hAnsi="Calibri" w:cs="Calibri"/>
                <w:b/>
                <w:bCs/>
                <w:sz w:val="24"/>
                <w:szCs w:val="24"/>
                <w:lang w:val="en-AU" w:eastAsia="en-AU"/>
              </w:rPr>
              <w:t>Research questions/indicators</w:t>
            </w:r>
          </w:p>
        </w:tc>
        <w:tc>
          <w:tcPr>
            <w:tcW w:w="1562" w:type="dxa"/>
          </w:tcPr>
          <w:p w14:paraId="3B009B9D" w14:textId="4C59B1D1" w:rsidR="00A14F58" w:rsidRPr="00673397" w:rsidRDefault="00A14F58" w:rsidP="00A14F58">
            <w:r w:rsidRPr="00673397">
              <w:rPr>
                <w:rFonts w:ascii="Calibri" w:eastAsia="Times New Roman" w:hAnsi="Calibri" w:cs="Calibri"/>
                <w:b/>
                <w:bCs/>
                <w:sz w:val="24"/>
                <w:szCs w:val="24"/>
                <w:lang w:val="en-AU" w:eastAsia="en-AU"/>
              </w:rPr>
              <w:t>Frequency</w:t>
            </w:r>
          </w:p>
        </w:tc>
        <w:tc>
          <w:tcPr>
            <w:tcW w:w="1658" w:type="dxa"/>
          </w:tcPr>
          <w:p w14:paraId="215EBC77" w14:textId="280789A0" w:rsidR="00A14F58" w:rsidRPr="00673397" w:rsidRDefault="00A14F58" w:rsidP="00A14F58">
            <w:r w:rsidRPr="00673397">
              <w:rPr>
                <w:rFonts w:ascii="Calibri" w:eastAsia="Times New Roman" w:hAnsi="Calibri" w:cs="Calibri"/>
                <w:b/>
                <w:bCs/>
                <w:sz w:val="24"/>
                <w:szCs w:val="24"/>
                <w:lang w:val="en-AU" w:eastAsia="en-AU"/>
              </w:rPr>
              <w:t>Responsibility</w:t>
            </w:r>
          </w:p>
        </w:tc>
        <w:tc>
          <w:tcPr>
            <w:tcW w:w="2534" w:type="dxa"/>
          </w:tcPr>
          <w:p w14:paraId="4A70E052" w14:textId="44378BC7" w:rsidR="00A14F58" w:rsidRPr="00673397" w:rsidRDefault="00A14F58" w:rsidP="00A14F58">
            <w:r w:rsidRPr="00673397">
              <w:rPr>
                <w:rFonts w:ascii="Calibri" w:eastAsia="Times New Roman" w:hAnsi="Calibri" w:cs="Calibri"/>
                <w:b/>
                <w:bCs/>
                <w:sz w:val="24"/>
                <w:szCs w:val="24"/>
                <w:lang w:val="en-AU" w:eastAsia="en-AU"/>
              </w:rPr>
              <w:t>Report/ product</w:t>
            </w:r>
          </w:p>
        </w:tc>
      </w:tr>
      <w:tr w:rsidR="00A14F58" w14:paraId="6FEB9BC5" w14:textId="77777777" w:rsidTr="00A14F58">
        <w:tc>
          <w:tcPr>
            <w:tcW w:w="2524" w:type="dxa"/>
          </w:tcPr>
          <w:p w14:paraId="4C3C4EE6" w14:textId="04202EEC" w:rsidR="00A14F58" w:rsidRPr="00673397" w:rsidRDefault="00A14F58" w:rsidP="00A14F58">
            <w:r w:rsidRPr="00673397">
              <w:rPr>
                <w:rFonts w:ascii="Calibri" w:eastAsia="Times New Roman" w:hAnsi="Calibri" w:cs="Calibri"/>
                <w:sz w:val="20"/>
                <w:szCs w:val="20"/>
                <w:lang w:val="en-AU" w:eastAsia="en-AU"/>
              </w:rPr>
              <w:t>1. Women, men, children, people living with disabilities and other at-risk groups are better prepared and resilient to disasters, in selected Pacific countries and Timor-Leste.</w:t>
            </w:r>
          </w:p>
        </w:tc>
        <w:tc>
          <w:tcPr>
            <w:tcW w:w="2537" w:type="dxa"/>
          </w:tcPr>
          <w:p w14:paraId="40ABB99A" w14:textId="61B4D931" w:rsidR="00A14F58" w:rsidRPr="00673397" w:rsidRDefault="00A14F58" w:rsidP="00A14F58">
            <w:r w:rsidRPr="00673397">
              <w:rPr>
                <w:rFonts w:ascii="Calibri" w:eastAsia="Times New Roman" w:hAnsi="Calibri" w:cs="Calibri"/>
                <w:sz w:val="20"/>
                <w:szCs w:val="20"/>
                <w:lang w:val="en-AU" w:eastAsia="en-AU"/>
              </w:rPr>
              <w:t>Mid-term/EOP and thematic Disaster READY Country evaluations</w:t>
            </w:r>
          </w:p>
        </w:tc>
        <w:tc>
          <w:tcPr>
            <w:tcW w:w="4573" w:type="dxa"/>
          </w:tcPr>
          <w:p w14:paraId="71FD1540" w14:textId="77777777" w:rsidR="00A14F58" w:rsidRPr="00673397" w:rsidRDefault="00A14F58" w:rsidP="0011591E">
            <w:pPr>
              <w:pStyle w:val="ListParagraph"/>
              <w:numPr>
                <w:ilvl w:val="0"/>
                <w:numId w:val="49"/>
              </w:num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To what extent and in what ways are communities better prepared for rapid and slow onset disasters?  Reference what occurred when disasters did occur.</w:t>
            </w:r>
          </w:p>
          <w:p w14:paraId="15251A09" w14:textId="77777777" w:rsidR="00A14F58" w:rsidRPr="00673397" w:rsidRDefault="00A14F58" w:rsidP="0011591E">
            <w:pPr>
              <w:pStyle w:val="ListParagraph"/>
              <w:numPr>
                <w:ilvl w:val="0"/>
                <w:numId w:val="49"/>
              </w:num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To what extent are their coordination mechanisms for preparedness and response between government, NGOs, the private sector, and communities, and to what extent are people living with disabilities, women, affected communities and other vulnerable groups involved?</w:t>
            </w:r>
          </w:p>
          <w:p w14:paraId="4B648065" w14:textId="77777777" w:rsidR="00A14F58" w:rsidRPr="00673397" w:rsidRDefault="00A14F58" w:rsidP="0011591E">
            <w:pPr>
              <w:pStyle w:val="ListParagraph"/>
              <w:numPr>
                <w:ilvl w:val="0"/>
                <w:numId w:val="49"/>
              </w:num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To what extent and in what manner are national NGOs and faith-based organisations involved in the country humanitarian system?</w:t>
            </w:r>
          </w:p>
          <w:p w14:paraId="699E7436" w14:textId="77777777" w:rsidR="00A14F58" w:rsidRPr="00673397" w:rsidRDefault="00A14F58" w:rsidP="0011591E">
            <w:pPr>
              <w:pStyle w:val="ListParagraph"/>
              <w:numPr>
                <w:ilvl w:val="0"/>
                <w:numId w:val="49"/>
              </w:num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To what extent are the rights and needs of women, people living with disabilities, youth and children being met in disaster preparedness and response at all levels? What barriers to access have been identified in women's leadership?</w:t>
            </w:r>
          </w:p>
          <w:p w14:paraId="56B34C3D" w14:textId="77777777" w:rsidR="00A14F58" w:rsidRPr="00673397" w:rsidRDefault="00A14F58" w:rsidP="0011591E">
            <w:pPr>
              <w:pStyle w:val="ListParagraph"/>
              <w:numPr>
                <w:ilvl w:val="0"/>
                <w:numId w:val="49"/>
              </w:num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To what extent have NGOs worked effectively with each other and other relevant stakeholders?</w:t>
            </w:r>
          </w:p>
          <w:p w14:paraId="16FC1FF1" w14:textId="0BD71E55" w:rsidR="00A14F58" w:rsidRPr="00673397" w:rsidRDefault="00A14F58" w:rsidP="0011591E">
            <w:pPr>
              <w:pStyle w:val="ListParagraph"/>
              <w:numPr>
                <w:ilvl w:val="0"/>
                <w:numId w:val="49"/>
              </w:num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What lessons have been learned and what policy or practices changes are required in selected thematic, cross-cutting, sectoral issues?</w:t>
            </w:r>
          </w:p>
        </w:tc>
        <w:tc>
          <w:tcPr>
            <w:tcW w:w="1562" w:type="dxa"/>
          </w:tcPr>
          <w:p w14:paraId="61620F9B" w14:textId="4D9123E6" w:rsidR="00A14F58" w:rsidRPr="00673397" w:rsidRDefault="00A14F58" w:rsidP="00A14F58">
            <w:r w:rsidRPr="00673397">
              <w:rPr>
                <w:rFonts w:ascii="Calibri" w:eastAsia="Times New Roman" w:hAnsi="Calibri" w:cs="Calibri"/>
                <w:sz w:val="20"/>
                <w:szCs w:val="20"/>
                <w:lang w:val="en-AU" w:eastAsia="en-AU"/>
              </w:rPr>
              <w:t>Mid-term/EOP on cycle across the 5 DR countries</w:t>
            </w:r>
          </w:p>
        </w:tc>
        <w:tc>
          <w:tcPr>
            <w:tcW w:w="1658" w:type="dxa"/>
          </w:tcPr>
          <w:p w14:paraId="09FD89D9" w14:textId="541B0F83" w:rsidR="00A14F58" w:rsidRPr="00673397" w:rsidRDefault="00A14F58" w:rsidP="00A14F58">
            <w:r w:rsidRPr="00673397">
              <w:rPr>
                <w:rFonts w:ascii="Calibri" w:eastAsia="Times New Roman" w:hAnsi="Calibri" w:cs="Calibri"/>
                <w:b/>
                <w:bCs/>
                <w:sz w:val="20"/>
                <w:szCs w:val="20"/>
                <w:lang w:val="en-AU" w:eastAsia="en-AU"/>
              </w:rPr>
              <w:t>AHPSU</w:t>
            </w:r>
            <w:r w:rsidRPr="00673397">
              <w:rPr>
                <w:rFonts w:ascii="Calibri" w:eastAsia="Times New Roman" w:hAnsi="Calibri" w:cs="Calibri"/>
                <w:sz w:val="20"/>
                <w:szCs w:val="20"/>
                <w:lang w:val="en-AU" w:eastAsia="en-AU"/>
              </w:rPr>
              <w:t xml:space="preserve"> in consultation with DR Country Committees</w:t>
            </w:r>
          </w:p>
        </w:tc>
        <w:tc>
          <w:tcPr>
            <w:tcW w:w="2534" w:type="dxa"/>
          </w:tcPr>
          <w:p w14:paraId="5E9E09D2" w14:textId="2D2EF014" w:rsidR="00A14F58" w:rsidRPr="00673397" w:rsidRDefault="00A14F58" w:rsidP="00A14F58">
            <w:r w:rsidRPr="00673397">
              <w:rPr>
                <w:rFonts w:ascii="Calibri" w:eastAsia="Times New Roman" w:hAnsi="Calibri" w:cs="Calibri"/>
                <w:sz w:val="20"/>
                <w:szCs w:val="20"/>
                <w:lang w:val="en-AU" w:eastAsia="en-AU"/>
              </w:rPr>
              <w:t>Country Evaluation and Thematic Evaluation Reports</w:t>
            </w:r>
          </w:p>
        </w:tc>
      </w:tr>
      <w:tr w:rsidR="00A14F58" w14:paraId="19DBEB52" w14:textId="77777777" w:rsidTr="00A14F58">
        <w:tc>
          <w:tcPr>
            <w:tcW w:w="2524" w:type="dxa"/>
          </w:tcPr>
          <w:p w14:paraId="317BED1C" w14:textId="77777777" w:rsidR="00A14F58" w:rsidRPr="00673397" w:rsidRDefault="00A14F58" w:rsidP="00A14F58"/>
        </w:tc>
        <w:tc>
          <w:tcPr>
            <w:tcW w:w="2537" w:type="dxa"/>
          </w:tcPr>
          <w:p w14:paraId="7A4409BC" w14:textId="41A8A271" w:rsidR="00A14F58" w:rsidRPr="00673397" w:rsidRDefault="00A14F58" w:rsidP="00A14F58">
            <w:r w:rsidRPr="00673397">
              <w:rPr>
                <w:rFonts w:ascii="Calibri" w:eastAsia="Times New Roman" w:hAnsi="Calibri" w:cs="Calibri"/>
                <w:sz w:val="20"/>
                <w:szCs w:val="20"/>
                <w:lang w:val="en-AU" w:eastAsia="en-AU"/>
              </w:rPr>
              <w:t xml:space="preserve">Facilitated annual </w:t>
            </w:r>
            <w:r w:rsidRPr="00673397">
              <w:rPr>
                <w:rFonts w:ascii="Calibri" w:eastAsia="Times New Roman" w:hAnsi="Calibri" w:cs="Calibri"/>
                <w:b/>
                <w:bCs/>
                <w:sz w:val="20"/>
                <w:szCs w:val="20"/>
                <w:lang w:val="en-AU" w:eastAsia="en-AU"/>
              </w:rPr>
              <w:t>participatory r</w:t>
            </w:r>
            <w:r w:rsidRPr="00673397">
              <w:rPr>
                <w:rFonts w:ascii="Calibri" w:eastAsia="Times New Roman" w:hAnsi="Calibri" w:cs="Calibri"/>
                <w:sz w:val="20"/>
                <w:szCs w:val="20"/>
                <w:lang w:val="en-AU" w:eastAsia="en-AU"/>
              </w:rPr>
              <w:t xml:space="preserve">eflection and reporting against the </w:t>
            </w:r>
            <w:r w:rsidRPr="00673397">
              <w:rPr>
                <w:rFonts w:ascii="Calibri" w:eastAsia="Times New Roman" w:hAnsi="Calibri" w:cs="Calibri"/>
                <w:sz w:val="20"/>
                <w:szCs w:val="20"/>
                <w:lang w:val="en-AU" w:eastAsia="en-AU"/>
              </w:rPr>
              <w:lastRenderedPageBreak/>
              <w:t>Country Plan Intermediate Outcome areas (below)</w:t>
            </w:r>
          </w:p>
        </w:tc>
        <w:tc>
          <w:tcPr>
            <w:tcW w:w="4573" w:type="dxa"/>
          </w:tcPr>
          <w:p w14:paraId="7D6CA835" w14:textId="77777777" w:rsidR="00A14F58" w:rsidRPr="00673397" w:rsidRDefault="00A14F58" w:rsidP="0011591E">
            <w:pPr>
              <w:pStyle w:val="ListParagraph"/>
              <w:numPr>
                <w:ilvl w:val="0"/>
                <w:numId w:val="50"/>
              </w:num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lastRenderedPageBreak/>
              <w:t>What were the key achievements in this period against the Country Plan and why were these significant?</w:t>
            </w:r>
          </w:p>
          <w:p w14:paraId="4C7DED51" w14:textId="77777777" w:rsidR="00A14F58" w:rsidRPr="00673397" w:rsidRDefault="00A14F58" w:rsidP="0011591E">
            <w:pPr>
              <w:pStyle w:val="ListParagraph"/>
              <w:numPr>
                <w:ilvl w:val="0"/>
                <w:numId w:val="50"/>
              </w:num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What constraints were encountered?</w:t>
            </w:r>
          </w:p>
          <w:p w14:paraId="1495D867" w14:textId="77777777" w:rsidR="00A14F58" w:rsidRPr="00673397" w:rsidRDefault="00A14F58" w:rsidP="0011591E">
            <w:pPr>
              <w:pStyle w:val="ListParagraph"/>
              <w:numPr>
                <w:ilvl w:val="0"/>
                <w:numId w:val="50"/>
              </w:num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lastRenderedPageBreak/>
              <w:t>What lessons were learnt that should inform future policy and practice?</w:t>
            </w:r>
          </w:p>
          <w:p w14:paraId="1F3664D7" w14:textId="2F421113" w:rsidR="00A14F58" w:rsidRPr="00673397" w:rsidRDefault="00A14F58" w:rsidP="0011591E">
            <w:pPr>
              <w:pStyle w:val="ListParagraph"/>
              <w:numPr>
                <w:ilvl w:val="0"/>
                <w:numId w:val="50"/>
              </w:num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What changes should be made to programming?</w:t>
            </w:r>
          </w:p>
        </w:tc>
        <w:tc>
          <w:tcPr>
            <w:tcW w:w="1562" w:type="dxa"/>
          </w:tcPr>
          <w:p w14:paraId="04C7432F" w14:textId="2EF12BEE" w:rsidR="00A14F58" w:rsidRPr="00673397" w:rsidRDefault="00A14F58" w:rsidP="00A14F58">
            <w:r w:rsidRPr="00673397">
              <w:rPr>
                <w:rFonts w:ascii="Calibri" w:eastAsia="Times New Roman" w:hAnsi="Calibri" w:cs="Calibri"/>
                <w:sz w:val="20"/>
                <w:szCs w:val="20"/>
                <w:lang w:val="en-AU" w:eastAsia="en-AU"/>
              </w:rPr>
              <w:lastRenderedPageBreak/>
              <w:t>Annual</w:t>
            </w:r>
          </w:p>
        </w:tc>
        <w:tc>
          <w:tcPr>
            <w:tcW w:w="1658" w:type="dxa"/>
          </w:tcPr>
          <w:p w14:paraId="6B690297" w14:textId="752F10A4" w:rsidR="00A14F58" w:rsidRPr="00673397" w:rsidRDefault="00A14F58" w:rsidP="00A14F58">
            <w:r w:rsidRPr="00673397">
              <w:rPr>
                <w:rFonts w:ascii="Calibri" w:eastAsia="Times New Roman" w:hAnsi="Calibri" w:cs="Calibri"/>
                <w:b/>
                <w:bCs/>
                <w:sz w:val="20"/>
                <w:szCs w:val="20"/>
                <w:lang w:val="en-AU" w:eastAsia="en-AU"/>
              </w:rPr>
              <w:t>DRCC</w:t>
            </w:r>
            <w:r w:rsidRPr="00673397">
              <w:rPr>
                <w:rFonts w:ascii="Calibri" w:eastAsia="Times New Roman" w:hAnsi="Calibri" w:cs="Calibri"/>
                <w:sz w:val="20"/>
                <w:szCs w:val="20"/>
                <w:lang w:val="en-AU" w:eastAsia="en-AU"/>
              </w:rPr>
              <w:t xml:space="preserve"> facilitated by external party, technical </w:t>
            </w:r>
            <w:r w:rsidRPr="00673397">
              <w:rPr>
                <w:rFonts w:ascii="Calibri" w:eastAsia="Times New Roman" w:hAnsi="Calibri" w:cs="Calibri"/>
                <w:sz w:val="20"/>
                <w:szCs w:val="20"/>
                <w:lang w:val="en-AU" w:eastAsia="en-AU"/>
              </w:rPr>
              <w:lastRenderedPageBreak/>
              <w:t>support/direction from AHPSU</w:t>
            </w:r>
          </w:p>
        </w:tc>
        <w:tc>
          <w:tcPr>
            <w:tcW w:w="2534" w:type="dxa"/>
          </w:tcPr>
          <w:p w14:paraId="3695549D" w14:textId="299E52D9" w:rsidR="00A14F58" w:rsidRPr="00673397" w:rsidRDefault="00A14F58" w:rsidP="00A14F58">
            <w:r w:rsidRPr="00673397">
              <w:rPr>
                <w:rFonts w:ascii="Calibri" w:eastAsia="Times New Roman" w:hAnsi="Calibri" w:cs="Calibri"/>
                <w:sz w:val="20"/>
                <w:szCs w:val="20"/>
                <w:lang w:val="en-AU" w:eastAsia="en-AU"/>
              </w:rPr>
              <w:lastRenderedPageBreak/>
              <w:t xml:space="preserve"> Annual Country report (high level 3 pp) - </w:t>
            </w:r>
            <w:r w:rsidRPr="00673397">
              <w:rPr>
                <w:rFonts w:ascii="Calibri" w:eastAsia="Times New Roman" w:hAnsi="Calibri" w:cs="Calibri"/>
                <w:sz w:val="20"/>
                <w:szCs w:val="20"/>
                <w:lang w:val="en-AU" w:eastAsia="en-AU"/>
              </w:rPr>
              <w:lastRenderedPageBreak/>
              <w:t xml:space="preserve">supplemented with Basic Data set </w:t>
            </w:r>
          </w:p>
        </w:tc>
      </w:tr>
      <w:tr w:rsidR="00A14F58" w14:paraId="5EFDC96D" w14:textId="77777777" w:rsidTr="00A14F58">
        <w:tc>
          <w:tcPr>
            <w:tcW w:w="2524" w:type="dxa"/>
          </w:tcPr>
          <w:p w14:paraId="5BDF2B2B" w14:textId="77777777" w:rsidR="00A14F58" w:rsidRPr="00673397" w:rsidRDefault="00A14F58" w:rsidP="00A14F58"/>
        </w:tc>
        <w:tc>
          <w:tcPr>
            <w:tcW w:w="2537" w:type="dxa"/>
          </w:tcPr>
          <w:p w14:paraId="1B87E7EA" w14:textId="7733BFCE" w:rsidR="00A14F58" w:rsidRPr="00673397" w:rsidRDefault="00A14F58" w:rsidP="00A14F58">
            <w:r w:rsidRPr="00673397">
              <w:rPr>
                <w:rFonts w:ascii="Calibri" w:eastAsia="Times New Roman" w:hAnsi="Calibri" w:cs="Calibri"/>
                <w:sz w:val="20"/>
                <w:szCs w:val="20"/>
                <w:lang w:val="en-AU" w:eastAsia="en-AU"/>
              </w:rPr>
              <w:t>Accountability to Affected Populations feedback and analysis methods deployed by each ANGO as agreed by each DR CC</w:t>
            </w:r>
          </w:p>
        </w:tc>
        <w:tc>
          <w:tcPr>
            <w:tcW w:w="4573" w:type="dxa"/>
          </w:tcPr>
          <w:p w14:paraId="47D8C6F0" w14:textId="17523754" w:rsidR="00A14F58" w:rsidRPr="00673397" w:rsidRDefault="00A14F58" w:rsidP="0011591E">
            <w:pPr>
              <w:pStyle w:val="ListParagraph"/>
              <w:numPr>
                <w:ilvl w:val="0"/>
                <w:numId w:val="57"/>
              </w:numPr>
            </w:pPr>
            <w:r w:rsidRPr="00673397">
              <w:rPr>
                <w:rFonts w:ascii="Calibri" w:eastAsia="Times New Roman" w:hAnsi="Calibri" w:cs="Calibri"/>
                <w:sz w:val="20"/>
                <w:szCs w:val="20"/>
                <w:lang w:val="en-AU" w:eastAsia="en-AU"/>
              </w:rPr>
              <w:t>To what extent are local communities involved in leading, planning, implementing, and reviewing preparedness and climate risk reduction activities?</w:t>
            </w:r>
          </w:p>
        </w:tc>
        <w:tc>
          <w:tcPr>
            <w:tcW w:w="1562" w:type="dxa"/>
          </w:tcPr>
          <w:p w14:paraId="6254B13D" w14:textId="48213DCC" w:rsidR="00A14F58" w:rsidRPr="00673397" w:rsidRDefault="00A14F58" w:rsidP="00A14F58">
            <w:r w:rsidRPr="00673397">
              <w:rPr>
                <w:rFonts w:ascii="Calibri" w:eastAsia="Times New Roman" w:hAnsi="Calibri" w:cs="Calibri"/>
                <w:sz w:val="20"/>
                <w:szCs w:val="20"/>
                <w:lang w:val="en-AU" w:eastAsia="en-AU"/>
              </w:rPr>
              <w:t>Annual</w:t>
            </w:r>
          </w:p>
        </w:tc>
        <w:tc>
          <w:tcPr>
            <w:tcW w:w="1658" w:type="dxa"/>
          </w:tcPr>
          <w:p w14:paraId="66205902" w14:textId="3E4CA25C" w:rsidR="00A14F58" w:rsidRPr="00673397" w:rsidRDefault="00A14F58" w:rsidP="00A14F58">
            <w:r w:rsidRPr="00673397">
              <w:rPr>
                <w:rFonts w:ascii="Calibri" w:eastAsia="Times New Roman" w:hAnsi="Calibri" w:cs="Calibri"/>
                <w:sz w:val="20"/>
                <w:szCs w:val="20"/>
                <w:lang w:val="en-AU" w:eastAsia="en-AU"/>
              </w:rPr>
              <w:t>ANGOs</w:t>
            </w:r>
          </w:p>
        </w:tc>
        <w:tc>
          <w:tcPr>
            <w:tcW w:w="2534" w:type="dxa"/>
          </w:tcPr>
          <w:p w14:paraId="0203987E" w14:textId="1CFD88CD" w:rsidR="00A14F58" w:rsidRPr="00673397" w:rsidRDefault="00A14F58" w:rsidP="00A14F58">
            <w:r w:rsidRPr="00673397">
              <w:rPr>
                <w:rFonts w:ascii="Calibri" w:eastAsia="Times New Roman" w:hAnsi="Calibri" w:cs="Calibri"/>
                <w:sz w:val="20"/>
                <w:szCs w:val="20"/>
                <w:lang w:val="en-AU" w:eastAsia="en-AU"/>
              </w:rPr>
              <w:t>Incorporated into Annual Country Report</w:t>
            </w:r>
          </w:p>
        </w:tc>
      </w:tr>
      <w:tr w:rsidR="00A14F58" w14:paraId="02FC2F8E" w14:textId="77777777" w:rsidTr="00A14F58">
        <w:tc>
          <w:tcPr>
            <w:tcW w:w="2524" w:type="dxa"/>
          </w:tcPr>
          <w:p w14:paraId="37563904" w14:textId="66801CC4" w:rsidR="00A14F58" w:rsidRPr="00673397" w:rsidRDefault="00A14F58" w:rsidP="00A14F58">
            <w:r w:rsidRPr="00673397">
              <w:rPr>
                <w:rFonts w:ascii="Calibri" w:eastAsia="Times New Roman" w:hAnsi="Calibri" w:cs="Calibri"/>
                <w:sz w:val="20"/>
                <w:szCs w:val="20"/>
                <w:lang w:val="en-AU" w:eastAsia="en-AU"/>
              </w:rPr>
              <w:t>1.1 Communities (especially at-risk groups) are empowered to plan and implement effective, gender-responsive, socially inclusive, and integrated disaster preparedness and adaptation activities.</w:t>
            </w:r>
          </w:p>
        </w:tc>
        <w:tc>
          <w:tcPr>
            <w:tcW w:w="2537" w:type="dxa"/>
          </w:tcPr>
          <w:p w14:paraId="01D61471" w14:textId="5BDC6BC9" w:rsidR="00A14F58" w:rsidRPr="00673397" w:rsidRDefault="00A14F58" w:rsidP="00A14F58">
            <w:r w:rsidRPr="00673397">
              <w:rPr>
                <w:rFonts w:ascii="Calibri" w:eastAsia="Times New Roman" w:hAnsi="Calibri" w:cs="Calibri"/>
                <w:sz w:val="20"/>
                <w:szCs w:val="20"/>
                <w:lang w:val="en-AU" w:eastAsia="en-AU"/>
              </w:rPr>
              <w:t>Basic data set</w:t>
            </w:r>
          </w:p>
        </w:tc>
        <w:tc>
          <w:tcPr>
            <w:tcW w:w="4573" w:type="dxa"/>
          </w:tcPr>
          <w:p w14:paraId="0945B185" w14:textId="51074139" w:rsidR="00A14F58" w:rsidRPr="00673397" w:rsidRDefault="00A14F58" w:rsidP="0011591E">
            <w:pPr>
              <w:pStyle w:val="ListParagraph"/>
              <w:numPr>
                <w:ilvl w:val="0"/>
                <w:numId w:val="51"/>
              </w:num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Number of men, women, youth, children, PWDs participating in preparedness activities</w:t>
            </w:r>
          </w:p>
          <w:p w14:paraId="16105137" w14:textId="18A0F45A" w:rsidR="00A14F58" w:rsidRPr="00673397" w:rsidRDefault="00A14F58" w:rsidP="0011591E">
            <w:pPr>
              <w:pStyle w:val="ListParagraph"/>
              <w:numPr>
                <w:ilvl w:val="0"/>
                <w:numId w:val="51"/>
              </w:num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Number and geographic location of discrete communities participating in activities</w:t>
            </w:r>
          </w:p>
          <w:p w14:paraId="0CDAD931" w14:textId="5D2C5D8C" w:rsidR="00A14F58" w:rsidRPr="00673397" w:rsidRDefault="00A14F58" w:rsidP="0011591E">
            <w:pPr>
              <w:pStyle w:val="ListParagraph"/>
              <w:numPr>
                <w:ilvl w:val="0"/>
                <w:numId w:val="51"/>
              </w:num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 xml:space="preserve">Number and description of activities conducted </w:t>
            </w:r>
            <w:r w:rsidRPr="00673397">
              <w:rPr>
                <w:rFonts w:ascii="Calibri" w:eastAsia="Times New Roman" w:hAnsi="Calibri" w:cs="Calibri"/>
                <w:i/>
                <w:iCs/>
                <w:sz w:val="20"/>
                <w:szCs w:val="20"/>
                <w:lang w:val="en-AU" w:eastAsia="en-AU"/>
              </w:rPr>
              <w:t>(e.g., preparing community, church, school, or other disaster management plans, establishing evacuation centres, establishing disaster committees, establishing communication systems, conducting training, learning events, preparing communications products)</w:t>
            </w:r>
          </w:p>
        </w:tc>
        <w:tc>
          <w:tcPr>
            <w:tcW w:w="1562" w:type="dxa"/>
          </w:tcPr>
          <w:p w14:paraId="42CAF1BD" w14:textId="77777777" w:rsidR="00A14F58" w:rsidRPr="00673397" w:rsidRDefault="00A14F58" w:rsidP="00A14F58">
            <w:r w:rsidRPr="00673397">
              <w:rPr>
                <w:rFonts w:ascii="Calibri" w:eastAsia="Times New Roman" w:hAnsi="Calibri" w:cs="Calibri"/>
                <w:sz w:val="20"/>
                <w:szCs w:val="20"/>
                <w:lang w:val="en-AU" w:eastAsia="en-AU"/>
              </w:rPr>
              <w:t>6 monthly</w:t>
            </w:r>
          </w:p>
        </w:tc>
        <w:tc>
          <w:tcPr>
            <w:tcW w:w="1658" w:type="dxa"/>
          </w:tcPr>
          <w:p w14:paraId="7EA8AE52" w14:textId="4F55F0E3" w:rsidR="00A14F58" w:rsidRPr="00673397" w:rsidRDefault="00A14F58" w:rsidP="00A14F58">
            <w:r w:rsidRPr="00673397">
              <w:rPr>
                <w:rFonts w:ascii="Calibri" w:eastAsia="Times New Roman" w:hAnsi="Calibri" w:cs="Calibri"/>
                <w:sz w:val="20"/>
                <w:szCs w:val="20"/>
                <w:lang w:val="en-AU" w:eastAsia="en-AU"/>
              </w:rPr>
              <w:t>ANGOs</w:t>
            </w:r>
          </w:p>
        </w:tc>
        <w:tc>
          <w:tcPr>
            <w:tcW w:w="2534" w:type="dxa"/>
          </w:tcPr>
          <w:p w14:paraId="28348C6E" w14:textId="2F0719C5" w:rsidR="00A14F58" w:rsidRPr="00673397" w:rsidRDefault="00A14F58" w:rsidP="00A14F58">
            <w:r w:rsidRPr="00673397">
              <w:rPr>
                <w:rFonts w:ascii="Calibri" w:eastAsia="Times New Roman" w:hAnsi="Calibri" w:cs="Calibri"/>
                <w:sz w:val="20"/>
                <w:szCs w:val="20"/>
                <w:lang w:val="en-AU" w:eastAsia="en-AU"/>
              </w:rPr>
              <w:t>ANGO internal reporting, shared with AHPSU for Annual Report</w:t>
            </w:r>
          </w:p>
        </w:tc>
      </w:tr>
      <w:tr w:rsidR="00A14F58" w14:paraId="73331988" w14:textId="77777777" w:rsidTr="00A14F58">
        <w:tc>
          <w:tcPr>
            <w:tcW w:w="2524" w:type="dxa"/>
          </w:tcPr>
          <w:p w14:paraId="4E8A88F6" w14:textId="3837CC1C" w:rsidR="00A14F58" w:rsidRPr="00673397" w:rsidRDefault="00A14F58" w:rsidP="00A14F58">
            <w:r w:rsidRPr="00673397">
              <w:rPr>
                <w:rFonts w:ascii="Calibri" w:eastAsia="Times New Roman" w:hAnsi="Calibri" w:cs="Calibri"/>
                <w:sz w:val="20"/>
                <w:szCs w:val="20"/>
                <w:lang w:val="en-AU" w:eastAsia="en-AU"/>
              </w:rPr>
              <w:t>1.2 Local civil society actors (NGOs, Community Based Organisations (CBOs), Organisations of Persons with Disability (OPDs), churches, informal groups) have improved institutional and technical capacity to fulfil their role in effective disaster preparedness and adaptation.</w:t>
            </w:r>
          </w:p>
        </w:tc>
        <w:tc>
          <w:tcPr>
            <w:tcW w:w="2537" w:type="dxa"/>
          </w:tcPr>
          <w:p w14:paraId="33B51C6F" w14:textId="1A3A0EB0" w:rsidR="00A14F58" w:rsidRPr="00673397" w:rsidRDefault="00A14F58" w:rsidP="00A14F58">
            <w:r w:rsidRPr="00673397">
              <w:rPr>
                <w:rFonts w:ascii="Calibri" w:eastAsia="Times New Roman" w:hAnsi="Calibri" w:cs="Calibri"/>
                <w:sz w:val="20"/>
                <w:szCs w:val="20"/>
                <w:lang w:val="en-AU" w:eastAsia="en-AU"/>
              </w:rPr>
              <w:t>Basic data set</w:t>
            </w:r>
          </w:p>
        </w:tc>
        <w:tc>
          <w:tcPr>
            <w:tcW w:w="4573" w:type="dxa"/>
          </w:tcPr>
          <w:p w14:paraId="78034B58" w14:textId="27A50725" w:rsidR="00A14F58" w:rsidRPr="00673397" w:rsidRDefault="00A14F58" w:rsidP="0011591E">
            <w:pPr>
              <w:pStyle w:val="ListParagraph"/>
              <w:numPr>
                <w:ilvl w:val="0"/>
                <w:numId w:val="52"/>
              </w:numPr>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Number and type of NGO/CBO involved in capacity building activities (including WROs/OPDs)</w:t>
            </w:r>
          </w:p>
          <w:p w14:paraId="4610AAB6" w14:textId="00382D88" w:rsidR="00A14F58" w:rsidRPr="00673397" w:rsidRDefault="00A14F58" w:rsidP="0011591E">
            <w:pPr>
              <w:pStyle w:val="ListParagraph"/>
              <w:numPr>
                <w:ilvl w:val="0"/>
                <w:numId w:val="52"/>
              </w:numPr>
            </w:pPr>
            <w:r w:rsidRPr="00673397">
              <w:rPr>
                <w:rFonts w:ascii="Calibri" w:eastAsia="Times New Roman" w:hAnsi="Calibri" w:cs="Calibri"/>
                <w:sz w:val="20"/>
                <w:szCs w:val="20"/>
                <w:lang w:val="en-AU" w:eastAsia="en-AU"/>
              </w:rPr>
              <w:t>Number and description of activity conducted (e.g., new policies, procedures, practices, response plans, communications products, resources acquired)</w:t>
            </w:r>
          </w:p>
        </w:tc>
        <w:tc>
          <w:tcPr>
            <w:tcW w:w="1562" w:type="dxa"/>
          </w:tcPr>
          <w:p w14:paraId="0871E089" w14:textId="6523F73F" w:rsidR="00A14F58" w:rsidRPr="00673397" w:rsidRDefault="00A14F58" w:rsidP="00A14F58">
            <w:r w:rsidRPr="00673397">
              <w:rPr>
                <w:rFonts w:ascii="Calibri" w:eastAsia="Times New Roman" w:hAnsi="Calibri" w:cs="Calibri"/>
                <w:sz w:val="20"/>
                <w:szCs w:val="20"/>
                <w:lang w:val="en-AU" w:eastAsia="en-AU"/>
              </w:rPr>
              <w:t>6 monthly</w:t>
            </w:r>
          </w:p>
        </w:tc>
        <w:tc>
          <w:tcPr>
            <w:tcW w:w="1658" w:type="dxa"/>
          </w:tcPr>
          <w:p w14:paraId="13BFA823" w14:textId="302ACC1C" w:rsidR="00A14F58" w:rsidRPr="00673397" w:rsidRDefault="00A14F58" w:rsidP="00A14F58">
            <w:r w:rsidRPr="00673397">
              <w:rPr>
                <w:rFonts w:ascii="Calibri" w:eastAsia="Times New Roman" w:hAnsi="Calibri" w:cs="Calibri"/>
                <w:sz w:val="20"/>
                <w:szCs w:val="20"/>
                <w:lang w:val="en-AU" w:eastAsia="en-AU"/>
              </w:rPr>
              <w:t>ANGOs</w:t>
            </w:r>
          </w:p>
        </w:tc>
        <w:tc>
          <w:tcPr>
            <w:tcW w:w="2534" w:type="dxa"/>
          </w:tcPr>
          <w:p w14:paraId="3AA1FB51" w14:textId="74E51919" w:rsidR="00A14F58" w:rsidRPr="00673397" w:rsidRDefault="00A14F58" w:rsidP="00A14F58">
            <w:r w:rsidRPr="00673397">
              <w:rPr>
                <w:rFonts w:ascii="Calibri" w:eastAsia="Times New Roman" w:hAnsi="Calibri" w:cs="Calibri"/>
                <w:sz w:val="20"/>
                <w:szCs w:val="20"/>
                <w:lang w:val="en-AU" w:eastAsia="en-AU"/>
              </w:rPr>
              <w:t>ANGO internal reporting, shared with AHPSU for Annual Report</w:t>
            </w:r>
          </w:p>
        </w:tc>
      </w:tr>
      <w:tr w:rsidR="00936A79" w14:paraId="088A48D4" w14:textId="77777777" w:rsidTr="00A14F58">
        <w:tc>
          <w:tcPr>
            <w:tcW w:w="2524" w:type="dxa"/>
          </w:tcPr>
          <w:p w14:paraId="507CEC35" w14:textId="1A2C9387" w:rsidR="00936A79" w:rsidRPr="00673397" w:rsidRDefault="00936A79" w:rsidP="00936A79">
            <w:r w:rsidRPr="00673397">
              <w:rPr>
                <w:rFonts w:ascii="Calibri" w:eastAsia="Times New Roman" w:hAnsi="Calibri" w:cs="Calibri"/>
                <w:sz w:val="20"/>
                <w:szCs w:val="20"/>
                <w:lang w:val="en-AU" w:eastAsia="en-AU"/>
              </w:rPr>
              <w:t xml:space="preserve">1.3 National and sub-national governments are supported to lead effective, gender responsive, socially inclusive, and better </w:t>
            </w:r>
            <w:r w:rsidRPr="00673397">
              <w:rPr>
                <w:rFonts w:ascii="Calibri" w:eastAsia="Times New Roman" w:hAnsi="Calibri" w:cs="Calibri"/>
                <w:sz w:val="20"/>
                <w:szCs w:val="20"/>
                <w:lang w:val="en-AU" w:eastAsia="en-AU"/>
              </w:rPr>
              <w:lastRenderedPageBreak/>
              <w:t>coordinated disaster preparedness, adaptation, and response activities.</w:t>
            </w:r>
          </w:p>
        </w:tc>
        <w:tc>
          <w:tcPr>
            <w:tcW w:w="2537" w:type="dxa"/>
          </w:tcPr>
          <w:p w14:paraId="637E91E1" w14:textId="7511EC4E" w:rsidR="00936A79" w:rsidRPr="00673397" w:rsidRDefault="00936A79" w:rsidP="00936A79">
            <w:r w:rsidRPr="00673397">
              <w:rPr>
                <w:rFonts w:ascii="Calibri" w:eastAsia="Times New Roman" w:hAnsi="Calibri" w:cs="Calibri"/>
                <w:sz w:val="20"/>
                <w:szCs w:val="20"/>
                <w:lang w:val="en-AU" w:eastAsia="en-AU"/>
              </w:rPr>
              <w:lastRenderedPageBreak/>
              <w:t>Basic data set</w:t>
            </w:r>
          </w:p>
        </w:tc>
        <w:tc>
          <w:tcPr>
            <w:tcW w:w="4573" w:type="dxa"/>
          </w:tcPr>
          <w:p w14:paraId="62330BBB" w14:textId="77777777" w:rsidR="00936A79" w:rsidRPr="00673397" w:rsidRDefault="00936A79" w:rsidP="0011591E">
            <w:pPr>
              <w:pStyle w:val="ListParagraph"/>
              <w:numPr>
                <w:ilvl w:val="0"/>
                <w:numId w:val="53"/>
              </w:numPr>
            </w:pPr>
            <w:r w:rsidRPr="00673397">
              <w:rPr>
                <w:rFonts w:ascii="Calibri" w:hAnsi="Calibri" w:cs="Calibri"/>
                <w:sz w:val="20"/>
                <w:szCs w:val="20"/>
              </w:rPr>
              <w:t>Number</w:t>
            </w:r>
            <w:r w:rsidRPr="00673397">
              <w:rPr>
                <w:sz w:val="20"/>
                <w:szCs w:val="20"/>
              </w:rPr>
              <w:t xml:space="preserve"> </w:t>
            </w:r>
            <w:r w:rsidRPr="00673397">
              <w:rPr>
                <w:rFonts w:ascii="Calibri" w:eastAsia="Times New Roman" w:hAnsi="Calibri" w:cs="Calibri"/>
                <w:sz w:val="20"/>
                <w:szCs w:val="20"/>
                <w:lang w:val="en-AU" w:eastAsia="en-AU"/>
              </w:rPr>
              <w:t>and description of activities conducted with national and sub-national government to strengthen capability (e.g., policy and practice changes, training, communications products)</w:t>
            </w:r>
          </w:p>
          <w:p w14:paraId="22BD69BC" w14:textId="20CC87E3" w:rsidR="00936A79" w:rsidRPr="00673397" w:rsidRDefault="00936A79" w:rsidP="0011591E">
            <w:pPr>
              <w:pStyle w:val="ListParagraph"/>
              <w:numPr>
                <w:ilvl w:val="0"/>
                <w:numId w:val="53"/>
              </w:numPr>
            </w:pPr>
            <w:r w:rsidRPr="00673397">
              <w:rPr>
                <w:rFonts w:ascii="Calibri" w:eastAsia="Times New Roman" w:hAnsi="Calibri" w:cs="Calibri"/>
                <w:sz w:val="20"/>
                <w:szCs w:val="20"/>
                <w:lang w:val="en-AU" w:eastAsia="en-AU"/>
              </w:rPr>
              <w:lastRenderedPageBreak/>
              <w:t>Number and description of coordination events attended by CSO and communities, led by national and sub-national governments</w:t>
            </w:r>
            <w:r w:rsidRPr="00673397">
              <w:t xml:space="preserve"> </w:t>
            </w:r>
          </w:p>
          <w:p w14:paraId="09AF62C5" w14:textId="47D82EAE" w:rsidR="00936A79" w:rsidRPr="00673397" w:rsidRDefault="00936A79" w:rsidP="0011591E">
            <w:pPr>
              <w:pStyle w:val="ListParagraph"/>
              <w:numPr>
                <w:ilvl w:val="0"/>
                <w:numId w:val="53"/>
              </w:numPr>
              <w:rPr>
                <w:rFonts w:ascii="Calibri" w:hAnsi="Calibri" w:cs="Calibri"/>
              </w:rPr>
            </w:pPr>
            <w:r w:rsidRPr="00673397">
              <w:rPr>
                <w:rFonts w:ascii="Calibri" w:hAnsi="Calibri" w:cs="Calibri"/>
                <w:sz w:val="20"/>
                <w:szCs w:val="20"/>
              </w:rPr>
              <w:t>Number of men, women, PWDs, youth and other forms of disadvantage participating in coordination events</w:t>
            </w:r>
          </w:p>
        </w:tc>
        <w:tc>
          <w:tcPr>
            <w:tcW w:w="1562" w:type="dxa"/>
          </w:tcPr>
          <w:p w14:paraId="286CE6FA" w14:textId="7B42B692" w:rsidR="00936A79" w:rsidRPr="00673397" w:rsidRDefault="00936A79" w:rsidP="00936A79">
            <w:r w:rsidRPr="00673397">
              <w:rPr>
                <w:rFonts w:ascii="Calibri" w:eastAsia="Times New Roman" w:hAnsi="Calibri" w:cs="Calibri"/>
                <w:sz w:val="20"/>
                <w:szCs w:val="20"/>
                <w:lang w:val="en-AU" w:eastAsia="en-AU"/>
              </w:rPr>
              <w:lastRenderedPageBreak/>
              <w:t>6 monthly</w:t>
            </w:r>
          </w:p>
        </w:tc>
        <w:tc>
          <w:tcPr>
            <w:tcW w:w="1658" w:type="dxa"/>
          </w:tcPr>
          <w:p w14:paraId="74E5BC44" w14:textId="4962F786" w:rsidR="00936A79" w:rsidRPr="00673397" w:rsidRDefault="00936A79" w:rsidP="00936A79">
            <w:r w:rsidRPr="00673397">
              <w:rPr>
                <w:rFonts w:ascii="Calibri" w:eastAsia="Times New Roman" w:hAnsi="Calibri" w:cs="Calibri"/>
                <w:sz w:val="20"/>
                <w:szCs w:val="20"/>
                <w:lang w:val="en-AU" w:eastAsia="en-AU"/>
              </w:rPr>
              <w:t>ANGOs</w:t>
            </w:r>
          </w:p>
        </w:tc>
        <w:tc>
          <w:tcPr>
            <w:tcW w:w="2534" w:type="dxa"/>
          </w:tcPr>
          <w:p w14:paraId="2C74666E" w14:textId="74BEAC83" w:rsidR="00936A79" w:rsidRPr="00673397" w:rsidRDefault="00936A79" w:rsidP="00936A79">
            <w:r w:rsidRPr="00673397">
              <w:rPr>
                <w:rFonts w:ascii="Calibri" w:eastAsia="Times New Roman" w:hAnsi="Calibri" w:cs="Calibri"/>
                <w:sz w:val="20"/>
                <w:szCs w:val="20"/>
                <w:lang w:val="en-AU" w:eastAsia="en-AU"/>
              </w:rPr>
              <w:t>ANGO internal reporting, shared with AHPSU for Annual Report</w:t>
            </w:r>
          </w:p>
        </w:tc>
      </w:tr>
      <w:tr w:rsidR="000128E6" w14:paraId="10A57BED" w14:textId="77777777" w:rsidTr="00A14F58">
        <w:tc>
          <w:tcPr>
            <w:tcW w:w="2524" w:type="dxa"/>
          </w:tcPr>
          <w:p w14:paraId="16224D0B" w14:textId="59A141D2" w:rsidR="000128E6" w:rsidRPr="00673397" w:rsidRDefault="000128E6" w:rsidP="000128E6">
            <w:r w:rsidRPr="00673397">
              <w:rPr>
                <w:rFonts w:ascii="Calibri" w:eastAsia="Times New Roman" w:hAnsi="Calibri" w:cs="Calibri"/>
                <w:sz w:val="20"/>
                <w:szCs w:val="20"/>
                <w:lang w:val="en-AU" w:eastAsia="en-AU"/>
              </w:rPr>
              <w:t>2. Affected populations, particularly women, people living with disabilities and other at-risk groups, receive timely, high quality and locally led humanitarian assistance that meets priority needs appropriate to the context.</w:t>
            </w:r>
          </w:p>
        </w:tc>
        <w:tc>
          <w:tcPr>
            <w:tcW w:w="2537" w:type="dxa"/>
          </w:tcPr>
          <w:p w14:paraId="3CF25A91" w14:textId="1A66EBD5" w:rsidR="000128E6" w:rsidRPr="00673397" w:rsidRDefault="000128E6" w:rsidP="000128E6">
            <w:r w:rsidRPr="00673397">
              <w:rPr>
                <w:rFonts w:ascii="Calibri" w:eastAsia="Times New Roman" w:hAnsi="Calibri" w:cs="Calibri"/>
                <w:sz w:val="20"/>
                <w:szCs w:val="20"/>
                <w:lang w:val="en-AU" w:eastAsia="en-AU"/>
              </w:rPr>
              <w:t>Activation evaluations over $3m or as appropriate</w:t>
            </w:r>
          </w:p>
        </w:tc>
        <w:tc>
          <w:tcPr>
            <w:tcW w:w="4573" w:type="dxa"/>
          </w:tcPr>
          <w:p w14:paraId="38892FAA" w14:textId="79721C59" w:rsidR="000128E6" w:rsidRPr="00673397" w:rsidRDefault="000128E6" w:rsidP="0011591E">
            <w:pPr>
              <w:pStyle w:val="ListParagraph"/>
              <w:numPr>
                <w:ilvl w:val="0"/>
                <w:numId w:val="58"/>
              </w:numPr>
            </w:pPr>
            <w:r w:rsidRPr="00673397">
              <w:rPr>
                <w:rFonts w:ascii="Calibri" w:eastAsia="Times New Roman" w:hAnsi="Calibri" w:cs="Calibri"/>
                <w:sz w:val="20"/>
                <w:szCs w:val="20"/>
                <w:lang w:val="en-AU" w:eastAsia="en-AU"/>
              </w:rPr>
              <w:t>Tailored TOR to address relevance, effectiveness, efficiency, sustainability, gender; and analysing performance and lessons against AHP cross-cutting principles and themes of resilience, localisation, inclusion and diversity, partnership and collaboration, standards, and quality</w:t>
            </w:r>
          </w:p>
        </w:tc>
        <w:tc>
          <w:tcPr>
            <w:tcW w:w="1562" w:type="dxa"/>
          </w:tcPr>
          <w:p w14:paraId="01F64F13" w14:textId="29B67799" w:rsidR="000128E6" w:rsidRPr="00673397" w:rsidRDefault="000128E6" w:rsidP="000128E6">
            <w:r w:rsidRPr="00673397">
              <w:rPr>
                <w:rFonts w:ascii="Calibri" w:eastAsia="Times New Roman" w:hAnsi="Calibri" w:cs="Calibri"/>
                <w:sz w:val="20"/>
                <w:szCs w:val="20"/>
                <w:lang w:val="en-AU" w:eastAsia="en-AU"/>
              </w:rPr>
              <w:t>End of Activation</w:t>
            </w:r>
          </w:p>
        </w:tc>
        <w:tc>
          <w:tcPr>
            <w:tcW w:w="1658" w:type="dxa"/>
          </w:tcPr>
          <w:p w14:paraId="614435DC" w14:textId="5816E666" w:rsidR="000128E6" w:rsidRPr="00673397" w:rsidRDefault="000128E6" w:rsidP="000128E6">
            <w:r w:rsidRPr="00673397">
              <w:rPr>
                <w:rFonts w:ascii="Calibri" w:eastAsia="Times New Roman" w:hAnsi="Calibri" w:cs="Calibri"/>
                <w:sz w:val="20"/>
                <w:szCs w:val="20"/>
                <w:lang w:val="en-AU" w:eastAsia="en-AU"/>
              </w:rPr>
              <w:t>AHPSU</w:t>
            </w:r>
          </w:p>
        </w:tc>
        <w:tc>
          <w:tcPr>
            <w:tcW w:w="2534" w:type="dxa"/>
          </w:tcPr>
          <w:p w14:paraId="10D32E57" w14:textId="0191AB47" w:rsidR="000128E6" w:rsidRPr="00673397" w:rsidRDefault="000128E6" w:rsidP="000128E6">
            <w:r w:rsidRPr="00673397">
              <w:rPr>
                <w:rFonts w:ascii="Calibri" w:eastAsia="Times New Roman" w:hAnsi="Calibri" w:cs="Calibri"/>
                <w:sz w:val="20"/>
                <w:szCs w:val="20"/>
                <w:lang w:val="en-AU" w:eastAsia="en-AU"/>
              </w:rPr>
              <w:t>Activation Evaluation Report</w:t>
            </w:r>
          </w:p>
        </w:tc>
      </w:tr>
      <w:tr w:rsidR="0011591E" w14:paraId="46BFCE0E" w14:textId="77777777" w:rsidTr="00A14F58">
        <w:tc>
          <w:tcPr>
            <w:tcW w:w="2524" w:type="dxa"/>
          </w:tcPr>
          <w:p w14:paraId="378FEF0B" w14:textId="525FF36C" w:rsidR="0011591E" w:rsidRPr="00673397" w:rsidRDefault="0011591E" w:rsidP="0011591E">
            <w:r w:rsidRPr="00673397">
              <w:rPr>
                <w:rFonts w:ascii="Calibri" w:eastAsia="Times New Roman" w:hAnsi="Calibri" w:cs="Calibri"/>
                <w:sz w:val="20"/>
                <w:szCs w:val="20"/>
                <w:lang w:val="en-AU" w:eastAsia="en-AU"/>
              </w:rPr>
              <w:t xml:space="preserve">2.1 AHP partners deliver timely, well-coordinated and integrated responses to rapid onset disasters that promote early recovery and resilience to future disaster. </w:t>
            </w:r>
          </w:p>
        </w:tc>
        <w:tc>
          <w:tcPr>
            <w:tcW w:w="2537" w:type="dxa"/>
          </w:tcPr>
          <w:p w14:paraId="27D23876" w14:textId="460A5638" w:rsidR="0011591E" w:rsidRPr="00673397" w:rsidRDefault="0011591E" w:rsidP="0011591E">
            <w:r w:rsidRPr="00673397">
              <w:rPr>
                <w:rFonts w:ascii="Calibri" w:eastAsia="Times New Roman" w:hAnsi="Calibri" w:cs="Calibri"/>
                <w:sz w:val="20"/>
                <w:szCs w:val="20"/>
                <w:lang w:val="en-AU" w:eastAsia="en-AU"/>
              </w:rPr>
              <w:t>Basic data set</w:t>
            </w:r>
          </w:p>
        </w:tc>
        <w:tc>
          <w:tcPr>
            <w:tcW w:w="4573" w:type="dxa"/>
          </w:tcPr>
          <w:p w14:paraId="4A83CA55" w14:textId="77777777" w:rsidR="0011591E" w:rsidRPr="00673397" w:rsidRDefault="0011591E" w:rsidP="0011591E">
            <w:pPr>
              <w:pStyle w:val="ListParagraph"/>
              <w:numPr>
                <w:ilvl w:val="0"/>
                <w:numId w:val="54"/>
              </w:numPr>
              <w:tabs>
                <w:tab w:val="left" w:pos="1703"/>
              </w:tabs>
            </w:pPr>
            <w:r w:rsidRPr="00673397">
              <w:rPr>
                <w:rFonts w:ascii="Calibri" w:eastAsia="Times New Roman" w:hAnsi="Calibri" w:cs="Calibri"/>
                <w:sz w:val="20"/>
                <w:szCs w:val="20"/>
                <w:lang w:val="en-AU" w:eastAsia="en-AU"/>
              </w:rPr>
              <w:t>Number of men, women, youth, children, PWDs and other identified vulnerable groups participating in response activities</w:t>
            </w:r>
          </w:p>
          <w:p w14:paraId="4336E2EE" w14:textId="4901B6E8" w:rsidR="0011591E" w:rsidRPr="00673397" w:rsidRDefault="0011591E" w:rsidP="0011591E">
            <w:pPr>
              <w:pStyle w:val="ListParagraph"/>
              <w:numPr>
                <w:ilvl w:val="0"/>
                <w:numId w:val="54"/>
              </w:numPr>
              <w:tabs>
                <w:tab w:val="left" w:pos="1703"/>
              </w:tabs>
            </w:pPr>
            <w:r w:rsidRPr="00673397">
              <w:rPr>
                <w:rFonts w:ascii="Calibri" w:eastAsia="Times New Roman" w:hAnsi="Calibri" w:cs="Calibri"/>
                <w:sz w:val="20"/>
                <w:szCs w:val="20"/>
                <w:lang w:val="en-AU" w:eastAsia="en-AU"/>
              </w:rPr>
              <w:t>Number and geographic location of discrete communities participating in response and recovery activities</w:t>
            </w:r>
          </w:p>
          <w:p w14:paraId="46CCDAF0" w14:textId="4E6797C6" w:rsidR="0011591E" w:rsidRPr="00673397" w:rsidRDefault="0011591E" w:rsidP="0011591E">
            <w:pPr>
              <w:pStyle w:val="ListParagraph"/>
              <w:numPr>
                <w:ilvl w:val="0"/>
                <w:numId w:val="54"/>
              </w:numPr>
              <w:tabs>
                <w:tab w:val="left" w:pos="1703"/>
              </w:tabs>
            </w:pPr>
            <w:r w:rsidRPr="00673397">
              <w:rPr>
                <w:rFonts w:ascii="Calibri" w:eastAsia="Times New Roman" w:hAnsi="Calibri" w:cs="Calibri"/>
                <w:sz w:val="20"/>
                <w:szCs w:val="20"/>
                <w:lang w:val="en-AU" w:eastAsia="en-AU"/>
              </w:rPr>
              <w:t xml:space="preserve">Number and description of response and recovery activities conducted </w:t>
            </w:r>
            <w:r w:rsidRPr="00673397">
              <w:rPr>
                <w:rFonts w:ascii="Calibri" w:eastAsia="Times New Roman" w:hAnsi="Calibri" w:cs="Calibri"/>
                <w:i/>
                <w:iCs/>
                <w:sz w:val="20"/>
                <w:szCs w:val="20"/>
                <w:lang w:val="en-AU" w:eastAsia="en-AU"/>
              </w:rPr>
              <w:t>(e.g., cash transfer, shelter, food, water, sanitation, livelihood, training, employment)</w:t>
            </w:r>
          </w:p>
        </w:tc>
        <w:tc>
          <w:tcPr>
            <w:tcW w:w="1562" w:type="dxa"/>
          </w:tcPr>
          <w:p w14:paraId="3BF7FB62" w14:textId="71E8BD68" w:rsidR="0011591E" w:rsidRPr="00673397" w:rsidRDefault="0011591E" w:rsidP="0011591E">
            <w:r w:rsidRPr="00673397">
              <w:rPr>
                <w:rFonts w:ascii="Calibri" w:eastAsia="Times New Roman" w:hAnsi="Calibri" w:cs="Calibri"/>
                <w:sz w:val="20"/>
                <w:szCs w:val="20"/>
                <w:lang w:val="en-AU" w:eastAsia="en-AU"/>
              </w:rPr>
              <w:t>6 monthly</w:t>
            </w:r>
          </w:p>
        </w:tc>
        <w:tc>
          <w:tcPr>
            <w:tcW w:w="1658" w:type="dxa"/>
          </w:tcPr>
          <w:p w14:paraId="3373C268" w14:textId="08B738C5" w:rsidR="0011591E" w:rsidRPr="00673397" w:rsidRDefault="0011591E" w:rsidP="0011591E">
            <w:r w:rsidRPr="00673397">
              <w:rPr>
                <w:rFonts w:ascii="Calibri" w:eastAsia="Times New Roman" w:hAnsi="Calibri" w:cs="Calibri"/>
                <w:sz w:val="20"/>
                <w:szCs w:val="20"/>
                <w:lang w:val="en-AU" w:eastAsia="en-AU"/>
              </w:rPr>
              <w:t>ANGOs</w:t>
            </w:r>
          </w:p>
        </w:tc>
        <w:tc>
          <w:tcPr>
            <w:tcW w:w="2534" w:type="dxa"/>
          </w:tcPr>
          <w:p w14:paraId="7AF5E785" w14:textId="780985F3" w:rsidR="0011591E" w:rsidRPr="00673397" w:rsidRDefault="0011591E" w:rsidP="0011591E">
            <w:r w:rsidRPr="00673397">
              <w:rPr>
                <w:rFonts w:ascii="Calibri" w:eastAsia="Times New Roman" w:hAnsi="Calibri" w:cs="Calibri"/>
                <w:sz w:val="20"/>
                <w:szCs w:val="20"/>
                <w:lang w:val="en-AU" w:eastAsia="en-AU"/>
              </w:rPr>
              <w:t>ANGO internal reporting, shared with AHPSU for Annual Report</w:t>
            </w:r>
          </w:p>
        </w:tc>
      </w:tr>
      <w:tr w:rsidR="0011591E" w14:paraId="20DE3D50" w14:textId="77777777" w:rsidTr="00A14F58">
        <w:tc>
          <w:tcPr>
            <w:tcW w:w="2524" w:type="dxa"/>
          </w:tcPr>
          <w:p w14:paraId="4750C8ED" w14:textId="2C24D79D" w:rsidR="0011591E" w:rsidRPr="00673397" w:rsidRDefault="0011591E" w:rsidP="0011591E">
            <w:r w:rsidRPr="00673397">
              <w:rPr>
                <w:rFonts w:ascii="Calibri" w:eastAsia="Times New Roman" w:hAnsi="Calibri" w:cs="Calibri"/>
                <w:sz w:val="20"/>
                <w:szCs w:val="20"/>
                <w:lang w:val="en-AU" w:eastAsia="en-AU"/>
              </w:rPr>
              <w:t xml:space="preserve">2.2    AHP partners deliver responses to protracted crises with context-specific design and management arrangements that promote sustainability. </w:t>
            </w:r>
          </w:p>
        </w:tc>
        <w:tc>
          <w:tcPr>
            <w:tcW w:w="2537" w:type="dxa"/>
          </w:tcPr>
          <w:p w14:paraId="0138FDC6" w14:textId="1C7079EE" w:rsidR="0011591E" w:rsidRPr="00673397" w:rsidRDefault="0011591E" w:rsidP="0011591E">
            <w:r w:rsidRPr="00673397">
              <w:rPr>
                <w:rFonts w:ascii="Calibri" w:eastAsia="Times New Roman" w:hAnsi="Calibri" w:cs="Calibri"/>
                <w:sz w:val="20"/>
                <w:szCs w:val="20"/>
                <w:lang w:val="en-AU" w:eastAsia="en-AU"/>
              </w:rPr>
              <w:t>Basic data set</w:t>
            </w:r>
          </w:p>
        </w:tc>
        <w:tc>
          <w:tcPr>
            <w:tcW w:w="4573" w:type="dxa"/>
          </w:tcPr>
          <w:p w14:paraId="4B7A813B" w14:textId="16319ACA" w:rsidR="0011591E" w:rsidRPr="00673397" w:rsidRDefault="0011591E" w:rsidP="0011591E">
            <w:pPr>
              <w:pStyle w:val="ListParagraph"/>
              <w:numPr>
                <w:ilvl w:val="0"/>
                <w:numId w:val="55"/>
              </w:numPr>
            </w:pPr>
            <w:r w:rsidRPr="00673397">
              <w:rPr>
                <w:rFonts w:ascii="Calibri" w:eastAsia="Times New Roman" w:hAnsi="Calibri" w:cs="Calibri"/>
                <w:sz w:val="20"/>
                <w:szCs w:val="20"/>
                <w:lang w:val="en-AU" w:eastAsia="en-AU"/>
              </w:rPr>
              <w:t>Number of men, women, youth, children, PWDs and other identified vulnerable groups participating in response activities</w:t>
            </w:r>
          </w:p>
          <w:p w14:paraId="2725FF2D" w14:textId="6B84697F" w:rsidR="0011591E" w:rsidRPr="00673397" w:rsidRDefault="0011591E" w:rsidP="0011591E">
            <w:pPr>
              <w:pStyle w:val="ListParagraph"/>
              <w:numPr>
                <w:ilvl w:val="0"/>
                <w:numId w:val="55"/>
              </w:numPr>
            </w:pPr>
            <w:r w:rsidRPr="00673397">
              <w:rPr>
                <w:rFonts w:ascii="Calibri" w:eastAsia="Times New Roman" w:hAnsi="Calibri" w:cs="Calibri"/>
                <w:sz w:val="20"/>
                <w:szCs w:val="20"/>
                <w:lang w:val="en-AU" w:eastAsia="en-AU"/>
              </w:rPr>
              <w:t>Number and geographic location of discrete communities participating in response and recovery activities</w:t>
            </w:r>
          </w:p>
          <w:p w14:paraId="026C47F6" w14:textId="3C677E12" w:rsidR="0011591E" w:rsidRPr="00673397" w:rsidRDefault="0011591E" w:rsidP="0011591E">
            <w:pPr>
              <w:pStyle w:val="ListParagraph"/>
              <w:numPr>
                <w:ilvl w:val="0"/>
                <w:numId w:val="55"/>
              </w:numPr>
            </w:pPr>
            <w:r w:rsidRPr="00673397">
              <w:rPr>
                <w:rFonts w:ascii="Calibri" w:eastAsia="Times New Roman" w:hAnsi="Calibri" w:cs="Calibri"/>
                <w:sz w:val="20"/>
                <w:szCs w:val="20"/>
                <w:lang w:val="en-AU" w:eastAsia="en-AU"/>
              </w:rPr>
              <w:t xml:space="preserve">Number and type of response and recovery activities conducted </w:t>
            </w:r>
            <w:r w:rsidRPr="00673397">
              <w:rPr>
                <w:rFonts w:ascii="Calibri" w:eastAsia="Times New Roman" w:hAnsi="Calibri" w:cs="Calibri"/>
                <w:i/>
                <w:iCs/>
                <w:sz w:val="20"/>
                <w:szCs w:val="20"/>
                <w:lang w:val="en-AU" w:eastAsia="en-AU"/>
              </w:rPr>
              <w:t xml:space="preserve">(e.g., cash transfer, shelter, </w:t>
            </w:r>
            <w:r w:rsidRPr="00673397">
              <w:rPr>
                <w:rFonts w:ascii="Calibri" w:eastAsia="Times New Roman" w:hAnsi="Calibri" w:cs="Calibri"/>
                <w:i/>
                <w:iCs/>
                <w:sz w:val="20"/>
                <w:szCs w:val="20"/>
                <w:lang w:val="en-AU" w:eastAsia="en-AU"/>
              </w:rPr>
              <w:lastRenderedPageBreak/>
              <w:t>food, water, sanitation, livelihood, training, employment)</w:t>
            </w:r>
          </w:p>
        </w:tc>
        <w:tc>
          <w:tcPr>
            <w:tcW w:w="1562" w:type="dxa"/>
          </w:tcPr>
          <w:p w14:paraId="0F11503C" w14:textId="42E91492" w:rsidR="0011591E" w:rsidRPr="00673397" w:rsidRDefault="0011591E" w:rsidP="0011591E">
            <w:r w:rsidRPr="00673397">
              <w:rPr>
                <w:rFonts w:ascii="Calibri" w:eastAsia="Times New Roman" w:hAnsi="Calibri" w:cs="Calibri"/>
                <w:sz w:val="20"/>
                <w:szCs w:val="20"/>
                <w:lang w:val="en-AU" w:eastAsia="en-AU"/>
              </w:rPr>
              <w:lastRenderedPageBreak/>
              <w:t>6 monthly</w:t>
            </w:r>
          </w:p>
        </w:tc>
        <w:tc>
          <w:tcPr>
            <w:tcW w:w="1658" w:type="dxa"/>
          </w:tcPr>
          <w:p w14:paraId="263FBEB0" w14:textId="02C70B78" w:rsidR="0011591E" w:rsidRPr="00673397" w:rsidRDefault="0011591E" w:rsidP="0011591E">
            <w:r w:rsidRPr="00673397">
              <w:rPr>
                <w:rFonts w:ascii="Calibri" w:eastAsia="Times New Roman" w:hAnsi="Calibri" w:cs="Calibri"/>
                <w:sz w:val="20"/>
                <w:szCs w:val="20"/>
                <w:lang w:val="en-AU" w:eastAsia="en-AU"/>
              </w:rPr>
              <w:t>ANGOs</w:t>
            </w:r>
          </w:p>
        </w:tc>
        <w:tc>
          <w:tcPr>
            <w:tcW w:w="2534" w:type="dxa"/>
          </w:tcPr>
          <w:p w14:paraId="7683298F" w14:textId="290FB9AF" w:rsidR="0011591E" w:rsidRPr="00673397" w:rsidRDefault="0011591E" w:rsidP="0011591E">
            <w:r w:rsidRPr="00673397">
              <w:rPr>
                <w:rFonts w:ascii="Calibri" w:eastAsia="Times New Roman" w:hAnsi="Calibri" w:cs="Calibri"/>
                <w:sz w:val="20"/>
                <w:szCs w:val="20"/>
                <w:lang w:val="en-AU" w:eastAsia="en-AU"/>
              </w:rPr>
              <w:t>ANGO internal reporting, shared with AHPSU for Annual Report</w:t>
            </w:r>
          </w:p>
        </w:tc>
      </w:tr>
      <w:tr w:rsidR="0011591E" w14:paraId="7F870198" w14:textId="77777777" w:rsidTr="00A14F58">
        <w:tc>
          <w:tcPr>
            <w:tcW w:w="2524" w:type="dxa"/>
          </w:tcPr>
          <w:p w14:paraId="08E2E694" w14:textId="082B233D" w:rsidR="0011591E" w:rsidRPr="00673397" w:rsidRDefault="0011591E" w:rsidP="0011591E">
            <w:r w:rsidRPr="00673397">
              <w:rPr>
                <w:rFonts w:ascii="Calibri" w:eastAsia="Times New Roman" w:hAnsi="Calibri" w:cs="Calibri"/>
                <w:sz w:val="20"/>
                <w:szCs w:val="20"/>
                <w:lang w:val="en-AU" w:eastAsia="en-AU"/>
              </w:rPr>
              <w:t xml:space="preserve">2.3 AHP NGO partner responses in Disaster READY countries demonstrate increased local leadership, coordination, and capacity. </w:t>
            </w:r>
          </w:p>
        </w:tc>
        <w:tc>
          <w:tcPr>
            <w:tcW w:w="2537" w:type="dxa"/>
          </w:tcPr>
          <w:p w14:paraId="03B47E4E" w14:textId="79F383B1" w:rsidR="0011591E" w:rsidRPr="00673397" w:rsidRDefault="0011591E" w:rsidP="0011591E">
            <w:r w:rsidRPr="00673397">
              <w:rPr>
                <w:rFonts w:ascii="Calibri" w:eastAsia="Times New Roman" w:hAnsi="Calibri" w:cs="Calibri"/>
                <w:sz w:val="20"/>
                <w:szCs w:val="20"/>
                <w:lang w:val="en-AU" w:eastAsia="en-AU"/>
              </w:rPr>
              <w:t>Basic data set</w:t>
            </w:r>
          </w:p>
        </w:tc>
        <w:tc>
          <w:tcPr>
            <w:tcW w:w="4573" w:type="dxa"/>
          </w:tcPr>
          <w:p w14:paraId="03294368" w14:textId="7DC86FAF" w:rsidR="0011591E" w:rsidRPr="00673397" w:rsidRDefault="0011591E" w:rsidP="0011591E">
            <w:pPr>
              <w:pStyle w:val="ListParagraph"/>
              <w:numPr>
                <w:ilvl w:val="0"/>
                <w:numId w:val="56"/>
              </w:numPr>
            </w:pPr>
            <w:r w:rsidRPr="00673397">
              <w:rPr>
                <w:rFonts w:ascii="Calibri" w:eastAsia="Times New Roman" w:hAnsi="Calibri" w:cs="Calibri"/>
                <w:sz w:val="20"/>
                <w:szCs w:val="20"/>
                <w:lang w:val="en-AU" w:eastAsia="en-AU"/>
              </w:rPr>
              <w:t>Number and description of coordination events attended by CSO and communities, led by national and sub-national governments</w:t>
            </w:r>
          </w:p>
          <w:p w14:paraId="4DDD7D8D" w14:textId="28A6BDB4" w:rsidR="0011591E" w:rsidRPr="00673397" w:rsidRDefault="0011591E" w:rsidP="0011591E">
            <w:pPr>
              <w:pStyle w:val="ListParagraph"/>
              <w:numPr>
                <w:ilvl w:val="0"/>
                <w:numId w:val="56"/>
              </w:numPr>
            </w:pPr>
            <w:r w:rsidRPr="00673397">
              <w:rPr>
                <w:rFonts w:ascii="Calibri" w:eastAsia="Times New Roman" w:hAnsi="Calibri" w:cs="Calibri"/>
                <w:sz w:val="20"/>
                <w:szCs w:val="20"/>
                <w:lang w:val="en-AU" w:eastAsia="en-AU"/>
              </w:rPr>
              <w:t>Number of men, women, PWDs, youth and other forms of disadvantage participating in coordination events</w:t>
            </w:r>
          </w:p>
          <w:p w14:paraId="3E5E3534" w14:textId="5E155B24" w:rsidR="0011591E" w:rsidRPr="00673397" w:rsidRDefault="0011591E" w:rsidP="0011591E">
            <w:pPr>
              <w:pStyle w:val="ListParagraph"/>
              <w:numPr>
                <w:ilvl w:val="0"/>
                <w:numId w:val="56"/>
              </w:numPr>
            </w:pPr>
            <w:r w:rsidRPr="00673397">
              <w:rPr>
                <w:rFonts w:ascii="Calibri" w:eastAsia="Times New Roman" w:hAnsi="Calibri" w:cs="Calibri"/>
                <w:sz w:val="20"/>
                <w:szCs w:val="20"/>
                <w:lang w:val="en-AU" w:eastAsia="en-AU"/>
              </w:rPr>
              <w:t>Number of men, women, youth, children, PWDs and other identified vulnerable groups participating in response activities</w:t>
            </w:r>
          </w:p>
        </w:tc>
        <w:tc>
          <w:tcPr>
            <w:tcW w:w="1562" w:type="dxa"/>
          </w:tcPr>
          <w:p w14:paraId="3F2BCE94" w14:textId="7174803E" w:rsidR="0011591E" w:rsidRPr="00673397" w:rsidRDefault="0011591E" w:rsidP="0011591E">
            <w:r w:rsidRPr="00673397">
              <w:rPr>
                <w:rFonts w:ascii="Calibri" w:eastAsia="Times New Roman" w:hAnsi="Calibri" w:cs="Calibri"/>
                <w:sz w:val="20"/>
                <w:szCs w:val="20"/>
                <w:lang w:val="en-AU" w:eastAsia="en-AU"/>
              </w:rPr>
              <w:t>6 monthly</w:t>
            </w:r>
          </w:p>
        </w:tc>
        <w:tc>
          <w:tcPr>
            <w:tcW w:w="1658" w:type="dxa"/>
          </w:tcPr>
          <w:p w14:paraId="0EA0D092" w14:textId="1D68ACD5" w:rsidR="0011591E" w:rsidRPr="00673397" w:rsidRDefault="0011591E" w:rsidP="0011591E">
            <w:r w:rsidRPr="00673397">
              <w:rPr>
                <w:rFonts w:ascii="Calibri" w:eastAsia="Times New Roman" w:hAnsi="Calibri" w:cs="Calibri"/>
                <w:sz w:val="20"/>
                <w:szCs w:val="20"/>
                <w:lang w:val="en-AU" w:eastAsia="en-AU"/>
              </w:rPr>
              <w:t>ANGOs</w:t>
            </w:r>
          </w:p>
        </w:tc>
        <w:tc>
          <w:tcPr>
            <w:tcW w:w="2534" w:type="dxa"/>
          </w:tcPr>
          <w:p w14:paraId="4A6E2B7C" w14:textId="53BB26D8" w:rsidR="0011591E" w:rsidRPr="00673397" w:rsidRDefault="0011591E" w:rsidP="0011591E">
            <w:r w:rsidRPr="00673397">
              <w:rPr>
                <w:rFonts w:ascii="Calibri" w:eastAsia="Times New Roman" w:hAnsi="Calibri" w:cs="Calibri"/>
                <w:sz w:val="20"/>
                <w:szCs w:val="20"/>
                <w:lang w:val="en-AU" w:eastAsia="en-AU"/>
              </w:rPr>
              <w:t>ANGO internal reporting, shared with AHPSU for Annual Report</w:t>
            </w:r>
          </w:p>
        </w:tc>
      </w:tr>
      <w:tr w:rsidR="0011591E" w14:paraId="4B2FF3D2" w14:textId="77777777" w:rsidTr="00A14F58">
        <w:tc>
          <w:tcPr>
            <w:tcW w:w="2524" w:type="dxa"/>
          </w:tcPr>
          <w:p w14:paraId="79552458" w14:textId="00DBFC65" w:rsidR="0011591E" w:rsidRPr="00673397" w:rsidRDefault="0011591E" w:rsidP="0011591E">
            <w:r w:rsidRPr="00673397">
              <w:rPr>
                <w:rFonts w:ascii="Calibri" w:eastAsia="Times New Roman" w:hAnsi="Calibri" w:cs="Calibri"/>
                <w:sz w:val="20"/>
                <w:szCs w:val="20"/>
                <w:lang w:val="en-AU" w:eastAsia="en-AU"/>
              </w:rPr>
              <w:t>3.  AHP Partners and other humanitarian stakeholders strengthen policy and practice through collaboration and lessons learnt in Australia and the region.</w:t>
            </w:r>
          </w:p>
        </w:tc>
        <w:tc>
          <w:tcPr>
            <w:tcW w:w="2537" w:type="dxa"/>
          </w:tcPr>
          <w:p w14:paraId="5260352F" w14:textId="126E59B4" w:rsidR="0011591E" w:rsidRPr="00673397" w:rsidRDefault="0011591E" w:rsidP="0011591E">
            <w:r w:rsidRPr="00673397">
              <w:rPr>
                <w:rFonts w:ascii="Calibri" w:eastAsia="Times New Roman" w:hAnsi="Calibri" w:cs="Calibri"/>
                <w:b/>
                <w:bCs/>
                <w:sz w:val="20"/>
                <w:szCs w:val="20"/>
                <w:lang w:val="en-AU" w:eastAsia="en-AU"/>
              </w:rPr>
              <w:t xml:space="preserve">Independent End of Program Evaluation </w:t>
            </w:r>
            <w:r w:rsidRPr="00673397">
              <w:rPr>
                <w:rFonts w:ascii="Calibri" w:eastAsia="Times New Roman" w:hAnsi="Calibri" w:cs="Calibri"/>
                <w:sz w:val="20"/>
                <w:szCs w:val="20"/>
                <w:lang w:val="en-AU" w:eastAsia="en-AU"/>
              </w:rPr>
              <w:t>(conducted through DT analysis and interviews with key informants from international humanitarian community, PGs, civil society, and regional organisations)</w:t>
            </w:r>
          </w:p>
        </w:tc>
        <w:tc>
          <w:tcPr>
            <w:tcW w:w="4573" w:type="dxa"/>
          </w:tcPr>
          <w:p w14:paraId="28E2662A" w14:textId="77777777" w:rsidR="0011591E" w:rsidRPr="00673397" w:rsidRDefault="0011591E" w:rsidP="0011591E">
            <w:pPr>
              <w:pStyle w:val="ListParagraph"/>
              <w:numPr>
                <w:ilvl w:val="0"/>
                <w:numId w:val="59"/>
              </w:numPr>
            </w:pPr>
            <w:r w:rsidRPr="00673397">
              <w:rPr>
                <w:rFonts w:ascii="Calibri" w:eastAsia="Times New Roman" w:hAnsi="Calibri" w:cs="Calibri"/>
                <w:sz w:val="20"/>
                <w:szCs w:val="20"/>
                <w:lang w:val="en-AU" w:eastAsia="en-AU"/>
              </w:rPr>
              <w:t>What lessons for policy and practice were generated through the Partnership and shared amongst humanitarian actors and other stakeholders?</w:t>
            </w:r>
          </w:p>
          <w:p w14:paraId="6B6FF377" w14:textId="77777777" w:rsidR="0011591E" w:rsidRPr="00673397" w:rsidRDefault="0011591E" w:rsidP="0011591E">
            <w:pPr>
              <w:pStyle w:val="ListParagraph"/>
              <w:numPr>
                <w:ilvl w:val="0"/>
                <w:numId w:val="59"/>
              </w:numPr>
            </w:pPr>
            <w:r w:rsidRPr="00673397">
              <w:rPr>
                <w:rFonts w:ascii="Calibri" w:eastAsia="Times New Roman" w:hAnsi="Calibri" w:cs="Calibri"/>
                <w:sz w:val="20"/>
                <w:szCs w:val="20"/>
                <w:lang w:val="en-AU" w:eastAsia="en-AU"/>
              </w:rPr>
              <w:t>To what extent have Australian humanitarian actors engaged regionally and global, and what influence on policy and practice has resulted?</w:t>
            </w:r>
          </w:p>
          <w:p w14:paraId="4FE53798" w14:textId="7E37BE8C" w:rsidR="0011591E" w:rsidRPr="00673397" w:rsidRDefault="0011591E" w:rsidP="0011591E">
            <w:pPr>
              <w:pStyle w:val="ListParagraph"/>
              <w:numPr>
                <w:ilvl w:val="0"/>
                <w:numId w:val="59"/>
              </w:numPr>
            </w:pPr>
            <w:r w:rsidRPr="00673397">
              <w:rPr>
                <w:rFonts w:ascii="Calibri" w:eastAsia="Times New Roman" w:hAnsi="Calibri" w:cs="Calibri"/>
                <w:sz w:val="20"/>
                <w:szCs w:val="20"/>
                <w:lang w:val="en-AU" w:eastAsia="en-AU"/>
              </w:rPr>
              <w:t>To what extent has Australia's reputation as a good humanitarian actor supported bilateral and regional relationships?  What other benefits or impacts have accrued from Australia’s humanitarian actions?</w:t>
            </w:r>
          </w:p>
        </w:tc>
        <w:tc>
          <w:tcPr>
            <w:tcW w:w="1562" w:type="dxa"/>
          </w:tcPr>
          <w:p w14:paraId="2792B529" w14:textId="1A4C31A5" w:rsidR="0011591E" w:rsidRPr="00673397" w:rsidRDefault="00D01B71" w:rsidP="0011591E">
            <w:r w:rsidRPr="00673397">
              <w:rPr>
                <w:rFonts w:ascii="Calibri" w:eastAsia="Times New Roman" w:hAnsi="Calibri" w:cs="Calibri"/>
                <w:sz w:val="20"/>
                <w:szCs w:val="20"/>
                <w:lang w:val="en-AU" w:eastAsia="en-AU"/>
              </w:rPr>
              <w:t>End of Program</w:t>
            </w:r>
          </w:p>
        </w:tc>
        <w:tc>
          <w:tcPr>
            <w:tcW w:w="1658" w:type="dxa"/>
          </w:tcPr>
          <w:p w14:paraId="423CB1CC" w14:textId="56E3E335" w:rsidR="0011591E" w:rsidRPr="00673397" w:rsidRDefault="0011591E" w:rsidP="0011591E">
            <w:r w:rsidRPr="00673397">
              <w:rPr>
                <w:rFonts w:ascii="Calibri" w:eastAsia="Times New Roman" w:hAnsi="Calibri" w:cs="Calibri"/>
                <w:sz w:val="20"/>
                <w:szCs w:val="20"/>
                <w:lang w:val="en-AU" w:eastAsia="en-AU"/>
              </w:rPr>
              <w:t>DFAT commissioned Independent Evaluation</w:t>
            </w:r>
          </w:p>
        </w:tc>
        <w:tc>
          <w:tcPr>
            <w:tcW w:w="2534" w:type="dxa"/>
          </w:tcPr>
          <w:p w14:paraId="2D7DB906" w14:textId="205E95F6" w:rsidR="0011591E" w:rsidRPr="00673397" w:rsidRDefault="0011591E" w:rsidP="0011591E">
            <w:r w:rsidRPr="00673397">
              <w:rPr>
                <w:rFonts w:ascii="Calibri" w:eastAsia="Times New Roman" w:hAnsi="Calibri" w:cs="Calibri"/>
                <w:sz w:val="20"/>
                <w:szCs w:val="20"/>
                <w:lang w:val="en-AU" w:eastAsia="en-AU"/>
              </w:rPr>
              <w:t>I</w:t>
            </w:r>
            <w:r w:rsidR="00D01B71" w:rsidRPr="00673397">
              <w:rPr>
                <w:rFonts w:ascii="Calibri" w:eastAsia="Times New Roman" w:hAnsi="Calibri" w:cs="Calibri"/>
                <w:sz w:val="20"/>
                <w:szCs w:val="20"/>
                <w:lang w:val="en-AU" w:eastAsia="en-AU"/>
              </w:rPr>
              <w:t>ndependent Evaluation</w:t>
            </w:r>
            <w:r w:rsidRPr="00673397">
              <w:rPr>
                <w:rFonts w:ascii="Calibri" w:eastAsia="Times New Roman" w:hAnsi="Calibri" w:cs="Calibri"/>
                <w:sz w:val="20"/>
                <w:szCs w:val="20"/>
                <w:lang w:val="en-AU" w:eastAsia="en-AU"/>
              </w:rPr>
              <w:t xml:space="preserve"> Report</w:t>
            </w:r>
          </w:p>
        </w:tc>
      </w:tr>
      <w:tr w:rsidR="0011591E" w14:paraId="7006C2DC" w14:textId="77777777" w:rsidTr="00A14F58">
        <w:tc>
          <w:tcPr>
            <w:tcW w:w="2524" w:type="dxa"/>
          </w:tcPr>
          <w:p w14:paraId="09A99490" w14:textId="77777777" w:rsidR="0011591E" w:rsidRPr="00673397" w:rsidRDefault="0011591E" w:rsidP="0011591E"/>
        </w:tc>
        <w:tc>
          <w:tcPr>
            <w:tcW w:w="2537" w:type="dxa"/>
          </w:tcPr>
          <w:p w14:paraId="49B5008C" w14:textId="4402D86A" w:rsidR="0011591E" w:rsidRPr="00673397" w:rsidRDefault="00D01B71" w:rsidP="0011591E">
            <w:r w:rsidRPr="00673397">
              <w:rPr>
                <w:rFonts w:ascii="Calibri" w:eastAsia="Times New Roman" w:hAnsi="Calibri" w:cs="Calibri"/>
                <w:b/>
                <w:bCs/>
                <w:sz w:val="20"/>
                <w:szCs w:val="20"/>
                <w:lang w:val="en-AU" w:eastAsia="en-AU"/>
              </w:rPr>
              <w:t>Partnership Health Check</w:t>
            </w:r>
            <w:r w:rsidRPr="00673397">
              <w:rPr>
                <w:rFonts w:ascii="Calibri" w:eastAsia="Times New Roman" w:hAnsi="Calibri" w:cs="Calibri"/>
                <w:sz w:val="20"/>
                <w:szCs w:val="20"/>
                <w:lang w:val="en-AU" w:eastAsia="en-AU"/>
              </w:rPr>
              <w:t xml:space="preserve"> - independently facilitated participatory analysis on value-add and contribution of the partnership approach by all AHP partners</w:t>
            </w:r>
          </w:p>
        </w:tc>
        <w:tc>
          <w:tcPr>
            <w:tcW w:w="4573" w:type="dxa"/>
          </w:tcPr>
          <w:p w14:paraId="2BC17D4A" w14:textId="77777777" w:rsidR="0011591E" w:rsidRPr="00673397" w:rsidRDefault="00D01B71" w:rsidP="00D01B71">
            <w:pPr>
              <w:pStyle w:val="ListParagraph"/>
              <w:numPr>
                <w:ilvl w:val="0"/>
                <w:numId w:val="60"/>
              </w:numPr>
            </w:pPr>
            <w:r w:rsidRPr="00673397">
              <w:rPr>
                <w:rFonts w:ascii="Calibri" w:eastAsia="Times New Roman" w:hAnsi="Calibri" w:cs="Calibri"/>
                <w:sz w:val="20"/>
                <w:szCs w:val="20"/>
                <w:lang w:val="en-AU" w:eastAsia="en-AU"/>
              </w:rPr>
              <w:t>What lessons for policy and practice were generated through the Partnership and shared amongst humanitarian actors and other stakeholders?</w:t>
            </w:r>
          </w:p>
          <w:p w14:paraId="3FE2E974" w14:textId="38F03CF3" w:rsidR="00D01B71" w:rsidRPr="00673397" w:rsidRDefault="00D01B71" w:rsidP="00D01B71">
            <w:pPr>
              <w:pStyle w:val="ListParagraph"/>
              <w:numPr>
                <w:ilvl w:val="0"/>
                <w:numId w:val="60"/>
              </w:numPr>
            </w:pPr>
            <w:r w:rsidRPr="00673397">
              <w:rPr>
                <w:rFonts w:ascii="Calibri" w:eastAsia="Times New Roman" w:hAnsi="Calibri" w:cs="Calibri"/>
                <w:sz w:val="20"/>
                <w:szCs w:val="20"/>
                <w:lang w:val="en-AU" w:eastAsia="en-AU"/>
              </w:rPr>
              <w:t>To what extent have Australian humanitarian actors engaged regionally and global, and what influence on policy and practice has resulted?</w:t>
            </w:r>
          </w:p>
        </w:tc>
        <w:tc>
          <w:tcPr>
            <w:tcW w:w="1562" w:type="dxa"/>
          </w:tcPr>
          <w:p w14:paraId="7F22E4DF" w14:textId="57C2E57C" w:rsidR="0011591E" w:rsidRPr="00673397" w:rsidRDefault="00D01B71" w:rsidP="0011591E">
            <w:pPr>
              <w:rPr>
                <w:rFonts w:ascii="Calibri" w:hAnsi="Calibri" w:cs="Calibri"/>
                <w:sz w:val="20"/>
                <w:szCs w:val="20"/>
              </w:rPr>
            </w:pPr>
            <w:r w:rsidRPr="00673397">
              <w:rPr>
                <w:rFonts w:ascii="Calibri" w:hAnsi="Calibri" w:cs="Calibri"/>
                <w:sz w:val="20"/>
                <w:szCs w:val="20"/>
              </w:rPr>
              <w:t>Annual</w:t>
            </w:r>
          </w:p>
        </w:tc>
        <w:tc>
          <w:tcPr>
            <w:tcW w:w="1658" w:type="dxa"/>
          </w:tcPr>
          <w:p w14:paraId="78B34821" w14:textId="26468B36" w:rsidR="0011591E" w:rsidRPr="00673397" w:rsidRDefault="00D01B71" w:rsidP="0011591E">
            <w:pPr>
              <w:rPr>
                <w:rFonts w:ascii="Calibri" w:hAnsi="Calibri" w:cs="Calibri"/>
                <w:sz w:val="20"/>
                <w:szCs w:val="20"/>
              </w:rPr>
            </w:pPr>
            <w:r w:rsidRPr="00673397">
              <w:rPr>
                <w:rFonts w:ascii="Calibri" w:hAnsi="Calibri" w:cs="Calibri"/>
                <w:sz w:val="20"/>
                <w:szCs w:val="20"/>
              </w:rPr>
              <w:t>Steering Committee and/or AHPSU</w:t>
            </w:r>
          </w:p>
        </w:tc>
        <w:tc>
          <w:tcPr>
            <w:tcW w:w="2534" w:type="dxa"/>
          </w:tcPr>
          <w:p w14:paraId="10E3036A" w14:textId="02AA5BD1" w:rsidR="0011591E" w:rsidRPr="00673397" w:rsidRDefault="00D01B71" w:rsidP="0011591E">
            <w:pPr>
              <w:rPr>
                <w:rFonts w:ascii="Calibri" w:hAnsi="Calibri" w:cs="Calibri"/>
                <w:sz w:val="20"/>
                <w:szCs w:val="20"/>
              </w:rPr>
            </w:pPr>
            <w:r w:rsidRPr="00673397">
              <w:rPr>
                <w:rFonts w:ascii="Calibri" w:hAnsi="Calibri" w:cs="Calibri"/>
                <w:sz w:val="20"/>
                <w:szCs w:val="20"/>
              </w:rPr>
              <w:t>Annual Report</w:t>
            </w:r>
          </w:p>
        </w:tc>
      </w:tr>
      <w:tr w:rsidR="00D01B71" w14:paraId="292A4596" w14:textId="77777777" w:rsidTr="00A14F58">
        <w:tc>
          <w:tcPr>
            <w:tcW w:w="2524" w:type="dxa"/>
          </w:tcPr>
          <w:p w14:paraId="4E6E6B74" w14:textId="7888FD53" w:rsidR="00D01B71" w:rsidRPr="00673397" w:rsidRDefault="00D01B71" w:rsidP="00D01B71">
            <w:r w:rsidRPr="00673397">
              <w:rPr>
                <w:rFonts w:ascii="Calibri" w:eastAsia="Times New Roman" w:hAnsi="Calibri" w:cs="Calibri"/>
                <w:sz w:val="20"/>
                <w:szCs w:val="20"/>
                <w:lang w:val="en-AU" w:eastAsia="en-AU"/>
              </w:rPr>
              <w:lastRenderedPageBreak/>
              <w:t>3.1   AHP Partners learn and adapt through reflection, monitoring, evaluation, learning and research.</w:t>
            </w:r>
          </w:p>
        </w:tc>
        <w:tc>
          <w:tcPr>
            <w:tcW w:w="2537" w:type="dxa"/>
          </w:tcPr>
          <w:p w14:paraId="7D1D32F4" w14:textId="3A6B48A5" w:rsidR="00D01B71" w:rsidRPr="00673397" w:rsidRDefault="00D01B71" w:rsidP="00D01B71">
            <w:r w:rsidRPr="00673397">
              <w:rPr>
                <w:rFonts w:ascii="Calibri" w:eastAsia="Times New Roman" w:hAnsi="Calibri" w:cs="Calibri"/>
                <w:sz w:val="20"/>
                <w:szCs w:val="20"/>
                <w:lang w:val="en-AU" w:eastAsia="en-AU"/>
              </w:rPr>
              <w:t>AHPSU analysis and reporting of ANGO/AHP MEL systems, through collective participatory review by M&amp;E Community of Practice, led by M&amp;E Manager</w:t>
            </w:r>
          </w:p>
        </w:tc>
        <w:tc>
          <w:tcPr>
            <w:tcW w:w="4573" w:type="dxa"/>
          </w:tcPr>
          <w:p w14:paraId="6438B778" w14:textId="40CEC692" w:rsidR="00D01B71" w:rsidRPr="00673397" w:rsidRDefault="00D01B71" w:rsidP="00D01B71">
            <w:r w:rsidRPr="00673397">
              <w:rPr>
                <w:rFonts w:ascii="Calibri" w:eastAsia="Times New Roman" w:hAnsi="Calibri" w:cs="Calibri"/>
                <w:sz w:val="20"/>
                <w:szCs w:val="20"/>
                <w:lang w:val="en-AU" w:eastAsia="en-AU"/>
              </w:rPr>
              <w:t>What strengths, constraints, challenges, and lessons for strengthening a continuous improvement culture were experienced in this period?</w:t>
            </w:r>
          </w:p>
        </w:tc>
        <w:tc>
          <w:tcPr>
            <w:tcW w:w="1562" w:type="dxa"/>
          </w:tcPr>
          <w:p w14:paraId="6EE3681C" w14:textId="57A4A6B4" w:rsidR="00D01B71" w:rsidRPr="00673397" w:rsidRDefault="00D01B71" w:rsidP="00D01B71">
            <w:r w:rsidRPr="00673397">
              <w:rPr>
                <w:rFonts w:ascii="Calibri" w:eastAsia="Times New Roman" w:hAnsi="Calibri" w:cs="Calibri"/>
                <w:sz w:val="20"/>
                <w:szCs w:val="20"/>
                <w:lang w:val="en-AU" w:eastAsia="en-AU"/>
              </w:rPr>
              <w:t>Annual</w:t>
            </w:r>
          </w:p>
        </w:tc>
        <w:tc>
          <w:tcPr>
            <w:tcW w:w="1658" w:type="dxa"/>
          </w:tcPr>
          <w:p w14:paraId="251DDB22" w14:textId="629C3529" w:rsidR="00D01B71" w:rsidRPr="00673397" w:rsidRDefault="00D01B71" w:rsidP="00D01B71">
            <w:r w:rsidRPr="00673397">
              <w:rPr>
                <w:rFonts w:ascii="Calibri" w:eastAsia="Times New Roman" w:hAnsi="Calibri" w:cs="Calibri"/>
                <w:sz w:val="20"/>
                <w:szCs w:val="20"/>
                <w:lang w:val="en-AU" w:eastAsia="en-AU"/>
              </w:rPr>
              <w:t>AHPSU</w:t>
            </w:r>
          </w:p>
        </w:tc>
        <w:tc>
          <w:tcPr>
            <w:tcW w:w="2534" w:type="dxa"/>
          </w:tcPr>
          <w:p w14:paraId="056C5CA1" w14:textId="1DB043B5" w:rsidR="00D01B71" w:rsidRPr="00673397" w:rsidRDefault="00D01B71" w:rsidP="00D01B71">
            <w:r w:rsidRPr="00673397">
              <w:rPr>
                <w:rFonts w:ascii="Calibri" w:eastAsia="Times New Roman" w:hAnsi="Calibri" w:cs="Calibri"/>
                <w:sz w:val="20"/>
                <w:szCs w:val="20"/>
                <w:lang w:val="en-AU" w:eastAsia="en-AU"/>
              </w:rPr>
              <w:t>Annual Report</w:t>
            </w:r>
          </w:p>
        </w:tc>
      </w:tr>
      <w:tr w:rsidR="00D01B71" w14:paraId="7AF102B3" w14:textId="77777777" w:rsidTr="00A14F58">
        <w:tc>
          <w:tcPr>
            <w:tcW w:w="2524" w:type="dxa"/>
          </w:tcPr>
          <w:p w14:paraId="75587D48" w14:textId="07E22CC2" w:rsidR="00D01B71" w:rsidRPr="00673397" w:rsidRDefault="00D01B71" w:rsidP="00D01B71">
            <w:pPr>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3.2   AHP partners enhance program quality through joint activity in key cross-cutting areas, including localisation, accountability to affected populations, and GEDSI.</w:t>
            </w:r>
          </w:p>
        </w:tc>
        <w:tc>
          <w:tcPr>
            <w:tcW w:w="2537" w:type="dxa"/>
          </w:tcPr>
          <w:p w14:paraId="5ECB3155" w14:textId="3F028187" w:rsidR="00D01B71" w:rsidRPr="00673397" w:rsidRDefault="00D01B71" w:rsidP="00D01B71">
            <w:pPr>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AHPSU activity reporting</w:t>
            </w:r>
          </w:p>
        </w:tc>
        <w:tc>
          <w:tcPr>
            <w:tcW w:w="4573" w:type="dxa"/>
          </w:tcPr>
          <w:p w14:paraId="567ED932" w14:textId="77777777" w:rsidR="00D01B71" w:rsidRPr="00673397" w:rsidRDefault="00D01B71" w:rsidP="00D01B71">
            <w:pPr>
              <w:pStyle w:val="ListParagraph"/>
              <w:numPr>
                <w:ilvl w:val="0"/>
                <w:numId w:val="61"/>
              </w:numPr>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Number and description of joint activities conducted by AHP partners</w:t>
            </w:r>
          </w:p>
          <w:p w14:paraId="54EE3DE9" w14:textId="1AF1EC77" w:rsidR="00D01B71" w:rsidRPr="00673397" w:rsidRDefault="00D01B71" w:rsidP="00D01B71">
            <w:pPr>
              <w:pStyle w:val="ListParagraph"/>
              <w:numPr>
                <w:ilvl w:val="0"/>
                <w:numId w:val="61"/>
              </w:numPr>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Lessons learnt and recommendations arising from joint activity implementation</w:t>
            </w:r>
          </w:p>
          <w:p w14:paraId="34308596" w14:textId="6D7C4EF7" w:rsidR="00D01B71" w:rsidRPr="00673397" w:rsidRDefault="00D01B71" w:rsidP="00D01B71">
            <w:pPr>
              <w:ind w:firstLine="720"/>
              <w:rPr>
                <w:lang w:val="en-AU" w:eastAsia="en-AU"/>
              </w:rPr>
            </w:pPr>
          </w:p>
        </w:tc>
        <w:tc>
          <w:tcPr>
            <w:tcW w:w="1562" w:type="dxa"/>
          </w:tcPr>
          <w:p w14:paraId="4481A10F" w14:textId="7747A8DF" w:rsidR="00D01B71" w:rsidRPr="00673397" w:rsidRDefault="00D01B71" w:rsidP="00D01B71">
            <w:pPr>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Annual</w:t>
            </w:r>
          </w:p>
        </w:tc>
        <w:tc>
          <w:tcPr>
            <w:tcW w:w="1658" w:type="dxa"/>
          </w:tcPr>
          <w:p w14:paraId="3C0CA6EC" w14:textId="1326753D" w:rsidR="00D01B71" w:rsidRPr="00673397" w:rsidRDefault="00D01B71" w:rsidP="00D01B71">
            <w:pPr>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AHPSU</w:t>
            </w:r>
          </w:p>
        </w:tc>
        <w:tc>
          <w:tcPr>
            <w:tcW w:w="2534" w:type="dxa"/>
          </w:tcPr>
          <w:p w14:paraId="4C6C89D8" w14:textId="456C734F" w:rsidR="00D01B71" w:rsidRPr="00673397" w:rsidRDefault="00D01B71" w:rsidP="00D01B71">
            <w:pPr>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Annual Report</w:t>
            </w:r>
          </w:p>
        </w:tc>
      </w:tr>
      <w:tr w:rsidR="00D01B71" w14:paraId="05C234BA" w14:textId="77777777" w:rsidTr="00A14F58">
        <w:tc>
          <w:tcPr>
            <w:tcW w:w="2524" w:type="dxa"/>
          </w:tcPr>
          <w:p w14:paraId="37DBE80E" w14:textId="532C0703" w:rsidR="00D01B71" w:rsidRPr="00673397" w:rsidRDefault="00D01B71" w:rsidP="00D01B71">
            <w:pPr>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 xml:space="preserve">3.3   AHP partners (including ANGOs, DFAT and AHPSU) engage effectively with external stakeholders at country, regional and global levels. </w:t>
            </w:r>
          </w:p>
        </w:tc>
        <w:tc>
          <w:tcPr>
            <w:tcW w:w="2537" w:type="dxa"/>
          </w:tcPr>
          <w:p w14:paraId="0A622D11" w14:textId="27154FD3" w:rsidR="00D01B71" w:rsidRPr="00673397" w:rsidRDefault="00D01B71" w:rsidP="00D01B71">
            <w:pPr>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AHPSU activity reporting</w:t>
            </w:r>
          </w:p>
        </w:tc>
        <w:tc>
          <w:tcPr>
            <w:tcW w:w="4573" w:type="dxa"/>
          </w:tcPr>
          <w:p w14:paraId="5CECFD77" w14:textId="44233A15" w:rsidR="00D01B71" w:rsidRPr="00673397" w:rsidRDefault="00D01B71" w:rsidP="00D01B71">
            <w:pPr>
              <w:pStyle w:val="ListParagraph"/>
              <w:numPr>
                <w:ilvl w:val="0"/>
                <w:numId w:val="62"/>
              </w:numPr>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Number and type of external events and engagements involving AHP partners</w:t>
            </w:r>
          </w:p>
          <w:p w14:paraId="73679FB1" w14:textId="56A5BD80" w:rsidR="00D01B71" w:rsidRPr="00673397" w:rsidRDefault="00D01B71" w:rsidP="00D01B71">
            <w:pPr>
              <w:pStyle w:val="ListParagraph"/>
              <w:numPr>
                <w:ilvl w:val="0"/>
                <w:numId w:val="62"/>
              </w:numPr>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Number and description of communications materials and products published and disseminated in the period</w:t>
            </w:r>
          </w:p>
        </w:tc>
        <w:tc>
          <w:tcPr>
            <w:tcW w:w="1562" w:type="dxa"/>
          </w:tcPr>
          <w:p w14:paraId="6966442E" w14:textId="448FFC99" w:rsidR="00D01B71" w:rsidRPr="00673397" w:rsidRDefault="00D01B71" w:rsidP="00D01B71">
            <w:pPr>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Annual</w:t>
            </w:r>
          </w:p>
        </w:tc>
        <w:tc>
          <w:tcPr>
            <w:tcW w:w="1658" w:type="dxa"/>
          </w:tcPr>
          <w:p w14:paraId="135294B8" w14:textId="62DA4376" w:rsidR="00D01B71" w:rsidRPr="00673397" w:rsidRDefault="00D01B71" w:rsidP="00D01B71">
            <w:pPr>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AHPSU</w:t>
            </w:r>
          </w:p>
        </w:tc>
        <w:tc>
          <w:tcPr>
            <w:tcW w:w="2534" w:type="dxa"/>
          </w:tcPr>
          <w:p w14:paraId="622021EC" w14:textId="6A5AE373" w:rsidR="00D01B71" w:rsidRPr="00673397" w:rsidRDefault="00D01B71" w:rsidP="00D01B71">
            <w:pPr>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Annual Report</w:t>
            </w:r>
          </w:p>
        </w:tc>
      </w:tr>
    </w:tbl>
    <w:p w14:paraId="32ED1FFA" w14:textId="4DF0813A" w:rsidR="00A14F58" w:rsidRDefault="00A14F58" w:rsidP="004D54CB"/>
    <w:tbl>
      <w:tblPr>
        <w:tblStyle w:val="TableGrid"/>
        <w:tblW w:w="4978" w:type="pct"/>
        <w:tblLayout w:type="fixed"/>
        <w:tblLook w:val="04A0" w:firstRow="1" w:lastRow="0" w:firstColumn="1" w:lastColumn="0" w:noHBand="0" w:noVBand="1"/>
      </w:tblPr>
      <w:tblGrid>
        <w:gridCol w:w="4390"/>
        <w:gridCol w:w="1700"/>
        <w:gridCol w:w="3686"/>
        <w:gridCol w:w="1275"/>
        <w:gridCol w:w="1701"/>
        <w:gridCol w:w="2568"/>
      </w:tblGrid>
      <w:tr w:rsidR="00673397" w:rsidRPr="00D703CD" w14:paraId="1246975E" w14:textId="77777777" w:rsidTr="00673397">
        <w:trPr>
          <w:trHeight w:val="370"/>
        </w:trPr>
        <w:tc>
          <w:tcPr>
            <w:tcW w:w="1433" w:type="pct"/>
            <w:noWrap/>
            <w:hideMark/>
          </w:tcPr>
          <w:p w14:paraId="080E6AE5" w14:textId="0A46ABAC" w:rsidR="00D5136E" w:rsidRPr="00673397" w:rsidRDefault="00D5136E" w:rsidP="00D703CD">
            <w:pPr>
              <w:suppressAutoHyphens w:val="0"/>
              <w:spacing w:before="0" w:after="0" w:line="240" w:lineRule="auto"/>
              <w:rPr>
                <w:rFonts w:ascii="Calibri" w:eastAsia="Times New Roman" w:hAnsi="Calibri" w:cs="Calibri"/>
                <w:b/>
                <w:bCs/>
                <w:sz w:val="24"/>
                <w:szCs w:val="24"/>
                <w:lang w:val="en-AU" w:eastAsia="en-AU"/>
              </w:rPr>
            </w:pPr>
            <w:r w:rsidRPr="00673397">
              <w:rPr>
                <w:rFonts w:ascii="Calibri" w:eastAsia="Times New Roman" w:hAnsi="Calibri" w:cs="Calibri"/>
                <w:b/>
                <w:bCs/>
                <w:sz w:val="24"/>
                <w:szCs w:val="24"/>
                <w:lang w:val="en-AU" w:eastAsia="en-AU"/>
              </w:rPr>
              <w:t>Output monitoring and reporting</w:t>
            </w:r>
          </w:p>
        </w:tc>
        <w:tc>
          <w:tcPr>
            <w:tcW w:w="555" w:type="pct"/>
            <w:noWrap/>
            <w:hideMark/>
          </w:tcPr>
          <w:p w14:paraId="2C2784B8" w14:textId="77777777" w:rsidR="00D5136E" w:rsidRPr="00673397" w:rsidRDefault="00D5136E" w:rsidP="00D703CD">
            <w:pPr>
              <w:suppressAutoHyphens w:val="0"/>
              <w:spacing w:before="0" w:after="0" w:line="240" w:lineRule="auto"/>
              <w:rPr>
                <w:rFonts w:ascii="Calibri" w:eastAsia="Times New Roman" w:hAnsi="Calibri" w:cs="Calibri"/>
                <w:b/>
                <w:bCs/>
                <w:sz w:val="24"/>
                <w:szCs w:val="24"/>
                <w:lang w:val="en-AU" w:eastAsia="en-AU"/>
              </w:rPr>
            </w:pPr>
            <w:r w:rsidRPr="00673397">
              <w:rPr>
                <w:rFonts w:ascii="Calibri" w:eastAsia="Times New Roman" w:hAnsi="Calibri" w:cs="Calibri"/>
                <w:b/>
                <w:bCs/>
                <w:sz w:val="24"/>
                <w:szCs w:val="24"/>
                <w:lang w:val="en-AU" w:eastAsia="en-AU"/>
              </w:rPr>
              <w:t>Methodology</w:t>
            </w:r>
          </w:p>
        </w:tc>
        <w:tc>
          <w:tcPr>
            <w:tcW w:w="1203" w:type="pct"/>
            <w:noWrap/>
            <w:hideMark/>
          </w:tcPr>
          <w:p w14:paraId="4CB7C6FA" w14:textId="77777777" w:rsidR="00D5136E" w:rsidRPr="00673397" w:rsidRDefault="00D5136E" w:rsidP="00D703CD">
            <w:pPr>
              <w:suppressAutoHyphens w:val="0"/>
              <w:spacing w:before="0" w:after="0" w:line="240" w:lineRule="auto"/>
              <w:rPr>
                <w:rFonts w:ascii="Calibri" w:eastAsia="Times New Roman" w:hAnsi="Calibri" w:cs="Calibri"/>
                <w:b/>
                <w:bCs/>
                <w:sz w:val="24"/>
                <w:szCs w:val="24"/>
                <w:lang w:val="en-AU" w:eastAsia="en-AU"/>
              </w:rPr>
            </w:pPr>
            <w:r w:rsidRPr="00673397">
              <w:rPr>
                <w:rFonts w:ascii="Calibri" w:eastAsia="Times New Roman" w:hAnsi="Calibri" w:cs="Calibri"/>
                <w:b/>
                <w:bCs/>
                <w:sz w:val="24"/>
                <w:szCs w:val="24"/>
                <w:lang w:val="en-AU" w:eastAsia="en-AU"/>
              </w:rPr>
              <w:t>Indicators/deliverables</w:t>
            </w:r>
          </w:p>
        </w:tc>
        <w:tc>
          <w:tcPr>
            <w:tcW w:w="416" w:type="pct"/>
            <w:noWrap/>
            <w:hideMark/>
          </w:tcPr>
          <w:p w14:paraId="41594FAC" w14:textId="77777777" w:rsidR="00D5136E" w:rsidRPr="00673397" w:rsidRDefault="00D5136E" w:rsidP="00D703CD">
            <w:pPr>
              <w:suppressAutoHyphens w:val="0"/>
              <w:spacing w:before="0" w:after="0" w:line="240" w:lineRule="auto"/>
              <w:rPr>
                <w:rFonts w:ascii="Calibri" w:eastAsia="Times New Roman" w:hAnsi="Calibri" w:cs="Calibri"/>
                <w:b/>
                <w:bCs/>
                <w:sz w:val="24"/>
                <w:szCs w:val="24"/>
                <w:lang w:val="en-AU" w:eastAsia="en-AU"/>
              </w:rPr>
            </w:pPr>
            <w:r w:rsidRPr="00673397">
              <w:rPr>
                <w:rFonts w:ascii="Calibri" w:eastAsia="Times New Roman" w:hAnsi="Calibri" w:cs="Calibri"/>
                <w:b/>
                <w:bCs/>
                <w:sz w:val="24"/>
                <w:szCs w:val="24"/>
                <w:lang w:val="en-AU" w:eastAsia="en-AU"/>
              </w:rPr>
              <w:t>Frequency</w:t>
            </w:r>
          </w:p>
        </w:tc>
        <w:tc>
          <w:tcPr>
            <w:tcW w:w="555" w:type="pct"/>
            <w:noWrap/>
            <w:hideMark/>
          </w:tcPr>
          <w:p w14:paraId="1A5244B7" w14:textId="77777777" w:rsidR="00D5136E" w:rsidRPr="00673397" w:rsidRDefault="00D5136E" w:rsidP="00D703CD">
            <w:pPr>
              <w:suppressAutoHyphens w:val="0"/>
              <w:spacing w:before="0" w:after="0" w:line="240" w:lineRule="auto"/>
              <w:rPr>
                <w:rFonts w:ascii="Calibri" w:eastAsia="Times New Roman" w:hAnsi="Calibri" w:cs="Calibri"/>
                <w:b/>
                <w:bCs/>
                <w:sz w:val="24"/>
                <w:szCs w:val="24"/>
                <w:lang w:val="en-AU" w:eastAsia="en-AU"/>
              </w:rPr>
            </w:pPr>
            <w:r w:rsidRPr="00673397">
              <w:rPr>
                <w:rFonts w:ascii="Calibri" w:eastAsia="Times New Roman" w:hAnsi="Calibri" w:cs="Calibri"/>
                <w:b/>
                <w:bCs/>
                <w:sz w:val="24"/>
                <w:szCs w:val="24"/>
                <w:lang w:val="en-AU" w:eastAsia="en-AU"/>
              </w:rPr>
              <w:t>Responsibility</w:t>
            </w:r>
          </w:p>
        </w:tc>
        <w:tc>
          <w:tcPr>
            <w:tcW w:w="838" w:type="pct"/>
            <w:noWrap/>
            <w:hideMark/>
          </w:tcPr>
          <w:p w14:paraId="6122E20B" w14:textId="77777777" w:rsidR="00D5136E" w:rsidRPr="00673397" w:rsidRDefault="00D5136E" w:rsidP="00D703CD">
            <w:pPr>
              <w:suppressAutoHyphens w:val="0"/>
              <w:spacing w:before="0" w:after="0" w:line="240" w:lineRule="auto"/>
              <w:rPr>
                <w:rFonts w:ascii="Calibri" w:eastAsia="Times New Roman" w:hAnsi="Calibri" w:cs="Calibri"/>
                <w:b/>
                <w:bCs/>
                <w:sz w:val="24"/>
                <w:szCs w:val="24"/>
                <w:lang w:val="en-AU" w:eastAsia="en-AU"/>
              </w:rPr>
            </w:pPr>
            <w:r w:rsidRPr="00673397">
              <w:rPr>
                <w:rFonts w:ascii="Calibri" w:eastAsia="Times New Roman" w:hAnsi="Calibri" w:cs="Calibri"/>
                <w:b/>
                <w:bCs/>
                <w:sz w:val="24"/>
                <w:szCs w:val="24"/>
                <w:lang w:val="en-AU" w:eastAsia="en-AU"/>
              </w:rPr>
              <w:t>Report/product</w:t>
            </w:r>
          </w:p>
        </w:tc>
      </w:tr>
      <w:tr w:rsidR="00673397" w:rsidRPr="00D703CD" w14:paraId="3FAA74AF" w14:textId="77777777" w:rsidTr="00673397">
        <w:trPr>
          <w:trHeight w:val="290"/>
        </w:trPr>
        <w:tc>
          <w:tcPr>
            <w:tcW w:w="1433" w:type="pct"/>
            <w:noWrap/>
            <w:hideMark/>
          </w:tcPr>
          <w:p w14:paraId="39299CAF" w14:textId="77777777" w:rsidR="00D5136E" w:rsidRPr="00673397" w:rsidRDefault="00D5136E" w:rsidP="00D703CD">
            <w:pPr>
              <w:suppressAutoHyphens w:val="0"/>
              <w:spacing w:before="0" w:after="0" w:line="240" w:lineRule="auto"/>
              <w:rPr>
                <w:rFonts w:ascii="Calibri" w:eastAsia="Times New Roman" w:hAnsi="Calibri" w:cs="Calibri"/>
                <w:b/>
                <w:bCs/>
                <w:sz w:val="20"/>
                <w:szCs w:val="20"/>
                <w:lang w:val="en-AU" w:eastAsia="en-AU"/>
              </w:rPr>
            </w:pPr>
            <w:r w:rsidRPr="00673397">
              <w:rPr>
                <w:rFonts w:ascii="Calibri" w:eastAsia="Times New Roman" w:hAnsi="Calibri" w:cs="Calibri"/>
                <w:b/>
                <w:bCs/>
                <w:sz w:val="20"/>
                <w:szCs w:val="20"/>
                <w:lang w:val="en-AU" w:eastAsia="en-AU"/>
              </w:rPr>
              <w:t>Component 1</w:t>
            </w:r>
          </w:p>
        </w:tc>
        <w:tc>
          <w:tcPr>
            <w:tcW w:w="555" w:type="pct"/>
            <w:noWrap/>
            <w:hideMark/>
          </w:tcPr>
          <w:p w14:paraId="0C6CAD82"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 </w:t>
            </w:r>
          </w:p>
        </w:tc>
        <w:tc>
          <w:tcPr>
            <w:tcW w:w="1203" w:type="pct"/>
            <w:noWrap/>
            <w:hideMark/>
          </w:tcPr>
          <w:p w14:paraId="4EE13D3B"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 </w:t>
            </w:r>
          </w:p>
        </w:tc>
        <w:tc>
          <w:tcPr>
            <w:tcW w:w="416" w:type="pct"/>
            <w:noWrap/>
            <w:hideMark/>
          </w:tcPr>
          <w:p w14:paraId="31F6E836"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 </w:t>
            </w:r>
          </w:p>
        </w:tc>
        <w:tc>
          <w:tcPr>
            <w:tcW w:w="555" w:type="pct"/>
            <w:noWrap/>
            <w:hideMark/>
          </w:tcPr>
          <w:p w14:paraId="6837290B"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 </w:t>
            </w:r>
          </w:p>
        </w:tc>
        <w:tc>
          <w:tcPr>
            <w:tcW w:w="838" w:type="pct"/>
            <w:noWrap/>
            <w:hideMark/>
          </w:tcPr>
          <w:p w14:paraId="272E8B80"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 </w:t>
            </w:r>
          </w:p>
        </w:tc>
      </w:tr>
      <w:tr w:rsidR="00673397" w:rsidRPr="00D703CD" w14:paraId="41D13EC7" w14:textId="77777777" w:rsidTr="00673397">
        <w:trPr>
          <w:trHeight w:val="870"/>
        </w:trPr>
        <w:tc>
          <w:tcPr>
            <w:tcW w:w="1433" w:type="pct"/>
            <w:hideMark/>
          </w:tcPr>
          <w:p w14:paraId="094B267C"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1. Disaster Ready Country Coordination Committees and support arrangements established and function effectively.</w:t>
            </w:r>
          </w:p>
        </w:tc>
        <w:tc>
          <w:tcPr>
            <w:tcW w:w="555" w:type="pct"/>
            <w:noWrap/>
            <w:hideMark/>
          </w:tcPr>
          <w:p w14:paraId="23100C69"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AHPSU reporting</w:t>
            </w:r>
          </w:p>
        </w:tc>
        <w:tc>
          <w:tcPr>
            <w:tcW w:w="1203" w:type="pct"/>
            <w:hideMark/>
          </w:tcPr>
          <w:p w14:paraId="02EF52D9" w14:textId="29D19452"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Country Planning process completed, and DR Country Plans approved</w:t>
            </w:r>
          </w:p>
        </w:tc>
        <w:tc>
          <w:tcPr>
            <w:tcW w:w="416" w:type="pct"/>
            <w:noWrap/>
            <w:hideMark/>
          </w:tcPr>
          <w:p w14:paraId="324A10D8" w14:textId="70EBF7D2"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6 mo.</w:t>
            </w:r>
          </w:p>
        </w:tc>
        <w:tc>
          <w:tcPr>
            <w:tcW w:w="555" w:type="pct"/>
            <w:noWrap/>
            <w:hideMark/>
          </w:tcPr>
          <w:p w14:paraId="5E750948"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AHPSU</w:t>
            </w:r>
          </w:p>
        </w:tc>
        <w:tc>
          <w:tcPr>
            <w:tcW w:w="838" w:type="pct"/>
            <w:hideMark/>
          </w:tcPr>
          <w:p w14:paraId="4AF205B1"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Six monthly and exception reporting to DFAT HPD</w:t>
            </w:r>
          </w:p>
        </w:tc>
      </w:tr>
      <w:tr w:rsidR="00673397" w:rsidRPr="00D703CD" w14:paraId="17A34B25" w14:textId="77777777" w:rsidTr="00673397">
        <w:trPr>
          <w:trHeight w:val="870"/>
        </w:trPr>
        <w:tc>
          <w:tcPr>
            <w:tcW w:w="1433" w:type="pct"/>
            <w:hideMark/>
          </w:tcPr>
          <w:p w14:paraId="13622C37" w14:textId="73E3884A"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2. Country-level Plans agreed, monitored, and evaluated.</w:t>
            </w:r>
          </w:p>
        </w:tc>
        <w:tc>
          <w:tcPr>
            <w:tcW w:w="555" w:type="pct"/>
            <w:noWrap/>
            <w:hideMark/>
          </w:tcPr>
          <w:p w14:paraId="3846FE3E"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AHPSU reporting</w:t>
            </w:r>
          </w:p>
        </w:tc>
        <w:tc>
          <w:tcPr>
            <w:tcW w:w="1203" w:type="pct"/>
            <w:hideMark/>
          </w:tcPr>
          <w:p w14:paraId="53BC063F"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Annual Reports on DR Country Plans submitted to posts and DFAT HPG</w:t>
            </w:r>
          </w:p>
        </w:tc>
        <w:tc>
          <w:tcPr>
            <w:tcW w:w="416" w:type="pct"/>
            <w:noWrap/>
            <w:hideMark/>
          </w:tcPr>
          <w:p w14:paraId="6F48744D" w14:textId="14BE6C2E"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6 mo.</w:t>
            </w:r>
          </w:p>
        </w:tc>
        <w:tc>
          <w:tcPr>
            <w:tcW w:w="555" w:type="pct"/>
            <w:noWrap/>
            <w:hideMark/>
          </w:tcPr>
          <w:p w14:paraId="49A2B0DF"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AHPSU</w:t>
            </w:r>
          </w:p>
        </w:tc>
        <w:tc>
          <w:tcPr>
            <w:tcW w:w="838" w:type="pct"/>
            <w:hideMark/>
          </w:tcPr>
          <w:p w14:paraId="01684171"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Six monthly and exception reporting to DFAT HPD</w:t>
            </w:r>
          </w:p>
        </w:tc>
      </w:tr>
      <w:tr w:rsidR="00673397" w:rsidRPr="00D703CD" w14:paraId="29A21C3B" w14:textId="77777777" w:rsidTr="00673397">
        <w:trPr>
          <w:trHeight w:val="870"/>
        </w:trPr>
        <w:tc>
          <w:tcPr>
            <w:tcW w:w="1433" w:type="pct"/>
            <w:hideMark/>
          </w:tcPr>
          <w:p w14:paraId="6E867BAB"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lastRenderedPageBreak/>
              <w:t>3. Localisation strategy and Learning Action Agenda agreed and implemented by Partners.</w:t>
            </w:r>
          </w:p>
        </w:tc>
        <w:tc>
          <w:tcPr>
            <w:tcW w:w="555" w:type="pct"/>
            <w:noWrap/>
            <w:hideMark/>
          </w:tcPr>
          <w:p w14:paraId="3843416D"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AHPSU reporting</w:t>
            </w:r>
          </w:p>
        </w:tc>
        <w:tc>
          <w:tcPr>
            <w:tcW w:w="1203" w:type="pct"/>
            <w:hideMark/>
          </w:tcPr>
          <w:p w14:paraId="1A26D143"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Localisation Plans reported by DRCCs and Learning Action Agenda plans implemented</w:t>
            </w:r>
          </w:p>
        </w:tc>
        <w:tc>
          <w:tcPr>
            <w:tcW w:w="416" w:type="pct"/>
            <w:noWrap/>
            <w:hideMark/>
          </w:tcPr>
          <w:p w14:paraId="5E36B78D" w14:textId="003BD0BA"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6 mo.</w:t>
            </w:r>
          </w:p>
        </w:tc>
        <w:tc>
          <w:tcPr>
            <w:tcW w:w="555" w:type="pct"/>
            <w:noWrap/>
            <w:hideMark/>
          </w:tcPr>
          <w:p w14:paraId="742C8F9C"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AHPSU</w:t>
            </w:r>
          </w:p>
        </w:tc>
        <w:tc>
          <w:tcPr>
            <w:tcW w:w="838" w:type="pct"/>
            <w:hideMark/>
          </w:tcPr>
          <w:p w14:paraId="6C8E4962"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Six monthly and exception reporting to DFAT HPD</w:t>
            </w:r>
          </w:p>
        </w:tc>
      </w:tr>
      <w:tr w:rsidR="00673397" w:rsidRPr="00D703CD" w14:paraId="5B48C8F4" w14:textId="77777777" w:rsidTr="00673397">
        <w:trPr>
          <w:trHeight w:val="580"/>
        </w:trPr>
        <w:tc>
          <w:tcPr>
            <w:tcW w:w="1433" w:type="pct"/>
            <w:hideMark/>
          </w:tcPr>
          <w:p w14:paraId="4B21BF00"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4. ANGOs and local Partners implement approved Activity Plans</w:t>
            </w:r>
          </w:p>
        </w:tc>
        <w:tc>
          <w:tcPr>
            <w:tcW w:w="555" w:type="pct"/>
            <w:noWrap/>
            <w:hideMark/>
          </w:tcPr>
          <w:p w14:paraId="68A94C59"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ANGO internal reporting</w:t>
            </w:r>
          </w:p>
        </w:tc>
        <w:tc>
          <w:tcPr>
            <w:tcW w:w="1203" w:type="pct"/>
            <w:hideMark/>
          </w:tcPr>
          <w:p w14:paraId="36F8AC0D"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ANGOs maintain internal M&amp;E reporting records available upon request, and available for AHP evaluations</w:t>
            </w:r>
          </w:p>
        </w:tc>
        <w:tc>
          <w:tcPr>
            <w:tcW w:w="416" w:type="pct"/>
            <w:noWrap/>
            <w:hideMark/>
          </w:tcPr>
          <w:p w14:paraId="7CED3DC5"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ongoing</w:t>
            </w:r>
          </w:p>
        </w:tc>
        <w:tc>
          <w:tcPr>
            <w:tcW w:w="555" w:type="pct"/>
            <w:noWrap/>
            <w:hideMark/>
          </w:tcPr>
          <w:p w14:paraId="3467A09C"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ANGOs</w:t>
            </w:r>
          </w:p>
        </w:tc>
        <w:tc>
          <w:tcPr>
            <w:tcW w:w="838" w:type="pct"/>
            <w:noWrap/>
            <w:hideMark/>
          </w:tcPr>
          <w:p w14:paraId="068945D6"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as required</w:t>
            </w:r>
          </w:p>
        </w:tc>
      </w:tr>
      <w:tr w:rsidR="00673397" w:rsidRPr="00D703CD" w14:paraId="42357B4C" w14:textId="77777777" w:rsidTr="00673397">
        <w:trPr>
          <w:trHeight w:val="290"/>
        </w:trPr>
        <w:tc>
          <w:tcPr>
            <w:tcW w:w="1433" w:type="pct"/>
            <w:hideMark/>
          </w:tcPr>
          <w:p w14:paraId="12522AE9" w14:textId="77777777" w:rsidR="00D5136E" w:rsidRPr="00673397" w:rsidRDefault="00D5136E" w:rsidP="00D703CD">
            <w:pPr>
              <w:suppressAutoHyphens w:val="0"/>
              <w:spacing w:before="0" w:after="0" w:line="240" w:lineRule="auto"/>
              <w:rPr>
                <w:rFonts w:ascii="Calibri" w:eastAsia="Times New Roman" w:hAnsi="Calibri" w:cs="Calibri"/>
                <w:b/>
                <w:bCs/>
                <w:sz w:val="20"/>
                <w:szCs w:val="20"/>
                <w:lang w:val="en-AU" w:eastAsia="en-AU"/>
              </w:rPr>
            </w:pPr>
            <w:r w:rsidRPr="00673397">
              <w:rPr>
                <w:rFonts w:ascii="Calibri" w:eastAsia="Times New Roman" w:hAnsi="Calibri" w:cs="Calibri"/>
                <w:b/>
                <w:bCs/>
                <w:sz w:val="20"/>
                <w:szCs w:val="20"/>
                <w:lang w:val="en-AU" w:eastAsia="en-AU"/>
              </w:rPr>
              <w:t>Component 2</w:t>
            </w:r>
          </w:p>
        </w:tc>
        <w:tc>
          <w:tcPr>
            <w:tcW w:w="555" w:type="pct"/>
            <w:noWrap/>
            <w:hideMark/>
          </w:tcPr>
          <w:p w14:paraId="7544E031"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 </w:t>
            </w:r>
          </w:p>
        </w:tc>
        <w:tc>
          <w:tcPr>
            <w:tcW w:w="1203" w:type="pct"/>
            <w:noWrap/>
            <w:hideMark/>
          </w:tcPr>
          <w:p w14:paraId="02C6D22F"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 </w:t>
            </w:r>
          </w:p>
        </w:tc>
        <w:tc>
          <w:tcPr>
            <w:tcW w:w="416" w:type="pct"/>
            <w:noWrap/>
            <w:hideMark/>
          </w:tcPr>
          <w:p w14:paraId="207A045B"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 </w:t>
            </w:r>
          </w:p>
        </w:tc>
        <w:tc>
          <w:tcPr>
            <w:tcW w:w="555" w:type="pct"/>
            <w:noWrap/>
            <w:hideMark/>
          </w:tcPr>
          <w:p w14:paraId="0405E225"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 </w:t>
            </w:r>
          </w:p>
        </w:tc>
        <w:tc>
          <w:tcPr>
            <w:tcW w:w="838" w:type="pct"/>
            <w:noWrap/>
            <w:hideMark/>
          </w:tcPr>
          <w:p w14:paraId="70C149B4"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 </w:t>
            </w:r>
          </w:p>
        </w:tc>
      </w:tr>
      <w:tr w:rsidR="00673397" w:rsidRPr="00D703CD" w14:paraId="28B639BB" w14:textId="77777777" w:rsidTr="00673397">
        <w:trPr>
          <w:trHeight w:val="870"/>
        </w:trPr>
        <w:tc>
          <w:tcPr>
            <w:tcW w:w="1433" w:type="pct"/>
            <w:hideMark/>
          </w:tcPr>
          <w:p w14:paraId="18C7E4A9"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1.  SOPs updated in consultation with stakeholders and agreed with the Steering Committee</w:t>
            </w:r>
          </w:p>
        </w:tc>
        <w:tc>
          <w:tcPr>
            <w:tcW w:w="555" w:type="pct"/>
            <w:noWrap/>
            <w:hideMark/>
          </w:tcPr>
          <w:p w14:paraId="479BD6E6"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AHPSU reporting</w:t>
            </w:r>
          </w:p>
        </w:tc>
        <w:tc>
          <w:tcPr>
            <w:tcW w:w="1203" w:type="pct"/>
            <w:hideMark/>
          </w:tcPr>
          <w:p w14:paraId="72971CC1"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SOPs approved by DFAT</w:t>
            </w:r>
          </w:p>
        </w:tc>
        <w:tc>
          <w:tcPr>
            <w:tcW w:w="416" w:type="pct"/>
            <w:noWrap/>
            <w:hideMark/>
          </w:tcPr>
          <w:p w14:paraId="2A371F36" w14:textId="412F3964"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6 mo.</w:t>
            </w:r>
          </w:p>
        </w:tc>
        <w:tc>
          <w:tcPr>
            <w:tcW w:w="555" w:type="pct"/>
            <w:noWrap/>
            <w:hideMark/>
          </w:tcPr>
          <w:p w14:paraId="1FB52147"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AHPSU</w:t>
            </w:r>
          </w:p>
        </w:tc>
        <w:tc>
          <w:tcPr>
            <w:tcW w:w="838" w:type="pct"/>
            <w:hideMark/>
          </w:tcPr>
          <w:p w14:paraId="02CA5F4A"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Six monthly and exception reporting to DFAT HPD</w:t>
            </w:r>
          </w:p>
        </w:tc>
      </w:tr>
      <w:tr w:rsidR="00673397" w:rsidRPr="00D703CD" w14:paraId="1E8ED17C" w14:textId="77777777" w:rsidTr="00673397">
        <w:trPr>
          <w:trHeight w:val="870"/>
        </w:trPr>
        <w:tc>
          <w:tcPr>
            <w:tcW w:w="1433" w:type="pct"/>
            <w:hideMark/>
          </w:tcPr>
          <w:p w14:paraId="71D175FA"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2. Panel of technical specialists established by the AHPSU</w:t>
            </w:r>
          </w:p>
        </w:tc>
        <w:tc>
          <w:tcPr>
            <w:tcW w:w="555" w:type="pct"/>
            <w:noWrap/>
            <w:hideMark/>
          </w:tcPr>
          <w:p w14:paraId="0BA7EDC3"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AHPSU reporting</w:t>
            </w:r>
          </w:p>
        </w:tc>
        <w:tc>
          <w:tcPr>
            <w:tcW w:w="1203" w:type="pct"/>
            <w:hideMark/>
          </w:tcPr>
          <w:p w14:paraId="25A3CC4F"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Recruitment completed and strategy for Partnership support approved</w:t>
            </w:r>
          </w:p>
        </w:tc>
        <w:tc>
          <w:tcPr>
            <w:tcW w:w="416" w:type="pct"/>
            <w:noWrap/>
            <w:hideMark/>
          </w:tcPr>
          <w:p w14:paraId="17E1ABB9" w14:textId="74A34B43"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6 mo.</w:t>
            </w:r>
          </w:p>
        </w:tc>
        <w:tc>
          <w:tcPr>
            <w:tcW w:w="555" w:type="pct"/>
            <w:noWrap/>
            <w:hideMark/>
          </w:tcPr>
          <w:p w14:paraId="47859473"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AHPSU</w:t>
            </w:r>
          </w:p>
        </w:tc>
        <w:tc>
          <w:tcPr>
            <w:tcW w:w="838" w:type="pct"/>
            <w:hideMark/>
          </w:tcPr>
          <w:p w14:paraId="6A9CDB1D"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Six monthly and exception reporting to DFAT HPD</w:t>
            </w:r>
          </w:p>
        </w:tc>
      </w:tr>
      <w:tr w:rsidR="00673397" w:rsidRPr="00D703CD" w14:paraId="4C8E0B7B" w14:textId="77777777" w:rsidTr="00673397">
        <w:trPr>
          <w:trHeight w:val="870"/>
        </w:trPr>
        <w:tc>
          <w:tcPr>
            <w:tcW w:w="1433" w:type="pct"/>
            <w:hideMark/>
          </w:tcPr>
          <w:p w14:paraId="680755BD"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3. AHP NGO Partners submit activation proposals that are in accordance with the Program Principles and MELF.</w:t>
            </w:r>
          </w:p>
        </w:tc>
        <w:tc>
          <w:tcPr>
            <w:tcW w:w="555" w:type="pct"/>
            <w:noWrap/>
            <w:hideMark/>
          </w:tcPr>
          <w:p w14:paraId="7C712FBD"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AHPSU reporting</w:t>
            </w:r>
          </w:p>
        </w:tc>
        <w:tc>
          <w:tcPr>
            <w:tcW w:w="1203" w:type="pct"/>
            <w:hideMark/>
          </w:tcPr>
          <w:p w14:paraId="6FC2AE7B"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 and value of protracted responses designs and proposals approved</w:t>
            </w:r>
          </w:p>
        </w:tc>
        <w:tc>
          <w:tcPr>
            <w:tcW w:w="416" w:type="pct"/>
            <w:noWrap/>
            <w:hideMark/>
          </w:tcPr>
          <w:p w14:paraId="1AAC8BA3" w14:textId="2E3C080B"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6 mo.</w:t>
            </w:r>
          </w:p>
        </w:tc>
        <w:tc>
          <w:tcPr>
            <w:tcW w:w="555" w:type="pct"/>
            <w:noWrap/>
            <w:hideMark/>
          </w:tcPr>
          <w:p w14:paraId="6875B5DE"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AHPSU</w:t>
            </w:r>
          </w:p>
        </w:tc>
        <w:tc>
          <w:tcPr>
            <w:tcW w:w="838" w:type="pct"/>
            <w:hideMark/>
          </w:tcPr>
          <w:p w14:paraId="06CEF4B2"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Six monthly and exception reporting to DFAT HPD</w:t>
            </w:r>
          </w:p>
        </w:tc>
      </w:tr>
      <w:tr w:rsidR="00673397" w:rsidRPr="00D703CD" w14:paraId="7F8F3E19" w14:textId="77777777" w:rsidTr="00673397">
        <w:trPr>
          <w:trHeight w:val="870"/>
        </w:trPr>
        <w:tc>
          <w:tcPr>
            <w:tcW w:w="1433" w:type="pct"/>
            <w:hideMark/>
          </w:tcPr>
          <w:p w14:paraId="005B5E15"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4. AHP NGO Partners implement and monitor approved proposals in accordance with the Program Principles and MELF.</w:t>
            </w:r>
          </w:p>
        </w:tc>
        <w:tc>
          <w:tcPr>
            <w:tcW w:w="555" w:type="pct"/>
            <w:noWrap/>
            <w:hideMark/>
          </w:tcPr>
          <w:p w14:paraId="4C34EA6D"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ANGO internal reporting</w:t>
            </w:r>
          </w:p>
        </w:tc>
        <w:tc>
          <w:tcPr>
            <w:tcW w:w="1203" w:type="pct"/>
            <w:hideMark/>
          </w:tcPr>
          <w:p w14:paraId="4402ACA3"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ANGOs maintain internal M&amp;E reporting records available upon request, and available for AHP evaluations</w:t>
            </w:r>
          </w:p>
        </w:tc>
        <w:tc>
          <w:tcPr>
            <w:tcW w:w="416" w:type="pct"/>
            <w:noWrap/>
            <w:hideMark/>
          </w:tcPr>
          <w:p w14:paraId="35A5BE56"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ongoing</w:t>
            </w:r>
          </w:p>
        </w:tc>
        <w:tc>
          <w:tcPr>
            <w:tcW w:w="555" w:type="pct"/>
            <w:noWrap/>
            <w:hideMark/>
          </w:tcPr>
          <w:p w14:paraId="3283A9E8"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ANGOs</w:t>
            </w:r>
          </w:p>
        </w:tc>
        <w:tc>
          <w:tcPr>
            <w:tcW w:w="838" w:type="pct"/>
            <w:noWrap/>
            <w:hideMark/>
          </w:tcPr>
          <w:p w14:paraId="0019F9C2"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as required</w:t>
            </w:r>
          </w:p>
        </w:tc>
      </w:tr>
      <w:tr w:rsidR="00673397" w:rsidRPr="00D703CD" w14:paraId="01D887CF" w14:textId="77777777" w:rsidTr="00673397">
        <w:trPr>
          <w:trHeight w:val="290"/>
        </w:trPr>
        <w:tc>
          <w:tcPr>
            <w:tcW w:w="1433" w:type="pct"/>
            <w:hideMark/>
          </w:tcPr>
          <w:p w14:paraId="354E2EE2" w14:textId="77777777" w:rsidR="00D5136E" w:rsidRPr="00673397" w:rsidRDefault="00D5136E" w:rsidP="00D703CD">
            <w:pPr>
              <w:suppressAutoHyphens w:val="0"/>
              <w:spacing w:before="0" w:after="0" w:line="240" w:lineRule="auto"/>
              <w:rPr>
                <w:rFonts w:ascii="Calibri" w:eastAsia="Times New Roman" w:hAnsi="Calibri" w:cs="Calibri"/>
                <w:b/>
                <w:bCs/>
                <w:sz w:val="20"/>
                <w:szCs w:val="20"/>
                <w:lang w:val="en-AU" w:eastAsia="en-AU"/>
              </w:rPr>
            </w:pPr>
            <w:r w:rsidRPr="00673397">
              <w:rPr>
                <w:rFonts w:ascii="Calibri" w:eastAsia="Times New Roman" w:hAnsi="Calibri" w:cs="Calibri"/>
                <w:b/>
                <w:bCs/>
                <w:sz w:val="20"/>
                <w:szCs w:val="20"/>
                <w:lang w:val="en-AU" w:eastAsia="en-AU"/>
              </w:rPr>
              <w:t>Component 3</w:t>
            </w:r>
          </w:p>
        </w:tc>
        <w:tc>
          <w:tcPr>
            <w:tcW w:w="555" w:type="pct"/>
            <w:noWrap/>
            <w:hideMark/>
          </w:tcPr>
          <w:p w14:paraId="136967A6"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 </w:t>
            </w:r>
          </w:p>
        </w:tc>
        <w:tc>
          <w:tcPr>
            <w:tcW w:w="1203" w:type="pct"/>
            <w:noWrap/>
            <w:hideMark/>
          </w:tcPr>
          <w:p w14:paraId="767B0D47"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 </w:t>
            </w:r>
          </w:p>
        </w:tc>
        <w:tc>
          <w:tcPr>
            <w:tcW w:w="416" w:type="pct"/>
            <w:noWrap/>
            <w:hideMark/>
          </w:tcPr>
          <w:p w14:paraId="69B95846"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 </w:t>
            </w:r>
          </w:p>
        </w:tc>
        <w:tc>
          <w:tcPr>
            <w:tcW w:w="555" w:type="pct"/>
            <w:noWrap/>
            <w:hideMark/>
          </w:tcPr>
          <w:p w14:paraId="067C5C76"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 </w:t>
            </w:r>
          </w:p>
        </w:tc>
        <w:tc>
          <w:tcPr>
            <w:tcW w:w="838" w:type="pct"/>
            <w:noWrap/>
            <w:hideMark/>
          </w:tcPr>
          <w:p w14:paraId="6BF3C4F9"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 </w:t>
            </w:r>
          </w:p>
        </w:tc>
      </w:tr>
      <w:tr w:rsidR="00673397" w:rsidRPr="00D703CD" w14:paraId="3AD79959" w14:textId="77777777" w:rsidTr="00673397">
        <w:trPr>
          <w:trHeight w:val="791"/>
        </w:trPr>
        <w:tc>
          <w:tcPr>
            <w:tcW w:w="1433" w:type="pct"/>
            <w:hideMark/>
          </w:tcPr>
          <w:p w14:paraId="6ADED3B5"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1.   Partnership principles and practices maintained through the Steering Committee and effective working relationships between ANGOs and DFAT.</w:t>
            </w:r>
          </w:p>
        </w:tc>
        <w:tc>
          <w:tcPr>
            <w:tcW w:w="555" w:type="pct"/>
            <w:noWrap/>
            <w:hideMark/>
          </w:tcPr>
          <w:p w14:paraId="016CB9DA"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AHPSU reporting</w:t>
            </w:r>
          </w:p>
        </w:tc>
        <w:tc>
          <w:tcPr>
            <w:tcW w:w="1203" w:type="pct"/>
            <w:hideMark/>
          </w:tcPr>
          <w:p w14:paraId="1E3D998B"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Partnership Charter agreed and Partnership Health Checks undertaken annually</w:t>
            </w:r>
          </w:p>
        </w:tc>
        <w:tc>
          <w:tcPr>
            <w:tcW w:w="416" w:type="pct"/>
            <w:noWrap/>
            <w:hideMark/>
          </w:tcPr>
          <w:p w14:paraId="3C3824B1" w14:textId="2114B026"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6 mo.</w:t>
            </w:r>
          </w:p>
        </w:tc>
        <w:tc>
          <w:tcPr>
            <w:tcW w:w="555" w:type="pct"/>
            <w:noWrap/>
            <w:hideMark/>
          </w:tcPr>
          <w:p w14:paraId="50E460CF"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AHPSU</w:t>
            </w:r>
          </w:p>
        </w:tc>
        <w:tc>
          <w:tcPr>
            <w:tcW w:w="838" w:type="pct"/>
            <w:hideMark/>
          </w:tcPr>
          <w:p w14:paraId="6462BC1D"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Six monthly and exception reporting to DFAT HPD</w:t>
            </w:r>
          </w:p>
        </w:tc>
      </w:tr>
      <w:tr w:rsidR="00673397" w:rsidRPr="00D703CD" w14:paraId="5C9BA8EC" w14:textId="77777777" w:rsidTr="00673397">
        <w:trPr>
          <w:trHeight w:val="870"/>
        </w:trPr>
        <w:tc>
          <w:tcPr>
            <w:tcW w:w="1433" w:type="pct"/>
            <w:hideMark/>
          </w:tcPr>
          <w:p w14:paraId="7C22CBFC"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2.  Coordination and technical support for MEL, reflection and research at partnership and country level supported by AHPSU.</w:t>
            </w:r>
          </w:p>
        </w:tc>
        <w:tc>
          <w:tcPr>
            <w:tcW w:w="555" w:type="pct"/>
            <w:noWrap/>
            <w:hideMark/>
          </w:tcPr>
          <w:p w14:paraId="5DF88EE3"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AHPSU reporting</w:t>
            </w:r>
          </w:p>
        </w:tc>
        <w:tc>
          <w:tcPr>
            <w:tcW w:w="1203" w:type="pct"/>
            <w:hideMark/>
          </w:tcPr>
          <w:p w14:paraId="2C4CD7C9"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AHPSU reporting on activity against budget in line with the SoR</w:t>
            </w:r>
          </w:p>
        </w:tc>
        <w:tc>
          <w:tcPr>
            <w:tcW w:w="416" w:type="pct"/>
            <w:noWrap/>
            <w:hideMark/>
          </w:tcPr>
          <w:p w14:paraId="1AFEF417" w14:textId="3BF71826"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6 mo.</w:t>
            </w:r>
          </w:p>
        </w:tc>
        <w:tc>
          <w:tcPr>
            <w:tcW w:w="555" w:type="pct"/>
            <w:noWrap/>
            <w:hideMark/>
          </w:tcPr>
          <w:p w14:paraId="41E6E76E"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AHPSU</w:t>
            </w:r>
          </w:p>
        </w:tc>
        <w:tc>
          <w:tcPr>
            <w:tcW w:w="838" w:type="pct"/>
            <w:hideMark/>
          </w:tcPr>
          <w:p w14:paraId="52492EF7"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Six monthly and exception reporting to DFAT HPD</w:t>
            </w:r>
          </w:p>
        </w:tc>
      </w:tr>
      <w:tr w:rsidR="00673397" w:rsidRPr="00D703CD" w14:paraId="0B9397A1" w14:textId="77777777" w:rsidTr="00673397">
        <w:trPr>
          <w:trHeight w:val="870"/>
        </w:trPr>
        <w:tc>
          <w:tcPr>
            <w:tcW w:w="1433" w:type="pct"/>
            <w:hideMark/>
          </w:tcPr>
          <w:p w14:paraId="5AAC54DA"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3. Partners actively contribute to communications and public diplomacy efforts coordinated by the AHPSU.</w:t>
            </w:r>
          </w:p>
        </w:tc>
        <w:tc>
          <w:tcPr>
            <w:tcW w:w="555" w:type="pct"/>
            <w:noWrap/>
            <w:hideMark/>
          </w:tcPr>
          <w:p w14:paraId="20401759"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Steering Committee review</w:t>
            </w:r>
          </w:p>
        </w:tc>
        <w:tc>
          <w:tcPr>
            <w:tcW w:w="1203" w:type="pct"/>
            <w:hideMark/>
          </w:tcPr>
          <w:p w14:paraId="20074B0F"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DFAT feedback to SC on public diplomacy and comms</w:t>
            </w:r>
          </w:p>
        </w:tc>
        <w:tc>
          <w:tcPr>
            <w:tcW w:w="416" w:type="pct"/>
            <w:noWrap/>
            <w:hideMark/>
          </w:tcPr>
          <w:p w14:paraId="52D74781"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3x/year</w:t>
            </w:r>
          </w:p>
        </w:tc>
        <w:tc>
          <w:tcPr>
            <w:tcW w:w="555" w:type="pct"/>
            <w:noWrap/>
            <w:hideMark/>
          </w:tcPr>
          <w:p w14:paraId="27DEFD87"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Steering Committee</w:t>
            </w:r>
          </w:p>
        </w:tc>
        <w:tc>
          <w:tcPr>
            <w:tcW w:w="838" w:type="pct"/>
            <w:noWrap/>
            <w:hideMark/>
          </w:tcPr>
          <w:p w14:paraId="30B0D978"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Minutes</w:t>
            </w:r>
          </w:p>
        </w:tc>
      </w:tr>
      <w:tr w:rsidR="00673397" w:rsidRPr="00D703CD" w14:paraId="0A7EB6DF" w14:textId="77777777" w:rsidTr="00673397">
        <w:trPr>
          <w:trHeight w:val="870"/>
        </w:trPr>
        <w:tc>
          <w:tcPr>
            <w:tcW w:w="1433" w:type="pct"/>
            <w:hideMark/>
          </w:tcPr>
          <w:p w14:paraId="382CB675"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4. DFAT provides policy direction and facilitates engagement with existing programs and partners.</w:t>
            </w:r>
          </w:p>
        </w:tc>
        <w:tc>
          <w:tcPr>
            <w:tcW w:w="555" w:type="pct"/>
            <w:noWrap/>
            <w:hideMark/>
          </w:tcPr>
          <w:p w14:paraId="26607E79"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Steering Committee review</w:t>
            </w:r>
          </w:p>
        </w:tc>
        <w:tc>
          <w:tcPr>
            <w:tcW w:w="1203" w:type="pct"/>
            <w:noWrap/>
            <w:hideMark/>
          </w:tcPr>
          <w:p w14:paraId="6B21F2B3"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 xml:space="preserve">Feedback from AHP Partners to DFAT in SC meetings </w:t>
            </w:r>
          </w:p>
        </w:tc>
        <w:tc>
          <w:tcPr>
            <w:tcW w:w="416" w:type="pct"/>
            <w:noWrap/>
            <w:hideMark/>
          </w:tcPr>
          <w:p w14:paraId="1068A841"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3x/year</w:t>
            </w:r>
          </w:p>
        </w:tc>
        <w:tc>
          <w:tcPr>
            <w:tcW w:w="555" w:type="pct"/>
            <w:noWrap/>
            <w:hideMark/>
          </w:tcPr>
          <w:p w14:paraId="1A0B7665"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Steering Committee</w:t>
            </w:r>
          </w:p>
        </w:tc>
        <w:tc>
          <w:tcPr>
            <w:tcW w:w="838" w:type="pct"/>
            <w:noWrap/>
            <w:hideMark/>
          </w:tcPr>
          <w:p w14:paraId="44C9BDAF" w14:textId="77777777" w:rsidR="00D5136E" w:rsidRPr="00673397" w:rsidRDefault="00D5136E" w:rsidP="00D703CD">
            <w:pPr>
              <w:suppressAutoHyphens w:val="0"/>
              <w:spacing w:before="0" w:after="0" w:line="240" w:lineRule="auto"/>
              <w:rPr>
                <w:rFonts w:ascii="Calibri" w:eastAsia="Times New Roman" w:hAnsi="Calibri" w:cs="Calibri"/>
                <w:sz w:val="20"/>
                <w:szCs w:val="20"/>
                <w:lang w:val="en-AU" w:eastAsia="en-AU"/>
              </w:rPr>
            </w:pPr>
            <w:r w:rsidRPr="00673397">
              <w:rPr>
                <w:rFonts w:ascii="Calibri" w:eastAsia="Times New Roman" w:hAnsi="Calibri" w:cs="Calibri"/>
                <w:sz w:val="20"/>
                <w:szCs w:val="20"/>
                <w:lang w:val="en-AU" w:eastAsia="en-AU"/>
              </w:rPr>
              <w:t>Minutes</w:t>
            </w:r>
          </w:p>
        </w:tc>
      </w:tr>
    </w:tbl>
    <w:p w14:paraId="33B56C7A" w14:textId="56FA605A" w:rsidR="00411D0B" w:rsidRDefault="00411D0B" w:rsidP="00415502">
      <w:pPr>
        <w:sectPr w:rsidR="00411D0B" w:rsidSect="00E93683">
          <w:pgSz w:w="16838" w:h="11906" w:orient="landscape"/>
          <w:pgMar w:top="720" w:right="720" w:bottom="720" w:left="720" w:header="708" w:footer="708" w:gutter="0"/>
          <w:cols w:space="708"/>
          <w:docGrid w:linePitch="360"/>
        </w:sectPr>
      </w:pPr>
    </w:p>
    <w:p w14:paraId="3D325978" w14:textId="7DB96495" w:rsidR="00F9169D" w:rsidRPr="00A92894" w:rsidRDefault="00F9169D" w:rsidP="00A92894">
      <w:pPr>
        <w:pStyle w:val="Heading1"/>
        <w:rPr>
          <w:sz w:val="22"/>
          <w:szCs w:val="22"/>
        </w:rPr>
      </w:pPr>
      <w:bookmarkStart w:id="99" w:name="_Toc101521672"/>
      <w:r w:rsidRPr="00A92894">
        <w:rPr>
          <w:sz w:val="22"/>
          <w:szCs w:val="22"/>
        </w:rPr>
        <w:lastRenderedPageBreak/>
        <w:t xml:space="preserve">ANNEX </w:t>
      </w:r>
      <w:r w:rsidR="00A92894">
        <w:rPr>
          <w:sz w:val="22"/>
          <w:szCs w:val="22"/>
        </w:rPr>
        <w:t>5:</w:t>
      </w:r>
      <w:r w:rsidRPr="00A92894">
        <w:rPr>
          <w:sz w:val="22"/>
          <w:szCs w:val="22"/>
        </w:rPr>
        <w:t xml:space="preserve"> AHP PHASE I PROGRAM LOGIC</w:t>
      </w:r>
      <w:bookmarkEnd w:id="99"/>
      <w:r w:rsidRPr="00A92894">
        <w:rPr>
          <w:sz w:val="22"/>
          <w:szCs w:val="22"/>
        </w:rPr>
        <w:t xml:space="preserve"> </w:t>
      </w:r>
    </w:p>
    <w:p w14:paraId="5DD6A842" w14:textId="77777777" w:rsidR="00F9169D" w:rsidRDefault="00F9169D" w:rsidP="005B092D">
      <w:pPr>
        <w:pStyle w:val="Heading1"/>
        <w:rPr>
          <w:sz w:val="22"/>
          <w:szCs w:val="22"/>
        </w:rPr>
      </w:pPr>
    </w:p>
    <w:p w14:paraId="7BF8188F" w14:textId="2ED8082D" w:rsidR="00EB6568" w:rsidRPr="00EB6568" w:rsidRDefault="00AE2FE3" w:rsidP="00AE2FE3">
      <w:pPr>
        <w:ind w:left="-567"/>
        <w:sectPr w:rsidR="00EB6568" w:rsidRPr="00EB6568" w:rsidSect="005E2D88">
          <w:pgSz w:w="16838" w:h="11906" w:orient="landscape"/>
          <w:pgMar w:top="993" w:right="1440" w:bottom="1440" w:left="1440" w:header="709" w:footer="335" w:gutter="0"/>
          <w:cols w:space="708"/>
          <w:docGrid w:linePitch="360"/>
        </w:sectPr>
      </w:pPr>
      <w:r>
        <w:rPr>
          <w:noProof/>
        </w:rPr>
        <w:drawing>
          <wp:inline distT="0" distB="0" distL="0" distR="0" wp14:anchorId="30BE63B7" wp14:editId="1CC41B55">
            <wp:extent cx="9122896" cy="5021580"/>
            <wp:effectExtent l="0" t="0" r="2540" b="7620"/>
            <wp:docPr id="1" name="Picture 1" descr="This diagram shows the program logic of the AHP Phase I. The goals are: &#10;A) To save lives, alleviate suffering and enhance human dignity during and in the aftermath of conflict, natural disasters and other humanitarian crises.&#10;B) To strengthen capacity to prepare for and recover from natural disasters in the Pacific &#10;&#10;The end of program outcomes are:&#10;1) Target populations are protected and receive timely and high quality humanitarian assistance and are well supported in early recovery&#10;2) There is an ongoing contribution to sector-wide learning, coordination, and practice improvement&#10;3) There is stronger local humanitarian capability and preparedness in the Pacific and Timor-Leste so that communities are better able to respond to, and recover from, rapid- and slow-onset disasters&#10;&#10;There are also a range of intermediate outcom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diagram shows the program logic of the AHP Phase I. The goals are: &#10;A) To save lives, alleviate suffering and enhance human dignity during and in the aftermath of conflict, natural disasters and other humanitarian crises.&#10;B) To strengthen capacity to prepare for and recover from natural disasters in the Pacific &#10;&#10;The end of program outcomes are:&#10;1) Target populations are protected and receive timely and high quality humanitarian assistance and are well supported in early recovery&#10;2) There is an ongoing contribution to sector-wide learning, coordination, and practice improvement&#10;3) There is stronger local humanitarian capability and preparedness in the Pacific and Timor-Leste so that communities are better able to respond to, and recover from, rapid- and slow-onset disasters&#10;&#10;There are also a range of intermediate outcomes.&#10;"/>
                    <pic:cNvPicPr/>
                  </pic:nvPicPr>
                  <pic:blipFill>
                    <a:blip r:embed="rId23"/>
                    <a:stretch>
                      <a:fillRect/>
                    </a:stretch>
                  </pic:blipFill>
                  <pic:spPr>
                    <a:xfrm>
                      <a:off x="0" y="0"/>
                      <a:ext cx="9123883" cy="5022123"/>
                    </a:xfrm>
                    <a:prstGeom prst="rect">
                      <a:avLst/>
                    </a:prstGeom>
                  </pic:spPr>
                </pic:pic>
              </a:graphicData>
            </a:graphic>
          </wp:inline>
        </w:drawing>
      </w:r>
    </w:p>
    <w:p w14:paraId="7807DA04" w14:textId="129805AB" w:rsidR="004E07EF" w:rsidRPr="005B092D" w:rsidRDefault="00411D0B" w:rsidP="005B092D">
      <w:pPr>
        <w:pStyle w:val="Heading1"/>
        <w:rPr>
          <w:b w:val="0"/>
          <w:bCs w:val="0"/>
        </w:rPr>
      </w:pPr>
      <w:bookmarkStart w:id="100" w:name="_Toc101521673"/>
      <w:r w:rsidRPr="005B092D">
        <w:rPr>
          <w:sz w:val="22"/>
          <w:szCs w:val="22"/>
        </w:rPr>
        <w:lastRenderedPageBreak/>
        <w:t xml:space="preserve">Annex </w:t>
      </w:r>
      <w:r w:rsidR="00A92894">
        <w:rPr>
          <w:sz w:val="22"/>
          <w:szCs w:val="22"/>
        </w:rPr>
        <w:t>6:</w:t>
      </w:r>
      <w:r w:rsidRPr="005B092D">
        <w:rPr>
          <w:sz w:val="22"/>
          <w:szCs w:val="22"/>
        </w:rPr>
        <w:t xml:space="preserve"> </w:t>
      </w:r>
      <w:r w:rsidR="00025457" w:rsidRPr="005B092D">
        <w:rPr>
          <w:sz w:val="22"/>
          <w:szCs w:val="22"/>
        </w:rPr>
        <w:t>AUSTRALIAN HUMANITARIAN PARTNERHSIP MID-TERM EVALUATION MANAGEMENT RESPONSE</w:t>
      </w:r>
      <w:bookmarkEnd w:id="100"/>
    </w:p>
    <w:p w14:paraId="20F6B99E" w14:textId="2E07C13A" w:rsidR="00025457" w:rsidRDefault="00025457" w:rsidP="00025457">
      <w:r>
        <w:t xml:space="preserve">The Australian Humanitarian Partnership (AHP) is five-year (2017‒2022) partnership between DFAT and six peak Australian NGOs designed to save lives, alleviate </w:t>
      </w:r>
      <w:r w:rsidR="00D23341">
        <w:t>suffering,</w:t>
      </w:r>
      <w:r>
        <w:t xml:space="preserve"> and enhance human dignity during and in the aftermath of conflict, </w:t>
      </w:r>
      <w:r w:rsidR="00D23341">
        <w:t>disasters,</w:t>
      </w:r>
      <w:r>
        <w:t xml:space="preserve"> and other humanitarian crises. The AHP has three key pillars – response, </w:t>
      </w:r>
      <w:r w:rsidR="00D23341">
        <w:t>preparedness,</w:t>
      </w:r>
      <w:r>
        <w:t xml:space="preserve"> and sectoral learning.</w:t>
      </w:r>
    </w:p>
    <w:p w14:paraId="343BB14D" w14:textId="77777777" w:rsidR="00025457" w:rsidRPr="00D20C70" w:rsidRDefault="00025457" w:rsidP="00025457">
      <w:r w:rsidRPr="00D20C70">
        <w:t>AHP has two major areas of work. The first revolves around response to protracted and rapid onset disasters, which continues the utilisation of Australian NGO expertise in Australia’s disaster responses. The second program component is Disaster READY, a sub program that focuses on disaster risk reduction in Timor-Leste, Fiji, PNG, Solomon Islands and Vanuatu.</w:t>
      </w:r>
    </w:p>
    <w:p w14:paraId="710D94B6" w14:textId="77777777" w:rsidR="00025457" w:rsidRPr="00D20C70" w:rsidRDefault="00025457" w:rsidP="00025457">
      <w:r w:rsidRPr="00AA0393">
        <w:t xml:space="preserve">To date, DFAT has committed </w:t>
      </w:r>
      <w:r>
        <w:t xml:space="preserve">more than </w:t>
      </w:r>
      <w:r w:rsidRPr="00AA0393">
        <w:t>$</w:t>
      </w:r>
      <w:r>
        <w:t>200</w:t>
      </w:r>
      <w:r w:rsidRPr="00AA0393">
        <w:t xml:space="preserve"> million (including Disaster READY) through the AHP, responding to </w:t>
      </w:r>
      <w:r>
        <w:t xml:space="preserve">more than </w:t>
      </w:r>
      <w:r w:rsidRPr="00AA0393">
        <w:t>40 humanitarian responses with over four million people projected to be reached.</w:t>
      </w:r>
    </w:p>
    <w:p w14:paraId="310EFDBC" w14:textId="1C716777" w:rsidR="00025457" w:rsidRDefault="00025457" w:rsidP="00025457">
      <w:r w:rsidRPr="00D20C70">
        <w:t xml:space="preserve">DFAT holds an overarching contract with Alinea-Whitelum for the AHP Support Unit (AHPSU) who in turn enters into contractual agreements with the six Australian NGOs and facilitates all contractual, </w:t>
      </w:r>
      <w:r w:rsidR="00D23341" w:rsidRPr="00D20C70">
        <w:t>administrative,</w:t>
      </w:r>
      <w:r w:rsidRPr="00D20C70">
        <w:t xml:space="preserve"> and funding requirements.  </w:t>
      </w:r>
      <w:r>
        <w:t>T</w:t>
      </w:r>
      <w:r w:rsidRPr="00D20C70">
        <w:t xml:space="preserve">he AHPSU </w:t>
      </w:r>
      <w:r>
        <w:t xml:space="preserve">also </w:t>
      </w:r>
      <w:r w:rsidRPr="00D20C70">
        <w:t xml:space="preserve">assists with the management of Disaster READY and undertakes a </w:t>
      </w:r>
      <w:r>
        <w:t xml:space="preserve">range of support functions for the partnership on behalf of DFAT, including monitoring and evaluation, operations, </w:t>
      </w:r>
      <w:r w:rsidR="00D23341">
        <w:t>grants,</w:t>
      </w:r>
      <w:r>
        <w:t xml:space="preserve"> and communications.</w:t>
      </w:r>
    </w:p>
    <w:p w14:paraId="2728D344" w14:textId="77777777" w:rsidR="00025457" w:rsidRDefault="00025457" w:rsidP="00025457">
      <w:r w:rsidRPr="00D20C70">
        <w:t xml:space="preserve">An independent </w:t>
      </w:r>
      <w:r>
        <w:t>M</w:t>
      </w:r>
      <w:r w:rsidRPr="00D20C70">
        <w:t>id</w:t>
      </w:r>
      <w:r>
        <w:t xml:space="preserve"> T</w:t>
      </w:r>
      <w:r w:rsidRPr="00D20C70">
        <w:t xml:space="preserve">erm </w:t>
      </w:r>
      <w:r>
        <w:t>E</w:t>
      </w:r>
      <w:r w:rsidRPr="00D20C70">
        <w:t>valuation</w:t>
      </w:r>
      <w:r>
        <w:t xml:space="preserve"> (MTE)</w:t>
      </w:r>
      <w:r w:rsidRPr="00D20C70">
        <w:t xml:space="preserve"> of AHP was undertaken through 2020 (March to December) to provide an evidence-based assessment of the progress of AHP and recommendations for future planning.</w:t>
      </w:r>
      <w:r>
        <w:t xml:space="preserve"> The independent review team comprised two consultants (Linda Kelly and Anna Roche) with the MTE managed by the </w:t>
      </w:r>
      <w:r w:rsidRPr="00D20C70">
        <w:t>Humanitarian, NGOs &amp; Partnerships Division</w:t>
      </w:r>
      <w:r>
        <w:t xml:space="preserve"> within DFAT. The MTE addressed six evaluation questions exploring the effectiveness of the AHP mechanism, the Disaster Ready sub-program, the extent of progress in the cross-cutting issues of localisation, gender &amp; disability inclusion and the contributions AHP has made to learning and improvements in the humanitarian sector, DFAT humanitarian programming and to the NGO community.  The review team consulted with:</w:t>
      </w:r>
    </w:p>
    <w:p w14:paraId="643D937E" w14:textId="77777777" w:rsidR="00025457" w:rsidRDefault="00025457" w:rsidP="0011591E">
      <w:pPr>
        <w:pStyle w:val="ListParagraph"/>
        <w:numPr>
          <w:ilvl w:val="0"/>
          <w:numId w:val="37"/>
        </w:numPr>
        <w:suppressAutoHyphens w:val="0"/>
        <w:spacing w:before="0" w:after="0" w:line="240" w:lineRule="auto"/>
        <w:contextualSpacing w:val="0"/>
      </w:pPr>
      <w:r>
        <w:t xml:space="preserve">DFAT Posts; </w:t>
      </w:r>
    </w:p>
    <w:p w14:paraId="29504708" w14:textId="77777777" w:rsidR="00025457" w:rsidRPr="00B25CD8" w:rsidRDefault="00025457" w:rsidP="0011591E">
      <w:pPr>
        <w:pStyle w:val="ListParagraph"/>
        <w:numPr>
          <w:ilvl w:val="0"/>
          <w:numId w:val="37"/>
        </w:numPr>
        <w:suppressAutoHyphens w:val="0"/>
        <w:spacing w:before="0" w:after="0" w:line="240" w:lineRule="auto"/>
        <w:contextualSpacing w:val="0"/>
      </w:pPr>
      <w:r w:rsidRPr="00B25CD8">
        <w:t>AHP partners and their consortium partne</w:t>
      </w:r>
      <w:r>
        <w:t>rs in Australia and in-country;</w:t>
      </w:r>
    </w:p>
    <w:p w14:paraId="07C1B3DC" w14:textId="77777777" w:rsidR="00025457" w:rsidRDefault="00025457" w:rsidP="0011591E">
      <w:pPr>
        <w:pStyle w:val="ListParagraph"/>
        <w:numPr>
          <w:ilvl w:val="0"/>
          <w:numId w:val="37"/>
        </w:numPr>
        <w:suppressAutoHyphens w:val="0"/>
        <w:spacing w:before="0" w:after="0" w:line="240" w:lineRule="auto"/>
        <w:contextualSpacing w:val="0"/>
      </w:pPr>
      <w:r>
        <w:t xml:space="preserve">AHPSU staff; and </w:t>
      </w:r>
    </w:p>
    <w:p w14:paraId="2D1DAA02" w14:textId="77777777" w:rsidR="00025457" w:rsidRDefault="00025457" w:rsidP="0011591E">
      <w:pPr>
        <w:pStyle w:val="ListParagraph"/>
        <w:numPr>
          <w:ilvl w:val="0"/>
          <w:numId w:val="37"/>
        </w:numPr>
        <w:suppressAutoHyphens w:val="0"/>
        <w:spacing w:before="0" w:after="0" w:line="240" w:lineRule="auto"/>
        <w:contextualSpacing w:val="0"/>
      </w:pPr>
      <w:r>
        <w:t xml:space="preserve">in-country Government officials, Civil Society Organisation staff and local community members.  </w:t>
      </w:r>
    </w:p>
    <w:p w14:paraId="08269936" w14:textId="261B7817" w:rsidR="00025457" w:rsidRDefault="00025457" w:rsidP="00025457">
      <w:r>
        <w:rPr>
          <w:b/>
        </w:rPr>
        <w:t>D</w:t>
      </w:r>
      <w:r w:rsidRPr="003112DF">
        <w:rPr>
          <w:b/>
        </w:rPr>
        <w:t>FAT’s response to the Independent Mid Term Evaluation:</w:t>
      </w:r>
      <w:r>
        <w:t xml:space="preserve"> DFAT welcomes and accepts t</w:t>
      </w:r>
      <w:r w:rsidRPr="00AA0393">
        <w:t xml:space="preserve">he </w:t>
      </w:r>
      <w:r>
        <w:t xml:space="preserve">review’s key </w:t>
      </w:r>
      <w:r w:rsidRPr="00AA0393">
        <w:t>overall findings that</w:t>
      </w:r>
      <w:r>
        <w:t>:</w:t>
      </w:r>
    </w:p>
    <w:p w14:paraId="4BD050E2" w14:textId="77777777" w:rsidR="00025457" w:rsidRPr="00223B0F" w:rsidRDefault="00025457" w:rsidP="0011591E">
      <w:pPr>
        <w:pStyle w:val="ListParagraph"/>
        <w:numPr>
          <w:ilvl w:val="0"/>
          <w:numId w:val="38"/>
        </w:numPr>
        <w:suppressAutoHyphens w:val="0"/>
        <w:spacing w:before="0" w:after="0" w:line="240" w:lineRule="auto"/>
        <w:contextualSpacing w:val="0"/>
        <w:rPr>
          <w:color w:val="444444"/>
          <w:sz w:val="24"/>
          <w:szCs w:val="24"/>
        </w:rPr>
      </w:pPr>
      <w:r w:rsidRPr="00223B0F">
        <w:rPr>
          <w:color w:val="444444"/>
          <w:sz w:val="24"/>
          <w:szCs w:val="24"/>
        </w:rPr>
        <w:t>AHP provides an effective way for DFAT to utilise Australian organisations to contribute to response and recovery in the area of rapid and slow onset disasters, noting some possible areas for improvement in the activation mechanisms;</w:t>
      </w:r>
    </w:p>
    <w:p w14:paraId="11BBC4A6" w14:textId="77777777" w:rsidR="00025457" w:rsidRPr="00223B0F" w:rsidRDefault="00025457" w:rsidP="0011591E">
      <w:pPr>
        <w:pStyle w:val="ListParagraph"/>
        <w:numPr>
          <w:ilvl w:val="0"/>
          <w:numId w:val="38"/>
        </w:numPr>
        <w:suppressAutoHyphens w:val="0"/>
        <w:spacing w:before="0" w:after="0" w:line="240" w:lineRule="auto"/>
        <w:contextualSpacing w:val="0"/>
        <w:rPr>
          <w:color w:val="444444"/>
          <w:sz w:val="24"/>
          <w:szCs w:val="24"/>
        </w:rPr>
      </w:pPr>
      <w:r w:rsidRPr="00223B0F">
        <w:rPr>
          <w:color w:val="444444"/>
          <w:sz w:val="24"/>
          <w:szCs w:val="24"/>
        </w:rPr>
        <w:t>there is evidence of progress against all five Disaster READY end of program outcomes; and</w:t>
      </w:r>
    </w:p>
    <w:p w14:paraId="6B73BFE9" w14:textId="77777777" w:rsidR="00025457" w:rsidRPr="00223B0F" w:rsidRDefault="00025457" w:rsidP="0011591E">
      <w:pPr>
        <w:pStyle w:val="ListParagraph"/>
        <w:numPr>
          <w:ilvl w:val="0"/>
          <w:numId w:val="38"/>
        </w:numPr>
        <w:suppressAutoHyphens w:val="0"/>
        <w:spacing w:before="0" w:after="0" w:line="240" w:lineRule="auto"/>
        <w:contextualSpacing w:val="0"/>
        <w:rPr>
          <w:color w:val="444444"/>
          <w:sz w:val="24"/>
          <w:szCs w:val="24"/>
        </w:rPr>
      </w:pPr>
      <w:r w:rsidRPr="00223B0F">
        <w:rPr>
          <w:color w:val="444444"/>
          <w:sz w:val="24"/>
          <w:szCs w:val="24"/>
        </w:rPr>
        <w:t>the current program modality, a partnership between DFAT and six accredited Australian NGOs supported by an administrative and contracting mechanism, has provided for efficient and timely use of Australian funds.</w:t>
      </w:r>
    </w:p>
    <w:p w14:paraId="529642E8" w14:textId="77777777" w:rsidR="00025457" w:rsidRDefault="00025457" w:rsidP="00025457">
      <w:r>
        <w:t xml:space="preserve">The Mid Term </w:t>
      </w:r>
      <w:r w:rsidRPr="00F2193F">
        <w:t xml:space="preserve">Evaluation made ten recommendations based on their findings and posed a number of further AHP and Disaster READY program level considerations to inform future planning. DFAT supports 8 of the 10 recommendations in full and partly supports the remaining 2 recommendations.  </w:t>
      </w:r>
    </w:p>
    <w:p w14:paraId="6991A275" w14:textId="77777777" w:rsidR="00025457" w:rsidRDefault="00025457" w:rsidP="00025457">
      <w:r w:rsidRPr="00F2193F">
        <w:lastRenderedPageBreak/>
        <w:t xml:space="preserve">DFAT commits to implementing recommendations where possible through the AHP design refresh process (through 2021) and the Disaster READY refresh (through mid-2022). </w:t>
      </w:r>
    </w:p>
    <w:p w14:paraId="500E9ECB" w14:textId="3BCA4C52" w:rsidR="00025457" w:rsidRPr="005B092D" w:rsidRDefault="00025457" w:rsidP="00025457">
      <w:pPr>
        <w:widowControl w:val="0"/>
        <w:suppressAutoHyphens w:val="0"/>
        <w:rPr>
          <w:rFonts w:cstheme="minorHAnsi"/>
          <w:b/>
          <w:bCs/>
          <w:sz w:val="24"/>
          <w:szCs w:val="24"/>
          <w:u w:val="single"/>
        </w:rPr>
      </w:pPr>
      <w:r w:rsidRPr="005B092D">
        <w:rPr>
          <w:rFonts w:asciiTheme="majorHAnsi" w:eastAsiaTheme="majorEastAsia" w:hAnsiTheme="majorHAnsi" w:cstheme="minorHAnsi"/>
          <w:b/>
          <w:bCs/>
          <w:caps/>
          <w:sz w:val="24"/>
          <w:szCs w:val="24"/>
        </w:rPr>
        <w:t>RECOMMENDATIONS AND RESPONSES</w:t>
      </w:r>
    </w:p>
    <w:p w14:paraId="5BEEA896" w14:textId="77777777" w:rsidR="00025457" w:rsidRPr="00223B0F" w:rsidRDefault="00025457" w:rsidP="005B092D">
      <w:pPr>
        <w:widowControl w:val="0"/>
        <w:suppressAutoHyphens w:val="0"/>
        <w:rPr>
          <w:rFonts w:cstheme="minorHAnsi"/>
          <w:b/>
          <w:bCs/>
        </w:rPr>
      </w:pPr>
      <w:r w:rsidRPr="00223B0F">
        <w:rPr>
          <w:rFonts w:cstheme="minorHAnsi"/>
          <w:b/>
          <w:bCs/>
          <w:u w:val="single"/>
        </w:rPr>
        <w:t>Question 1</w:t>
      </w:r>
      <w:r w:rsidRPr="00223B0F">
        <w:rPr>
          <w:rFonts w:cstheme="minorHAnsi"/>
        </w:rPr>
        <w:t>: To what extent has AHP enabled Australia to address the needs of affected populations in rapid and slow onset disasters?</w:t>
      </w:r>
    </w:p>
    <w:p w14:paraId="6DC67056" w14:textId="2D974C3A" w:rsidR="00025457" w:rsidRDefault="00025457" w:rsidP="005B092D">
      <w:pPr>
        <w:widowControl w:val="0"/>
        <w:suppressAutoHyphens w:val="0"/>
        <w:rPr>
          <w:rFonts w:cstheme="minorHAnsi"/>
        </w:rPr>
      </w:pPr>
      <w:r w:rsidRPr="00223B0F">
        <w:rPr>
          <w:rFonts w:cstheme="minorHAnsi"/>
          <w:b/>
          <w:bCs/>
          <w:u w:val="single"/>
        </w:rPr>
        <w:t>Overall findings</w:t>
      </w:r>
      <w:r w:rsidRPr="00223B0F">
        <w:rPr>
          <w:rFonts w:cstheme="minorHAnsi"/>
        </w:rPr>
        <w:t>: AHP has been a highly effective mechanism to enable Australia to address the needs of affected populations in rapid and slow onset disasters.</w:t>
      </w:r>
    </w:p>
    <w:tbl>
      <w:tblPr>
        <w:tblStyle w:val="TableGrid"/>
        <w:tblW w:w="0" w:type="auto"/>
        <w:tblLook w:val="04A0" w:firstRow="1" w:lastRow="0" w:firstColumn="1" w:lastColumn="0" w:noHBand="0" w:noVBand="1"/>
      </w:tblPr>
      <w:tblGrid>
        <w:gridCol w:w="2405"/>
        <w:gridCol w:w="1276"/>
        <w:gridCol w:w="4073"/>
        <w:gridCol w:w="1262"/>
      </w:tblGrid>
      <w:tr w:rsidR="00D5136E" w:rsidRPr="00D5136E" w14:paraId="3328D067" w14:textId="77777777" w:rsidTr="00256CCF">
        <w:tc>
          <w:tcPr>
            <w:tcW w:w="2405" w:type="dxa"/>
            <w:shd w:val="clear" w:color="auto" w:fill="D9D9D9" w:themeFill="background1" w:themeFillShade="D9"/>
          </w:tcPr>
          <w:p w14:paraId="3346419C" w14:textId="77777777" w:rsidR="00D5136E" w:rsidRPr="00D5136E" w:rsidRDefault="00D5136E" w:rsidP="00D5136E">
            <w:pPr>
              <w:widowControl w:val="0"/>
              <w:suppressAutoHyphens w:val="0"/>
              <w:rPr>
                <w:rFonts w:cstheme="minorHAnsi"/>
                <w:b/>
                <w:bCs/>
              </w:rPr>
            </w:pPr>
            <w:r w:rsidRPr="00D5136E">
              <w:rPr>
                <w:rFonts w:cstheme="minorHAnsi"/>
                <w:b/>
                <w:bCs/>
              </w:rPr>
              <w:t>Recommendation</w:t>
            </w:r>
          </w:p>
        </w:tc>
        <w:tc>
          <w:tcPr>
            <w:tcW w:w="1276" w:type="dxa"/>
            <w:shd w:val="clear" w:color="auto" w:fill="D9D9D9" w:themeFill="background1" w:themeFillShade="D9"/>
          </w:tcPr>
          <w:p w14:paraId="294FC874" w14:textId="77777777" w:rsidR="00D5136E" w:rsidRPr="00D5136E" w:rsidRDefault="00D5136E" w:rsidP="00D5136E">
            <w:pPr>
              <w:widowControl w:val="0"/>
              <w:suppressAutoHyphens w:val="0"/>
              <w:rPr>
                <w:rFonts w:cstheme="minorHAnsi"/>
                <w:b/>
                <w:bCs/>
              </w:rPr>
            </w:pPr>
            <w:r w:rsidRPr="00D5136E">
              <w:rPr>
                <w:rFonts w:cstheme="minorHAnsi"/>
                <w:b/>
                <w:bCs/>
              </w:rPr>
              <w:t>Response</w:t>
            </w:r>
          </w:p>
        </w:tc>
        <w:tc>
          <w:tcPr>
            <w:tcW w:w="4073" w:type="dxa"/>
            <w:shd w:val="clear" w:color="auto" w:fill="D9D9D9" w:themeFill="background1" w:themeFillShade="D9"/>
          </w:tcPr>
          <w:p w14:paraId="74C9C841" w14:textId="77777777" w:rsidR="00D5136E" w:rsidRPr="00D5136E" w:rsidRDefault="00D5136E" w:rsidP="00D5136E">
            <w:pPr>
              <w:widowControl w:val="0"/>
              <w:suppressAutoHyphens w:val="0"/>
              <w:rPr>
                <w:rFonts w:cstheme="minorHAnsi"/>
                <w:b/>
                <w:bCs/>
              </w:rPr>
            </w:pPr>
            <w:r w:rsidRPr="00D5136E">
              <w:rPr>
                <w:rFonts w:cstheme="minorHAnsi"/>
                <w:b/>
                <w:bCs/>
              </w:rPr>
              <w:t>Action</w:t>
            </w:r>
          </w:p>
        </w:tc>
        <w:tc>
          <w:tcPr>
            <w:tcW w:w="0" w:type="auto"/>
            <w:shd w:val="clear" w:color="auto" w:fill="D9D9D9" w:themeFill="background1" w:themeFillShade="D9"/>
          </w:tcPr>
          <w:p w14:paraId="7C1455B4" w14:textId="77777777" w:rsidR="00D5136E" w:rsidRPr="00D5136E" w:rsidRDefault="00D5136E" w:rsidP="00D5136E">
            <w:pPr>
              <w:widowControl w:val="0"/>
              <w:suppressAutoHyphens w:val="0"/>
              <w:rPr>
                <w:rFonts w:cstheme="minorHAnsi"/>
                <w:b/>
                <w:bCs/>
              </w:rPr>
            </w:pPr>
            <w:r w:rsidRPr="00D5136E">
              <w:rPr>
                <w:rFonts w:cstheme="minorHAnsi"/>
                <w:b/>
                <w:bCs/>
              </w:rPr>
              <w:t>Timeframe</w:t>
            </w:r>
          </w:p>
        </w:tc>
      </w:tr>
      <w:tr w:rsidR="00D5136E" w:rsidRPr="00D5136E" w14:paraId="11776280" w14:textId="77777777" w:rsidTr="00673397">
        <w:tc>
          <w:tcPr>
            <w:tcW w:w="2405" w:type="dxa"/>
            <w:vAlign w:val="center"/>
          </w:tcPr>
          <w:p w14:paraId="3FCFDC8E" w14:textId="77777777" w:rsidR="00D5136E" w:rsidRPr="00D5136E" w:rsidRDefault="00D5136E" w:rsidP="00D5136E">
            <w:pPr>
              <w:widowControl w:val="0"/>
              <w:suppressAutoHyphens w:val="0"/>
              <w:rPr>
                <w:rFonts w:cstheme="minorHAnsi"/>
                <w:b/>
                <w:i/>
              </w:rPr>
            </w:pPr>
            <w:r w:rsidRPr="00D5136E">
              <w:rPr>
                <w:rFonts w:cstheme="minorHAnsi"/>
                <w:b/>
                <w:bCs/>
              </w:rPr>
              <w:t xml:space="preserve">Recommendation 1 </w:t>
            </w:r>
          </w:p>
          <w:p w14:paraId="244D04F6" w14:textId="77777777" w:rsidR="00D5136E" w:rsidRPr="00D5136E" w:rsidRDefault="00D5136E" w:rsidP="00D5136E">
            <w:pPr>
              <w:widowControl w:val="0"/>
              <w:suppressAutoHyphens w:val="0"/>
              <w:rPr>
                <w:rFonts w:cstheme="minorHAnsi"/>
              </w:rPr>
            </w:pPr>
            <w:r w:rsidRPr="00D5136E">
              <w:rPr>
                <w:rFonts w:cstheme="minorHAnsi"/>
                <w:lang w:val="en-US"/>
              </w:rPr>
              <w:t>DFAT, supported by AHPSU, increase or include criteria around participation and localisation in assessments for both rapid onset and protracted activations.</w:t>
            </w:r>
          </w:p>
        </w:tc>
        <w:tc>
          <w:tcPr>
            <w:tcW w:w="1276" w:type="dxa"/>
            <w:vAlign w:val="center"/>
          </w:tcPr>
          <w:p w14:paraId="39C40EE2" w14:textId="77777777" w:rsidR="00D5136E" w:rsidRPr="00D5136E" w:rsidRDefault="00D5136E" w:rsidP="00D5136E">
            <w:pPr>
              <w:widowControl w:val="0"/>
              <w:suppressAutoHyphens w:val="0"/>
              <w:rPr>
                <w:rFonts w:cstheme="minorHAnsi"/>
                <w:bCs/>
                <w:iCs/>
              </w:rPr>
            </w:pPr>
            <w:r w:rsidRPr="00D5136E">
              <w:rPr>
                <w:rFonts w:cstheme="minorHAnsi"/>
                <w:bCs/>
              </w:rPr>
              <w:t>Agree</w:t>
            </w:r>
          </w:p>
          <w:p w14:paraId="317BD2D0" w14:textId="77777777" w:rsidR="00D5136E" w:rsidRPr="00D5136E" w:rsidRDefault="00D5136E" w:rsidP="00D5136E">
            <w:pPr>
              <w:widowControl w:val="0"/>
              <w:suppressAutoHyphens w:val="0"/>
              <w:rPr>
                <w:rFonts w:cstheme="minorHAnsi"/>
              </w:rPr>
            </w:pPr>
          </w:p>
          <w:p w14:paraId="76533FD0" w14:textId="77777777" w:rsidR="00D5136E" w:rsidRPr="00D5136E" w:rsidRDefault="00D5136E" w:rsidP="00D5136E">
            <w:pPr>
              <w:widowControl w:val="0"/>
              <w:suppressAutoHyphens w:val="0"/>
              <w:rPr>
                <w:rFonts w:cstheme="minorHAnsi"/>
                <w:bCs/>
                <w:i/>
              </w:rPr>
            </w:pPr>
          </w:p>
        </w:tc>
        <w:tc>
          <w:tcPr>
            <w:tcW w:w="4073" w:type="dxa"/>
            <w:vAlign w:val="center"/>
          </w:tcPr>
          <w:p w14:paraId="72C40EFD" w14:textId="77777777" w:rsidR="00D5136E" w:rsidRPr="00D5136E" w:rsidRDefault="00D5136E" w:rsidP="00D5136E">
            <w:pPr>
              <w:widowControl w:val="0"/>
              <w:suppressAutoHyphens w:val="0"/>
              <w:rPr>
                <w:rFonts w:cstheme="minorHAnsi"/>
                <w:bCs/>
                <w:i/>
              </w:rPr>
            </w:pPr>
            <w:r w:rsidRPr="00D5136E">
              <w:rPr>
                <w:rFonts w:cstheme="minorHAnsi"/>
                <w:bCs/>
              </w:rPr>
              <w:t>Update templates to embed additional criteria or weighting for participation and localisation where relevant in activations during remainder of AHP Phase I.</w:t>
            </w:r>
          </w:p>
          <w:p w14:paraId="667FE6A3" w14:textId="77777777" w:rsidR="00D5136E" w:rsidRPr="00D5136E" w:rsidRDefault="00D5136E" w:rsidP="00D5136E">
            <w:pPr>
              <w:widowControl w:val="0"/>
              <w:suppressAutoHyphens w:val="0"/>
              <w:rPr>
                <w:rFonts w:cstheme="minorHAnsi"/>
              </w:rPr>
            </w:pPr>
          </w:p>
          <w:p w14:paraId="53BFD640" w14:textId="77777777" w:rsidR="00D5136E" w:rsidRPr="00D5136E" w:rsidRDefault="00D5136E" w:rsidP="00D5136E">
            <w:pPr>
              <w:widowControl w:val="0"/>
              <w:suppressAutoHyphens w:val="0"/>
              <w:rPr>
                <w:rFonts w:cstheme="minorHAnsi"/>
                <w:bCs/>
                <w:i/>
              </w:rPr>
            </w:pPr>
            <w:r w:rsidRPr="00D5136E">
              <w:rPr>
                <w:rFonts w:cstheme="minorHAnsi"/>
                <w:bCs/>
              </w:rPr>
              <w:t>Recommendation 1 to be addressed through the AHP Phase II design refresh.</w:t>
            </w:r>
          </w:p>
        </w:tc>
        <w:tc>
          <w:tcPr>
            <w:tcW w:w="0" w:type="auto"/>
            <w:vAlign w:val="center"/>
          </w:tcPr>
          <w:p w14:paraId="018B49B1" w14:textId="77777777" w:rsidR="00D5136E" w:rsidRPr="00D5136E" w:rsidRDefault="00D5136E" w:rsidP="00D5136E">
            <w:pPr>
              <w:widowControl w:val="0"/>
              <w:suppressAutoHyphens w:val="0"/>
              <w:rPr>
                <w:rFonts w:cstheme="minorHAnsi"/>
                <w:bCs/>
                <w:i/>
              </w:rPr>
            </w:pPr>
            <w:r w:rsidRPr="00D5136E">
              <w:rPr>
                <w:rFonts w:cstheme="minorHAnsi"/>
                <w:bCs/>
              </w:rPr>
              <w:t>Current</w:t>
            </w:r>
          </w:p>
          <w:p w14:paraId="5796C91E" w14:textId="77777777" w:rsidR="00D5136E" w:rsidRPr="00D5136E" w:rsidRDefault="00D5136E" w:rsidP="00D5136E">
            <w:pPr>
              <w:widowControl w:val="0"/>
              <w:suppressAutoHyphens w:val="0"/>
              <w:rPr>
                <w:rFonts w:cstheme="minorHAnsi"/>
              </w:rPr>
            </w:pPr>
          </w:p>
          <w:p w14:paraId="4EAE581E" w14:textId="77777777" w:rsidR="00D5136E" w:rsidRPr="00D5136E" w:rsidRDefault="00D5136E" w:rsidP="00D5136E">
            <w:pPr>
              <w:widowControl w:val="0"/>
              <w:suppressAutoHyphens w:val="0"/>
              <w:rPr>
                <w:rFonts w:cstheme="minorHAnsi"/>
                <w:bCs/>
                <w:i/>
              </w:rPr>
            </w:pPr>
            <w:r w:rsidRPr="00D5136E">
              <w:rPr>
                <w:rFonts w:cstheme="minorHAnsi"/>
                <w:bCs/>
              </w:rPr>
              <w:t>June – October 2021</w:t>
            </w:r>
          </w:p>
        </w:tc>
      </w:tr>
      <w:tr w:rsidR="00D5136E" w:rsidRPr="00D5136E" w14:paraId="07215C80" w14:textId="77777777" w:rsidTr="00673397">
        <w:trPr>
          <w:trHeight w:val="2971"/>
        </w:trPr>
        <w:tc>
          <w:tcPr>
            <w:tcW w:w="2405" w:type="dxa"/>
            <w:vAlign w:val="center"/>
          </w:tcPr>
          <w:p w14:paraId="2C0A75AF" w14:textId="77777777" w:rsidR="00D5136E" w:rsidRPr="00D5136E" w:rsidRDefault="00D5136E" w:rsidP="00D5136E">
            <w:pPr>
              <w:widowControl w:val="0"/>
              <w:suppressAutoHyphens w:val="0"/>
              <w:rPr>
                <w:rFonts w:cstheme="minorHAnsi"/>
                <w:b/>
                <w:i/>
              </w:rPr>
            </w:pPr>
            <w:r w:rsidRPr="00D5136E">
              <w:rPr>
                <w:rFonts w:cstheme="minorHAnsi"/>
                <w:b/>
                <w:bCs/>
              </w:rPr>
              <w:t xml:space="preserve">Recommendation 2 </w:t>
            </w:r>
          </w:p>
          <w:p w14:paraId="2851825B" w14:textId="77777777" w:rsidR="00D5136E" w:rsidRPr="00D5136E" w:rsidRDefault="00D5136E" w:rsidP="00D5136E">
            <w:pPr>
              <w:widowControl w:val="0"/>
              <w:suppressAutoHyphens w:val="0"/>
              <w:rPr>
                <w:rFonts w:cstheme="minorHAnsi"/>
              </w:rPr>
            </w:pPr>
            <w:r w:rsidRPr="00D5136E">
              <w:rPr>
                <w:rFonts w:cstheme="minorHAnsi"/>
                <w:lang w:val="en-US"/>
              </w:rPr>
              <w:t>DFAT, supported by AHPSU, make transparent the steps in its decision-making process for both rapid onset and protracted activations.</w:t>
            </w:r>
          </w:p>
          <w:p w14:paraId="5A02B759" w14:textId="77777777" w:rsidR="00D5136E" w:rsidRPr="00D5136E" w:rsidRDefault="00D5136E" w:rsidP="00D5136E">
            <w:pPr>
              <w:widowControl w:val="0"/>
              <w:suppressAutoHyphens w:val="0"/>
              <w:rPr>
                <w:rFonts w:cstheme="minorHAnsi"/>
                <w:b/>
                <w:i/>
              </w:rPr>
            </w:pPr>
          </w:p>
        </w:tc>
        <w:tc>
          <w:tcPr>
            <w:tcW w:w="1276" w:type="dxa"/>
            <w:vAlign w:val="center"/>
          </w:tcPr>
          <w:p w14:paraId="3540A674" w14:textId="77777777" w:rsidR="00D5136E" w:rsidRPr="00D5136E" w:rsidRDefault="00D5136E" w:rsidP="00D5136E">
            <w:pPr>
              <w:widowControl w:val="0"/>
              <w:suppressAutoHyphens w:val="0"/>
              <w:rPr>
                <w:rFonts w:cstheme="minorHAnsi"/>
                <w:bCs/>
                <w:i/>
              </w:rPr>
            </w:pPr>
            <w:r w:rsidRPr="00D5136E">
              <w:rPr>
                <w:rFonts w:cstheme="minorHAnsi"/>
                <w:bCs/>
              </w:rPr>
              <w:t>Partly agree</w:t>
            </w:r>
          </w:p>
        </w:tc>
        <w:tc>
          <w:tcPr>
            <w:tcW w:w="4073" w:type="dxa"/>
            <w:vAlign w:val="center"/>
          </w:tcPr>
          <w:p w14:paraId="0C3E70CF" w14:textId="77777777" w:rsidR="00D5136E" w:rsidRPr="00D5136E" w:rsidRDefault="00D5136E" w:rsidP="00D5136E">
            <w:pPr>
              <w:widowControl w:val="0"/>
              <w:suppressAutoHyphens w:val="0"/>
              <w:rPr>
                <w:rFonts w:cstheme="minorHAnsi"/>
              </w:rPr>
            </w:pPr>
            <w:r w:rsidRPr="00D5136E">
              <w:rPr>
                <w:rFonts w:cstheme="minorHAnsi"/>
              </w:rPr>
              <w:t>DFAT supports accountability and transparency in humanitarian response programming. However, rapid activations are assessed by NGO partners and often response priorities are driven by partner governments and DFAT post priorities in rapidly changing contexts.</w:t>
            </w:r>
          </w:p>
          <w:p w14:paraId="527A5F4F" w14:textId="77777777" w:rsidR="00D5136E" w:rsidRPr="00D5136E" w:rsidRDefault="00D5136E" w:rsidP="00D5136E">
            <w:pPr>
              <w:widowControl w:val="0"/>
              <w:suppressAutoHyphens w:val="0"/>
              <w:rPr>
                <w:rFonts w:cstheme="minorHAnsi"/>
              </w:rPr>
            </w:pPr>
          </w:p>
          <w:p w14:paraId="3BA736B0" w14:textId="77777777" w:rsidR="00D5136E" w:rsidRPr="00D5136E" w:rsidRDefault="00D5136E" w:rsidP="00D5136E">
            <w:pPr>
              <w:widowControl w:val="0"/>
              <w:suppressAutoHyphens w:val="0"/>
              <w:rPr>
                <w:rFonts w:cstheme="minorHAnsi"/>
              </w:rPr>
            </w:pPr>
            <w:r w:rsidRPr="00D5136E">
              <w:rPr>
                <w:rFonts w:cstheme="minorHAnsi"/>
              </w:rPr>
              <w:t>DFAT will seek to provide further certainty to AHP partners where possible by sharing Assessment Criteria and a Decision Summary for all protracted crises activations.</w:t>
            </w:r>
          </w:p>
          <w:p w14:paraId="18E9C160" w14:textId="77777777" w:rsidR="00D5136E" w:rsidRPr="00D5136E" w:rsidRDefault="00D5136E" w:rsidP="00D5136E">
            <w:pPr>
              <w:widowControl w:val="0"/>
              <w:suppressAutoHyphens w:val="0"/>
              <w:rPr>
                <w:rFonts w:cstheme="minorHAnsi"/>
              </w:rPr>
            </w:pPr>
          </w:p>
          <w:p w14:paraId="5AAC45A2" w14:textId="77777777" w:rsidR="00D5136E" w:rsidRPr="00D5136E" w:rsidRDefault="00D5136E" w:rsidP="00D5136E">
            <w:pPr>
              <w:widowControl w:val="0"/>
              <w:suppressAutoHyphens w:val="0"/>
              <w:rPr>
                <w:rFonts w:cstheme="minorHAnsi"/>
              </w:rPr>
            </w:pPr>
            <w:r w:rsidRPr="00D5136E">
              <w:rPr>
                <w:rFonts w:cstheme="minorHAnsi"/>
              </w:rPr>
              <w:t xml:space="preserve">As part of the design refresh for AHP Phase II, DFAT will also update the standard operating procedures for rapid and protracted activations in consultation with AHP partners. </w:t>
            </w:r>
          </w:p>
        </w:tc>
        <w:tc>
          <w:tcPr>
            <w:tcW w:w="0" w:type="auto"/>
            <w:vAlign w:val="center"/>
          </w:tcPr>
          <w:p w14:paraId="1DF835D0" w14:textId="77777777" w:rsidR="00D5136E" w:rsidRPr="00D5136E" w:rsidRDefault="00D5136E" w:rsidP="00D5136E">
            <w:pPr>
              <w:widowControl w:val="0"/>
              <w:suppressAutoHyphens w:val="0"/>
              <w:rPr>
                <w:rFonts w:cstheme="minorHAnsi"/>
              </w:rPr>
            </w:pPr>
            <w:r w:rsidRPr="00D5136E">
              <w:rPr>
                <w:rFonts w:cstheme="minorHAnsi"/>
              </w:rPr>
              <w:t>Current</w:t>
            </w:r>
          </w:p>
          <w:p w14:paraId="56353DDC" w14:textId="77777777" w:rsidR="00D5136E" w:rsidRPr="00D5136E" w:rsidRDefault="00D5136E" w:rsidP="00D5136E">
            <w:pPr>
              <w:widowControl w:val="0"/>
              <w:suppressAutoHyphens w:val="0"/>
              <w:rPr>
                <w:rFonts w:cstheme="minorHAnsi"/>
              </w:rPr>
            </w:pPr>
          </w:p>
          <w:p w14:paraId="5392FDD5" w14:textId="77777777" w:rsidR="00D5136E" w:rsidRPr="00D5136E" w:rsidRDefault="00D5136E" w:rsidP="00D5136E">
            <w:pPr>
              <w:widowControl w:val="0"/>
              <w:suppressAutoHyphens w:val="0"/>
              <w:rPr>
                <w:rFonts w:cstheme="minorHAnsi"/>
              </w:rPr>
            </w:pPr>
            <w:r w:rsidRPr="00D5136E">
              <w:rPr>
                <w:rFonts w:cstheme="minorHAnsi"/>
              </w:rPr>
              <w:t>June – October 2021</w:t>
            </w:r>
          </w:p>
          <w:p w14:paraId="4920B736" w14:textId="77777777" w:rsidR="00D5136E" w:rsidRPr="00D5136E" w:rsidRDefault="00D5136E" w:rsidP="00D5136E">
            <w:pPr>
              <w:widowControl w:val="0"/>
              <w:suppressAutoHyphens w:val="0"/>
              <w:rPr>
                <w:rFonts w:cstheme="minorHAnsi"/>
                <w:bCs/>
                <w:i/>
              </w:rPr>
            </w:pPr>
          </w:p>
        </w:tc>
      </w:tr>
    </w:tbl>
    <w:p w14:paraId="0C12C631" w14:textId="77777777" w:rsidR="00025457" w:rsidRPr="00223B0F" w:rsidRDefault="00025457" w:rsidP="005B092D">
      <w:pPr>
        <w:widowControl w:val="0"/>
        <w:suppressAutoHyphens w:val="0"/>
        <w:rPr>
          <w:rFonts w:cstheme="minorHAnsi"/>
        </w:rPr>
      </w:pPr>
      <w:r w:rsidRPr="00223B0F">
        <w:rPr>
          <w:rFonts w:cstheme="minorHAnsi"/>
          <w:b/>
          <w:bCs/>
          <w:u w:val="single"/>
        </w:rPr>
        <w:t xml:space="preserve">Question </w:t>
      </w:r>
      <w:r>
        <w:rPr>
          <w:rFonts w:cstheme="minorHAnsi"/>
          <w:b/>
          <w:bCs/>
          <w:u w:val="single"/>
        </w:rPr>
        <w:t>2</w:t>
      </w:r>
      <w:r w:rsidRPr="00223B0F">
        <w:rPr>
          <w:rFonts w:cstheme="minorHAnsi"/>
        </w:rPr>
        <w:t>: What progress has Disaster READY made towards increasing the capacity of Pacific communities and their representative organisations to prepare for and respond to disasters?</w:t>
      </w:r>
    </w:p>
    <w:p w14:paraId="3A889B41" w14:textId="1F8BEA3E" w:rsidR="00A9318F" w:rsidRPr="00256CCF" w:rsidRDefault="00025457" w:rsidP="005B092D">
      <w:pPr>
        <w:widowControl w:val="0"/>
        <w:suppressAutoHyphens w:val="0"/>
        <w:rPr>
          <w:rFonts w:cstheme="minorHAnsi"/>
        </w:rPr>
      </w:pPr>
      <w:r w:rsidRPr="00223B0F">
        <w:rPr>
          <w:rFonts w:cstheme="minorHAnsi"/>
          <w:b/>
          <w:bCs/>
          <w:u w:val="single"/>
        </w:rPr>
        <w:t>Overall findings</w:t>
      </w:r>
      <w:r w:rsidRPr="00223B0F">
        <w:rPr>
          <w:rFonts w:cstheme="minorHAnsi"/>
        </w:rPr>
        <w:t>: Disaster READY has made a demonstrable contribution towards increasing the capacity of Pacific communities and governments to prepare for and respond to disasters. However, the complexity of the program, together with its utilisation for disaster response as well as disaster preparedness, and its varied implementation in different country contexts, makes it difficult to provide a simple assessment across all of its intended outcomes.</w:t>
      </w:r>
      <w:r>
        <w:rPr>
          <w:rFonts w:cstheme="minorHAnsi"/>
        </w:rPr>
        <w:t xml:space="preserve"> </w:t>
      </w:r>
      <w:r w:rsidRPr="00223B0F">
        <w:rPr>
          <w:rFonts w:cstheme="minorHAnsi"/>
        </w:rPr>
        <w:t>On the other hand, the diverse experience and experimentation of Disaster READY, provides considerable learning for any possible future programs of support.</w:t>
      </w:r>
      <w:r>
        <w:rPr>
          <w:rFonts w:cstheme="minorHAnsi"/>
        </w:rPr>
        <w:t xml:space="preserve"> </w:t>
      </w:r>
    </w:p>
    <w:tbl>
      <w:tblPr>
        <w:tblStyle w:val="TableGrid"/>
        <w:tblW w:w="0" w:type="auto"/>
        <w:tblLook w:val="04A0" w:firstRow="1" w:lastRow="0" w:firstColumn="1" w:lastColumn="0" w:noHBand="0" w:noVBand="1"/>
      </w:tblPr>
      <w:tblGrid>
        <w:gridCol w:w="3823"/>
        <w:gridCol w:w="1134"/>
        <w:gridCol w:w="2693"/>
        <w:gridCol w:w="1366"/>
      </w:tblGrid>
      <w:tr w:rsidR="00256CCF" w14:paraId="0D499D72" w14:textId="77777777" w:rsidTr="00673397">
        <w:tc>
          <w:tcPr>
            <w:tcW w:w="3823" w:type="dxa"/>
            <w:shd w:val="clear" w:color="auto" w:fill="D9D9D9" w:themeFill="background1" w:themeFillShade="D9"/>
          </w:tcPr>
          <w:p w14:paraId="0C778BCD" w14:textId="72F58826" w:rsidR="00256CCF" w:rsidRDefault="00256CCF" w:rsidP="00256CCF">
            <w:pPr>
              <w:widowControl w:val="0"/>
              <w:suppressAutoHyphens w:val="0"/>
              <w:rPr>
                <w:rFonts w:cstheme="minorHAnsi"/>
                <w:b/>
                <w:bCs/>
                <w:u w:val="single"/>
              </w:rPr>
            </w:pPr>
            <w:r w:rsidRPr="00E52C22">
              <w:rPr>
                <w:rFonts w:cstheme="minorHAnsi"/>
                <w:b/>
                <w:bCs/>
                <w:sz w:val="21"/>
                <w:szCs w:val="21"/>
              </w:rPr>
              <w:lastRenderedPageBreak/>
              <w:t>Recommendation</w:t>
            </w:r>
          </w:p>
        </w:tc>
        <w:tc>
          <w:tcPr>
            <w:tcW w:w="1134" w:type="dxa"/>
            <w:shd w:val="clear" w:color="auto" w:fill="D9D9D9" w:themeFill="background1" w:themeFillShade="D9"/>
          </w:tcPr>
          <w:p w14:paraId="613AFDD4" w14:textId="5074FDC2" w:rsidR="00256CCF" w:rsidRDefault="00256CCF" w:rsidP="00256CCF">
            <w:pPr>
              <w:widowControl w:val="0"/>
              <w:suppressAutoHyphens w:val="0"/>
              <w:rPr>
                <w:rFonts w:cstheme="minorHAnsi"/>
                <w:b/>
                <w:bCs/>
                <w:u w:val="single"/>
              </w:rPr>
            </w:pPr>
            <w:r w:rsidRPr="00E52C22">
              <w:rPr>
                <w:rFonts w:cstheme="minorHAnsi"/>
                <w:b/>
                <w:bCs/>
                <w:sz w:val="21"/>
                <w:szCs w:val="21"/>
              </w:rPr>
              <w:t>Response</w:t>
            </w:r>
          </w:p>
        </w:tc>
        <w:tc>
          <w:tcPr>
            <w:tcW w:w="2693" w:type="dxa"/>
            <w:shd w:val="clear" w:color="auto" w:fill="D9D9D9" w:themeFill="background1" w:themeFillShade="D9"/>
          </w:tcPr>
          <w:p w14:paraId="2F289D5C" w14:textId="3337E14E" w:rsidR="00256CCF" w:rsidRDefault="00256CCF" w:rsidP="00256CCF">
            <w:pPr>
              <w:widowControl w:val="0"/>
              <w:suppressAutoHyphens w:val="0"/>
              <w:rPr>
                <w:rFonts w:cstheme="minorHAnsi"/>
                <w:b/>
                <w:bCs/>
                <w:u w:val="single"/>
              </w:rPr>
            </w:pPr>
            <w:r w:rsidRPr="00E52C22">
              <w:rPr>
                <w:rFonts w:cstheme="minorHAnsi"/>
                <w:b/>
                <w:bCs/>
                <w:sz w:val="21"/>
                <w:szCs w:val="21"/>
              </w:rPr>
              <w:t>Action</w:t>
            </w:r>
          </w:p>
        </w:tc>
        <w:tc>
          <w:tcPr>
            <w:tcW w:w="1366" w:type="dxa"/>
            <w:shd w:val="clear" w:color="auto" w:fill="D9D9D9" w:themeFill="background1" w:themeFillShade="D9"/>
          </w:tcPr>
          <w:p w14:paraId="4429A91D" w14:textId="01CB4169" w:rsidR="00256CCF" w:rsidRDefault="00256CCF" w:rsidP="00256CCF">
            <w:pPr>
              <w:widowControl w:val="0"/>
              <w:suppressAutoHyphens w:val="0"/>
              <w:rPr>
                <w:rFonts w:cstheme="minorHAnsi"/>
                <w:b/>
                <w:bCs/>
                <w:u w:val="single"/>
              </w:rPr>
            </w:pPr>
            <w:r>
              <w:rPr>
                <w:rFonts w:cstheme="minorHAnsi"/>
                <w:b/>
                <w:bCs/>
                <w:sz w:val="21"/>
                <w:szCs w:val="21"/>
              </w:rPr>
              <w:t>Timeframe</w:t>
            </w:r>
          </w:p>
        </w:tc>
      </w:tr>
      <w:tr w:rsidR="00256CCF" w14:paraId="6142C44D" w14:textId="77777777" w:rsidTr="00673397">
        <w:tc>
          <w:tcPr>
            <w:tcW w:w="3823" w:type="dxa"/>
            <w:vAlign w:val="center"/>
          </w:tcPr>
          <w:p w14:paraId="6D9904FA" w14:textId="77777777" w:rsidR="00256CCF" w:rsidRPr="00E52C22" w:rsidRDefault="00256CCF" w:rsidP="00256CCF">
            <w:pPr>
              <w:pStyle w:val="Heading4"/>
              <w:keepNext w:val="0"/>
              <w:keepLines w:val="0"/>
              <w:widowControl w:val="0"/>
              <w:suppressAutoHyphens w:val="0"/>
              <w:contextualSpacing w:val="0"/>
              <w:outlineLvl w:val="3"/>
              <w:rPr>
                <w:rFonts w:asciiTheme="minorHAnsi" w:hAnsiTheme="minorHAnsi" w:cstheme="minorHAnsi"/>
                <w:b/>
                <w:bCs w:val="0"/>
                <w:i/>
                <w:iCs w:val="0"/>
                <w:sz w:val="21"/>
                <w:szCs w:val="21"/>
              </w:rPr>
            </w:pPr>
            <w:r w:rsidRPr="00E52C22">
              <w:rPr>
                <w:rFonts w:asciiTheme="minorHAnsi" w:hAnsiTheme="minorHAnsi" w:cstheme="minorHAnsi"/>
                <w:b/>
                <w:iCs w:val="0"/>
                <w:sz w:val="21"/>
                <w:szCs w:val="21"/>
              </w:rPr>
              <w:t>Recommendation 3</w:t>
            </w:r>
          </w:p>
          <w:p w14:paraId="5C29E512" w14:textId="2260CEA1" w:rsidR="00256CCF" w:rsidRDefault="00256CCF" w:rsidP="00256CCF">
            <w:pPr>
              <w:widowControl w:val="0"/>
              <w:suppressAutoHyphens w:val="0"/>
              <w:rPr>
                <w:rFonts w:cstheme="minorHAnsi"/>
                <w:b/>
                <w:bCs/>
                <w:u w:val="single"/>
              </w:rPr>
            </w:pPr>
            <w:r w:rsidRPr="00E52C22">
              <w:rPr>
                <w:rFonts w:cstheme="minorHAnsi"/>
                <w:sz w:val="21"/>
                <w:szCs w:val="21"/>
                <w:lang w:val="en-US"/>
              </w:rPr>
              <w:t>The AHPSU explore and identify how the Disaster READY in-country committees can be more effectively resourced to enhance collaboration within Disaster READY and across other DFAT programs and development actors.</w:t>
            </w:r>
          </w:p>
        </w:tc>
        <w:tc>
          <w:tcPr>
            <w:tcW w:w="1134" w:type="dxa"/>
            <w:vAlign w:val="center"/>
          </w:tcPr>
          <w:p w14:paraId="76E3BEF1" w14:textId="77777777" w:rsidR="00256CCF" w:rsidRPr="00E52C22" w:rsidRDefault="00256CCF" w:rsidP="00256CCF">
            <w:pPr>
              <w:pStyle w:val="Heading4"/>
              <w:keepNext w:val="0"/>
              <w:keepLines w:val="0"/>
              <w:widowControl w:val="0"/>
              <w:suppressAutoHyphens w:val="0"/>
              <w:contextualSpacing w:val="0"/>
              <w:outlineLvl w:val="3"/>
              <w:rPr>
                <w:rFonts w:asciiTheme="minorHAnsi" w:hAnsiTheme="minorHAnsi" w:cstheme="minorHAnsi"/>
                <w:i/>
                <w:iCs w:val="0"/>
                <w:sz w:val="21"/>
                <w:szCs w:val="21"/>
              </w:rPr>
            </w:pPr>
            <w:r w:rsidRPr="00E52C22">
              <w:rPr>
                <w:rFonts w:asciiTheme="minorHAnsi" w:hAnsiTheme="minorHAnsi" w:cstheme="minorHAnsi"/>
                <w:iCs w:val="0"/>
                <w:sz w:val="21"/>
                <w:szCs w:val="21"/>
              </w:rPr>
              <w:t>Agree</w:t>
            </w:r>
          </w:p>
          <w:p w14:paraId="1A211632" w14:textId="77777777" w:rsidR="00256CCF" w:rsidRPr="00E52C22" w:rsidRDefault="00256CCF" w:rsidP="00256CCF">
            <w:pPr>
              <w:pStyle w:val="Heading4"/>
              <w:keepNext w:val="0"/>
              <w:keepLines w:val="0"/>
              <w:widowControl w:val="0"/>
              <w:suppressAutoHyphens w:val="0"/>
              <w:contextualSpacing w:val="0"/>
              <w:outlineLvl w:val="3"/>
              <w:rPr>
                <w:rFonts w:asciiTheme="minorHAnsi" w:hAnsiTheme="minorHAnsi" w:cstheme="minorHAnsi"/>
                <w:i/>
                <w:iCs w:val="0"/>
                <w:sz w:val="21"/>
                <w:szCs w:val="21"/>
              </w:rPr>
            </w:pPr>
          </w:p>
          <w:p w14:paraId="025D2C59" w14:textId="77777777" w:rsidR="00256CCF" w:rsidRPr="00E52C22" w:rsidRDefault="00256CCF" w:rsidP="00256CCF">
            <w:pPr>
              <w:pStyle w:val="Heading4"/>
              <w:keepNext w:val="0"/>
              <w:keepLines w:val="0"/>
              <w:widowControl w:val="0"/>
              <w:suppressAutoHyphens w:val="0"/>
              <w:contextualSpacing w:val="0"/>
              <w:outlineLvl w:val="3"/>
              <w:rPr>
                <w:rFonts w:asciiTheme="minorHAnsi" w:hAnsiTheme="minorHAnsi" w:cstheme="minorHAnsi"/>
                <w:i/>
                <w:iCs w:val="0"/>
                <w:sz w:val="21"/>
                <w:szCs w:val="21"/>
              </w:rPr>
            </w:pPr>
          </w:p>
          <w:p w14:paraId="4B7AFDF1" w14:textId="77777777" w:rsidR="00256CCF" w:rsidRPr="00E52C22" w:rsidRDefault="00256CCF" w:rsidP="00256CCF">
            <w:pPr>
              <w:pStyle w:val="Heading4"/>
              <w:keepNext w:val="0"/>
              <w:keepLines w:val="0"/>
              <w:widowControl w:val="0"/>
              <w:suppressAutoHyphens w:val="0"/>
              <w:contextualSpacing w:val="0"/>
              <w:outlineLvl w:val="3"/>
              <w:rPr>
                <w:rFonts w:asciiTheme="minorHAnsi" w:hAnsiTheme="minorHAnsi" w:cstheme="minorHAnsi"/>
                <w:i/>
                <w:iCs w:val="0"/>
                <w:sz w:val="21"/>
                <w:szCs w:val="21"/>
              </w:rPr>
            </w:pPr>
          </w:p>
          <w:p w14:paraId="4E45C864" w14:textId="77777777" w:rsidR="00256CCF" w:rsidRDefault="00256CCF" w:rsidP="00256CCF">
            <w:pPr>
              <w:widowControl w:val="0"/>
              <w:suppressAutoHyphens w:val="0"/>
              <w:rPr>
                <w:rFonts w:cstheme="minorHAnsi"/>
                <w:b/>
                <w:bCs/>
                <w:u w:val="single"/>
              </w:rPr>
            </w:pPr>
          </w:p>
        </w:tc>
        <w:tc>
          <w:tcPr>
            <w:tcW w:w="2693" w:type="dxa"/>
            <w:vAlign w:val="center"/>
          </w:tcPr>
          <w:p w14:paraId="662590E6" w14:textId="486CD574" w:rsidR="00256CCF" w:rsidRDefault="00256CCF" w:rsidP="00256CCF">
            <w:pPr>
              <w:widowControl w:val="0"/>
              <w:suppressAutoHyphens w:val="0"/>
              <w:rPr>
                <w:rFonts w:cstheme="minorHAnsi"/>
                <w:b/>
                <w:bCs/>
                <w:u w:val="single"/>
              </w:rPr>
            </w:pPr>
            <w:r w:rsidRPr="00E52C22">
              <w:rPr>
                <w:rFonts w:cstheme="minorHAnsi"/>
                <w:sz w:val="21"/>
                <w:szCs w:val="21"/>
              </w:rPr>
              <w:t xml:space="preserve">Recommendation 3 to be </w:t>
            </w:r>
            <w:r w:rsidRPr="00E52C22">
              <w:rPr>
                <w:rFonts w:cstheme="minorHAnsi"/>
                <w:bCs/>
              </w:rPr>
              <w:t>addressed</w:t>
            </w:r>
            <w:r w:rsidRPr="00E52C22">
              <w:rPr>
                <w:rFonts w:cstheme="minorHAnsi"/>
                <w:sz w:val="21"/>
                <w:szCs w:val="21"/>
              </w:rPr>
              <w:t xml:space="preserve"> through the AHP Phase II and Disaster READY Phase II design refresh. </w:t>
            </w:r>
          </w:p>
        </w:tc>
        <w:tc>
          <w:tcPr>
            <w:tcW w:w="1366" w:type="dxa"/>
            <w:vAlign w:val="center"/>
          </w:tcPr>
          <w:p w14:paraId="124597E3" w14:textId="77777777" w:rsidR="00256CCF" w:rsidRPr="00E52C22" w:rsidRDefault="00256CCF" w:rsidP="00256CCF">
            <w:pPr>
              <w:widowControl w:val="0"/>
              <w:suppressAutoHyphens w:val="0"/>
              <w:rPr>
                <w:rFonts w:cstheme="minorHAnsi"/>
                <w:sz w:val="21"/>
                <w:szCs w:val="21"/>
              </w:rPr>
            </w:pPr>
            <w:r w:rsidRPr="00E52C22">
              <w:rPr>
                <w:rFonts w:cstheme="minorHAnsi"/>
                <w:sz w:val="21"/>
                <w:szCs w:val="21"/>
              </w:rPr>
              <w:t>June 2021 – June 2022</w:t>
            </w:r>
          </w:p>
          <w:p w14:paraId="4A34A8F6" w14:textId="77777777" w:rsidR="00256CCF" w:rsidRDefault="00256CCF" w:rsidP="00256CCF">
            <w:pPr>
              <w:widowControl w:val="0"/>
              <w:suppressAutoHyphens w:val="0"/>
              <w:rPr>
                <w:rFonts w:cstheme="minorHAnsi"/>
                <w:b/>
                <w:bCs/>
                <w:u w:val="single"/>
              </w:rPr>
            </w:pPr>
          </w:p>
        </w:tc>
      </w:tr>
      <w:tr w:rsidR="00256CCF" w14:paraId="12C1AAB6" w14:textId="77777777" w:rsidTr="00673397">
        <w:tc>
          <w:tcPr>
            <w:tcW w:w="3823" w:type="dxa"/>
            <w:vAlign w:val="center"/>
          </w:tcPr>
          <w:p w14:paraId="12E0A3A7" w14:textId="77777777" w:rsidR="00256CCF" w:rsidRPr="00E52C22" w:rsidRDefault="00256CCF" w:rsidP="00256CCF">
            <w:pPr>
              <w:pStyle w:val="Heading4"/>
              <w:keepNext w:val="0"/>
              <w:keepLines w:val="0"/>
              <w:widowControl w:val="0"/>
              <w:suppressAutoHyphens w:val="0"/>
              <w:contextualSpacing w:val="0"/>
              <w:outlineLvl w:val="3"/>
              <w:rPr>
                <w:rFonts w:asciiTheme="minorHAnsi" w:hAnsiTheme="minorHAnsi" w:cstheme="minorHAnsi"/>
                <w:b/>
                <w:bCs w:val="0"/>
                <w:i/>
                <w:iCs w:val="0"/>
                <w:sz w:val="21"/>
                <w:szCs w:val="21"/>
              </w:rPr>
            </w:pPr>
            <w:r w:rsidRPr="00E52C22">
              <w:rPr>
                <w:rFonts w:asciiTheme="minorHAnsi" w:hAnsiTheme="minorHAnsi" w:cstheme="minorHAnsi"/>
                <w:b/>
                <w:iCs w:val="0"/>
                <w:sz w:val="21"/>
                <w:szCs w:val="21"/>
              </w:rPr>
              <w:t>Recommendation 4</w:t>
            </w:r>
          </w:p>
          <w:p w14:paraId="59719D21" w14:textId="4EF2FC62" w:rsidR="00256CCF" w:rsidRDefault="00256CCF" w:rsidP="00256CCF">
            <w:pPr>
              <w:widowControl w:val="0"/>
              <w:suppressAutoHyphens w:val="0"/>
              <w:rPr>
                <w:rFonts w:cstheme="minorHAnsi"/>
                <w:b/>
                <w:bCs/>
                <w:u w:val="single"/>
              </w:rPr>
            </w:pPr>
            <w:r w:rsidRPr="00E52C22">
              <w:rPr>
                <w:rFonts w:cstheme="minorHAnsi"/>
                <w:sz w:val="21"/>
                <w:szCs w:val="21"/>
                <w:lang w:val="en-US"/>
              </w:rPr>
              <w:t>AHP partners design and implement mechanisms, relevant to their consortia arrangements, to provide communities, in-country partners and local government representatives the opportunity to provide feedback and commentary on the value and quality of disaster ready activities.</w:t>
            </w:r>
          </w:p>
        </w:tc>
        <w:tc>
          <w:tcPr>
            <w:tcW w:w="1134" w:type="dxa"/>
            <w:vAlign w:val="center"/>
          </w:tcPr>
          <w:p w14:paraId="5AC916B7" w14:textId="77777777" w:rsidR="00256CCF" w:rsidRPr="00E52C22" w:rsidRDefault="00256CCF" w:rsidP="00256CCF">
            <w:pPr>
              <w:pStyle w:val="Heading4"/>
              <w:keepNext w:val="0"/>
              <w:keepLines w:val="0"/>
              <w:widowControl w:val="0"/>
              <w:suppressAutoHyphens w:val="0"/>
              <w:contextualSpacing w:val="0"/>
              <w:outlineLvl w:val="3"/>
              <w:rPr>
                <w:rFonts w:asciiTheme="minorHAnsi" w:hAnsiTheme="minorHAnsi" w:cstheme="minorHAnsi"/>
                <w:i/>
                <w:iCs w:val="0"/>
                <w:sz w:val="21"/>
                <w:szCs w:val="21"/>
              </w:rPr>
            </w:pPr>
            <w:r w:rsidRPr="00E52C22">
              <w:rPr>
                <w:rFonts w:asciiTheme="minorHAnsi" w:hAnsiTheme="minorHAnsi" w:cstheme="minorHAnsi"/>
                <w:iCs w:val="0"/>
                <w:sz w:val="21"/>
                <w:szCs w:val="21"/>
              </w:rPr>
              <w:t>Agree</w:t>
            </w:r>
          </w:p>
          <w:p w14:paraId="76A5EF0D" w14:textId="77777777" w:rsidR="00256CCF" w:rsidRDefault="00256CCF" w:rsidP="00256CCF">
            <w:pPr>
              <w:widowControl w:val="0"/>
              <w:suppressAutoHyphens w:val="0"/>
              <w:rPr>
                <w:rFonts w:cstheme="minorHAnsi"/>
                <w:b/>
                <w:bCs/>
                <w:u w:val="single"/>
              </w:rPr>
            </w:pPr>
          </w:p>
        </w:tc>
        <w:tc>
          <w:tcPr>
            <w:tcW w:w="2693" w:type="dxa"/>
            <w:vAlign w:val="center"/>
          </w:tcPr>
          <w:p w14:paraId="6F793F86" w14:textId="77777777" w:rsidR="00256CCF" w:rsidRPr="00E52C22" w:rsidRDefault="00256CCF" w:rsidP="00256CCF">
            <w:pPr>
              <w:widowControl w:val="0"/>
              <w:suppressAutoHyphens w:val="0"/>
              <w:rPr>
                <w:rFonts w:cstheme="minorHAnsi"/>
                <w:i/>
                <w:iCs/>
                <w:sz w:val="21"/>
                <w:szCs w:val="21"/>
              </w:rPr>
            </w:pPr>
            <w:r w:rsidRPr="00E52C22">
              <w:rPr>
                <w:rFonts w:cstheme="minorHAnsi"/>
                <w:iCs/>
                <w:sz w:val="21"/>
                <w:szCs w:val="21"/>
              </w:rPr>
              <w:t xml:space="preserve">AHP partners to consider and implement as </w:t>
            </w:r>
            <w:r w:rsidRPr="00E52C22">
              <w:rPr>
                <w:rFonts w:cstheme="minorHAnsi"/>
                <w:bCs/>
              </w:rPr>
              <w:t>part</w:t>
            </w:r>
            <w:r w:rsidRPr="00E52C22">
              <w:rPr>
                <w:rFonts w:cstheme="minorHAnsi"/>
                <w:iCs/>
                <w:sz w:val="21"/>
                <w:szCs w:val="21"/>
              </w:rPr>
              <w:t xml:space="preserve"> of the design refresh for AHP Phase II and Disaster READY Phase II.</w:t>
            </w:r>
          </w:p>
          <w:p w14:paraId="1986D7BE" w14:textId="77777777" w:rsidR="00256CCF" w:rsidRPr="00E52C22" w:rsidRDefault="00256CCF" w:rsidP="00256CCF">
            <w:pPr>
              <w:widowControl w:val="0"/>
              <w:suppressAutoHyphens w:val="0"/>
              <w:rPr>
                <w:rFonts w:eastAsiaTheme="majorEastAsia" w:cstheme="minorHAnsi"/>
                <w:sz w:val="21"/>
                <w:szCs w:val="21"/>
              </w:rPr>
            </w:pPr>
          </w:p>
          <w:p w14:paraId="56D0AD6C" w14:textId="77777777" w:rsidR="00256CCF" w:rsidRDefault="00256CCF" w:rsidP="00256CCF">
            <w:pPr>
              <w:widowControl w:val="0"/>
              <w:suppressAutoHyphens w:val="0"/>
              <w:rPr>
                <w:rFonts w:cstheme="minorHAnsi"/>
                <w:b/>
                <w:bCs/>
                <w:u w:val="single"/>
              </w:rPr>
            </w:pPr>
          </w:p>
        </w:tc>
        <w:tc>
          <w:tcPr>
            <w:tcW w:w="1366" w:type="dxa"/>
            <w:vAlign w:val="center"/>
          </w:tcPr>
          <w:p w14:paraId="650F4267" w14:textId="77777777" w:rsidR="00256CCF" w:rsidRPr="00E52C22" w:rsidRDefault="00256CCF" w:rsidP="00256CCF">
            <w:pPr>
              <w:widowControl w:val="0"/>
              <w:suppressAutoHyphens w:val="0"/>
              <w:rPr>
                <w:rFonts w:cstheme="minorHAnsi"/>
                <w:sz w:val="21"/>
                <w:szCs w:val="21"/>
              </w:rPr>
            </w:pPr>
            <w:r w:rsidRPr="00E52C22">
              <w:rPr>
                <w:rFonts w:cstheme="minorHAnsi"/>
                <w:sz w:val="21"/>
                <w:szCs w:val="21"/>
              </w:rPr>
              <w:t>June 2021 – June 2022</w:t>
            </w:r>
          </w:p>
          <w:p w14:paraId="1E99F110" w14:textId="77777777" w:rsidR="00256CCF" w:rsidRDefault="00256CCF" w:rsidP="00256CCF">
            <w:pPr>
              <w:widowControl w:val="0"/>
              <w:suppressAutoHyphens w:val="0"/>
              <w:rPr>
                <w:rFonts w:cstheme="minorHAnsi"/>
                <w:b/>
                <w:bCs/>
                <w:u w:val="single"/>
              </w:rPr>
            </w:pPr>
          </w:p>
        </w:tc>
      </w:tr>
    </w:tbl>
    <w:p w14:paraId="66CCACE8" w14:textId="77777777" w:rsidR="00256CCF" w:rsidRDefault="00256CCF" w:rsidP="005B092D">
      <w:pPr>
        <w:widowControl w:val="0"/>
        <w:suppressAutoHyphens w:val="0"/>
        <w:rPr>
          <w:rFonts w:cstheme="minorHAnsi"/>
          <w:b/>
          <w:bCs/>
          <w:u w:val="single"/>
        </w:rPr>
      </w:pPr>
    </w:p>
    <w:p w14:paraId="2BB7526B" w14:textId="54D64101" w:rsidR="00025457" w:rsidRPr="00223B0F" w:rsidRDefault="00025457" w:rsidP="00E52C22">
      <w:pPr>
        <w:widowControl w:val="0"/>
        <w:suppressAutoHyphens w:val="0"/>
        <w:rPr>
          <w:rFonts w:cstheme="minorHAnsi"/>
        </w:rPr>
      </w:pPr>
      <w:r w:rsidRPr="00223B0F">
        <w:rPr>
          <w:rFonts w:cstheme="minorHAnsi"/>
          <w:b/>
          <w:bCs/>
          <w:u w:val="single"/>
        </w:rPr>
        <w:t xml:space="preserve">Question </w:t>
      </w:r>
      <w:r>
        <w:rPr>
          <w:rFonts w:cstheme="minorHAnsi"/>
          <w:b/>
          <w:bCs/>
          <w:u w:val="single"/>
        </w:rPr>
        <w:t>3</w:t>
      </w:r>
      <w:r w:rsidRPr="00223B0F">
        <w:rPr>
          <w:rFonts w:cstheme="minorHAnsi"/>
        </w:rPr>
        <w:t xml:space="preserve">: </w:t>
      </w:r>
      <w:r w:rsidRPr="0068060D">
        <w:rPr>
          <w:rFonts w:cstheme="minorHAnsi"/>
        </w:rPr>
        <w:t>To what extent is the overall modality of AHP including the Support Unit, the partnership arrangements and the respective roles played by NGOs, the local partners and DFAT, fit for purpose?</w:t>
      </w:r>
    </w:p>
    <w:p w14:paraId="23DEF72C" w14:textId="625698DE" w:rsidR="00673397" w:rsidRDefault="00025457" w:rsidP="00673397">
      <w:pPr>
        <w:widowControl w:val="0"/>
        <w:suppressAutoHyphens w:val="0"/>
        <w:spacing w:after="240"/>
        <w:rPr>
          <w:rFonts w:cstheme="minorHAnsi"/>
        </w:rPr>
      </w:pPr>
      <w:r w:rsidRPr="00223B0F">
        <w:rPr>
          <w:rFonts w:cstheme="minorHAnsi"/>
          <w:b/>
          <w:bCs/>
          <w:u w:val="single"/>
        </w:rPr>
        <w:t>Overall findings</w:t>
      </w:r>
      <w:r w:rsidRPr="00223B0F">
        <w:rPr>
          <w:rFonts w:cstheme="minorHAnsi"/>
        </w:rPr>
        <w:t xml:space="preserve">: </w:t>
      </w:r>
      <w:r w:rsidRPr="0068060D">
        <w:rPr>
          <w:rFonts w:cstheme="minorHAnsi"/>
        </w:rPr>
        <w:t>The Disaster READY modality has met the needs of DFAT and AHP partners and has largely been fit for purpose.</w:t>
      </w:r>
      <w:r>
        <w:rPr>
          <w:rFonts w:cstheme="minorHAnsi"/>
        </w:rPr>
        <w:t xml:space="preserve"> </w:t>
      </w:r>
      <w:r w:rsidRPr="0068060D">
        <w:rPr>
          <w:rFonts w:cstheme="minorHAnsi"/>
        </w:rPr>
        <w:t>There is opportunity for further development of the modality in future phases of the program</w:t>
      </w:r>
      <w:r w:rsidR="00673397">
        <w:rPr>
          <w:rFonts w:cstheme="minorHAnsi"/>
        </w:rPr>
        <w:t>.</w:t>
      </w:r>
    </w:p>
    <w:tbl>
      <w:tblPr>
        <w:tblStyle w:val="epos-table1topbottom11"/>
        <w:tblW w:w="0" w:type="auto"/>
        <w:tblLook w:val="04A0" w:firstRow="1" w:lastRow="0" w:firstColumn="1" w:lastColumn="0" w:noHBand="0" w:noVBand="1"/>
      </w:tblPr>
      <w:tblGrid>
        <w:gridCol w:w="3944"/>
        <w:gridCol w:w="1027"/>
        <w:gridCol w:w="2767"/>
        <w:gridCol w:w="1278"/>
      </w:tblGrid>
      <w:tr w:rsidR="00E52C22" w:rsidRPr="00E52C22" w14:paraId="30736200" w14:textId="77777777" w:rsidTr="00E52C22">
        <w:trPr>
          <w:tblHeader/>
        </w:trPr>
        <w:tc>
          <w:tcPr>
            <w:tcW w:w="0" w:type="auto"/>
            <w:shd w:val="clear" w:color="auto" w:fill="D9D9D9" w:themeFill="background1" w:themeFillShade="D9"/>
          </w:tcPr>
          <w:p w14:paraId="242A9AEE" w14:textId="77777777" w:rsidR="00E52C22" w:rsidRPr="00E52C22" w:rsidRDefault="00E52C22" w:rsidP="00E52C22">
            <w:pPr>
              <w:widowControl w:val="0"/>
              <w:suppressAutoHyphens w:val="0"/>
              <w:rPr>
                <w:rFonts w:cstheme="minorHAnsi"/>
                <w:b/>
                <w:bCs/>
                <w:sz w:val="21"/>
                <w:szCs w:val="21"/>
              </w:rPr>
            </w:pPr>
            <w:r w:rsidRPr="00E52C22">
              <w:rPr>
                <w:rFonts w:cstheme="minorHAnsi"/>
                <w:b/>
                <w:bCs/>
                <w:sz w:val="21"/>
                <w:szCs w:val="21"/>
              </w:rPr>
              <w:t>Recommendation</w:t>
            </w:r>
          </w:p>
        </w:tc>
        <w:tc>
          <w:tcPr>
            <w:tcW w:w="0" w:type="auto"/>
            <w:shd w:val="clear" w:color="auto" w:fill="D9D9D9" w:themeFill="background1" w:themeFillShade="D9"/>
          </w:tcPr>
          <w:p w14:paraId="11865855" w14:textId="77777777" w:rsidR="00E52C22" w:rsidRPr="00E52C22" w:rsidRDefault="00E52C22" w:rsidP="00E52C22">
            <w:pPr>
              <w:widowControl w:val="0"/>
              <w:suppressAutoHyphens w:val="0"/>
              <w:rPr>
                <w:rFonts w:cstheme="minorHAnsi"/>
                <w:b/>
                <w:bCs/>
                <w:sz w:val="21"/>
                <w:szCs w:val="21"/>
              </w:rPr>
            </w:pPr>
            <w:r w:rsidRPr="00E52C22">
              <w:rPr>
                <w:rFonts w:cstheme="minorHAnsi"/>
                <w:b/>
                <w:bCs/>
                <w:sz w:val="21"/>
                <w:szCs w:val="21"/>
              </w:rPr>
              <w:t>Response</w:t>
            </w:r>
          </w:p>
        </w:tc>
        <w:tc>
          <w:tcPr>
            <w:tcW w:w="2767" w:type="dxa"/>
            <w:shd w:val="clear" w:color="auto" w:fill="D9D9D9" w:themeFill="background1" w:themeFillShade="D9"/>
          </w:tcPr>
          <w:p w14:paraId="69F76D5F" w14:textId="77777777" w:rsidR="00E52C22" w:rsidRPr="00E52C22" w:rsidRDefault="00E52C22" w:rsidP="00E52C22">
            <w:pPr>
              <w:widowControl w:val="0"/>
              <w:suppressAutoHyphens w:val="0"/>
              <w:rPr>
                <w:rFonts w:cstheme="minorHAnsi"/>
                <w:b/>
                <w:bCs/>
                <w:sz w:val="21"/>
                <w:szCs w:val="21"/>
              </w:rPr>
            </w:pPr>
            <w:r w:rsidRPr="00E52C22">
              <w:rPr>
                <w:rFonts w:cstheme="minorHAnsi"/>
                <w:b/>
                <w:bCs/>
                <w:sz w:val="21"/>
                <w:szCs w:val="21"/>
              </w:rPr>
              <w:t>Action</w:t>
            </w:r>
          </w:p>
        </w:tc>
        <w:tc>
          <w:tcPr>
            <w:tcW w:w="1278" w:type="dxa"/>
            <w:shd w:val="clear" w:color="auto" w:fill="D9D9D9" w:themeFill="background1" w:themeFillShade="D9"/>
          </w:tcPr>
          <w:p w14:paraId="542BD411" w14:textId="77777777" w:rsidR="00E52C22" w:rsidRPr="00E52C22" w:rsidRDefault="00E52C22" w:rsidP="00E52C22">
            <w:pPr>
              <w:widowControl w:val="0"/>
              <w:suppressAutoHyphens w:val="0"/>
              <w:rPr>
                <w:rFonts w:cstheme="minorHAnsi"/>
                <w:b/>
                <w:bCs/>
                <w:sz w:val="21"/>
                <w:szCs w:val="21"/>
              </w:rPr>
            </w:pPr>
            <w:r w:rsidRPr="00E52C22">
              <w:rPr>
                <w:rFonts w:cstheme="minorHAnsi"/>
                <w:b/>
                <w:bCs/>
                <w:sz w:val="21"/>
                <w:szCs w:val="21"/>
              </w:rPr>
              <w:t>Timeframe</w:t>
            </w:r>
          </w:p>
        </w:tc>
      </w:tr>
      <w:tr w:rsidR="00E52C22" w:rsidRPr="00E52C22" w14:paraId="18B309F9" w14:textId="77777777" w:rsidTr="00673397">
        <w:trPr>
          <w:tblHeader/>
        </w:trPr>
        <w:tc>
          <w:tcPr>
            <w:tcW w:w="0" w:type="auto"/>
            <w:vAlign w:val="center"/>
          </w:tcPr>
          <w:p w14:paraId="55835AF6" w14:textId="77777777" w:rsidR="00E52C22" w:rsidRPr="00E52C22" w:rsidRDefault="00E52C22" w:rsidP="00E52C22">
            <w:pPr>
              <w:widowControl w:val="0"/>
              <w:suppressAutoHyphens w:val="0"/>
              <w:spacing w:before="240" w:after="120" w:line="280" w:lineRule="atLeast"/>
              <w:outlineLvl w:val="3"/>
              <w:rPr>
                <w:rFonts w:eastAsiaTheme="majorEastAsia" w:cstheme="minorHAnsi"/>
                <w:b/>
                <w:i/>
                <w:sz w:val="21"/>
                <w:szCs w:val="21"/>
              </w:rPr>
            </w:pPr>
            <w:r w:rsidRPr="00E52C22">
              <w:rPr>
                <w:rFonts w:asciiTheme="majorHAnsi" w:eastAsiaTheme="majorEastAsia" w:hAnsiTheme="majorHAnsi" w:cstheme="majorBidi"/>
                <w:bCs/>
                <w:iCs/>
                <w:sz w:val="21"/>
                <w:szCs w:val="21"/>
              </w:rPr>
              <w:br w:type="page"/>
            </w:r>
            <w:r w:rsidRPr="00E52C22">
              <w:rPr>
                <w:rFonts w:eastAsiaTheme="majorEastAsia" w:cstheme="minorHAnsi"/>
                <w:b/>
                <w:bCs/>
                <w:sz w:val="21"/>
                <w:szCs w:val="21"/>
              </w:rPr>
              <w:t>Recommendation 5</w:t>
            </w:r>
          </w:p>
          <w:p w14:paraId="2B457BB7" w14:textId="77777777" w:rsidR="00E52C22" w:rsidRPr="00E52C22" w:rsidRDefault="00E52C22" w:rsidP="00E52C22">
            <w:pPr>
              <w:widowControl w:val="0"/>
              <w:suppressAutoHyphens w:val="0"/>
              <w:rPr>
                <w:rFonts w:cstheme="minorHAnsi"/>
                <w:sz w:val="21"/>
                <w:szCs w:val="21"/>
              </w:rPr>
            </w:pPr>
            <w:r w:rsidRPr="00E52C22">
              <w:rPr>
                <w:rFonts w:cstheme="minorHAnsi"/>
                <w:sz w:val="21"/>
                <w:szCs w:val="21"/>
              </w:rPr>
              <w:t>Review and update the Terms of Reference for the AHPSU to match the current services provided, noting adjustments since the commencement of the AHP.</w:t>
            </w:r>
          </w:p>
        </w:tc>
        <w:tc>
          <w:tcPr>
            <w:tcW w:w="0" w:type="auto"/>
            <w:vAlign w:val="center"/>
          </w:tcPr>
          <w:p w14:paraId="23A7E7FC" w14:textId="77777777" w:rsidR="00E52C22" w:rsidRPr="00E52C22" w:rsidRDefault="00E52C22" w:rsidP="00E52C22">
            <w:pPr>
              <w:widowControl w:val="0"/>
              <w:suppressAutoHyphens w:val="0"/>
              <w:spacing w:before="240" w:after="120" w:line="280" w:lineRule="atLeast"/>
              <w:outlineLvl w:val="3"/>
              <w:rPr>
                <w:rFonts w:eastAsiaTheme="majorEastAsia" w:cstheme="minorHAnsi"/>
                <w:bCs/>
                <w:i/>
                <w:sz w:val="21"/>
                <w:szCs w:val="21"/>
              </w:rPr>
            </w:pPr>
            <w:r w:rsidRPr="00E52C22">
              <w:rPr>
                <w:rFonts w:eastAsiaTheme="majorEastAsia" w:cstheme="minorHAnsi"/>
                <w:bCs/>
                <w:sz w:val="21"/>
                <w:szCs w:val="21"/>
              </w:rPr>
              <w:t>Agree</w:t>
            </w:r>
          </w:p>
          <w:p w14:paraId="7B7B737A" w14:textId="77777777" w:rsidR="00E52C22" w:rsidRPr="00E52C22" w:rsidRDefault="00E52C22" w:rsidP="00E52C22">
            <w:pPr>
              <w:widowControl w:val="0"/>
              <w:suppressAutoHyphens w:val="0"/>
              <w:spacing w:before="240" w:after="120" w:line="280" w:lineRule="atLeast"/>
              <w:outlineLvl w:val="3"/>
              <w:rPr>
                <w:rFonts w:eastAsiaTheme="majorEastAsia" w:cstheme="minorHAnsi"/>
                <w:bCs/>
                <w:i/>
                <w:sz w:val="21"/>
                <w:szCs w:val="21"/>
              </w:rPr>
            </w:pPr>
          </w:p>
          <w:p w14:paraId="4A0A13B8" w14:textId="77777777" w:rsidR="00E52C22" w:rsidRPr="00E52C22" w:rsidRDefault="00E52C22" w:rsidP="00E52C22">
            <w:pPr>
              <w:widowControl w:val="0"/>
              <w:suppressAutoHyphens w:val="0"/>
              <w:spacing w:before="240" w:after="120" w:line="280" w:lineRule="atLeast"/>
              <w:outlineLvl w:val="3"/>
              <w:rPr>
                <w:rFonts w:eastAsiaTheme="majorEastAsia" w:cstheme="minorHAnsi"/>
                <w:bCs/>
                <w:i/>
                <w:sz w:val="21"/>
                <w:szCs w:val="21"/>
              </w:rPr>
            </w:pPr>
          </w:p>
          <w:p w14:paraId="7FA3522E" w14:textId="77777777" w:rsidR="00E52C22" w:rsidRPr="00E52C22" w:rsidRDefault="00E52C22" w:rsidP="00E52C22">
            <w:pPr>
              <w:widowControl w:val="0"/>
              <w:suppressAutoHyphens w:val="0"/>
              <w:spacing w:before="240" w:after="120" w:line="280" w:lineRule="atLeast"/>
              <w:outlineLvl w:val="3"/>
              <w:rPr>
                <w:rFonts w:eastAsiaTheme="majorEastAsia" w:cstheme="minorHAnsi"/>
                <w:bCs/>
                <w:i/>
                <w:sz w:val="21"/>
                <w:szCs w:val="21"/>
              </w:rPr>
            </w:pPr>
          </w:p>
        </w:tc>
        <w:tc>
          <w:tcPr>
            <w:tcW w:w="2767" w:type="dxa"/>
            <w:vAlign w:val="center"/>
          </w:tcPr>
          <w:p w14:paraId="3794B4D5" w14:textId="77777777" w:rsidR="00E52C22" w:rsidRPr="00E52C22" w:rsidRDefault="00E52C22" w:rsidP="00E52C22">
            <w:pPr>
              <w:widowControl w:val="0"/>
              <w:suppressAutoHyphens w:val="0"/>
              <w:rPr>
                <w:rFonts w:eastAsiaTheme="majorEastAsia" w:cstheme="minorHAnsi"/>
                <w:b/>
                <w:i/>
                <w:sz w:val="21"/>
                <w:szCs w:val="21"/>
              </w:rPr>
            </w:pPr>
            <w:r w:rsidRPr="00E52C22">
              <w:rPr>
                <w:rFonts w:cstheme="minorHAnsi"/>
                <w:bCs/>
              </w:rPr>
              <w:t>Recommendation</w:t>
            </w:r>
            <w:r w:rsidRPr="00E52C22">
              <w:rPr>
                <w:rFonts w:eastAsiaTheme="majorEastAsia" w:cstheme="minorHAnsi"/>
                <w:bCs/>
                <w:sz w:val="21"/>
                <w:szCs w:val="21"/>
              </w:rPr>
              <w:t xml:space="preserve"> 5 to be addressed as part of the AHP Phase II design refresh. </w:t>
            </w:r>
          </w:p>
        </w:tc>
        <w:tc>
          <w:tcPr>
            <w:tcW w:w="1278" w:type="dxa"/>
            <w:vAlign w:val="center"/>
          </w:tcPr>
          <w:p w14:paraId="5EEA2E9C" w14:textId="77777777" w:rsidR="00E52C22" w:rsidRPr="00E52C22" w:rsidRDefault="00E52C22" w:rsidP="00E52C22">
            <w:pPr>
              <w:widowControl w:val="0"/>
              <w:suppressAutoHyphens w:val="0"/>
              <w:rPr>
                <w:rFonts w:cstheme="minorHAnsi"/>
                <w:sz w:val="21"/>
                <w:szCs w:val="21"/>
              </w:rPr>
            </w:pPr>
            <w:r w:rsidRPr="00E52C22">
              <w:rPr>
                <w:rFonts w:cstheme="minorHAnsi"/>
                <w:sz w:val="21"/>
                <w:szCs w:val="21"/>
              </w:rPr>
              <w:t>June- October 2021</w:t>
            </w:r>
          </w:p>
          <w:p w14:paraId="590B11B4" w14:textId="77777777" w:rsidR="00E52C22" w:rsidRPr="00E52C22" w:rsidRDefault="00E52C22" w:rsidP="00E52C22">
            <w:pPr>
              <w:widowControl w:val="0"/>
              <w:suppressAutoHyphens w:val="0"/>
              <w:rPr>
                <w:rFonts w:cstheme="minorHAnsi"/>
                <w:sz w:val="21"/>
                <w:szCs w:val="21"/>
              </w:rPr>
            </w:pPr>
          </w:p>
        </w:tc>
      </w:tr>
      <w:tr w:rsidR="00E52C22" w:rsidRPr="00E52C22" w14:paraId="28AE9217" w14:textId="77777777" w:rsidTr="00673397">
        <w:trPr>
          <w:tblHeader/>
        </w:trPr>
        <w:tc>
          <w:tcPr>
            <w:tcW w:w="0" w:type="auto"/>
            <w:vAlign w:val="center"/>
          </w:tcPr>
          <w:p w14:paraId="2792584B" w14:textId="77777777" w:rsidR="00E52C22" w:rsidRPr="00E52C22" w:rsidRDefault="00E52C22" w:rsidP="00E52C22">
            <w:pPr>
              <w:widowControl w:val="0"/>
              <w:suppressAutoHyphens w:val="0"/>
              <w:spacing w:before="240" w:after="120" w:line="280" w:lineRule="atLeast"/>
              <w:outlineLvl w:val="3"/>
              <w:rPr>
                <w:rFonts w:eastAsiaTheme="majorEastAsia" w:cstheme="minorHAnsi"/>
                <w:b/>
                <w:i/>
                <w:sz w:val="21"/>
                <w:szCs w:val="21"/>
              </w:rPr>
            </w:pPr>
            <w:r w:rsidRPr="00E52C22">
              <w:rPr>
                <w:rFonts w:eastAsiaTheme="majorEastAsia" w:cstheme="minorHAnsi"/>
                <w:b/>
                <w:bCs/>
                <w:sz w:val="21"/>
                <w:szCs w:val="21"/>
              </w:rPr>
              <w:t>Recommendation 6</w:t>
            </w:r>
          </w:p>
          <w:p w14:paraId="34520FFC" w14:textId="77777777" w:rsidR="00E52C22" w:rsidRPr="00E52C22" w:rsidRDefault="00E52C22" w:rsidP="00E52C22">
            <w:pPr>
              <w:widowControl w:val="0"/>
              <w:suppressAutoHyphens w:val="0"/>
            </w:pPr>
            <w:r w:rsidRPr="00E52C22">
              <w:rPr>
                <w:rFonts w:cstheme="minorHAnsi"/>
                <w:sz w:val="21"/>
                <w:szCs w:val="21"/>
              </w:rPr>
              <w:t>Adjust the Monitoring Evaluation and Learning Framework (MELF) and reporting requirements for Disaster READY, to require AHP partners to provide evidence-based reporting on progress against outcomes.</w:t>
            </w:r>
          </w:p>
        </w:tc>
        <w:tc>
          <w:tcPr>
            <w:tcW w:w="0" w:type="auto"/>
            <w:vAlign w:val="center"/>
          </w:tcPr>
          <w:p w14:paraId="4B3C0F1D" w14:textId="77777777" w:rsidR="00E52C22" w:rsidRPr="00E52C22" w:rsidRDefault="00E52C22" w:rsidP="00E52C22">
            <w:pPr>
              <w:widowControl w:val="0"/>
              <w:suppressAutoHyphens w:val="0"/>
              <w:spacing w:before="240" w:after="120" w:line="280" w:lineRule="atLeast"/>
              <w:outlineLvl w:val="3"/>
              <w:rPr>
                <w:rFonts w:eastAsiaTheme="majorEastAsia" w:cstheme="minorHAnsi"/>
                <w:bCs/>
                <w:i/>
                <w:sz w:val="21"/>
                <w:szCs w:val="21"/>
              </w:rPr>
            </w:pPr>
            <w:r w:rsidRPr="00E52C22">
              <w:rPr>
                <w:rFonts w:eastAsiaTheme="majorEastAsia" w:cstheme="minorHAnsi"/>
                <w:bCs/>
                <w:sz w:val="21"/>
                <w:szCs w:val="21"/>
              </w:rPr>
              <w:t>Agree</w:t>
            </w:r>
          </w:p>
        </w:tc>
        <w:tc>
          <w:tcPr>
            <w:tcW w:w="2767" w:type="dxa"/>
            <w:vAlign w:val="center"/>
          </w:tcPr>
          <w:p w14:paraId="5A1C99D5" w14:textId="77777777" w:rsidR="00E52C22" w:rsidRPr="00E52C22" w:rsidRDefault="00E52C22" w:rsidP="00E52C22">
            <w:pPr>
              <w:widowControl w:val="0"/>
              <w:suppressAutoHyphens w:val="0"/>
              <w:rPr>
                <w:rFonts w:eastAsiaTheme="majorEastAsia" w:cstheme="minorHAnsi"/>
                <w:bCs/>
                <w:i/>
                <w:sz w:val="21"/>
                <w:szCs w:val="21"/>
              </w:rPr>
            </w:pPr>
            <w:r w:rsidRPr="00E52C22">
              <w:rPr>
                <w:rFonts w:eastAsiaTheme="majorEastAsia" w:cstheme="minorHAnsi"/>
                <w:bCs/>
                <w:sz w:val="21"/>
                <w:szCs w:val="21"/>
              </w:rPr>
              <w:t xml:space="preserve">Recommendation 6 to be addressed as part of the AHP Phase II and </w:t>
            </w:r>
            <w:r w:rsidRPr="00E52C22">
              <w:rPr>
                <w:rFonts w:cstheme="minorHAnsi"/>
                <w:bCs/>
              </w:rPr>
              <w:t>Disaster</w:t>
            </w:r>
            <w:r w:rsidRPr="00E52C22">
              <w:rPr>
                <w:rFonts w:eastAsiaTheme="majorEastAsia" w:cstheme="minorHAnsi"/>
                <w:bCs/>
                <w:sz w:val="21"/>
                <w:szCs w:val="21"/>
              </w:rPr>
              <w:t xml:space="preserve"> READY Phase II design refresh. </w:t>
            </w:r>
          </w:p>
        </w:tc>
        <w:tc>
          <w:tcPr>
            <w:tcW w:w="1278" w:type="dxa"/>
            <w:vAlign w:val="center"/>
          </w:tcPr>
          <w:p w14:paraId="16467977" w14:textId="77777777" w:rsidR="00E52C22" w:rsidRPr="00E52C22" w:rsidRDefault="00E52C22" w:rsidP="00E52C22">
            <w:pPr>
              <w:widowControl w:val="0"/>
              <w:suppressAutoHyphens w:val="0"/>
              <w:rPr>
                <w:rFonts w:cstheme="minorHAnsi"/>
                <w:sz w:val="21"/>
                <w:szCs w:val="21"/>
              </w:rPr>
            </w:pPr>
            <w:r w:rsidRPr="00E52C22">
              <w:rPr>
                <w:rFonts w:cstheme="minorHAnsi"/>
                <w:sz w:val="21"/>
                <w:szCs w:val="21"/>
              </w:rPr>
              <w:t>June 2021 – June 2022</w:t>
            </w:r>
          </w:p>
        </w:tc>
      </w:tr>
    </w:tbl>
    <w:p w14:paraId="0DFEADDD" w14:textId="5407C54C" w:rsidR="00E52C22" w:rsidRDefault="00E52C22" w:rsidP="00E52C22">
      <w:pPr>
        <w:widowControl w:val="0"/>
        <w:suppressAutoHyphens w:val="0"/>
        <w:rPr>
          <w:rFonts w:cstheme="minorHAnsi"/>
        </w:rPr>
      </w:pPr>
    </w:p>
    <w:p w14:paraId="4928CC6D" w14:textId="5E01E60C" w:rsidR="00673397" w:rsidRDefault="00673397" w:rsidP="00E52C22">
      <w:pPr>
        <w:widowControl w:val="0"/>
        <w:suppressAutoHyphens w:val="0"/>
        <w:rPr>
          <w:rFonts w:cstheme="minorHAnsi"/>
        </w:rPr>
      </w:pPr>
    </w:p>
    <w:p w14:paraId="09E34FDA" w14:textId="77777777" w:rsidR="00673397" w:rsidRPr="0068060D" w:rsidRDefault="00673397" w:rsidP="00E52C22">
      <w:pPr>
        <w:widowControl w:val="0"/>
        <w:suppressAutoHyphens w:val="0"/>
        <w:rPr>
          <w:rFonts w:cstheme="minorHAnsi"/>
        </w:rPr>
      </w:pPr>
    </w:p>
    <w:p w14:paraId="0D8BDBB5" w14:textId="77777777" w:rsidR="00025457" w:rsidRPr="00223B0F" w:rsidRDefault="00025457" w:rsidP="00E52C22">
      <w:pPr>
        <w:widowControl w:val="0"/>
        <w:suppressAutoHyphens w:val="0"/>
        <w:rPr>
          <w:rFonts w:cstheme="minorHAnsi"/>
        </w:rPr>
      </w:pPr>
      <w:r w:rsidRPr="00223B0F">
        <w:rPr>
          <w:rFonts w:cstheme="minorHAnsi"/>
          <w:b/>
          <w:bCs/>
          <w:u w:val="single"/>
        </w:rPr>
        <w:lastRenderedPageBreak/>
        <w:t xml:space="preserve">Question </w:t>
      </w:r>
      <w:r>
        <w:rPr>
          <w:rFonts w:cstheme="minorHAnsi"/>
          <w:b/>
          <w:bCs/>
          <w:u w:val="single"/>
        </w:rPr>
        <w:t>4</w:t>
      </w:r>
      <w:r w:rsidRPr="00223B0F">
        <w:rPr>
          <w:rFonts w:cstheme="minorHAnsi"/>
        </w:rPr>
        <w:t xml:space="preserve">: </w:t>
      </w:r>
      <w:r w:rsidRPr="0068060D">
        <w:rPr>
          <w:rFonts w:cstheme="minorHAnsi"/>
        </w:rPr>
        <w:t>To what extent have the activities of AHP supported and advanced the localisation of Australia’s humanitarian response?</w:t>
      </w:r>
    </w:p>
    <w:p w14:paraId="49786826" w14:textId="0B6DEC27" w:rsidR="00025457" w:rsidRDefault="00025457" w:rsidP="005B092D">
      <w:pPr>
        <w:widowControl w:val="0"/>
        <w:suppressAutoHyphens w:val="0"/>
        <w:rPr>
          <w:rFonts w:cstheme="minorHAnsi"/>
        </w:rPr>
      </w:pPr>
      <w:r w:rsidRPr="00223B0F">
        <w:rPr>
          <w:rFonts w:cstheme="minorHAnsi"/>
          <w:b/>
          <w:bCs/>
          <w:u w:val="single"/>
        </w:rPr>
        <w:t>Overall findings</w:t>
      </w:r>
      <w:r w:rsidRPr="00223B0F">
        <w:rPr>
          <w:rFonts w:cstheme="minorHAnsi"/>
        </w:rPr>
        <w:t xml:space="preserve">: </w:t>
      </w:r>
      <w:r w:rsidRPr="0068060D">
        <w:rPr>
          <w:rFonts w:cstheme="minorHAnsi"/>
        </w:rPr>
        <w:t>Some AHP activities have supported good practice in localisation at community level. However, Disaster READY shows very slow progress in shifting decision making and resources to local organisations</w:t>
      </w:r>
    </w:p>
    <w:tbl>
      <w:tblPr>
        <w:tblStyle w:val="TableGrid"/>
        <w:tblW w:w="4950" w:type="pct"/>
        <w:tblLook w:val="04A0" w:firstRow="1" w:lastRow="0" w:firstColumn="1" w:lastColumn="0" w:noHBand="0" w:noVBand="1"/>
      </w:tblPr>
      <w:tblGrid>
        <w:gridCol w:w="3101"/>
        <w:gridCol w:w="1027"/>
        <w:gridCol w:w="3533"/>
        <w:gridCol w:w="1265"/>
      </w:tblGrid>
      <w:tr w:rsidR="00E52C22" w:rsidRPr="00E52C22" w14:paraId="609ADF3C" w14:textId="77777777" w:rsidTr="00673397">
        <w:trPr>
          <w:trHeight w:val="452"/>
          <w:tblHeader/>
        </w:trPr>
        <w:tc>
          <w:tcPr>
            <w:tcW w:w="1744" w:type="pct"/>
            <w:shd w:val="clear" w:color="auto" w:fill="D9D9D9" w:themeFill="background1" w:themeFillShade="D9"/>
          </w:tcPr>
          <w:p w14:paraId="2B4058E4" w14:textId="77777777" w:rsidR="00D5136E" w:rsidRPr="00E52C22" w:rsidRDefault="00D5136E" w:rsidP="005B092D">
            <w:pPr>
              <w:widowControl w:val="0"/>
              <w:suppressAutoHyphens w:val="0"/>
              <w:rPr>
                <w:rFonts w:cstheme="minorHAnsi"/>
                <w:b/>
                <w:bCs/>
                <w:sz w:val="21"/>
                <w:szCs w:val="21"/>
              </w:rPr>
            </w:pPr>
            <w:bookmarkStart w:id="101" w:name="_Hlk92963827"/>
            <w:r w:rsidRPr="00E52C22">
              <w:rPr>
                <w:rFonts w:cstheme="minorHAnsi"/>
                <w:b/>
                <w:bCs/>
                <w:sz w:val="21"/>
                <w:szCs w:val="21"/>
              </w:rPr>
              <w:t>Recommendation</w:t>
            </w:r>
          </w:p>
        </w:tc>
        <w:tc>
          <w:tcPr>
            <w:tcW w:w="556" w:type="pct"/>
            <w:shd w:val="clear" w:color="auto" w:fill="D9D9D9" w:themeFill="background1" w:themeFillShade="D9"/>
          </w:tcPr>
          <w:p w14:paraId="5E9EE98F" w14:textId="77777777" w:rsidR="00D5136E" w:rsidRPr="00E52C22" w:rsidRDefault="00D5136E" w:rsidP="005B092D">
            <w:pPr>
              <w:widowControl w:val="0"/>
              <w:suppressAutoHyphens w:val="0"/>
              <w:rPr>
                <w:rFonts w:cstheme="minorHAnsi"/>
                <w:b/>
                <w:bCs/>
                <w:sz w:val="21"/>
                <w:szCs w:val="21"/>
              </w:rPr>
            </w:pPr>
            <w:r w:rsidRPr="00E52C22">
              <w:rPr>
                <w:rFonts w:cstheme="minorHAnsi"/>
                <w:b/>
                <w:bCs/>
                <w:sz w:val="21"/>
                <w:szCs w:val="21"/>
              </w:rPr>
              <w:t>Response</w:t>
            </w:r>
          </w:p>
        </w:tc>
        <w:tc>
          <w:tcPr>
            <w:tcW w:w="1985" w:type="pct"/>
            <w:shd w:val="clear" w:color="auto" w:fill="D9D9D9" w:themeFill="background1" w:themeFillShade="D9"/>
          </w:tcPr>
          <w:p w14:paraId="1172FEC6" w14:textId="77777777" w:rsidR="00D5136E" w:rsidRPr="00E52C22" w:rsidRDefault="00D5136E" w:rsidP="005B092D">
            <w:pPr>
              <w:widowControl w:val="0"/>
              <w:suppressAutoHyphens w:val="0"/>
              <w:rPr>
                <w:rFonts w:cstheme="minorHAnsi"/>
                <w:b/>
                <w:bCs/>
                <w:sz w:val="21"/>
                <w:szCs w:val="21"/>
              </w:rPr>
            </w:pPr>
            <w:r w:rsidRPr="00E52C22">
              <w:rPr>
                <w:rFonts w:cstheme="minorHAnsi"/>
                <w:b/>
                <w:bCs/>
                <w:sz w:val="21"/>
                <w:szCs w:val="21"/>
              </w:rPr>
              <w:t>Action</w:t>
            </w:r>
          </w:p>
        </w:tc>
        <w:tc>
          <w:tcPr>
            <w:tcW w:w="715" w:type="pct"/>
            <w:shd w:val="clear" w:color="auto" w:fill="D9D9D9" w:themeFill="background1" w:themeFillShade="D9"/>
          </w:tcPr>
          <w:p w14:paraId="4AC61A04" w14:textId="77777777" w:rsidR="00D5136E" w:rsidRPr="00E52C22" w:rsidRDefault="00D5136E" w:rsidP="005B092D">
            <w:pPr>
              <w:widowControl w:val="0"/>
              <w:suppressAutoHyphens w:val="0"/>
              <w:rPr>
                <w:rFonts w:cstheme="minorHAnsi"/>
                <w:b/>
                <w:bCs/>
                <w:sz w:val="21"/>
                <w:szCs w:val="21"/>
              </w:rPr>
            </w:pPr>
            <w:r w:rsidRPr="00E52C22">
              <w:rPr>
                <w:rFonts w:cstheme="minorHAnsi"/>
                <w:b/>
                <w:bCs/>
                <w:sz w:val="21"/>
                <w:szCs w:val="21"/>
              </w:rPr>
              <w:t>Timeframe</w:t>
            </w:r>
          </w:p>
        </w:tc>
      </w:tr>
      <w:tr w:rsidR="00E52C22" w:rsidRPr="00E52C22" w14:paraId="7E6D8EF0" w14:textId="77777777" w:rsidTr="00673397">
        <w:trPr>
          <w:trHeight w:val="1795"/>
        </w:trPr>
        <w:tc>
          <w:tcPr>
            <w:tcW w:w="1744" w:type="pct"/>
            <w:vAlign w:val="center"/>
          </w:tcPr>
          <w:p w14:paraId="3072DC36" w14:textId="77777777" w:rsidR="00D5136E" w:rsidRPr="00E52C22" w:rsidRDefault="00D5136E" w:rsidP="005B092D">
            <w:pPr>
              <w:pStyle w:val="Heading4"/>
              <w:keepNext w:val="0"/>
              <w:keepLines w:val="0"/>
              <w:widowControl w:val="0"/>
              <w:suppressAutoHyphens w:val="0"/>
              <w:outlineLvl w:val="3"/>
              <w:rPr>
                <w:rFonts w:asciiTheme="minorHAnsi" w:hAnsiTheme="minorHAnsi" w:cstheme="minorHAnsi"/>
                <w:b/>
                <w:bCs w:val="0"/>
                <w:i/>
                <w:iCs w:val="0"/>
                <w:sz w:val="21"/>
                <w:szCs w:val="21"/>
              </w:rPr>
            </w:pPr>
            <w:r w:rsidRPr="00E52C22">
              <w:rPr>
                <w:rFonts w:asciiTheme="minorHAnsi" w:hAnsiTheme="minorHAnsi" w:cstheme="minorHAnsi"/>
                <w:b/>
                <w:iCs w:val="0"/>
                <w:sz w:val="21"/>
                <w:szCs w:val="21"/>
              </w:rPr>
              <w:t>Recommendation 7</w:t>
            </w:r>
          </w:p>
          <w:p w14:paraId="4176CE2C" w14:textId="77777777" w:rsidR="00D5136E" w:rsidRPr="00E52C22" w:rsidRDefault="00D5136E" w:rsidP="005B092D">
            <w:pPr>
              <w:widowControl w:val="0"/>
              <w:suppressAutoHyphens w:val="0"/>
              <w:rPr>
                <w:rFonts w:cstheme="minorHAnsi"/>
                <w:sz w:val="21"/>
                <w:szCs w:val="21"/>
              </w:rPr>
            </w:pPr>
            <w:r w:rsidRPr="00E52C22">
              <w:rPr>
                <w:rFonts w:cstheme="minorHAnsi"/>
                <w:sz w:val="21"/>
                <w:szCs w:val="21"/>
              </w:rPr>
              <w:t>Require all AHP partners to report on progress towards localisation against an agreed set of program wide indicators.</w:t>
            </w:r>
          </w:p>
        </w:tc>
        <w:tc>
          <w:tcPr>
            <w:tcW w:w="556" w:type="pct"/>
            <w:vAlign w:val="center"/>
          </w:tcPr>
          <w:p w14:paraId="05D03D90" w14:textId="77777777" w:rsidR="00D5136E" w:rsidRPr="00E52C22" w:rsidRDefault="00D5136E" w:rsidP="005B092D">
            <w:pPr>
              <w:pStyle w:val="Heading4"/>
              <w:keepNext w:val="0"/>
              <w:keepLines w:val="0"/>
              <w:widowControl w:val="0"/>
              <w:suppressAutoHyphens w:val="0"/>
              <w:outlineLvl w:val="3"/>
              <w:rPr>
                <w:rFonts w:asciiTheme="minorHAnsi" w:hAnsiTheme="minorHAnsi" w:cstheme="minorHAnsi"/>
                <w:i/>
                <w:iCs w:val="0"/>
                <w:sz w:val="21"/>
                <w:szCs w:val="21"/>
              </w:rPr>
            </w:pPr>
            <w:r w:rsidRPr="00E52C22">
              <w:rPr>
                <w:rFonts w:asciiTheme="minorHAnsi" w:hAnsiTheme="minorHAnsi" w:cstheme="minorHAnsi"/>
                <w:iCs w:val="0"/>
                <w:sz w:val="21"/>
                <w:szCs w:val="21"/>
              </w:rPr>
              <w:t>Agree</w:t>
            </w:r>
          </w:p>
        </w:tc>
        <w:tc>
          <w:tcPr>
            <w:tcW w:w="1985" w:type="pct"/>
            <w:vAlign w:val="center"/>
          </w:tcPr>
          <w:p w14:paraId="20D66D0B" w14:textId="77777777" w:rsidR="00D5136E" w:rsidRPr="00E52C22" w:rsidRDefault="00D5136E" w:rsidP="00E52C22">
            <w:pPr>
              <w:widowControl w:val="0"/>
              <w:suppressAutoHyphens w:val="0"/>
              <w:rPr>
                <w:rFonts w:cstheme="minorHAnsi"/>
                <w:i/>
                <w:iCs/>
                <w:sz w:val="21"/>
                <w:szCs w:val="21"/>
              </w:rPr>
            </w:pPr>
            <w:r w:rsidRPr="00E52C22">
              <w:rPr>
                <w:rFonts w:eastAsiaTheme="majorEastAsia" w:cstheme="minorHAnsi"/>
                <w:bCs/>
                <w:sz w:val="21"/>
                <w:szCs w:val="21"/>
              </w:rPr>
              <w:t>Recommendation</w:t>
            </w:r>
            <w:r w:rsidRPr="00E52C22">
              <w:rPr>
                <w:rFonts w:cstheme="minorHAnsi"/>
                <w:iCs/>
                <w:sz w:val="21"/>
                <w:szCs w:val="21"/>
              </w:rPr>
              <w:t xml:space="preserve"> 7 to be addressed as </w:t>
            </w:r>
            <w:r w:rsidRPr="00E52C22">
              <w:rPr>
                <w:rFonts w:cstheme="minorHAnsi"/>
                <w:bCs/>
              </w:rPr>
              <w:t>part</w:t>
            </w:r>
            <w:r w:rsidRPr="00E52C22">
              <w:rPr>
                <w:rFonts w:cstheme="minorHAnsi"/>
                <w:iCs/>
                <w:sz w:val="21"/>
                <w:szCs w:val="21"/>
              </w:rPr>
              <w:t xml:space="preserve"> of the AHP Phase II and Disaster READY Phase II design refresh. </w:t>
            </w:r>
          </w:p>
        </w:tc>
        <w:tc>
          <w:tcPr>
            <w:tcW w:w="715" w:type="pct"/>
            <w:vAlign w:val="center"/>
          </w:tcPr>
          <w:p w14:paraId="78CC17D4" w14:textId="77777777" w:rsidR="00D5136E" w:rsidRPr="00E52C22" w:rsidRDefault="00D5136E" w:rsidP="005B092D">
            <w:pPr>
              <w:widowControl w:val="0"/>
              <w:suppressAutoHyphens w:val="0"/>
              <w:rPr>
                <w:rFonts w:cstheme="minorHAnsi"/>
                <w:sz w:val="21"/>
                <w:szCs w:val="21"/>
              </w:rPr>
            </w:pPr>
            <w:r w:rsidRPr="00E52C22">
              <w:rPr>
                <w:rFonts w:cstheme="minorHAnsi"/>
                <w:sz w:val="21"/>
                <w:szCs w:val="21"/>
              </w:rPr>
              <w:t>June 2021 – June 2022</w:t>
            </w:r>
          </w:p>
        </w:tc>
      </w:tr>
    </w:tbl>
    <w:bookmarkEnd w:id="101"/>
    <w:p w14:paraId="7FD97807" w14:textId="3B1B9C4B" w:rsidR="00025457" w:rsidRPr="00223B0F" w:rsidRDefault="00025457" w:rsidP="005B092D">
      <w:pPr>
        <w:widowControl w:val="0"/>
        <w:suppressAutoHyphens w:val="0"/>
        <w:rPr>
          <w:rFonts w:cstheme="minorHAnsi"/>
        </w:rPr>
      </w:pPr>
      <w:r w:rsidRPr="00223B0F">
        <w:rPr>
          <w:rFonts w:cstheme="minorHAnsi"/>
          <w:b/>
          <w:bCs/>
          <w:u w:val="single"/>
        </w:rPr>
        <w:t xml:space="preserve">Question </w:t>
      </w:r>
      <w:r>
        <w:rPr>
          <w:rFonts w:cstheme="minorHAnsi"/>
          <w:b/>
          <w:bCs/>
          <w:u w:val="single"/>
        </w:rPr>
        <w:t>5</w:t>
      </w:r>
      <w:r w:rsidRPr="00223B0F">
        <w:rPr>
          <w:rFonts w:cstheme="minorHAnsi"/>
        </w:rPr>
        <w:t xml:space="preserve">: </w:t>
      </w:r>
      <w:r w:rsidRPr="0068060D">
        <w:rPr>
          <w:rFonts w:cstheme="minorHAnsi"/>
        </w:rPr>
        <w:t xml:space="preserve">To what extent have the activities of AHP supported and advanced leadership and participation of women, </w:t>
      </w:r>
      <w:r w:rsidR="009029B3">
        <w:rPr>
          <w:rFonts w:cstheme="minorHAnsi"/>
        </w:rPr>
        <w:t>people living with disability</w:t>
      </w:r>
      <w:r w:rsidRPr="0068060D">
        <w:rPr>
          <w:rFonts w:cstheme="minorHAnsi"/>
        </w:rPr>
        <w:t xml:space="preserve"> and other marginalised people in disaster preparation and disaster response?</w:t>
      </w:r>
    </w:p>
    <w:p w14:paraId="54DE9E3A" w14:textId="7F10A11C" w:rsidR="00025457" w:rsidRDefault="00025457" w:rsidP="005B092D">
      <w:pPr>
        <w:widowControl w:val="0"/>
        <w:suppressAutoHyphens w:val="0"/>
        <w:rPr>
          <w:rFonts w:cstheme="minorHAnsi"/>
        </w:rPr>
      </w:pPr>
      <w:r w:rsidRPr="00223B0F">
        <w:rPr>
          <w:rFonts w:cstheme="minorHAnsi"/>
          <w:b/>
          <w:bCs/>
          <w:u w:val="single"/>
        </w:rPr>
        <w:t>Overall findings</w:t>
      </w:r>
      <w:r w:rsidRPr="00223B0F">
        <w:rPr>
          <w:rFonts w:cstheme="minorHAnsi"/>
        </w:rPr>
        <w:t xml:space="preserve">: AHP results show that the program has worked to include women and </w:t>
      </w:r>
      <w:r w:rsidR="009029B3">
        <w:rPr>
          <w:rFonts w:cstheme="minorHAnsi"/>
        </w:rPr>
        <w:t>people living with disability</w:t>
      </w:r>
      <w:r w:rsidRPr="00223B0F">
        <w:rPr>
          <w:rFonts w:cstheme="minorHAnsi"/>
        </w:rPr>
        <w:t xml:space="preserve">. Results show that overall, gender inclusion has been more effective than inclusion of </w:t>
      </w:r>
      <w:r w:rsidR="009029B3">
        <w:rPr>
          <w:rFonts w:cstheme="minorHAnsi"/>
        </w:rPr>
        <w:t>people living with disability</w:t>
      </w:r>
      <w:r>
        <w:rPr>
          <w:rFonts w:cstheme="minorHAnsi"/>
        </w:rPr>
        <w:t>.</w:t>
      </w:r>
    </w:p>
    <w:tbl>
      <w:tblPr>
        <w:tblStyle w:val="TableGrid"/>
        <w:tblW w:w="4950" w:type="pct"/>
        <w:tblLook w:val="04A0" w:firstRow="1" w:lastRow="0" w:firstColumn="1" w:lastColumn="0" w:noHBand="0" w:noVBand="1"/>
      </w:tblPr>
      <w:tblGrid>
        <w:gridCol w:w="3096"/>
        <w:gridCol w:w="1027"/>
        <w:gridCol w:w="3664"/>
        <w:gridCol w:w="1139"/>
      </w:tblGrid>
      <w:tr w:rsidR="00083C66" w:rsidRPr="00E52C22" w14:paraId="2B14D4C0" w14:textId="77777777" w:rsidTr="00673397">
        <w:trPr>
          <w:trHeight w:val="435"/>
          <w:tblHeader/>
        </w:trPr>
        <w:tc>
          <w:tcPr>
            <w:tcW w:w="1744" w:type="pct"/>
            <w:shd w:val="clear" w:color="auto" w:fill="D9D9D9" w:themeFill="background1" w:themeFillShade="D9"/>
            <w:vAlign w:val="center"/>
          </w:tcPr>
          <w:p w14:paraId="7B68F04E" w14:textId="77777777" w:rsidR="00083C66" w:rsidRPr="00E52C22" w:rsidRDefault="00083C66" w:rsidP="005B092D">
            <w:pPr>
              <w:widowControl w:val="0"/>
              <w:suppressAutoHyphens w:val="0"/>
              <w:rPr>
                <w:rFonts w:cstheme="minorHAnsi"/>
                <w:b/>
                <w:bCs/>
                <w:sz w:val="21"/>
                <w:szCs w:val="21"/>
              </w:rPr>
            </w:pPr>
            <w:r w:rsidRPr="00E52C22">
              <w:rPr>
                <w:rFonts w:cstheme="minorHAnsi"/>
                <w:b/>
                <w:bCs/>
                <w:sz w:val="21"/>
                <w:szCs w:val="21"/>
              </w:rPr>
              <w:t>Recommendation</w:t>
            </w:r>
          </w:p>
        </w:tc>
        <w:tc>
          <w:tcPr>
            <w:tcW w:w="556" w:type="pct"/>
            <w:shd w:val="clear" w:color="auto" w:fill="D9D9D9" w:themeFill="background1" w:themeFillShade="D9"/>
            <w:vAlign w:val="center"/>
          </w:tcPr>
          <w:p w14:paraId="03D7ED5B" w14:textId="77777777" w:rsidR="00083C66" w:rsidRPr="00E52C22" w:rsidRDefault="00083C66" w:rsidP="005B092D">
            <w:pPr>
              <w:widowControl w:val="0"/>
              <w:suppressAutoHyphens w:val="0"/>
              <w:rPr>
                <w:rFonts w:cstheme="minorHAnsi"/>
                <w:b/>
                <w:bCs/>
                <w:sz w:val="21"/>
                <w:szCs w:val="21"/>
              </w:rPr>
            </w:pPr>
            <w:r w:rsidRPr="00E52C22">
              <w:rPr>
                <w:rFonts w:cstheme="minorHAnsi"/>
                <w:b/>
                <w:bCs/>
                <w:sz w:val="21"/>
                <w:szCs w:val="21"/>
              </w:rPr>
              <w:t>Response</w:t>
            </w:r>
          </w:p>
        </w:tc>
        <w:tc>
          <w:tcPr>
            <w:tcW w:w="2062" w:type="pct"/>
            <w:shd w:val="clear" w:color="auto" w:fill="D9D9D9" w:themeFill="background1" w:themeFillShade="D9"/>
            <w:vAlign w:val="center"/>
          </w:tcPr>
          <w:p w14:paraId="0DB969D8" w14:textId="77777777" w:rsidR="00083C66" w:rsidRPr="00E52C22" w:rsidRDefault="00083C66" w:rsidP="005B092D">
            <w:pPr>
              <w:widowControl w:val="0"/>
              <w:suppressAutoHyphens w:val="0"/>
              <w:rPr>
                <w:rFonts w:cstheme="minorHAnsi"/>
                <w:b/>
                <w:bCs/>
                <w:sz w:val="21"/>
                <w:szCs w:val="21"/>
              </w:rPr>
            </w:pPr>
            <w:r w:rsidRPr="00E52C22">
              <w:rPr>
                <w:rFonts w:cstheme="minorHAnsi"/>
                <w:b/>
                <w:bCs/>
                <w:sz w:val="21"/>
                <w:szCs w:val="21"/>
              </w:rPr>
              <w:t>Action</w:t>
            </w:r>
          </w:p>
        </w:tc>
        <w:tc>
          <w:tcPr>
            <w:tcW w:w="638" w:type="pct"/>
            <w:shd w:val="clear" w:color="auto" w:fill="D9D9D9" w:themeFill="background1" w:themeFillShade="D9"/>
            <w:vAlign w:val="center"/>
          </w:tcPr>
          <w:p w14:paraId="081F29B9" w14:textId="57D2816A" w:rsidR="00083C66" w:rsidRPr="00E52C22" w:rsidRDefault="00083C66" w:rsidP="005B092D">
            <w:pPr>
              <w:widowControl w:val="0"/>
              <w:suppressAutoHyphens w:val="0"/>
              <w:rPr>
                <w:rFonts w:cstheme="minorHAnsi"/>
                <w:b/>
                <w:bCs/>
                <w:sz w:val="21"/>
                <w:szCs w:val="21"/>
              </w:rPr>
            </w:pPr>
            <w:r>
              <w:rPr>
                <w:rFonts w:cstheme="minorHAnsi"/>
                <w:b/>
                <w:bCs/>
                <w:sz w:val="21"/>
                <w:szCs w:val="21"/>
              </w:rPr>
              <w:t>Timeframe</w:t>
            </w:r>
          </w:p>
        </w:tc>
      </w:tr>
      <w:tr w:rsidR="00083C66" w:rsidRPr="00E52C22" w14:paraId="6BF77E78" w14:textId="77777777" w:rsidTr="00673397">
        <w:trPr>
          <w:trHeight w:val="1900"/>
          <w:tblHeader/>
        </w:trPr>
        <w:tc>
          <w:tcPr>
            <w:tcW w:w="1744" w:type="pct"/>
            <w:vAlign w:val="center"/>
          </w:tcPr>
          <w:p w14:paraId="5932A1DD" w14:textId="77777777" w:rsidR="00083C66" w:rsidRPr="00E52C22" w:rsidRDefault="00083C66" w:rsidP="005B092D">
            <w:pPr>
              <w:pStyle w:val="Heading4"/>
              <w:keepNext w:val="0"/>
              <w:keepLines w:val="0"/>
              <w:widowControl w:val="0"/>
              <w:suppressAutoHyphens w:val="0"/>
              <w:outlineLvl w:val="3"/>
              <w:rPr>
                <w:rFonts w:asciiTheme="minorHAnsi" w:hAnsiTheme="minorHAnsi" w:cstheme="minorHAnsi"/>
                <w:b/>
                <w:bCs w:val="0"/>
                <w:i/>
                <w:iCs w:val="0"/>
                <w:sz w:val="21"/>
                <w:szCs w:val="21"/>
              </w:rPr>
            </w:pPr>
            <w:r w:rsidRPr="00E52C22">
              <w:rPr>
                <w:rFonts w:asciiTheme="minorHAnsi" w:hAnsiTheme="minorHAnsi" w:cstheme="minorHAnsi"/>
                <w:b/>
                <w:iCs w:val="0"/>
                <w:sz w:val="21"/>
                <w:szCs w:val="21"/>
              </w:rPr>
              <w:t>Recommendation 8</w:t>
            </w:r>
          </w:p>
          <w:p w14:paraId="06788C81" w14:textId="26FF8FA4" w:rsidR="00083C66" w:rsidRPr="00E52C22" w:rsidRDefault="00083C66" w:rsidP="005B092D">
            <w:pPr>
              <w:widowControl w:val="0"/>
              <w:suppressAutoHyphens w:val="0"/>
              <w:rPr>
                <w:rFonts w:cstheme="minorHAnsi"/>
                <w:sz w:val="21"/>
                <w:szCs w:val="21"/>
              </w:rPr>
            </w:pPr>
            <w:r w:rsidRPr="00E52C22">
              <w:rPr>
                <w:rFonts w:cstheme="minorHAnsi"/>
                <w:sz w:val="21"/>
                <w:szCs w:val="21"/>
              </w:rPr>
              <w:t>AHP partners to identify and implement a strategy to increase inclusion of people living with disability in program decision-making and program implementation, utilising the guidance and ideas from country DPO.</w:t>
            </w:r>
          </w:p>
        </w:tc>
        <w:tc>
          <w:tcPr>
            <w:tcW w:w="556" w:type="pct"/>
            <w:vAlign w:val="center"/>
          </w:tcPr>
          <w:p w14:paraId="59B2F5F2" w14:textId="77777777" w:rsidR="00083C66" w:rsidRPr="00E52C22" w:rsidRDefault="00083C66" w:rsidP="005B092D">
            <w:pPr>
              <w:pStyle w:val="Heading4"/>
              <w:keepNext w:val="0"/>
              <w:keepLines w:val="0"/>
              <w:widowControl w:val="0"/>
              <w:suppressAutoHyphens w:val="0"/>
              <w:outlineLvl w:val="3"/>
              <w:rPr>
                <w:rFonts w:asciiTheme="minorHAnsi" w:hAnsiTheme="minorHAnsi" w:cstheme="minorHAnsi"/>
                <w:i/>
                <w:iCs w:val="0"/>
                <w:sz w:val="21"/>
                <w:szCs w:val="21"/>
              </w:rPr>
            </w:pPr>
            <w:r w:rsidRPr="00E52C22">
              <w:rPr>
                <w:rFonts w:asciiTheme="minorHAnsi" w:hAnsiTheme="minorHAnsi" w:cstheme="minorHAnsi"/>
                <w:iCs w:val="0"/>
                <w:sz w:val="21"/>
                <w:szCs w:val="21"/>
              </w:rPr>
              <w:t>Agree</w:t>
            </w:r>
          </w:p>
          <w:p w14:paraId="419230E3" w14:textId="77777777" w:rsidR="00083C66" w:rsidRPr="00E52C22" w:rsidRDefault="00083C66" w:rsidP="005B092D">
            <w:pPr>
              <w:pStyle w:val="Heading4"/>
              <w:keepNext w:val="0"/>
              <w:keepLines w:val="0"/>
              <w:widowControl w:val="0"/>
              <w:suppressAutoHyphens w:val="0"/>
              <w:outlineLvl w:val="3"/>
              <w:rPr>
                <w:rFonts w:asciiTheme="minorHAnsi" w:hAnsiTheme="minorHAnsi" w:cstheme="minorHAnsi"/>
                <w:i/>
                <w:iCs w:val="0"/>
                <w:sz w:val="21"/>
                <w:szCs w:val="21"/>
              </w:rPr>
            </w:pPr>
          </w:p>
        </w:tc>
        <w:tc>
          <w:tcPr>
            <w:tcW w:w="2062" w:type="pct"/>
            <w:vAlign w:val="center"/>
          </w:tcPr>
          <w:p w14:paraId="206A447E" w14:textId="77777777" w:rsidR="00083C66" w:rsidRPr="00E52C22" w:rsidRDefault="00083C66" w:rsidP="00E52C22">
            <w:pPr>
              <w:widowControl w:val="0"/>
              <w:suppressAutoHyphens w:val="0"/>
              <w:rPr>
                <w:rFonts w:cstheme="minorHAnsi"/>
                <w:i/>
                <w:iCs/>
                <w:sz w:val="21"/>
                <w:szCs w:val="21"/>
              </w:rPr>
            </w:pPr>
            <w:r w:rsidRPr="00E52C22">
              <w:rPr>
                <w:rFonts w:cstheme="minorHAnsi"/>
                <w:iCs/>
                <w:sz w:val="21"/>
                <w:szCs w:val="21"/>
              </w:rPr>
              <w:t xml:space="preserve">Recommendation 8 to be addressed through </w:t>
            </w:r>
            <w:r w:rsidRPr="00E52C22">
              <w:rPr>
                <w:rFonts w:eastAsiaTheme="majorEastAsia" w:cstheme="minorHAnsi"/>
                <w:bCs/>
                <w:sz w:val="21"/>
                <w:szCs w:val="21"/>
              </w:rPr>
              <w:t>the</w:t>
            </w:r>
            <w:r w:rsidRPr="00E52C22">
              <w:rPr>
                <w:rFonts w:cstheme="minorHAnsi"/>
                <w:iCs/>
                <w:sz w:val="21"/>
                <w:szCs w:val="21"/>
              </w:rPr>
              <w:t xml:space="preserve"> </w:t>
            </w:r>
            <w:r w:rsidRPr="00E52C22">
              <w:rPr>
                <w:rFonts w:cstheme="minorHAnsi"/>
                <w:bCs/>
              </w:rPr>
              <w:t>AHP</w:t>
            </w:r>
            <w:r w:rsidRPr="00E52C22">
              <w:rPr>
                <w:rFonts w:cstheme="minorHAnsi"/>
                <w:iCs/>
                <w:sz w:val="21"/>
                <w:szCs w:val="21"/>
              </w:rPr>
              <w:t xml:space="preserve"> Phase II and Disaster READY Phase II design refresh. </w:t>
            </w:r>
          </w:p>
        </w:tc>
        <w:tc>
          <w:tcPr>
            <w:tcW w:w="638" w:type="pct"/>
            <w:vAlign w:val="center"/>
          </w:tcPr>
          <w:p w14:paraId="30212E29" w14:textId="467DC5AB" w:rsidR="00083C66" w:rsidRPr="00E52C22" w:rsidRDefault="00083C66" w:rsidP="005B092D">
            <w:pPr>
              <w:widowControl w:val="0"/>
              <w:suppressAutoHyphens w:val="0"/>
              <w:rPr>
                <w:rFonts w:cstheme="minorHAnsi"/>
                <w:sz w:val="21"/>
                <w:szCs w:val="21"/>
              </w:rPr>
            </w:pPr>
            <w:r>
              <w:rPr>
                <w:rFonts w:cstheme="minorHAnsi"/>
                <w:sz w:val="21"/>
                <w:szCs w:val="21"/>
              </w:rPr>
              <w:t>June 2021 – June 2022</w:t>
            </w:r>
          </w:p>
        </w:tc>
      </w:tr>
      <w:tr w:rsidR="00083C66" w:rsidRPr="00E52C22" w14:paraId="2A270759" w14:textId="77777777" w:rsidTr="00673397">
        <w:trPr>
          <w:trHeight w:val="1969"/>
          <w:tblHeader/>
        </w:trPr>
        <w:tc>
          <w:tcPr>
            <w:tcW w:w="1744" w:type="pct"/>
            <w:vAlign w:val="center"/>
          </w:tcPr>
          <w:p w14:paraId="10BBB9A2" w14:textId="77777777" w:rsidR="00083C66" w:rsidRPr="00E52C22" w:rsidRDefault="00083C66" w:rsidP="005B092D">
            <w:pPr>
              <w:pStyle w:val="Heading4"/>
              <w:keepNext w:val="0"/>
              <w:keepLines w:val="0"/>
              <w:widowControl w:val="0"/>
              <w:suppressAutoHyphens w:val="0"/>
              <w:outlineLvl w:val="3"/>
              <w:rPr>
                <w:rFonts w:asciiTheme="minorHAnsi" w:hAnsiTheme="minorHAnsi" w:cstheme="minorHAnsi"/>
                <w:b/>
                <w:bCs w:val="0"/>
                <w:i/>
                <w:iCs w:val="0"/>
                <w:sz w:val="21"/>
                <w:szCs w:val="21"/>
              </w:rPr>
            </w:pPr>
            <w:r w:rsidRPr="00E52C22">
              <w:rPr>
                <w:rFonts w:asciiTheme="minorHAnsi" w:hAnsiTheme="minorHAnsi" w:cstheme="minorHAnsi"/>
                <w:b/>
                <w:iCs w:val="0"/>
                <w:sz w:val="21"/>
                <w:szCs w:val="21"/>
              </w:rPr>
              <w:t>Recommendation 9</w:t>
            </w:r>
          </w:p>
          <w:p w14:paraId="0CCD2F08" w14:textId="77777777" w:rsidR="00083C66" w:rsidRPr="00E52C22" w:rsidRDefault="00083C66" w:rsidP="005B092D">
            <w:pPr>
              <w:widowControl w:val="0"/>
              <w:suppressAutoHyphens w:val="0"/>
              <w:rPr>
                <w:rFonts w:cstheme="minorHAnsi"/>
                <w:sz w:val="21"/>
                <w:szCs w:val="21"/>
              </w:rPr>
            </w:pPr>
            <w:r w:rsidRPr="00E52C22">
              <w:rPr>
                <w:rFonts w:cstheme="minorHAnsi"/>
                <w:sz w:val="21"/>
                <w:szCs w:val="21"/>
              </w:rPr>
              <w:t>AHP partners and their consortia members to ensure that at least 15% of Disaster READY program beneficiaries are people living with disability.</w:t>
            </w:r>
          </w:p>
        </w:tc>
        <w:tc>
          <w:tcPr>
            <w:tcW w:w="556" w:type="pct"/>
            <w:vAlign w:val="center"/>
          </w:tcPr>
          <w:p w14:paraId="3691FBB5" w14:textId="77777777" w:rsidR="00083C66" w:rsidRPr="00E52C22" w:rsidRDefault="00083C66" w:rsidP="005B092D">
            <w:pPr>
              <w:pStyle w:val="Heading4"/>
              <w:keepNext w:val="0"/>
              <w:keepLines w:val="0"/>
              <w:widowControl w:val="0"/>
              <w:suppressAutoHyphens w:val="0"/>
              <w:outlineLvl w:val="3"/>
              <w:rPr>
                <w:rFonts w:asciiTheme="minorHAnsi" w:hAnsiTheme="minorHAnsi" w:cstheme="minorHAnsi"/>
                <w:i/>
                <w:iCs w:val="0"/>
                <w:sz w:val="21"/>
                <w:szCs w:val="21"/>
              </w:rPr>
            </w:pPr>
            <w:r w:rsidRPr="00E52C22">
              <w:rPr>
                <w:rFonts w:asciiTheme="minorHAnsi" w:hAnsiTheme="minorHAnsi" w:cstheme="minorHAnsi"/>
                <w:iCs w:val="0"/>
                <w:sz w:val="21"/>
                <w:szCs w:val="21"/>
              </w:rPr>
              <w:t>Partly agree</w:t>
            </w:r>
          </w:p>
        </w:tc>
        <w:tc>
          <w:tcPr>
            <w:tcW w:w="2062" w:type="pct"/>
            <w:vAlign w:val="center"/>
          </w:tcPr>
          <w:p w14:paraId="19721244" w14:textId="77777777" w:rsidR="00083C66" w:rsidRPr="00E52C22" w:rsidRDefault="00083C66" w:rsidP="00E52C22">
            <w:pPr>
              <w:widowControl w:val="0"/>
              <w:suppressAutoHyphens w:val="0"/>
              <w:rPr>
                <w:rFonts w:cstheme="minorHAnsi"/>
                <w:i/>
                <w:iCs/>
                <w:sz w:val="21"/>
                <w:szCs w:val="21"/>
              </w:rPr>
            </w:pPr>
            <w:r w:rsidRPr="00E52C22">
              <w:rPr>
                <w:rFonts w:cstheme="minorHAnsi"/>
                <w:iCs/>
                <w:sz w:val="21"/>
                <w:szCs w:val="21"/>
              </w:rPr>
              <w:t xml:space="preserve">ANGOs and DFAT are committed to strengthening disability-inclusive development through holistic program approaches. An evaluation of disability inclusion in </w:t>
            </w:r>
            <w:r w:rsidRPr="00E52C22">
              <w:rPr>
                <w:rFonts w:eastAsiaTheme="majorEastAsia" w:cstheme="minorHAnsi"/>
                <w:bCs/>
                <w:sz w:val="21"/>
                <w:szCs w:val="21"/>
              </w:rPr>
              <w:t>Disaster</w:t>
            </w:r>
            <w:r w:rsidRPr="00E52C22">
              <w:rPr>
                <w:rFonts w:cstheme="minorHAnsi"/>
                <w:iCs/>
                <w:sz w:val="21"/>
                <w:szCs w:val="21"/>
              </w:rPr>
              <w:t xml:space="preserve"> READY has been undertaken concurrent to the mid-term evaluation which sets out a number of recommendations including a more holistic approach to strengthen disability inclusion. DFAT will prepare and implement a management response to respond to these recommendations, and implement them as part of the design refresh for Disaster READY Phase II.</w:t>
            </w:r>
          </w:p>
        </w:tc>
        <w:tc>
          <w:tcPr>
            <w:tcW w:w="638" w:type="pct"/>
            <w:vAlign w:val="center"/>
          </w:tcPr>
          <w:p w14:paraId="5C663436" w14:textId="06CF43B7" w:rsidR="00083C66" w:rsidRPr="00E52C22" w:rsidRDefault="00083C66" w:rsidP="005B092D">
            <w:pPr>
              <w:widowControl w:val="0"/>
              <w:suppressAutoHyphens w:val="0"/>
              <w:rPr>
                <w:rFonts w:cstheme="minorHAnsi"/>
                <w:sz w:val="21"/>
                <w:szCs w:val="21"/>
              </w:rPr>
            </w:pPr>
            <w:r>
              <w:rPr>
                <w:rFonts w:cstheme="minorHAnsi"/>
                <w:sz w:val="21"/>
                <w:szCs w:val="21"/>
              </w:rPr>
              <w:t>July 2021</w:t>
            </w:r>
          </w:p>
        </w:tc>
      </w:tr>
    </w:tbl>
    <w:p w14:paraId="2CA4229E" w14:textId="77777777" w:rsidR="00673397" w:rsidRDefault="00673397" w:rsidP="005B092D">
      <w:pPr>
        <w:widowControl w:val="0"/>
        <w:suppressAutoHyphens w:val="0"/>
        <w:rPr>
          <w:rFonts w:cstheme="minorHAnsi"/>
          <w:b/>
          <w:bCs/>
          <w:u w:val="single"/>
        </w:rPr>
      </w:pPr>
    </w:p>
    <w:p w14:paraId="772D8311" w14:textId="77777777" w:rsidR="00673397" w:rsidRDefault="00673397" w:rsidP="005B092D">
      <w:pPr>
        <w:widowControl w:val="0"/>
        <w:suppressAutoHyphens w:val="0"/>
        <w:rPr>
          <w:rFonts w:cstheme="minorHAnsi"/>
          <w:b/>
          <w:bCs/>
          <w:u w:val="single"/>
        </w:rPr>
      </w:pPr>
    </w:p>
    <w:p w14:paraId="284F6E29" w14:textId="77777777" w:rsidR="00673397" w:rsidRDefault="00673397" w:rsidP="005B092D">
      <w:pPr>
        <w:widowControl w:val="0"/>
        <w:suppressAutoHyphens w:val="0"/>
        <w:rPr>
          <w:rFonts w:cstheme="minorHAnsi"/>
          <w:b/>
          <w:bCs/>
          <w:u w:val="single"/>
        </w:rPr>
      </w:pPr>
    </w:p>
    <w:p w14:paraId="752DBF31" w14:textId="280A258E" w:rsidR="00025457" w:rsidRPr="00223B0F" w:rsidRDefault="00025457" w:rsidP="005B092D">
      <w:pPr>
        <w:widowControl w:val="0"/>
        <w:suppressAutoHyphens w:val="0"/>
        <w:rPr>
          <w:rFonts w:cstheme="minorHAnsi"/>
        </w:rPr>
      </w:pPr>
      <w:r w:rsidRPr="00223B0F">
        <w:rPr>
          <w:rFonts w:cstheme="minorHAnsi"/>
          <w:b/>
          <w:bCs/>
          <w:u w:val="single"/>
        </w:rPr>
        <w:lastRenderedPageBreak/>
        <w:t xml:space="preserve">Question </w:t>
      </w:r>
      <w:r>
        <w:rPr>
          <w:rFonts w:cstheme="minorHAnsi"/>
          <w:b/>
          <w:bCs/>
          <w:u w:val="single"/>
        </w:rPr>
        <w:t>6</w:t>
      </w:r>
      <w:r w:rsidRPr="00223B0F">
        <w:rPr>
          <w:rFonts w:cstheme="minorHAnsi"/>
        </w:rPr>
        <w:t>: To what extent have AHP activities and approaches contributed to learning and improvements in the humanitarian sector, DFAT humanitarian programming and that of the NGO community?</w:t>
      </w:r>
    </w:p>
    <w:p w14:paraId="770CBB00" w14:textId="77777777" w:rsidR="00025457" w:rsidRDefault="00025457" w:rsidP="00025457">
      <w:pPr>
        <w:widowControl w:val="0"/>
        <w:suppressAutoHyphens w:val="0"/>
        <w:rPr>
          <w:rFonts w:cstheme="minorHAnsi"/>
        </w:rPr>
      </w:pPr>
      <w:r w:rsidRPr="00223B0F">
        <w:rPr>
          <w:rFonts w:cstheme="minorHAnsi"/>
          <w:b/>
          <w:bCs/>
          <w:u w:val="single"/>
        </w:rPr>
        <w:t>Overall findings</w:t>
      </w:r>
      <w:r w:rsidRPr="00223B0F">
        <w:rPr>
          <w:rFonts w:cstheme="minorHAnsi"/>
        </w:rPr>
        <w:t>: AHP has good information for wider sector learning but there are currently limited opportunities to share this learning</w:t>
      </w:r>
      <w:r>
        <w:rPr>
          <w:rFonts w:cstheme="minorHAnsi"/>
        </w:rPr>
        <w:t>.</w:t>
      </w:r>
    </w:p>
    <w:tbl>
      <w:tblPr>
        <w:tblStyle w:val="TableGrid"/>
        <w:tblW w:w="4950" w:type="pct"/>
        <w:tblLook w:val="04A0" w:firstRow="1" w:lastRow="0" w:firstColumn="1" w:lastColumn="0" w:noHBand="0" w:noVBand="1"/>
      </w:tblPr>
      <w:tblGrid>
        <w:gridCol w:w="2960"/>
        <w:gridCol w:w="1027"/>
        <w:gridCol w:w="3663"/>
        <w:gridCol w:w="1276"/>
      </w:tblGrid>
      <w:tr w:rsidR="00E52C22" w:rsidRPr="00E52C22" w14:paraId="47C5C6B3" w14:textId="77777777" w:rsidTr="00673397">
        <w:trPr>
          <w:trHeight w:val="446"/>
          <w:tblHeader/>
        </w:trPr>
        <w:tc>
          <w:tcPr>
            <w:tcW w:w="1658" w:type="pct"/>
            <w:shd w:val="clear" w:color="auto" w:fill="D9D9D9" w:themeFill="background1" w:themeFillShade="D9"/>
            <w:vAlign w:val="center"/>
          </w:tcPr>
          <w:p w14:paraId="7352A521" w14:textId="77777777" w:rsidR="00D5136E" w:rsidRPr="00E52C22" w:rsidRDefault="00D5136E" w:rsidP="005B092D">
            <w:pPr>
              <w:widowControl w:val="0"/>
              <w:suppressAutoHyphens w:val="0"/>
              <w:rPr>
                <w:rFonts w:cstheme="minorHAnsi"/>
                <w:b/>
                <w:bCs/>
                <w:sz w:val="21"/>
                <w:szCs w:val="21"/>
              </w:rPr>
            </w:pPr>
            <w:r w:rsidRPr="00E52C22">
              <w:rPr>
                <w:rFonts w:cstheme="minorHAnsi"/>
                <w:b/>
                <w:bCs/>
                <w:sz w:val="21"/>
                <w:szCs w:val="21"/>
              </w:rPr>
              <w:t>Recommendation</w:t>
            </w:r>
          </w:p>
        </w:tc>
        <w:tc>
          <w:tcPr>
            <w:tcW w:w="575" w:type="pct"/>
            <w:shd w:val="clear" w:color="auto" w:fill="D9D9D9" w:themeFill="background1" w:themeFillShade="D9"/>
            <w:vAlign w:val="center"/>
          </w:tcPr>
          <w:p w14:paraId="4495CEF6" w14:textId="77777777" w:rsidR="00D5136E" w:rsidRPr="00E52C22" w:rsidRDefault="00D5136E" w:rsidP="005B092D">
            <w:pPr>
              <w:widowControl w:val="0"/>
              <w:suppressAutoHyphens w:val="0"/>
              <w:rPr>
                <w:rFonts w:cstheme="minorHAnsi"/>
                <w:b/>
                <w:bCs/>
                <w:sz w:val="21"/>
                <w:szCs w:val="21"/>
              </w:rPr>
            </w:pPr>
            <w:r w:rsidRPr="00E52C22">
              <w:rPr>
                <w:rFonts w:cstheme="minorHAnsi"/>
                <w:b/>
                <w:bCs/>
                <w:sz w:val="21"/>
                <w:szCs w:val="21"/>
              </w:rPr>
              <w:t>Response</w:t>
            </w:r>
          </w:p>
        </w:tc>
        <w:tc>
          <w:tcPr>
            <w:tcW w:w="2052" w:type="pct"/>
            <w:shd w:val="clear" w:color="auto" w:fill="D9D9D9" w:themeFill="background1" w:themeFillShade="D9"/>
            <w:vAlign w:val="center"/>
          </w:tcPr>
          <w:p w14:paraId="42318377" w14:textId="77777777" w:rsidR="00D5136E" w:rsidRPr="00E52C22" w:rsidRDefault="00D5136E" w:rsidP="005B092D">
            <w:pPr>
              <w:widowControl w:val="0"/>
              <w:suppressAutoHyphens w:val="0"/>
              <w:rPr>
                <w:rFonts w:cstheme="minorHAnsi"/>
                <w:b/>
                <w:bCs/>
                <w:sz w:val="21"/>
                <w:szCs w:val="21"/>
              </w:rPr>
            </w:pPr>
            <w:r w:rsidRPr="00E52C22">
              <w:rPr>
                <w:rFonts w:cstheme="minorHAnsi"/>
                <w:b/>
                <w:bCs/>
                <w:sz w:val="21"/>
                <w:szCs w:val="21"/>
              </w:rPr>
              <w:t>Action</w:t>
            </w:r>
          </w:p>
        </w:tc>
        <w:tc>
          <w:tcPr>
            <w:tcW w:w="715" w:type="pct"/>
            <w:shd w:val="clear" w:color="auto" w:fill="D9D9D9" w:themeFill="background1" w:themeFillShade="D9"/>
            <w:vAlign w:val="center"/>
          </w:tcPr>
          <w:p w14:paraId="7D07B14D" w14:textId="77777777" w:rsidR="00D5136E" w:rsidRPr="00E52C22" w:rsidRDefault="00D5136E" w:rsidP="005B092D">
            <w:pPr>
              <w:widowControl w:val="0"/>
              <w:suppressAutoHyphens w:val="0"/>
              <w:rPr>
                <w:rFonts w:cstheme="minorHAnsi"/>
                <w:b/>
                <w:bCs/>
                <w:sz w:val="21"/>
                <w:szCs w:val="21"/>
              </w:rPr>
            </w:pPr>
            <w:r w:rsidRPr="00E52C22">
              <w:rPr>
                <w:rFonts w:cstheme="minorHAnsi"/>
                <w:b/>
                <w:bCs/>
                <w:sz w:val="21"/>
                <w:szCs w:val="21"/>
              </w:rPr>
              <w:t>Timeframe</w:t>
            </w:r>
          </w:p>
        </w:tc>
      </w:tr>
      <w:tr w:rsidR="00E52C22" w:rsidRPr="00E52C22" w14:paraId="44FB36A4" w14:textId="77777777" w:rsidTr="00673397">
        <w:trPr>
          <w:trHeight w:val="2471"/>
        </w:trPr>
        <w:tc>
          <w:tcPr>
            <w:tcW w:w="1658" w:type="pct"/>
            <w:vAlign w:val="center"/>
          </w:tcPr>
          <w:p w14:paraId="0964AB48" w14:textId="77777777" w:rsidR="00D5136E" w:rsidRPr="00E52C22" w:rsidRDefault="00D5136E" w:rsidP="005B092D">
            <w:pPr>
              <w:pStyle w:val="Heading4"/>
              <w:keepNext w:val="0"/>
              <w:keepLines w:val="0"/>
              <w:widowControl w:val="0"/>
              <w:suppressAutoHyphens w:val="0"/>
              <w:outlineLvl w:val="3"/>
              <w:rPr>
                <w:rFonts w:asciiTheme="minorHAnsi" w:hAnsiTheme="minorHAnsi" w:cstheme="minorHAnsi"/>
                <w:b/>
                <w:bCs w:val="0"/>
                <w:i/>
                <w:iCs w:val="0"/>
                <w:sz w:val="21"/>
                <w:szCs w:val="21"/>
              </w:rPr>
            </w:pPr>
            <w:r w:rsidRPr="00E52C22">
              <w:rPr>
                <w:rFonts w:asciiTheme="minorHAnsi" w:hAnsiTheme="minorHAnsi" w:cstheme="minorHAnsi"/>
                <w:b/>
                <w:iCs w:val="0"/>
                <w:sz w:val="21"/>
                <w:szCs w:val="21"/>
              </w:rPr>
              <w:t>Recommendation 10</w:t>
            </w:r>
          </w:p>
          <w:p w14:paraId="35BE6D73" w14:textId="56CADF16" w:rsidR="00D5136E" w:rsidRPr="00E52C22" w:rsidRDefault="00D5136E" w:rsidP="005B092D">
            <w:pPr>
              <w:widowControl w:val="0"/>
              <w:suppressAutoHyphens w:val="0"/>
              <w:rPr>
                <w:rFonts w:cstheme="minorHAnsi"/>
                <w:sz w:val="21"/>
                <w:szCs w:val="21"/>
              </w:rPr>
            </w:pPr>
            <w:r w:rsidRPr="00E52C22">
              <w:rPr>
                <w:rFonts w:cstheme="minorHAnsi"/>
                <w:sz w:val="21"/>
                <w:szCs w:val="21"/>
              </w:rPr>
              <w:t>The AHPSU to identify a process to capture relevant program learning and together with AHP partners, ensure this is communicated</w:t>
            </w:r>
            <w:r w:rsidRPr="00E52C22">
              <w:rPr>
                <w:rFonts w:cstheme="minorHAnsi"/>
                <w:b/>
                <w:bCs/>
                <w:sz w:val="21"/>
                <w:szCs w:val="21"/>
              </w:rPr>
              <w:t xml:space="preserve"> </w:t>
            </w:r>
            <w:r w:rsidRPr="00E52C22">
              <w:rPr>
                <w:rFonts w:cstheme="minorHAnsi"/>
                <w:sz w:val="21"/>
                <w:szCs w:val="21"/>
              </w:rPr>
              <w:t>regularly through the existing program and other learning forums.</w:t>
            </w:r>
          </w:p>
        </w:tc>
        <w:tc>
          <w:tcPr>
            <w:tcW w:w="575" w:type="pct"/>
            <w:vAlign w:val="center"/>
          </w:tcPr>
          <w:p w14:paraId="657997B0" w14:textId="77777777" w:rsidR="00D5136E" w:rsidRPr="00E52C22" w:rsidRDefault="00D5136E" w:rsidP="005B092D">
            <w:pPr>
              <w:pStyle w:val="Heading4"/>
              <w:keepNext w:val="0"/>
              <w:keepLines w:val="0"/>
              <w:widowControl w:val="0"/>
              <w:suppressAutoHyphens w:val="0"/>
              <w:outlineLvl w:val="3"/>
              <w:rPr>
                <w:rFonts w:asciiTheme="minorHAnsi" w:hAnsiTheme="minorHAnsi" w:cstheme="minorHAnsi"/>
                <w:i/>
                <w:iCs w:val="0"/>
                <w:sz w:val="21"/>
                <w:szCs w:val="21"/>
              </w:rPr>
            </w:pPr>
            <w:r w:rsidRPr="00E52C22">
              <w:rPr>
                <w:rFonts w:asciiTheme="minorHAnsi" w:hAnsiTheme="minorHAnsi" w:cstheme="minorHAnsi"/>
                <w:iCs w:val="0"/>
                <w:sz w:val="21"/>
                <w:szCs w:val="21"/>
              </w:rPr>
              <w:t>Agree</w:t>
            </w:r>
          </w:p>
        </w:tc>
        <w:tc>
          <w:tcPr>
            <w:tcW w:w="2052" w:type="pct"/>
            <w:vAlign w:val="center"/>
          </w:tcPr>
          <w:p w14:paraId="04BD1CA6" w14:textId="77777777" w:rsidR="00D5136E" w:rsidRPr="00E52C22" w:rsidRDefault="00D5136E" w:rsidP="00E52C22">
            <w:pPr>
              <w:widowControl w:val="0"/>
              <w:suppressAutoHyphens w:val="0"/>
              <w:rPr>
                <w:rFonts w:cstheme="minorHAnsi"/>
                <w:i/>
                <w:iCs/>
                <w:sz w:val="21"/>
                <w:szCs w:val="21"/>
              </w:rPr>
            </w:pPr>
            <w:r w:rsidRPr="00E52C22">
              <w:rPr>
                <w:rFonts w:eastAsiaTheme="majorEastAsia" w:cstheme="minorHAnsi"/>
                <w:bCs/>
                <w:sz w:val="21"/>
                <w:szCs w:val="21"/>
              </w:rPr>
              <w:t>Recommendation</w:t>
            </w:r>
            <w:r w:rsidRPr="00E52C22">
              <w:rPr>
                <w:rFonts w:cstheme="minorHAnsi"/>
                <w:iCs/>
                <w:sz w:val="21"/>
                <w:szCs w:val="21"/>
              </w:rPr>
              <w:t xml:space="preserve"> 10 to be addressed through the AHP Phase II and Disaster READY Phase II design refresh. </w:t>
            </w:r>
          </w:p>
        </w:tc>
        <w:tc>
          <w:tcPr>
            <w:tcW w:w="715" w:type="pct"/>
            <w:vAlign w:val="center"/>
          </w:tcPr>
          <w:p w14:paraId="1802F95B" w14:textId="77777777" w:rsidR="00D5136E" w:rsidRPr="00E52C22" w:rsidRDefault="00D5136E" w:rsidP="005B092D">
            <w:pPr>
              <w:widowControl w:val="0"/>
              <w:suppressAutoHyphens w:val="0"/>
              <w:rPr>
                <w:rFonts w:cstheme="minorHAnsi"/>
                <w:sz w:val="21"/>
                <w:szCs w:val="21"/>
              </w:rPr>
            </w:pPr>
            <w:r w:rsidRPr="00E52C22">
              <w:rPr>
                <w:rFonts w:cstheme="minorHAnsi"/>
                <w:sz w:val="21"/>
                <w:szCs w:val="21"/>
              </w:rPr>
              <w:t>June 2021 – June 2022</w:t>
            </w:r>
          </w:p>
        </w:tc>
      </w:tr>
    </w:tbl>
    <w:p w14:paraId="324E39DB" w14:textId="3FDD2E73" w:rsidR="00025457" w:rsidRPr="005B092D" w:rsidRDefault="00025457" w:rsidP="005B092D">
      <w:pPr>
        <w:rPr>
          <w:b/>
          <w:bCs/>
          <w:caps/>
          <w:sz w:val="24"/>
          <w:szCs w:val="24"/>
        </w:rPr>
      </w:pPr>
      <w:r w:rsidRPr="005B092D">
        <w:rPr>
          <w:rFonts w:cstheme="minorHAnsi"/>
          <w:b/>
          <w:bCs/>
          <w:sz w:val="24"/>
          <w:szCs w:val="24"/>
        </w:rPr>
        <w:t>Future considerations beyond AHP</w:t>
      </w:r>
    </w:p>
    <w:tbl>
      <w:tblPr>
        <w:tblStyle w:val="TableGrid"/>
        <w:tblW w:w="5003" w:type="pct"/>
        <w:tblInd w:w="-5" w:type="dxa"/>
        <w:tblLook w:val="04A0" w:firstRow="1" w:lastRow="0" w:firstColumn="1" w:lastColumn="0" w:noHBand="0" w:noVBand="1"/>
      </w:tblPr>
      <w:tblGrid>
        <w:gridCol w:w="5226"/>
        <w:gridCol w:w="2656"/>
        <w:gridCol w:w="1139"/>
      </w:tblGrid>
      <w:tr w:rsidR="00673397" w:rsidRPr="00673397" w14:paraId="0CEC289C" w14:textId="77777777" w:rsidTr="00D5136E">
        <w:trPr>
          <w:trHeight w:val="256"/>
        </w:trPr>
        <w:tc>
          <w:tcPr>
            <w:tcW w:w="2897" w:type="pct"/>
            <w:shd w:val="clear" w:color="auto" w:fill="D9D9D9" w:themeFill="background1" w:themeFillShade="D9"/>
          </w:tcPr>
          <w:p w14:paraId="42075BC9" w14:textId="77777777" w:rsidR="00D5136E" w:rsidRPr="00673397" w:rsidRDefault="00D5136E" w:rsidP="005B092D">
            <w:pPr>
              <w:pStyle w:val="Default"/>
              <w:widowControl w:val="0"/>
              <w:rPr>
                <w:rFonts w:asciiTheme="minorHAnsi" w:hAnsiTheme="minorHAnsi" w:cstheme="minorHAnsi"/>
                <w:b/>
                <w:color w:val="495965" w:themeColor="text2"/>
                <w:sz w:val="21"/>
                <w:szCs w:val="21"/>
              </w:rPr>
            </w:pPr>
            <w:r w:rsidRPr="00673397">
              <w:rPr>
                <w:rFonts w:asciiTheme="minorHAnsi" w:hAnsiTheme="minorHAnsi" w:cstheme="minorHAnsi"/>
                <w:b/>
                <w:color w:val="495965" w:themeColor="text2"/>
                <w:sz w:val="21"/>
                <w:szCs w:val="21"/>
              </w:rPr>
              <w:t>AHP as a whole</w:t>
            </w:r>
          </w:p>
        </w:tc>
        <w:tc>
          <w:tcPr>
            <w:tcW w:w="1472" w:type="pct"/>
            <w:shd w:val="clear" w:color="auto" w:fill="D9D9D9" w:themeFill="background1" w:themeFillShade="D9"/>
          </w:tcPr>
          <w:p w14:paraId="00002967" w14:textId="0D584871" w:rsidR="00D5136E" w:rsidRPr="00673397" w:rsidRDefault="00D5136E" w:rsidP="005B092D">
            <w:pPr>
              <w:pStyle w:val="Default"/>
              <w:widowControl w:val="0"/>
              <w:rPr>
                <w:rFonts w:asciiTheme="minorHAnsi" w:hAnsiTheme="minorHAnsi" w:cstheme="minorHAnsi"/>
                <w:b/>
                <w:color w:val="495965" w:themeColor="text2"/>
                <w:sz w:val="21"/>
                <w:szCs w:val="21"/>
              </w:rPr>
            </w:pPr>
            <w:r w:rsidRPr="00673397">
              <w:rPr>
                <w:rFonts w:asciiTheme="minorHAnsi" w:hAnsiTheme="minorHAnsi" w:cstheme="minorHAnsi"/>
                <w:b/>
                <w:color w:val="495965" w:themeColor="text2"/>
                <w:sz w:val="21"/>
                <w:szCs w:val="21"/>
              </w:rPr>
              <w:t>Action</w:t>
            </w:r>
          </w:p>
        </w:tc>
        <w:tc>
          <w:tcPr>
            <w:tcW w:w="631" w:type="pct"/>
            <w:shd w:val="clear" w:color="auto" w:fill="D9D9D9" w:themeFill="background1" w:themeFillShade="D9"/>
          </w:tcPr>
          <w:p w14:paraId="786D1C86" w14:textId="59BD9C3B" w:rsidR="00D5136E" w:rsidRPr="00673397" w:rsidRDefault="00D5136E" w:rsidP="005B092D">
            <w:pPr>
              <w:pStyle w:val="Default"/>
              <w:widowControl w:val="0"/>
              <w:rPr>
                <w:rFonts w:asciiTheme="minorHAnsi" w:hAnsiTheme="minorHAnsi" w:cstheme="minorHAnsi"/>
                <w:b/>
                <w:color w:val="495965" w:themeColor="text2"/>
                <w:sz w:val="21"/>
                <w:szCs w:val="21"/>
              </w:rPr>
            </w:pPr>
            <w:r w:rsidRPr="00673397">
              <w:rPr>
                <w:rFonts w:asciiTheme="minorHAnsi" w:hAnsiTheme="minorHAnsi" w:cstheme="minorHAnsi"/>
                <w:b/>
                <w:color w:val="495965" w:themeColor="text2"/>
                <w:sz w:val="21"/>
                <w:szCs w:val="21"/>
              </w:rPr>
              <w:t>Timeframe</w:t>
            </w:r>
          </w:p>
        </w:tc>
      </w:tr>
      <w:tr w:rsidR="00673397" w:rsidRPr="00673397" w14:paraId="184BF1DB" w14:textId="77777777" w:rsidTr="00D5136E">
        <w:trPr>
          <w:trHeight w:val="803"/>
        </w:trPr>
        <w:tc>
          <w:tcPr>
            <w:tcW w:w="2897" w:type="pct"/>
          </w:tcPr>
          <w:p w14:paraId="5ADE99C0" w14:textId="77777777" w:rsidR="00025457" w:rsidRPr="00673397" w:rsidRDefault="00025457" w:rsidP="005B092D">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t>In any future phase of AHP, consider the inclusion of a mechanism that regularly reviews program innovations and relevant new policy or practice ideas, and identifies the implications for the program, as part of ongoing program adaptation and improvement.</w:t>
            </w:r>
          </w:p>
        </w:tc>
        <w:tc>
          <w:tcPr>
            <w:tcW w:w="1472" w:type="pct"/>
          </w:tcPr>
          <w:p w14:paraId="28BD339E" w14:textId="77777777" w:rsidR="00025457" w:rsidRPr="00673397" w:rsidRDefault="00025457" w:rsidP="005B092D">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t>For consideration and implementation as part of the design refresh for AHP Phase II.</w:t>
            </w:r>
          </w:p>
        </w:tc>
        <w:tc>
          <w:tcPr>
            <w:tcW w:w="631" w:type="pct"/>
          </w:tcPr>
          <w:p w14:paraId="7D71F835" w14:textId="77777777" w:rsidR="00025457" w:rsidRPr="00673397" w:rsidRDefault="00025457" w:rsidP="005B092D">
            <w:pPr>
              <w:widowControl w:val="0"/>
              <w:suppressAutoHyphens w:val="0"/>
              <w:rPr>
                <w:rFonts w:cstheme="minorHAnsi"/>
                <w:sz w:val="21"/>
                <w:szCs w:val="21"/>
              </w:rPr>
            </w:pPr>
            <w:r w:rsidRPr="00673397">
              <w:rPr>
                <w:rFonts w:cstheme="minorHAnsi"/>
                <w:sz w:val="21"/>
                <w:szCs w:val="21"/>
              </w:rPr>
              <w:t>June 2021 – October 2021</w:t>
            </w:r>
          </w:p>
        </w:tc>
      </w:tr>
      <w:tr w:rsidR="00673397" w:rsidRPr="00673397" w14:paraId="332A0F2E" w14:textId="77777777" w:rsidTr="00D5136E">
        <w:trPr>
          <w:trHeight w:val="241"/>
        </w:trPr>
        <w:tc>
          <w:tcPr>
            <w:tcW w:w="2897" w:type="pct"/>
            <w:shd w:val="clear" w:color="auto" w:fill="D9D9D9" w:themeFill="background1" w:themeFillShade="D9"/>
          </w:tcPr>
          <w:p w14:paraId="253BF20D" w14:textId="77777777" w:rsidR="00D5136E" w:rsidRPr="00673397" w:rsidRDefault="00D5136E" w:rsidP="00D5136E">
            <w:pPr>
              <w:pStyle w:val="Default"/>
              <w:widowControl w:val="0"/>
              <w:rPr>
                <w:rFonts w:asciiTheme="minorHAnsi" w:hAnsiTheme="minorHAnsi" w:cstheme="minorHAnsi"/>
                <w:b/>
                <w:color w:val="495965" w:themeColor="text2"/>
                <w:sz w:val="21"/>
                <w:szCs w:val="21"/>
              </w:rPr>
            </w:pPr>
            <w:r w:rsidRPr="00673397">
              <w:rPr>
                <w:rFonts w:asciiTheme="minorHAnsi" w:hAnsiTheme="minorHAnsi" w:cstheme="minorHAnsi"/>
                <w:b/>
                <w:color w:val="495965" w:themeColor="text2"/>
                <w:sz w:val="21"/>
                <w:szCs w:val="21"/>
              </w:rPr>
              <w:t>Disaster READY specific</w:t>
            </w:r>
          </w:p>
        </w:tc>
        <w:tc>
          <w:tcPr>
            <w:tcW w:w="1472" w:type="pct"/>
            <w:shd w:val="clear" w:color="auto" w:fill="D9D9D9" w:themeFill="background1" w:themeFillShade="D9"/>
          </w:tcPr>
          <w:p w14:paraId="07C1B4EB" w14:textId="1EBA2FB2" w:rsidR="00D5136E" w:rsidRPr="00673397" w:rsidRDefault="00D5136E" w:rsidP="00D5136E">
            <w:pPr>
              <w:pStyle w:val="Default"/>
              <w:widowControl w:val="0"/>
              <w:rPr>
                <w:rFonts w:asciiTheme="minorHAnsi" w:hAnsiTheme="minorHAnsi" w:cstheme="minorHAnsi"/>
                <w:b/>
                <w:color w:val="495965" w:themeColor="text2"/>
                <w:sz w:val="21"/>
                <w:szCs w:val="21"/>
              </w:rPr>
            </w:pPr>
            <w:r w:rsidRPr="00673397">
              <w:rPr>
                <w:rFonts w:asciiTheme="minorHAnsi" w:hAnsiTheme="minorHAnsi" w:cstheme="minorHAnsi"/>
                <w:b/>
                <w:color w:val="495965" w:themeColor="text2"/>
                <w:sz w:val="21"/>
                <w:szCs w:val="21"/>
              </w:rPr>
              <w:t>Action</w:t>
            </w:r>
          </w:p>
        </w:tc>
        <w:tc>
          <w:tcPr>
            <w:tcW w:w="631" w:type="pct"/>
            <w:shd w:val="clear" w:color="auto" w:fill="D9D9D9" w:themeFill="background1" w:themeFillShade="D9"/>
          </w:tcPr>
          <w:p w14:paraId="348A27EA" w14:textId="67C47769" w:rsidR="00D5136E" w:rsidRPr="00673397" w:rsidRDefault="00D5136E" w:rsidP="00D5136E">
            <w:pPr>
              <w:pStyle w:val="Default"/>
              <w:widowControl w:val="0"/>
              <w:rPr>
                <w:rFonts w:asciiTheme="minorHAnsi" w:hAnsiTheme="minorHAnsi" w:cstheme="minorHAnsi"/>
                <w:b/>
                <w:color w:val="495965" w:themeColor="text2"/>
                <w:sz w:val="21"/>
                <w:szCs w:val="21"/>
              </w:rPr>
            </w:pPr>
            <w:r w:rsidRPr="00673397">
              <w:rPr>
                <w:rFonts w:asciiTheme="minorHAnsi" w:hAnsiTheme="minorHAnsi" w:cstheme="minorHAnsi"/>
                <w:b/>
                <w:color w:val="495965" w:themeColor="text2"/>
                <w:sz w:val="21"/>
                <w:szCs w:val="21"/>
              </w:rPr>
              <w:t>Timeframe</w:t>
            </w:r>
          </w:p>
        </w:tc>
      </w:tr>
      <w:tr w:rsidR="00673397" w:rsidRPr="00673397" w14:paraId="062F9405" w14:textId="77777777" w:rsidTr="00D5136E">
        <w:trPr>
          <w:trHeight w:val="770"/>
        </w:trPr>
        <w:tc>
          <w:tcPr>
            <w:tcW w:w="2897" w:type="pct"/>
          </w:tcPr>
          <w:p w14:paraId="6F952303" w14:textId="77777777" w:rsidR="00D5136E" w:rsidRPr="00673397" w:rsidRDefault="00D5136E" w:rsidP="00D5136E">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t>Any future phases of Disaster READY should limit the number of program objectives in order to ensure one clear overall purpose for the program.</w:t>
            </w:r>
          </w:p>
        </w:tc>
        <w:tc>
          <w:tcPr>
            <w:tcW w:w="1472" w:type="pct"/>
          </w:tcPr>
          <w:p w14:paraId="476D18FC" w14:textId="77777777" w:rsidR="00D5136E" w:rsidRPr="00673397" w:rsidRDefault="00D5136E" w:rsidP="00D5136E">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t>For consideration and implementation as part of the design refresh for Disaster READY Phase II.</w:t>
            </w:r>
          </w:p>
        </w:tc>
        <w:tc>
          <w:tcPr>
            <w:tcW w:w="631" w:type="pct"/>
          </w:tcPr>
          <w:p w14:paraId="3F644ECB" w14:textId="77777777" w:rsidR="00D5136E" w:rsidRPr="00673397" w:rsidRDefault="00D5136E" w:rsidP="00D5136E">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t>June 2021 – June 2022</w:t>
            </w:r>
          </w:p>
        </w:tc>
      </w:tr>
      <w:tr w:rsidR="00673397" w:rsidRPr="00673397" w14:paraId="0516B5E5" w14:textId="77777777" w:rsidTr="00D5136E">
        <w:trPr>
          <w:trHeight w:val="1027"/>
        </w:trPr>
        <w:tc>
          <w:tcPr>
            <w:tcW w:w="2897" w:type="pct"/>
          </w:tcPr>
          <w:p w14:paraId="6A4E4839" w14:textId="77777777" w:rsidR="00D5136E" w:rsidRPr="00673397" w:rsidRDefault="00D5136E" w:rsidP="00D5136E">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t>Sustainability, specifically including pathways towards localisation, ought to be a major consideration for any future phases of Disaster READY.</w:t>
            </w:r>
          </w:p>
        </w:tc>
        <w:tc>
          <w:tcPr>
            <w:tcW w:w="1472" w:type="pct"/>
          </w:tcPr>
          <w:p w14:paraId="5835ACB0" w14:textId="77777777" w:rsidR="00D5136E" w:rsidRPr="00673397" w:rsidRDefault="00D5136E" w:rsidP="00D5136E">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t>For consideration and implementation as part of the design refresh for Disaster READY Phase II.</w:t>
            </w:r>
          </w:p>
        </w:tc>
        <w:tc>
          <w:tcPr>
            <w:tcW w:w="631" w:type="pct"/>
          </w:tcPr>
          <w:p w14:paraId="1E2ED10E" w14:textId="77777777" w:rsidR="00D5136E" w:rsidRPr="00673397" w:rsidRDefault="00D5136E" w:rsidP="00D5136E">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t>June 2021 – June 2022</w:t>
            </w:r>
          </w:p>
        </w:tc>
      </w:tr>
      <w:tr w:rsidR="00673397" w:rsidRPr="00673397" w14:paraId="21C1842F" w14:textId="77777777" w:rsidTr="00D5136E">
        <w:trPr>
          <w:trHeight w:val="1027"/>
        </w:trPr>
        <w:tc>
          <w:tcPr>
            <w:tcW w:w="2897" w:type="pct"/>
          </w:tcPr>
          <w:p w14:paraId="534CC152" w14:textId="77777777" w:rsidR="00D5136E" w:rsidRPr="00673397" w:rsidRDefault="00D5136E" w:rsidP="00D5136E">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t>Activities under any future phase of Disaster READY ought to be framed within an understanding of resilience relevant to the country and regional context.</w:t>
            </w:r>
          </w:p>
        </w:tc>
        <w:tc>
          <w:tcPr>
            <w:tcW w:w="1472" w:type="pct"/>
          </w:tcPr>
          <w:p w14:paraId="42A14A4B" w14:textId="77777777" w:rsidR="00D5136E" w:rsidRPr="00673397" w:rsidRDefault="00D5136E" w:rsidP="00D5136E">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t>For consideration and implementation as part of the design refresh for Disaster READY Phase II.</w:t>
            </w:r>
          </w:p>
        </w:tc>
        <w:tc>
          <w:tcPr>
            <w:tcW w:w="631" w:type="pct"/>
          </w:tcPr>
          <w:p w14:paraId="40AC017A" w14:textId="77777777" w:rsidR="00D5136E" w:rsidRPr="00673397" w:rsidRDefault="00D5136E" w:rsidP="00D5136E">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t>June 2021 – June 2022</w:t>
            </w:r>
          </w:p>
        </w:tc>
      </w:tr>
      <w:tr w:rsidR="00673397" w:rsidRPr="00673397" w14:paraId="172EFBE5" w14:textId="77777777" w:rsidTr="00D5136E">
        <w:trPr>
          <w:trHeight w:val="1027"/>
        </w:trPr>
        <w:tc>
          <w:tcPr>
            <w:tcW w:w="2897" w:type="pct"/>
          </w:tcPr>
          <w:p w14:paraId="17F8B0E8" w14:textId="77777777" w:rsidR="00D5136E" w:rsidRPr="00673397" w:rsidRDefault="00D5136E" w:rsidP="00D5136E">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t>Any future phase of Disaster READY, should shift to a country focus, while retaining opportunity for regional exchange, learning and cooperation. That is, the program should become a multi country program.</w:t>
            </w:r>
          </w:p>
        </w:tc>
        <w:tc>
          <w:tcPr>
            <w:tcW w:w="1472" w:type="pct"/>
          </w:tcPr>
          <w:p w14:paraId="3AA75FBE" w14:textId="77777777" w:rsidR="00D5136E" w:rsidRPr="00673397" w:rsidRDefault="00D5136E" w:rsidP="00D5136E">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t>For consideration and implementation as part of the design refresh for Disaster READY Phase II.</w:t>
            </w:r>
          </w:p>
        </w:tc>
        <w:tc>
          <w:tcPr>
            <w:tcW w:w="631" w:type="pct"/>
          </w:tcPr>
          <w:p w14:paraId="4210BCFD" w14:textId="77777777" w:rsidR="00D5136E" w:rsidRPr="00673397" w:rsidRDefault="00D5136E" w:rsidP="00D5136E">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t>June 2021 – June 2022</w:t>
            </w:r>
          </w:p>
        </w:tc>
      </w:tr>
      <w:tr w:rsidR="00673397" w:rsidRPr="00673397" w14:paraId="7897852A" w14:textId="77777777" w:rsidTr="00D5136E">
        <w:trPr>
          <w:trHeight w:val="1797"/>
        </w:trPr>
        <w:tc>
          <w:tcPr>
            <w:tcW w:w="2897" w:type="pct"/>
          </w:tcPr>
          <w:p w14:paraId="00824CB3" w14:textId="77777777" w:rsidR="00D5136E" w:rsidRPr="00673397" w:rsidRDefault="00D5136E" w:rsidP="00D5136E">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t>In line with the current Disaster READY rationale, any future phase of the program should consider expansion to countries in the Pacific and beyond that are highly disaster prone. In the Pacific this would likely include Tonga (the remaining Pacific country among the world's most 15 disaster prone countries) and the small island states of Kiribati, Tuvalu and Nauru (all countries at particular risk of impact by disasters due to the growing influence of climate change).</w:t>
            </w:r>
          </w:p>
        </w:tc>
        <w:tc>
          <w:tcPr>
            <w:tcW w:w="1472" w:type="pct"/>
          </w:tcPr>
          <w:p w14:paraId="21C50D9A" w14:textId="77777777" w:rsidR="00D5136E" w:rsidRPr="00673397" w:rsidRDefault="00D5136E" w:rsidP="00D5136E">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t>For consideration and implementation as part of the design refresh for Disaster READY Phase II.</w:t>
            </w:r>
          </w:p>
        </w:tc>
        <w:tc>
          <w:tcPr>
            <w:tcW w:w="631" w:type="pct"/>
          </w:tcPr>
          <w:p w14:paraId="1FA7849F" w14:textId="77777777" w:rsidR="00D5136E" w:rsidRPr="00673397" w:rsidRDefault="00D5136E" w:rsidP="00D5136E">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t>June 2021 – June 2022</w:t>
            </w:r>
          </w:p>
        </w:tc>
      </w:tr>
      <w:tr w:rsidR="00673397" w:rsidRPr="00673397" w14:paraId="585E8DBA" w14:textId="77777777" w:rsidTr="00D5136E">
        <w:trPr>
          <w:trHeight w:val="1027"/>
        </w:trPr>
        <w:tc>
          <w:tcPr>
            <w:tcW w:w="2897" w:type="pct"/>
          </w:tcPr>
          <w:p w14:paraId="67DC83B2" w14:textId="77777777" w:rsidR="00D5136E" w:rsidRPr="00673397" w:rsidRDefault="00D5136E" w:rsidP="00D5136E">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lastRenderedPageBreak/>
              <w:t>Any future phase of Disaster READY should consider inclusion of monitoring systems that provide information about the value of different consortium models in relation to program implementation and outcomes.</w:t>
            </w:r>
          </w:p>
        </w:tc>
        <w:tc>
          <w:tcPr>
            <w:tcW w:w="1472" w:type="pct"/>
          </w:tcPr>
          <w:p w14:paraId="11B52766" w14:textId="77777777" w:rsidR="00D5136E" w:rsidRPr="00673397" w:rsidRDefault="00D5136E" w:rsidP="00D5136E">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t>For consideration and implementation as part of the design refresh for Disaster READY Phase II.</w:t>
            </w:r>
          </w:p>
        </w:tc>
        <w:tc>
          <w:tcPr>
            <w:tcW w:w="631" w:type="pct"/>
          </w:tcPr>
          <w:p w14:paraId="6DB51E76" w14:textId="77777777" w:rsidR="00D5136E" w:rsidRPr="00673397" w:rsidRDefault="00D5136E" w:rsidP="00D5136E">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t>June 2021 – June 2022</w:t>
            </w:r>
          </w:p>
        </w:tc>
      </w:tr>
      <w:tr w:rsidR="00673397" w:rsidRPr="00673397" w14:paraId="28801E70" w14:textId="77777777" w:rsidTr="00D5136E">
        <w:trPr>
          <w:trHeight w:val="1283"/>
        </w:trPr>
        <w:tc>
          <w:tcPr>
            <w:tcW w:w="2897" w:type="pct"/>
          </w:tcPr>
          <w:p w14:paraId="3E6FF1F6" w14:textId="77777777" w:rsidR="00D5136E" w:rsidRPr="00673397" w:rsidRDefault="00D5136E" w:rsidP="00D5136E">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t>Any future phases of Disaster READY should require a costed and time bound plan for achieving localisation as part of the selection criteria for participating Australian NGOs. The new phase should require that the selected NGOs to report against this plan throughout the life of the program.</w:t>
            </w:r>
          </w:p>
        </w:tc>
        <w:tc>
          <w:tcPr>
            <w:tcW w:w="1472" w:type="pct"/>
          </w:tcPr>
          <w:p w14:paraId="67A23897" w14:textId="77777777" w:rsidR="00D5136E" w:rsidRPr="00673397" w:rsidRDefault="00D5136E" w:rsidP="00D5136E">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t>For consideration and implementation as part of the design refresh for Disaster READY Phase II.</w:t>
            </w:r>
          </w:p>
        </w:tc>
        <w:tc>
          <w:tcPr>
            <w:tcW w:w="631" w:type="pct"/>
          </w:tcPr>
          <w:p w14:paraId="5561EAF8" w14:textId="77777777" w:rsidR="00D5136E" w:rsidRPr="00673397" w:rsidRDefault="00D5136E" w:rsidP="00D5136E">
            <w:pPr>
              <w:pStyle w:val="Default"/>
              <w:widowControl w:val="0"/>
              <w:rPr>
                <w:rFonts w:asciiTheme="minorHAnsi" w:hAnsiTheme="minorHAnsi" w:cstheme="minorHAnsi"/>
                <w:color w:val="495965" w:themeColor="text2"/>
                <w:sz w:val="21"/>
                <w:szCs w:val="21"/>
              </w:rPr>
            </w:pPr>
            <w:r w:rsidRPr="00673397">
              <w:rPr>
                <w:rFonts w:asciiTheme="minorHAnsi" w:hAnsiTheme="minorHAnsi" w:cstheme="minorHAnsi"/>
                <w:color w:val="495965" w:themeColor="text2"/>
                <w:sz w:val="21"/>
                <w:szCs w:val="21"/>
              </w:rPr>
              <w:t>June 2021 – June 2022</w:t>
            </w:r>
          </w:p>
        </w:tc>
      </w:tr>
    </w:tbl>
    <w:p w14:paraId="561C6935" w14:textId="77777777" w:rsidR="00025457" w:rsidRPr="00823BDF" w:rsidRDefault="00025457" w:rsidP="005B092D">
      <w:pPr>
        <w:widowControl w:val="0"/>
        <w:suppressAutoHyphens w:val="0"/>
      </w:pPr>
    </w:p>
    <w:p w14:paraId="0B083A5A" w14:textId="424E1195" w:rsidR="00025457" w:rsidRDefault="00025457" w:rsidP="00025457">
      <w:pPr>
        <w:rPr>
          <w:b/>
          <w:bCs/>
        </w:rPr>
      </w:pPr>
    </w:p>
    <w:p w14:paraId="48056130" w14:textId="77777777" w:rsidR="00025457" w:rsidRDefault="00025457" w:rsidP="00025457">
      <w:pPr>
        <w:rPr>
          <w:b/>
          <w:bCs/>
        </w:rPr>
      </w:pPr>
    </w:p>
    <w:p w14:paraId="3F6FAAAB" w14:textId="1C0D20B8" w:rsidR="00F11ADF" w:rsidRDefault="00F11ADF">
      <w:pPr>
        <w:suppressAutoHyphens w:val="0"/>
        <w:spacing w:before="0" w:after="120" w:line="440" w:lineRule="atLeast"/>
        <w:rPr>
          <w:b/>
          <w:bCs/>
        </w:rPr>
      </w:pPr>
      <w:r>
        <w:rPr>
          <w:b/>
          <w:bCs/>
        </w:rPr>
        <w:br w:type="page"/>
      </w:r>
    </w:p>
    <w:p w14:paraId="34572C1B" w14:textId="4399C631" w:rsidR="00774E68" w:rsidRPr="005B092D" w:rsidRDefault="00774E68" w:rsidP="00774E68">
      <w:pPr>
        <w:pStyle w:val="Heading1"/>
        <w:rPr>
          <w:b w:val="0"/>
          <w:bCs w:val="0"/>
        </w:rPr>
      </w:pPr>
      <w:bookmarkStart w:id="102" w:name="_Toc101521674"/>
      <w:r w:rsidRPr="005B092D">
        <w:rPr>
          <w:sz w:val="22"/>
          <w:szCs w:val="22"/>
        </w:rPr>
        <w:lastRenderedPageBreak/>
        <w:t xml:space="preserve">ANNEX </w:t>
      </w:r>
      <w:r w:rsidR="00A92894">
        <w:rPr>
          <w:sz w:val="22"/>
          <w:szCs w:val="22"/>
        </w:rPr>
        <w:t>7:</w:t>
      </w:r>
      <w:r w:rsidRPr="005B092D">
        <w:rPr>
          <w:sz w:val="22"/>
          <w:szCs w:val="22"/>
        </w:rPr>
        <w:t xml:space="preserve"> </w:t>
      </w:r>
      <w:r>
        <w:rPr>
          <w:sz w:val="22"/>
          <w:szCs w:val="22"/>
        </w:rPr>
        <w:t xml:space="preserve">AHPSU </w:t>
      </w:r>
      <w:r w:rsidR="00A66A7B">
        <w:rPr>
          <w:sz w:val="22"/>
          <w:szCs w:val="22"/>
        </w:rPr>
        <w:t xml:space="preserve">dRAFT </w:t>
      </w:r>
      <w:r>
        <w:rPr>
          <w:sz w:val="22"/>
          <w:szCs w:val="22"/>
        </w:rPr>
        <w:t>TORS</w:t>
      </w:r>
      <w:bookmarkEnd w:id="102"/>
      <w:r w:rsidRPr="005B092D">
        <w:rPr>
          <w:sz w:val="22"/>
          <w:szCs w:val="22"/>
        </w:rPr>
        <w:t xml:space="preserve"> </w:t>
      </w:r>
    </w:p>
    <w:p w14:paraId="1743D73C" w14:textId="715E71C6" w:rsidR="00417ADA" w:rsidRDefault="00A66A7B" w:rsidP="00E06BC1">
      <w:r>
        <w:t>The final TORs will be negotiated with the Contractor and approved by the relevant DFAT delegate.</w:t>
      </w:r>
    </w:p>
    <w:p w14:paraId="5D01D75D" w14:textId="77777777" w:rsidR="00E06BC1" w:rsidRPr="00F40015" w:rsidRDefault="00533537" w:rsidP="0011591E">
      <w:pPr>
        <w:pStyle w:val="ListParagraph"/>
        <w:numPr>
          <w:ilvl w:val="0"/>
          <w:numId w:val="44"/>
        </w:numPr>
        <w:spacing w:after="0" w:line="240" w:lineRule="auto"/>
        <w:contextualSpacing w:val="0"/>
        <w:rPr>
          <w:rFonts w:cstheme="minorHAnsi"/>
          <w:b/>
          <w:bCs/>
        </w:rPr>
      </w:pPr>
      <w:r w:rsidRPr="00F40015">
        <w:rPr>
          <w:rFonts w:cstheme="minorHAnsi"/>
          <w:b/>
          <w:bCs/>
        </w:rPr>
        <w:t>SERVICES</w:t>
      </w:r>
    </w:p>
    <w:p w14:paraId="4D26BAB8" w14:textId="1C394B13" w:rsidR="00533537" w:rsidRPr="00F40015" w:rsidRDefault="00533537" w:rsidP="0011591E">
      <w:pPr>
        <w:pStyle w:val="ListParagraph"/>
        <w:numPr>
          <w:ilvl w:val="1"/>
          <w:numId w:val="44"/>
        </w:numPr>
        <w:spacing w:after="0" w:line="240" w:lineRule="auto"/>
        <w:contextualSpacing w:val="0"/>
        <w:rPr>
          <w:rFonts w:cstheme="minorHAnsi"/>
          <w:b/>
          <w:bCs/>
        </w:rPr>
      </w:pPr>
      <w:r w:rsidRPr="00F40015">
        <w:rPr>
          <w:rFonts w:cstheme="minorHAnsi"/>
          <w:lang w:val="en-AU"/>
        </w:rPr>
        <w:t>The Contractor will deliver the following Services to deliver the AHPSU and support achievement of the AHP investment EOPOs.</w:t>
      </w:r>
      <w:r w:rsidR="00E06BC1" w:rsidRPr="00F40015">
        <w:rPr>
          <w:rFonts w:cstheme="minorHAnsi"/>
          <w:lang w:val="en-AU"/>
        </w:rPr>
        <w:t xml:space="preserve"> </w:t>
      </w:r>
    </w:p>
    <w:p w14:paraId="0CF77FCE" w14:textId="77777777" w:rsidR="00533537" w:rsidRPr="00F40015" w:rsidRDefault="00533537" w:rsidP="0011591E">
      <w:pPr>
        <w:pStyle w:val="ListParagraph"/>
        <w:numPr>
          <w:ilvl w:val="0"/>
          <w:numId w:val="44"/>
        </w:numPr>
        <w:spacing w:after="0" w:line="240" w:lineRule="auto"/>
        <w:contextualSpacing w:val="0"/>
        <w:rPr>
          <w:rFonts w:cstheme="minorHAnsi"/>
          <w:b/>
          <w:bCs/>
        </w:rPr>
      </w:pPr>
      <w:r w:rsidRPr="00F40015">
        <w:rPr>
          <w:rFonts w:cstheme="minorHAnsi"/>
          <w:b/>
          <w:bCs/>
        </w:rPr>
        <w:t>GENERAL SERVICES</w:t>
      </w:r>
    </w:p>
    <w:p w14:paraId="0DEEC666" w14:textId="77777777" w:rsidR="00533537" w:rsidRPr="00F40015" w:rsidRDefault="00533537" w:rsidP="0011591E">
      <w:pPr>
        <w:pStyle w:val="ListParagraph"/>
        <w:numPr>
          <w:ilvl w:val="1"/>
          <w:numId w:val="44"/>
        </w:numPr>
        <w:spacing w:after="0" w:line="240" w:lineRule="auto"/>
        <w:contextualSpacing w:val="0"/>
        <w:rPr>
          <w:rFonts w:cstheme="minorHAnsi"/>
          <w:lang w:val="en-AU"/>
        </w:rPr>
      </w:pPr>
      <w:r w:rsidRPr="00F40015">
        <w:rPr>
          <w:rFonts w:cstheme="minorHAnsi"/>
          <w:lang w:val="en-AU" w:eastAsia="en-AU"/>
        </w:rPr>
        <w:t xml:space="preserve">The Contractor will </w:t>
      </w:r>
      <w:r w:rsidRPr="00F40015">
        <w:rPr>
          <w:rFonts w:cstheme="minorHAnsi"/>
        </w:rPr>
        <w:t>facilitate</w:t>
      </w:r>
      <w:r w:rsidRPr="00F40015">
        <w:rPr>
          <w:rFonts w:cstheme="minorHAnsi"/>
          <w:lang w:val="en-AU" w:eastAsia="en-AU"/>
        </w:rPr>
        <w:t xml:space="preserve"> the partnership between DFAT, ANGOs and other AHP stakeholders through </w:t>
      </w:r>
      <w:r w:rsidRPr="00F40015">
        <w:rPr>
          <w:rFonts w:cstheme="minorHAnsi"/>
          <w:lang w:val="en-AU"/>
        </w:rPr>
        <w:t>development and maintenance of strong and enduring formal and informal working relationships with all parties.</w:t>
      </w:r>
    </w:p>
    <w:p w14:paraId="1C3E00A1" w14:textId="77777777" w:rsidR="00533537" w:rsidRPr="00F40015" w:rsidRDefault="00533537" w:rsidP="0011591E">
      <w:pPr>
        <w:pStyle w:val="ListParagraph"/>
        <w:numPr>
          <w:ilvl w:val="1"/>
          <w:numId w:val="44"/>
        </w:numPr>
        <w:spacing w:after="0" w:line="240" w:lineRule="auto"/>
        <w:contextualSpacing w:val="0"/>
        <w:rPr>
          <w:rFonts w:cstheme="minorHAnsi"/>
          <w:lang w:val="en-AU"/>
        </w:rPr>
      </w:pPr>
      <w:r w:rsidRPr="00F40015">
        <w:rPr>
          <w:rFonts w:cstheme="minorHAnsi"/>
          <w:lang w:val="en-AU"/>
        </w:rPr>
        <w:t xml:space="preserve">The Contractor will support DFAT to manage the AHP investment and promote </w:t>
      </w:r>
      <w:bookmarkStart w:id="103" w:name="_Hlk85039653"/>
      <w:r w:rsidRPr="00F40015">
        <w:rPr>
          <w:rFonts w:cstheme="minorHAnsi"/>
          <w:lang w:val="en-AU"/>
        </w:rPr>
        <w:t>continuous improvement by:</w:t>
      </w:r>
    </w:p>
    <w:p w14:paraId="11AAD2F5" w14:textId="7E85CD15" w:rsidR="00533537" w:rsidRPr="00F40015" w:rsidRDefault="00E26974"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f</w:t>
      </w:r>
      <w:r w:rsidR="00533537" w:rsidRPr="00F40015">
        <w:rPr>
          <w:rFonts w:cstheme="minorHAnsi"/>
          <w:lang w:val="en-AU"/>
        </w:rPr>
        <w:t>acilitating timely and accurate communication and information sharing between DFAT and ANGOs;</w:t>
      </w:r>
    </w:p>
    <w:p w14:paraId="616BAE26"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undertaking a technical review of ANGO reports, plans and strategies, including specifically for gender and disability inclusion to ensure compliance with DFAT quality standards, policies and guidelines, and for financial and budget issues; and</w:t>
      </w:r>
    </w:p>
    <w:p w14:paraId="7B04BF48"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proactively identifying and highlighting key implementation issues to DFAT along with recommendations and advice for continuous improvement and issue resolution, and implementing remedial actions as required.</w:t>
      </w:r>
    </w:p>
    <w:bookmarkEnd w:id="103"/>
    <w:p w14:paraId="002B1CA7" w14:textId="18B23BCE" w:rsidR="00533537" w:rsidRPr="00F40015" w:rsidRDefault="00533537" w:rsidP="0011591E">
      <w:pPr>
        <w:pStyle w:val="ListParagraph"/>
        <w:numPr>
          <w:ilvl w:val="1"/>
          <w:numId w:val="44"/>
        </w:numPr>
        <w:spacing w:after="0" w:line="240" w:lineRule="auto"/>
        <w:contextualSpacing w:val="0"/>
        <w:rPr>
          <w:rFonts w:cstheme="minorHAnsi"/>
          <w:lang w:val="en-AU" w:eastAsia="en-AU"/>
        </w:rPr>
      </w:pPr>
      <w:r w:rsidRPr="00F40015">
        <w:rPr>
          <w:rFonts w:cstheme="minorHAnsi"/>
          <w:lang w:val="en-AU"/>
        </w:rPr>
        <w:t>The</w:t>
      </w:r>
      <w:r w:rsidRPr="00F40015">
        <w:rPr>
          <w:rFonts w:cstheme="minorHAnsi"/>
          <w:lang w:val="en-AU" w:eastAsia="en-AU"/>
        </w:rPr>
        <w:t xml:space="preserve"> Contractor will provide secretariat functions for any and all AHP meetings as required including</w:t>
      </w:r>
      <w:r w:rsidR="00DD28A7" w:rsidRPr="00F40015">
        <w:rPr>
          <w:rFonts w:cstheme="minorHAnsi"/>
          <w:lang w:val="en-AU" w:eastAsia="en-AU"/>
        </w:rPr>
        <w:t xml:space="preserve"> a minimum of</w:t>
      </w:r>
      <w:r w:rsidRPr="00F40015">
        <w:rPr>
          <w:rFonts w:cstheme="minorHAnsi"/>
          <w:lang w:val="en-AU" w:eastAsia="en-AU"/>
        </w:rPr>
        <w:t xml:space="preserve"> two (2) AHP Steering Committee meetings per year between ANGOs and DFAT to discuss strategic and operational issues, provide updates on AHP activities, report on AHP activation reviews, and provide a forum for practical coordination, collaboration, information exchange and sharing of lessons.</w:t>
      </w:r>
    </w:p>
    <w:p w14:paraId="10F6F0F0" w14:textId="2481C32F" w:rsidR="00533537" w:rsidRPr="00F40015" w:rsidRDefault="00533537" w:rsidP="0011591E">
      <w:pPr>
        <w:pStyle w:val="ListParagraph"/>
        <w:numPr>
          <w:ilvl w:val="1"/>
          <w:numId w:val="44"/>
        </w:numPr>
        <w:spacing w:after="0" w:line="240" w:lineRule="auto"/>
        <w:contextualSpacing w:val="0"/>
        <w:rPr>
          <w:rFonts w:cstheme="minorHAnsi"/>
          <w:lang w:val="en-AU" w:eastAsia="en-AU"/>
        </w:rPr>
      </w:pPr>
      <w:r w:rsidRPr="00F40015">
        <w:rPr>
          <w:rFonts w:cstheme="minorHAnsi"/>
          <w:lang w:val="en-AU" w:eastAsia="en-AU"/>
        </w:rPr>
        <w:t>The Contractor will maintain an understanding of the humanitarian system and operating context as relates to the AHP and provide operational analysis to DFAT HPD as requested.</w:t>
      </w:r>
    </w:p>
    <w:p w14:paraId="6C85D87D" w14:textId="77777777" w:rsidR="00533537" w:rsidRPr="00F40015" w:rsidRDefault="00533537" w:rsidP="0011591E">
      <w:pPr>
        <w:pStyle w:val="ListParagraph"/>
        <w:numPr>
          <w:ilvl w:val="1"/>
          <w:numId w:val="44"/>
        </w:numPr>
        <w:spacing w:after="0" w:line="240" w:lineRule="auto"/>
        <w:contextualSpacing w:val="0"/>
        <w:rPr>
          <w:rFonts w:cstheme="minorHAnsi"/>
          <w:lang w:val="en-AU" w:eastAsia="en-AU"/>
        </w:rPr>
      </w:pPr>
      <w:r w:rsidRPr="00F40015">
        <w:rPr>
          <w:rFonts w:cstheme="minorHAnsi"/>
        </w:rPr>
        <w:t>The Contractor will deliver activities as approved in AHPSU Work Plans or as otherwise agreed with DFAT in writing to support the achievement of AHP end of program outcomes as detailed in Clause 4, on time, within budget and structured to meet reporting requirements.</w:t>
      </w:r>
      <w:r w:rsidRPr="00F40015">
        <w:rPr>
          <w:rFonts w:cstheme="minorHAnsi"/>
          <w:lang w:val="en-AU" w:eastAsia="en-AU"/>
        </w:rPr>
        <w:t xml:space="preserve"> </w:t>
      </w:r>
    </w:p>
    <w:p w14:paraId="65CF2F8C" w14:textId="77777777" w:rsidR="00533537" w:rsidRPr="00F40015" w:rsidRDefault="00533537" w:rsidP="0011591E">
      <w:pPr>
        <w:pStyle w:val="ListParagraph"/>
        <w:numPr>
          <w:ilvl w:val="1"/>
          <w:numId w:val="44"/>
        </w:numPr>
        <w:spacing w:after="0" w:line="240" w:lineRule="auto"/>
        <w:contextualSpacing w:val="0"/>
        <w:rPr>
          <w:rFonts w:cstheme="minorHAnsi"/>
          <w:lang w:val="en-AU" w:eastAsia="en-AU"/>
        </w:rPr>
      </w:pPr>
      <w:r w:rsidRPr="00F40015">
        <w:rPr>
          <w:rFonts w:cstheme="minorHAnsi"/>
          <w:lang w:val="en-AU" w:eastAsia="en-AU"/>
        </w:rPr>
        <w:t xml:space="preserve">When </w:t>
      </w:r>
      <w:r w:rsidRPr="00F40015">
        <w:rPr>
          <w:rFonts w:cstheme="minorHAnsi"/>
          <w:lang w:val="en-AU"/>
        </w:rPr>
        <w:t>delivering</w:t>
      </w:r>
      <w:r w:rsidRPr="00F40015">
        <w:rPr>
          <w:rFonts w:cstheme="minorHAnsi"/>
          <w:lang w:val="en-AU" w:eastAsia="en-AU"/>
        </w:rPr>
        <w:t xml:space="preserve"> Services outside Australia, the Contractor will encourage coordination and collaboration in country with DFAT posts, other donors, partner governments and ACFID Humanitarian Reference Group (HRG) members as appropriate.</w:t>
      </w:r>
    </w:p>
    <w:p w14:paraId="585FEEBE" w14:textId="77777777" w:rsidR="00533537" w:rsidRPr="00F40015" w:rsidRDefault="00533537" w:rsidP="0011591E">
      <w:pPr>
        <w:pStyle w:val="ListParagraph"/>
        <w:numPr>
          <w:ilvl w:val="0"/>
          <w:numId w:val="44"/>
        </w:numPr>
        <w:spacing w:after="0" w:line="240" w:lineRule="auto"/>
        <w:contextualSpacing w:val="0"/>
        <w:rPr>
          <w:rFonts w:cstheme="minorHAnsi"/>
          <w:b/>
          <w:bCs/>
        </w:rPr>
      </w:pPr>
      <w:bookmarkStart w:id="104" w:name="_Hlk532304736"/>
      <w:r w:rsidRPr="00F40015">
        <w:rPr>
          <w:rFonts w:cstheme="minorHAnsi"/>
          <w:b/>
          <w:bCs/>
        </w:rPr>
        <w:t>PARTNERSHIP SUPPORT</w:t>
      </w:r>
    </w:p>
    <w:p w14:paraId="7356C38A" w14:textId="77777777" w:rsidR="00533537" w:rsidRPr="00F40015" w:rsidRDefault="00533537" w:rsidP="0011591E">
      <w:pPr>
        <w:pStyle w:val="ListParagraph"/>
        <w:numPr>
          <w:ilvl w:val="1"/>
          <w:numId w:val="44"/>
        </w:numPr>
        <w:spacing w:after="0" w:line="240" w:lineRule="auto"/>
        <w:contextualSpacing w:val="0"/>
        <w:rPr>
          <w:rFonts w:cstheme="minorHAnsi"/>
          <w:lang w:val="en-AU"/>
        </w:rPr>
      </w:pPr>
      <w:r w:rsidRPr="00F40015">
        <w:rPr>
          <w:rFonts w:cstheme="minorHAnsi"/>
          <w:lang w:val="en-AU"/>
        </w:rPr>
        <w:t xml:space="preserve">The Contractor will undertake and facilitate annual independent partnership brokering processes for DFAT, ANGOs, the AHPSU and key humanitarian stakeholders to review and update the AHP </w:t>
      </w:r>
      <w:r w:rsidRPr="00F40015">
        <w:rPr>
          <w:rFonts w:cstheme="minorHAnsi"/>
          <w:lang w:val="en-AU" w:eastAsia="en-AU"/>
        </w:rPr>
        <w:t>partnership</w:t>
      </w:r>
      <w:r w:rsidRPr="00F40015">
        <w:rPr>
          <w:rFonts w:cstheme="minorHAnsi"/>
          <w:lang w:val="en-AU"/>
        </w:rPr>
        <w:t xml:space="preserve"> agreement and arrangements and identify areas for improvement. The partnership agreement should set out partner expectations, their roles and responsibilities, and identify partnership outcomes and measures of success. </w:t>
      </w:r>
    </w:p>
    <w:p w14:paraId="62988123" w14:textId="77777777" w:rsidR="00533537" w:rsidRPr="00F40015" w:rsidRDefault="00533537" w:rsidP="0011591E">
      <w:pPr>
        <w:pStyle w:val="ListParagraph"/>
        <w:numPr>
          <w:ilvl w:val="0"/>
          <w:numId w:val="44"/>
        </w:numPr>
        <w:spacing w:after="0" w:line="240" w:lineRule="auto"/>
        <w:contextualSpacing w:val="0"/>
        <w:rPr>
          <w:rFonts w:cstheme="minorHAnsi"/>
          <w:b/>
          <w:bCs/>
        </w:rPr>
      </w:pPr>
      <w:r w:rsidRPr="00F40015">
        <w:rPr>
          <w:rFonts w:cstheme="minorHAnsi"/>
          <w:b/>
          <w:bCs/>
        </w:rPr>
        <w:t>ADMINISTERED GRANT AGREEMENTS</w:t>
      </w:r>
    </w:p>
    <w:p w14:paraId="0F9F0D3C" w14:textId="4DA68AAF" w:rsidR="00533537" w:rsidRPr="00F40015" w:rsidRDefault="00533537" w:rsidP="0011591E">
      <w:pPr>
        <w:pStyle w:val="ListParagraph"/>
        <w:numPr>
          <w:ilvl w:val="1"/>
          <w:numId w:val="44"/>
        </w:numPr>
        <w:spacing w:after="0" w:line="240" w:lineRule="auto"/>
        <w:contextualSpacing w:val="0"/>
        <w:rPr>
          <w:rFonts w:cstheme="minorHAnsi"/>
        </w:rPr>
      </w:pPr>
      <w:r w:rsidRPr="00F40015">
        <w:rPr>
          <w:rFonts w:cstheme="minorHAnsi"/>
        </w:rPr>
        <w:t xml:space="preserve">The Contractor will establish, maintain and manage Administrative Grant Agreements with ANGOs </w:t>
      </w:r>
      <w:r w:rsidRPr="00F40015">
        <w:rPr>
          <w:rFonts w:cstheme="minorHAnsi"/>
          <w:lang w:val="en-AU"/>
        </w:rPr>
        <w:t>selected</w:t>
      </w:r>
      <w:r w:rsidRPr="00F40015">
        <w:rPr>
          <w:rFonts w:cstheme="minorHAnsi"/>
        </w:rPr>
        <w:t xml:space="preserve"> by DFAT in accordance with Clause 36 of the Deed of Standing Offer. In addition </w:t>
      </w:r>
      <w:r w:rsidRPr="00F40015">
        <w:rPr>
          <w:rFonts w:cstheme="minorHAnsi"/>
          <w:lang w:val="en-AU" w:eastAsia="en-AU"/>
        </w:rPr>
        <w:t>to</w:t>
      </w:r>
      <w:r w:rsidRPr="00F40015">
        <w:rPr>
          <w:rFonts w:cstheme="minorHAnsi"/>
        </w:rPr>
        <w:t xml:space="preserve"> all other matters required to be included in Administered Grant Agreements </w:t>
      </w:r>
      <w:r w:rsidRPr="00F40015">
        <w:rPr>
          <w:rFonts w:cstheme="minorHAnsi"/>
        </w:rPr>
        <w:lastRenderedPageBreak/>
        <w:t xml:space="preserve">under the Contract, the Contractor will ensure that Administered Grant Agreements require Administered Grant Recipients to perform all obligations assigned to them under this Services Order or as otherwise agreed with DFAT; and support the outcomes in of </w:t>
      </w:r>
      <w:r w:rsidR="00050133" w:rsidRPr="00F40015">
        <w:rPr>
          <w:rFonts w:cstheme="minorHAnsi"/>
        </w:rPr>
        <w:t>the AHP</w:t>
      </w:r>
      <w:r w:rsidRPr="00F40015">
        <w:rPr>
          <w:rFonts w:cstheme="minorHAnsi"/>
        </w:rPr>
        <w:t>.</w:t>
      </w:r>
    </w:p>
    <w:p w14:paraId="1C81D2A1" w14:textId="77777777" w:rsidR="00533537" w:rsidRPr="00F40015" w:rsidRDefault="00533537" w:rsidP="0011591E">
      <w:pPr>
        <w:pStyle w:val="ListParagraph"/>
        <w:numPr>
          <w:ilvl w:val="0"/>
          <w:numId w:val="44"/>
        </w:numPr>
        <w:spacing w:after="0" w:line="240" w:lineRule="auto"/>
        <w:contextualSpacing w:val="0"/>
        <w:rPr>
          <w:rFonts w:cstheme="minorHAnsi"/>
          <w:b/>
          <w:bCs/>
        </w:rPr>
      </w:pPr>
      <w:r w:rsidRPr="00F40015">
        <w:rPr>
          <w:rFonts w:cstheme="minorHAnsi"/>
          <w:b/>
          <w:bCs/>
        </w:rPr>
        <w:t>EOPO1: DISASTER READY</w:t>
      </w:r>
    </w:p>
    <w:bookmarkEnd w:id="104"/>
    <w:p w14:paraId="3B7A1D37" w14:textId="77777777" w:rsidR="00533537" w:rsidRPr="00F40015" w:rsidRDefault="00533537" w:rsidP="0011591E">
      <w:pPr>
        <w:pStyle w:val="ListParagraph"/>
        <w:numPr>
          <w:ilvl w:val="1"/>
          <w:numId w:val="44"/>
        </w:numPr>
        <w:spacing w:after="0" w:line="240" w:lineRule="auto"/>
        <w:contextualSpacing w:val="0"/>
        <w:rPr>
          <w:rFonts w:cstheme="minorHAnsi"/>
          <w:lang w:val="en-AU" w:eastAsia="en-AU"/>
        </w:rPr>
      </w:pPr>
      <w:r w:rsidRPr="00F40015">
        <w:rPr>
          <w:rFonts w:cstheme="minorHAnsi"/>
          <w:lang w:val="en-AU" w:eastAsia="en-AU"/>
        </w:rPr>
        <w:t>The Contractor will deliver the following Services to support the achievement of EOPO 1:</w:t>
      </w:r>
    </w:p>
    <w:p w14:paraId="56BF9FB2"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facilitate the ANGO country-level planning process for Disaster READY Phase II commenced in Phase I, including by managing a facilitation team with design, partnership brokering, monitoring and evaluation and climate change adaptation expertise. </w:t>
      </w:r>
    </w:p>
    <w:p w14:paraId="105E4BE7"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The planning process must deliver a Disaster READY Country Plan, Localisation Strategy and Learning Action Agenda for each focus country, and Activity Plans for each ANGO for each country as outlined in the IDD;</w:t>
      </w:r>
    </w:p>
    <w:p w14:paraId="0C92A766"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facilitate ‘sense checks’ of the Activity Plans, Learning Agendas and Localisation Strategies if required after 12 months and 24 months of implementation to provide ANGOs the opportunity to change targets, activities, and approaches based on experience;</w:t>
      </w:r>
    </w:p>
    <w:p w14:paraId="712CBCA8" w14:textId="6EEB434E"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facilitate and participate in</w:t>
      </w:r>
      <w:r w:rsidR="00216277" w:rsidRPr="00F40015">
        <w:rPr>
          <w:rFonts w:cstheme="minorHAnsi"/>
          <w:lang w:val="en-AU"/>
        </w:rPr>
        <w:t xml:space="preserve"> </w:t>
      </w:r>
      <w:r w:rsidRPr="00F40015">
        <w:rPr>
          <w:rFonts w:cstheme="minorHAnsi"/>
          <w:lang w:val="en-AU"/>
        </w:rPr>
        <w:t xml:space="preserve">country </w:t>
      </w:r>
      <w:r w:rsidR="00CC4428" w:rsidRPr="00F40015">
        <w:rPr>
          <w:rFonts w:cstheme="minorHAnsi"/>
          <w:lang w:val="en-AU"/>
        </w:rPr>
        <w:t xml:space="preserve">and regional </w:t>
      </w:r>
      <w:r w:rsidRPr="00F40015">
        <w:rPr>
          <w:rFonts w:cstheme="minorHAnsi"/>
          <w:lang w:val="en-AU"/>
        </w:rPr>
        <w:t xml:space="preserve">review, learning and planning processes in each Disaster READY country as required by the Monitoring, Evaluation and Learning Framework (MELF) to support achievement of the EOPOs; </w:t>
      </w:r>
    </w:p>
    <w:p w14:paraId="5C4E799B" w14:textId="62B3F7C0"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maintain an understanding of Disaster READY implementation progress, </w:t>
      </w:r>
      <w:r w:rsidR="0032033C" w:rsidRPr="00F40015">
        <w:rPr>
          <w:rFonts w:cstheme="minorHAnsi"/>
          <w:lang w:val="en-AU"/>
        </w:rPr>
        <w:t>risks,</w:t>
      </w:r>
      <w:r w:rsidRPr="00F40015">
        <w:rPr>
          <w:rFonts w:cstheme="minorHAnsi"/>
          <w:lang w:val="en-AU"/>
        </w:rPr>
        <w:t xml:space="preserve"> and issues, including through regular contact with the Disaster READY Country Committees (DRCCs), and highlight issues to DFAT along with recommendations and advice for continuous improvement and issue resolution;</w:t>
      </w:r>
    </w:p>
    <w:p w14:paraId="06171A71"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support the promotion of Disaster READY, including by:</w:t>
      </w:r>
    </w:p>
    <w:p w14:paraId="3F5E0AC9"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identifying and/or developing public diplomacy and communications opportunities and material;</w:t>
      </w:r>
    </w:p>
    <w:p w14:paraId="15D0A188"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promoting the Disaster READY program through the AHP website, social media, media visits, and thematic reports and evaluations; and</w:t>
      </w:r>
    </w:p>
    <w:p w14:paraId="7FD19015"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providing communications support to DFAT including organising media/journalist field visits (subject to DFAT approval) and producing communications material for social media and other purposes.</w:t>
      </w:r>
    </w:p>
    <w:p w14:paraId="25915FE1" w14:textId="77777777" w:rsidR="00533537" w:rsidRPr="00F40015" w:rsidRDefault="00533537" w:rsidP="0011591E">
      <w:pPr>
        <w:pStyle w:val="ListParagraph"/>
        <w:numPr>
          <w:ilvl w:val="0"/>
          <w:numId w:val="44"/>
        </w:numPr>
        <w:spacing w:after="0" w:line="240" w:lineRule="auto"/>
        <w:contextualSpacing w:val="0"/>
        <w:rPr>
          <w:rFonts w:cstheme="minorHAnsi"/>
          <w:b/>
          <w:bCs/>
        </w:rPr>
      </w:pPr>
      <w:r w:rsidRPr="00F40015">
        <w:rPr>
          <w:rFonts w:cstheme="minorHAnsi"/>
          <w:b/>
          <w:bCs/>
        </w:rPr>
        <w:t>EOPO2: HUMANITARIAN RESPONSE</w:t>
      </w:r>
    </w:p>
    <w:p w14:paraId="55180418" w14:textId="77777777" w:rsidR="00533537" w:rsidRPr="00F40015" w:rsidRDefault="00533537" w:rsidP="0011591E">
      <w:pPr>
        <w:pStyle w:val="ListParagraph"/>
        <w:numPr>
          <w:ilvl w:val="1"/>
          <w:numId w:val="44"/>
        </w:numPr>
        <w:spacing w:after="0" w:line="240" w:lineRule="auto"/>
        <w:contextualSpacing w:val="0"/>
        <w:rPr>
          <w:rFonts w:cstheme="minorHAnsi"/>
          <w:lang w:val="en-AU" w:eastAsia="en-AU"/>
        </w:rPr>
      </w:pPr>
      <w:r w:rsidRPr="00F40015">
        <w:rPr>
          <w:rFonts w:cstheme="minorHAnsi"/>
          <w:lang w:val="en-AU" w:eastAsia="en-AU"/>
        </w:rPr>
        <w:t xml:space="preserve">The </w:t>
      </w:r>
      <w:r w:rsidRPr="00F40015">
        <w:rPr>
          <w:rFonts w:cstheme="minorHAnsi"/>
          <w:lang w:val="en-AU"/>
        </w:rPr>
        <w:t>Contractor</w:t>
      </w:r>
      <w:r w:rsidRPr="00F40015">
        <w:rPr>
          <w:rFonts w:cstheme="minorHAnsi"/>
          <w:lang w:val="en-AU" w:eastAsia="en-AU"/>
        </w:rPr>
        <w:t xml:space="preserve"> will deliver the following Services to support the achievement of EOPO 2:</w:t>
      </w:r>
    </w:p>
    <w:p w14:paraId="1561DFE4" w14:textId="4A191694"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update the response activation Standard Operating Procedures (SOPs) in consultation with relevant stakeholders for approval by the AHP Steering Committee on a </w:t>
      </w:r>
      <w:r w:rsidR="0032033C" w:rsidRPr="00F40015">
        <w:rPr>
          <w:rFonts w:cstheme="minorHAnsi"/>
          <w:lang w:val="en-AU"/>
        </w:rPr>
        <w:t>need’s</w:t>
      </w:r>
      <w:r w:rsidRPr="00F40015">
        <w:rPr>
          <w:rFonts w:cstheme="minorHAnsi"/>
          <w:lang w:val="en-AU"/>
        </w:rPr>
        <w:t xml:space="preserve"> basis, and implement the AHPSU responsibilities outlined in the SOPs as approved; </w:t>
      </w:r>
    </w:p>
    <w:p w14:paraId="66D6F921"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ensure appropriate Personnel are available to work out-of-hours at short notice should crisis information or a rapid AHP humanitarian response (‘activation’) be required;  </w:t>
      </w:r>
    </w:p>
    <w:p w14:paraId="602055E1"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facilitate timely information sharing between DFAT and the ANGOs regarding humanitarian crises, including rapid 3W (Who, What, Where) reporting on ANGO capacity, sitreps and requests to pivot existing funds in emerging disaster and emergency contexts; </w:t>
      </w:r>
    </w:p>
    <w:p w14:paraId="538B9259"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lastRenderedPageBreak/>
        <w:t>convene, provide all necessary secretariat and logistics services for, and chair (if required) meetings for efficient and effective activations as required in the SOPs. This may include:</w:t>
      </w:r>
    </w:p>
    <w:p w14:paraId="2C7A329B"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Pre-activation teleconferences for DFAT to engage ANGOs on the possibility and parameters of potential activations; and</w:t>
      </w:r>
    </w:p>
    <w:p w14:paraId="66F428B7"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ANGO Rapid Response Committee meetings and DFAT Assessment Committee Meetings to allow members to assess response proposals;</w:t>
      </w:r>
    </w:p>
    <w:p w14:paraId="3FCAEE77"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maintain a panel of humanitarian, country and sector specialists and engage them as required to independently appraise response proposals as part of the selection process;</w:t>
      </w:r>
    </w:p>
    <w:p w14:paraId="672B19FA"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participate in DFAT design processes for large value/multi-year response activations as required;</w:t>
      </w:r>
    </w:p>
    <w:p w14:paraId="7B908859"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if required, draft dedicated governance frameworks for large value/multi-year response activations and facilitate endorsement among relevant stakeholders prior to activities commencing;</w:t>
      </w:r>
    </w:p>
    <w:p w14:paraId="72CBBA30"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maintain and update relevant ANGO response proposal and reporting templates to ensure they are fit-for-purpose;</w:t>
      </w:r>
    </w:p>
    <w:p w14:paraId="0CB2A705"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proactively provide advice to DFAT on opportunities, risks and other issues relating to response activations, including opportunities for continuous improvement of processes, and strengthening synergies with other relevant investments such as the Australian NGO-Cooperation Program (ANCP); </w:t>
      </w:r>
    </w:p>
    <w:p w14:paraId="3CBE2DBA" w14:textId="2763F40E"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support DFAT and the ANGOs to explore opportunities for innovation, including anticipatory action, local partner-led </w:t>
      </w:r>
      <w:r w:rsidR="0032033C" w:rsidRPr="00F40015">
        <w:rPr>
          <w:rFonts w:cstheme="minorHAnsi"/>
          <w:lang w:val="en-AU"/>
        </w:rPr>
        <w:t>responses,</w:t>
      </w:r>
      <w:r w:rsidRPr="00F40015">
        <w:rPr>
          <w:rFonts w:cstheme="minorHAnsi"/>
          <w:lang w:val="en-AU"/>
        </w:rPr>
        <w:t xml:space="preserve"> and greening humanitarian response;</w:t>
      </w:r>
    </w:p>
    <w:p w14:paraId="66ED1A46"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draft AHPSU Services Orders for activations in accordance with the template agreed with DFAT;</w:t>
      </w:r>
    </w:p>
    <w:p w14:paraId="3115EA3D" w14:textId="171B8854"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draft, </w:t>
      </w:r>
      <w:r w:rsidR="0032033C" w:rsidRPr="00F40015">
        <w:rPr>
          <w:rFonts w:cstheme="minorHAnsi"/>
          <w:lang w:val="en-AU"/>
        </w:rPr>
        <w:t>issue,</w:t>
      </w:r>
      <w:r w:rsidRPr="00F40015">
        <w:rPr>
          <w:rFonts w:cstheme="minorHAnsi"/>
          <w:lang w:val="en-AU"/>
        </w:rPr>
        <w:t xml:space="preserve"> and monitor ANGO Grant Orders, including reporting requirements, for activations in accordance with the template agreed with DFAT.</w:t>
      </w:r>
    </w:p>
    <w:p w14:paraId="30C7F4D6" w14:textId="77777777" w:rsidR="00533537" w:rsidRPr="00F40015" w:rsidRDefault="00533537" w:rsidP="0011591E">
      <w:pPr>
        <w:pStyle w:val="ListParagraph"/>
        <w:numPr>
          <w:ilvl w:val="0"/>
          <w:numId w:val="44"/>
        </w:numPr>
        <w:spacing w:after="0" w:line="240" w:lineRule="auto"/>
        <w:contextualSpacing w:val="0"/>
        <w:rPr>
          <w:rFonts w:cstheme="minorHAnsi"/>
          <w:b/>
          <w:bCs/>
        </w:rPr>
      </w:pPr>
      <w:r w:rsidRPr="00F40015">
        <w:rPr>
          <w:rFonts w:cstheme="minorHAnsi"/>
          <w:b/>
          <w:bCs/>
        </w:rPr>
        <w:t>EOPO3: PARTNERSHIP LEARNING AND PRACTICE</w:t>
      </w:r>
    </w:p>
    <w:p w14:paraId="020884F2" w14:textId="77777777" w:rsidR="00533537" w:rsidRPr="00F40015" w:rsidRDefault="00533537" w:rsidP="0011591E">
      <w:pPr>
        <w:pStyle w:val="ListParagraph"/>
        <w:numPr>
          <w:ilvl w:val="1"/>
          <w:numId w:val="44"/>
        </w:numPr>
        <w:spacing w:after="0" w:line="240" w:lineRule="auto"/>
        <w:contextualSpacing w:val="0"/>
        <w:rPr>
          <w:rFonts w:cstheme="minorHAnsi"/>
        </w:rPr>
      </w:pPr>
      <w:r w:rsidRPr="00F40015">
        <w:rPr>
          <w:rFonts w:cstheme="minorHAnsi"/>
        </w:rPr>
        <w:t xml:space="preserve">The </w:t>
      </w:r>
      <w:r w:rsidRPr="00F40015">
        <w:rPr>
          <w:rFonts w:cstheme="minorHAnsi"/>
          <w:lang w:val="en-AU"/>
        </w:rPr>
        <w:t>Contractor</w:t>
      </w:r>
      <w:r w:rsidRPr="00F40015">
        <w:rPr>
          <w:rFonts w:cstheme="minorHAnsi"/>
        </w:rPr>
        <w:t xml:space="preserve"> will deliver the following Services to support the achievement of EOPO 3:</w:t>
      </w:r>
    </w:p>
    <w:p w14:paraId="1BE0EB2B" w14:textId="7E95D221" w:rsidR="00533537" w:rsidRPr="00F40015" w:rsidRDefault="00BD30DC"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Develop and implement a process to a</w:t>
      </w:r>
      <w:r w:rsidR="00533537" w:rsidRPr="00F40015">
        <w:rPr>
          <w:rFonts w:cstheme="minorHAnsi"/>
          <w:lang w:val="en-AU"/>
        </w:rPr>
        <w:t xml:space="preserve">dminister flexible Activity Funds to support program-relevant research, learning needs and joint action activities to stimulate innovation, collaboration, continuous </w:t>
      </w:r>
      <w:r w:rsidR="0032033C" w:rsidRPr="00F40015">
        <w:rPr>
          <w:rFonts w:cstheme="minorHAnsi"/>
          <w:lang w:val="en-AU"/>
        </w:rPr>
        <w:t>improvement,</w:t>
      </w:r>
      <w:r w:rsidR="00533537" w:rsidRPr="00F40015">
        <w:rPr>
          <w:rFonts w:cstheme="minorHAnsi"/>
          <w:lang w:val="en-AU"/>
        </w:rPr>
        <w:t xml:space="preserve"> and lesson learning. Activities may be proposed by the AHPSU and/or ANGOs and must be approved by DFAT. </w:t>
      </w:r>
    </w:p>
    <w:p w14:paraId="56BCB61D" w14:textId="4A88B94F"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Any research and learning activities must add value to the individual activities of AHP Partners in Disaster READY or response activations (</w:t>
      </w:r>
      <w:r w:rsidR="0032033C" w:rsidRPr="00F40015">
        <w:rPr>
          <w:rFonts w:cstheme="minorHAnsi"/>
          <w:lang w:val="en-AU"/>
        </w:rPr>
        <w:t>i.e.,</w:t>
      </w:r>
      <w:r w:rsidRPr="00F40015">
        <w:rPr>
          <w:rFonts w:cstheme="minorHAnsi"/>
          <w:lang w:val="en-AU"/>
        </w:rPr>
        <w:t xml:space="preserve"> not be ad hoc, isolated activities), and include embedded learning and uptake strategies and/or products. The AHPSU may sub-contract/grant Activity Funds to ANGOs or other organisations for implementation as appropriate to the needs. </w:t>
      </w:r>
    </w:p>
    <w:p w14:paraId="20A34AD5" w14:textId="470D707E"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proactively seek and administer opportunities to broker knowledge and share lessons and expertise within the AHP, and between the AHP and external stakeholders important to the Partnership and the humanitarian sector in-country and in Australia. </w:t>
      </w:r>
    </w:p>
    <w:p w14:paraId="337A8E1E" w14:textId="77777777" w:rsidR="00533537" w:rsidRPr="00F40015" w:rsidRDefault="00533537" w:rsidP="0011591E">
      <w:pPr>
        <w:pStyle w:val="ListParagraph"/>
        <w:numPr>
          <w:ilvl w:val="0"/>
          <w:numId w:val="44"/>
        </w:numPr>
        <w:spacing w:after="0" w:line="240" w:lineRule="auto"/>
        <w:contextualSpacing w:val="0"/>
        <w:rPr>
          <w:rFonts w:cstheme="minorHAnsi"/>
          <w:b/>
          <w:bCs/>
        </w:rPr>
      </w:pPr>
      <w:r w:rsidRPr="00F40015">
        <w:rPr>
          <w:rFonts w:cstheme="minorHAnsi"/>
          <w:b/>
          <w:bCs/>
        </w:rPr>
        <w:t xml:space="preserve">MONITORING, EVALUATION AND LEARNING </w:t>
      </w:r>
    </w:p>
    <w:p w14:paraId="7FAAEC56" w14:textId="77777777" w:rsidR="00533537" w:rsidRPr="00F40015" w:rsidRDefault="00533537" w:rsidP="0011591E">
      <w:pPr>
        <w:pStyle w:val="ListParagraph"/>
        <w:numPr>
          <w:ilvl w:val="1"/>
          <w:numId w:val="44"/>
        </w:numPr>
        <w:spacing w:after="0" w:line="240" w:lineRule="auto"/>
        <w:contextualSpacing w:val="0"/>
        <w:rPr>
          <w:rFonts w:cstheme="minorHAnsi"/>
          <w:lang w:val="en-AU" w:eastAsia="en-AU"/>
        </w:rPr>
      </w:pPr>
      <w:r w:rsidRPr="00F40015">
        <w:rPr>
          <w:rFonts w:cstheme="minorHAnsi"/>
          <w:lang w:val="en-AU"/>
        </w:rPr>
        <w:t>The Contractor will deliver the following Services to support effective monitoring, evaluation and learning for the AHP:</w:t>
      </w:r>
    </w:p>
    <w:p w14:paraId="5B399E78" w14:textId="0D06E4D3"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lastRenderedPageBreak/>
        <w:t xml:space="preserve">develop, </w:t>
      </w:r>
      <w:r w:rsidR="0032033C" w:rsidRPr="00F40015">
        <w:rPr>
          <w:rFonts w:cstheme="minorHAnsi"/>
          <w:lang w:val="en-AU"/>
        </w:rPr>
        <w:t>implement,</w:t>
      </w:r>
      <w:r w:rsidRPr="00F40015">
        <w:rPr>
          <w:rFonts w:cstheme="minorHAnsi"/>
          <w:lang w:val="en-AU"/>
        </w:rPr>
        <w:t xml:space="preserve"> and update a program-wide MELF for the AHP Phase II in consultation with DFAT and the ANGOs which:</w:t>
      </w:r>
    </w:p>
    <w:p w14:paraId="4C814BEB" w14:textId="62954A9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assesses the effectiveness, efficiency, </w:t>
      </w:r>
      <w:r w:rsidR="0032033C" w:rsidRPr="00F40015">
        <w:rPr>
          <w:rFonts w:cstheme="minorHAnsi"/>
          <w:lang w:val="en-AU"/>
        </w:rPr>
        <w:t>relevance,</w:t>
      </w:r>
      <w:r w:rsidRPr="00F40015">
        <w:rPr>
          <w:rFonts w:cstheme="minorHAnsi"/>
          <w:lang w:val="en-AU"/>
        </w:rPr>
        <w:t xml:space="preserve"> and sustainability of AHP activities;</w:t>
      </w:r>
    </w:p>
    <w:p w14:paraId="174A468C"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supports consolidated reporting to convey the collective impact of the partnership across the three EOPOs; </w:t>
      </w:r>
    </w:p>
    <w:p w14:paraId="178129FA"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informs strategies and processes to support evidence-based learning within the partnership and sector; </w:t>
      </w:r>
    </w:p>
    <w:p w14:paraId="51340960"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is aligned with the AHP response SOPs; </w:t>
      </w:r>
    </w:p>
    <w:p w14:paraId="5458927F" w14:textId="6504FD65"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includes a </w:t>
      </w:r>
      <w:r w:rsidR="00973685">
        <w:rPr>
          <w:rFonts w:cstheme="minorHAnsi"/>
          <w:lang w:val="en-AU"/>
        </w:rPr>
        <w:t>core</w:t>
      </w:r>
      <w:r w:rsidRPr="00F40015">
        <w:rPr>
          <w:rFonts w:cstheme="minorHAnsi"/>
          <w:lang w:val="en-AU"/>
        </w:rPr>
        <w:t xml:space="preserve"> data set for activity implementation for Disaster READY and response activations; and</w:t>
      </w:r>
    </w:p>
    <w:p w14:paraId="64F8FE2E" w14:textId="5D97FAB5"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provides data disaggregated by sex, disability, </w:t>
      </w:r>
      <w:r w:rsidR="0032033C" w:rsidRPr="00F40015">
        <w:rPr>
          <w:rFonts w:cstheme="minorHAnsi"/>
          <w:lang w:val="en-AU"/>
        </w:rPr>
        <w:t>age,</w:t>
      </w:r>
      <w:r w:rsidRPr="00F40015">
        <w:rPr>
          <w:rFonts w:cstheme="minorHAnsi"/>
          <w:lang w:val="en-AU"/>
        </w:rPr>
        <w:t xml:space="preserve"> and indigenous person.</w:t>
      </w:r>
    </w:p>
    <w:p w14:paraId="3F3C2811"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provide monitoring and evaluation technical advice to ANGOs to ensure their MEL Frameworks are in alignment with the AHP MELF and contribute results into country and program-level outcomes; </w:t>
      </w:r>
    </w:p>
    <w:p w14:paraId="01D9E999"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coordinate, consolidate and synthesise ANGO reporting as required to provide an overview of results at country and overarching program level;</w:t>
      </w:r>
    </w:p>
    <w:p w14:paraId="1FE348C2"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maintain a management information system (MIS) for data collected as part of the Disaster READY program and AHP response activations, and respond to requests for information from DFAT on program activities;</w:t>
      </w:r>
    </w:p>
    <w:p w14:paraId="6D6AFA77"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action (where appropriate), monitor and keep DFAT apprised of the implementation of recommendations from evaluations and reviews; </w:t>
      </w:r>
    </w:p>
    <w:p w14:paraId="3C179CB8"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commission an independent body to undertake a participatory data collection and analysis process, using qualitative judgements and political economy analysis, to monitor and assess progress against EOPO3. This may include monitoring the policy and operating landscape, reviewing changes in humanitarian policy and practice, and assessing the role and impact of AHP experience and lessons on country, regional and international stakeholders;</w:t>
      </w:r>
    </w:p>
    <w:p w14:paraId="70E4117D"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bookmarkStart w:id="105" w:name="_Hlk85028253"/>
      <w:r w:rsidRPr="00F40015">
        <w:rPr>
          <w:rFonts w:cstheme="minorHAnsi"/>
          <w:lang w:val="en-AU"/>
        </w:rPr>
        <w:t xml:space="preserve">in consultation with DFAT and ANGOs, commission other meta and strategic reviews as required to deepen the assessment of key aspects of the Partnership; </w:t>
      </w:r>
    </w:p>
    <w:p w14:paraId="787FCFA9"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organise program learning and reflection events at country, regional or program level as required;</w:t>
      </w:r>
    </w:p>
    <w:p w14:paraId="5A4E6BEC" w14:textId="1F504333"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support and facilitate a mid-term and final independent evaluation of the Partnership </w:t>
      </w:r>
      <w:r w:rsidR="0032033C" w:rsidRPr="00F40015">
        <w:rPr>
          <w:rFonts w:cstheme="minorHAnsi"/>
          <w:lang w:val="en-AU"/>
        </w:rPr>
        <w:t>when</w:t>
      </w:r>
      <w:r w:rsidRPr="00F40015">
        <w:rPr>
          <w:rFonts w:cstheme="minorHAnsi"/>
          <w:lang w:val="en-AU"/>
        </w:rPr>
        <w:t xml:space="preserve"> commissioned by DFAT.</w:t>
      </w:r>
    </w:p>
    <w:p w14:paraId="0D8F1B5F" w14:textId="723448D4" w:rsidR="00533537" w:rsidRPr="00F40015" w:rsidRDefault="0032033C" w:rsidP="0011591E">
      <w:pPr>
        <w:pStyle w:val="ListParagraph"/>
        <w:numPr>
          <w:ilvl w:val="1"/>
          <w:numId w:val="44"/>
        </w:numPr>
        <w:spacing w:after="0" w:line="240" w:lineRule="auto"/>
        <w:contextualSpacing w:val="0"/>
        <w:rPr>
          <w:rFonts w:cstheme="minorHAnsi"/>
          <w:lang w:val="en-AU"/>
        </w:rPr>
      </w:pPr>
      <w:r w:rsidRPr="00F40015">
        <w:rPr>
          <w:rFonts w:cstheme="minorHAnsi"/>
          <w:lang w:val="en-AU"/>
        </w:rPr>
        <w:t>Specifically,</w:t>
      </w:r>
      <w:r w:rsidR="00533537" w:rsidRPr="00F40015">
        <w:rPr>
          <w:rFonts w:cstheme="minorHAnsi"/>
          <w:lang w:val="en-AU"/>
        </w:rPr>
        <w:t xml:space="preserve"> for EOPO 1: Disaster READY, the Contractor will:</w:t>
      </w:r>
    </w:p>
    <w:p w14:paraId="4619CECC"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coordinate a MEL Community of Practice with AHP Partners, with particular attention to developing and implementing methods and processes for ensuring accountability to local communities in Disaster READY country performance monitoring;</w:t>
      </w:r>
    </w:p>
    <w:p w14:paraId="671F464B" w14:textId="79939C4F" w:rsidR="00533537" w:rsidRPr="00F40015" w:rsidRDefault="00533537" w:rsidP="0011591E">
      <w:pPr>
        <w:pStyle w:val="ListParagraph"/>
        <w:numPr>
          <w:ilvl w:val="2"/>
          <w:numId w:val="44"/>
        </w:numPr>
        <w:spacing w:after="0" w:line="240" w:lineRule="auto"/>
        <w:contextualSpacing w:val="0"/>
        <w:rPr>
          <w:rFonts w:cstheme="minorHAnsi"/>
          <w:lang w:val="en-AU"/>
        </w:rPr>
      </w:pPr>
      <w:bookmarkStart w:id="106" w:name="_Hlk94017289"/>
      <w:r w:rsidRPr="00F40015">
        <w:rPr>
          <w:rFonts w:cstheme="minorHAnsi"/>
          <w:lang w:val="en-AU"/>
        </w:rPr>
        <w:t xml:space="preserve">support DRCCs to undertake a participatory analysis of achievements, </w:t>
      </w:r>
      <w:r w:rsidR="0032033C" w:rsidRPr="00F40015">
        <w:rPr>
          <w:rFonts w:cstheme="minorHAnsi"/>
          <w:lang w:val="en-AU"/>
        </w:rPr>
        <w:t>challenges,</w:t>
      </w:r>
      <w:r w:rsidRPr="00F40015">
        <w:rPr>
          <w:rFonts w:cstheme="minorHAnsi"/>
          <w:lang w:val="en-AU"/>
        </w:rPr>
        <w:t xml:space="preserve"> and lessons against each of the Disaster READY Intermediate Outcome areas, through:  </w:t>
      </w:r>
    </w:p>
    <w:p w14:paraId="35D89173" w14:textId="14F9990F"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six-monthly Activity Reporting and Synthesis (ARS); and </w:t>
      </w:r>
    </w:p>
    <w:p w14:paraId="5050B953" w14:textId="4671872D"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annual Program Reporting and Reflection (PRR).</w:t>
      </w:r>
    </w:p>
    <w:p w14:paraId="43E2891B"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lastRenderedPageBreak/>
        <w:t xml:space="preserve">commission a series of thematic and country evaluations for Disaster READY as agreed with DFAT and the Steering Committee to assess progress towards EOPO 1 and performance against the AHP Principles; </w:t>
      </w:r>
    </w:p>
    <w:bookmarkEnd w:id="106"/>
    <w:p w14:paraId="64B2B67C" w14:textId="7C7543C5" w:rsidR="00533537" w:rsidRPr="00F40015" w:rsidRDefault="0032033C" w:rsidP="0011591E">
      <w:pPr>
        <w:pStyle w:val="ListParagraph"/>
        <w:numPr>
          <w:ilvl w:val="1"/>
          <w:numId w:val="44"/>
        </w:numPr>
        <w:spacing w:after="0" w:line="240" w:lineRule="auto"/>
        <w:contextualSpacing w:val="0"/>
        <w:rPr>
          <w:rFonts w:cstheme="minorHAnsi"/>
          <w:lang w:val="en-AU"/>
        </w:rPr>
      </w:pPr>
      <w:r w:rsidRPr="00F40015">
        <w:rPr>
          <w:rFonts w:cstheme="minorHAnsi"/>
          <w:lang w:val="en-AU"/>
        </w:rPr>
        <w:t>Specifically,</w:t>
      </w:r>
      <w:r w:rsidR="00533537" w:rsidRPr="00F40015">
        <w:rPr>
          <w:rFonts w:cstheme="minorHAnsi"/>
          <w:lang w:val="en-AU"/>
        </w:rPr>
        <w:t xml:space="preserve"> for EOPO 2: Humanitarian Response, The Contractor will:</w:t>
      </w:r>
    </w:p>
    <w:p w14:paraId="370F9F8B"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commission and facilitate evaluations of all activations over $3 million as requested by or otherwise agreed with DFAT. The specific evaluation requirements will be determined on a case-by-case basis in consultation with DFAT, and may include;</w:t>
      </w:r>
    </w:p>
    <w:p w14:paraId="6D6871EF"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a joint evaluation being conducted if there is more than one lead NGO; </w:t>
      </w:r>
    </w:p>
    <w:p w14:paraId="5AE7C0E1"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the evaluation being led by an independent team leader; and</w:t>
      </w:r>
    </w:p>
    <w:p w14:paraId="07DF56AD"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close engagement with DFAT (and the Contractor) in the development of the evaluation Terms of Reference (TOR) and team leader selection. </w:t>
      </w:r>
    </w:p>
    <w:bookmarkEnd w:id="105"/>
    <w:p w14:paraId="1E0CE3A5" w14:textId="77777777" w:rsidR="00533537" w:rsidRPr="00F40015" w:rsidRDefault="00533537" w:rsidP="0011591E">
      <w:pPr>
        <w:pStyle w:val="ListParagraph"/>
        <w:numPr>
          <w:ilvl w:val="0"/>
          <w:numId w:val="44"/>
        </w:numPr>
        <w:spacing w:after="0" w:line="240" w:lineRule="auto"/>
        <w:contextualSpacing w:val="0"/>
        <w:rPr>
          <w:rFonts w:cstheme="minorHAnsi"/>
          <w:b/>
          <w:bCs/>
        </w:rPr>
      </w:pPr>
      <w:r w:rsidRPr="00F40015">
        <w:rPr>
          <w:rFonts w:cstheme="minorHAnsi"/>
          <w:b/>
          <w:bCs/>
        </w:rPr>
        <w:t xml:space="preserve">COMMUNICATIONS AND PUBLIC DIPLOMACY </w:t>
      </w:r>
    </w:p>
    <w:p w14:paraId="6F85FEA4" w14:textId="77777777" w:rsidR="00533537" w:rsidRPr="00F40015" w:rsidRDefault="00533537" w:rsidP="0011591E">
      <w:pPr>
        <w:pStyle w:val="ListParagraph"/>
        <w:numPr>
          <w:ilvl w:val="1"/>
          <w:numId w:val="44"/>
        </w:numPr>
        <w:spacing w:after="0" w:line="240" w:lineRule="auto"/>
        <w:contextualSpacing w:val="0"/>
        <w:rPr>
          <w:rFonts w:cstheme="minorHAnsi"/>
          <w:lang w:val="en-AU"/>
        </w:rPr>
      </w:pPr>
      <w:r w:rsidRPr="00F40015">
        <w:rPr>
          <w:rFonts w:cstheme="minorHAnsi"/>
          <w:lang w:val="en-AU"/>
        </w:rPr>
        <w:t>The Contractor will deliver communication, visibility and public awareness activities as required to promote the AHP, including:</w:t>
      </w:r>
    </w:p>
    <w:p w14:paraId="0286C148"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developing and maintaining branding or a ‘look-and-feel’ of AHP documents; </w:t>
      </w:r>
    </w:p>
    <w:p w14:paraId="06B1A99F"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developing and maintaining an AHP website that is kept up to date with relevant program information, reports and content to highlight outcomes and achievements, share lessons and research, and analyse implications for humanitarian action; </w:t>
      </w:r>
    </w:p>
    <w:p w14:paraId="68C4F0A9"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maintaining a productive relationship with DFAT’s communications officer/s (within the Humanitarian Division) and AHP NGOs' media teams to:</w:t>
      </w:r>
    </w:p>
    <w:p w14:paraId="66516132"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source and/or create and provide a steady flow and library of content available for distribution by DFAT, the AHPSU and AHP NGOs as part of visibility opportunities that shows:</w:t>
      </w:r>
    </w:p>
    <w:p w14:paraId="5B0A959A"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achievement against or contribution towards DFAT’s policy priorities and objectives;</w:t>
      </w:r>
    </w:p>
    <w:p w14:paraId="401A1800"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the impact of Australia Government-funded humanitarian assistance; and/or</w:t>
      </w:r>
    </w:p>
    <w:p w14:paraId="441796C9"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the joint/collective impact of the AHP and the benefits of its coordination and broader influence; </w:t>
      </w:r>
    </w:p>
    <w:p w14:paraId="58006E3E"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Leverage the media and communication channels of all Parties including to increase in-country visibility of AHP and Disaster READY initiatives in line with the public diplomacy objectives of DFAT Posts.</w:t>
      </w:r>
    </w:p>
    <w:p w14:paraId="23921678" w14:textId="1796EEAA"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participating in domestic, </w:t>
      </w:r>
      <w:r w:rsidR="0032033C" w:rsidRPr="00F40015">
        <w:rPr>
          <w:rFonts w:cstheme="minorHAnsi"/>
          <w:lang w:val="en-AU"/>
        </w:rPr>
        <w:t>regional,</w:t>
      </w:r>
      <w:r w:rsidRPr="00F40015">
        <w:rPr>
          <w:rFonts w:cstheme="minorHAnsi"/>
          <w:lang w:val="en-AU"/>
        </w:rPr>
        <w:t xml:space="preserve"> and international events to showcase Australian policy interests and perspectives as well as achievements and lessons learned from AHP activities and practice;</w:t>
      </w:r>
    </w:p>
    <w:p w14:paraId="3674BA2F"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providing information and briefing material for DFAT officials and elected representatives as required, including for formal policy dialogue at bilateral and regional events, in language suitable for distribution within DFAT, between departments and with other donors;</w:t>
      </w:r>
    </w:p>
    <w:p w14:paraId="37176694"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developing research reports that draw on monitoring and evaluation data; </w:t>
      </w:r>
    </w:p>
    <w:p w14:paraId="17C71CE0"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managing and supporting media field visits to AHP projects; </w:t>
      </w:r>
    </w:p>
    <w:p w14:paraId="4CAB806F"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developing and maintaining a central AHP database accessible by all partners; and</w:t>
      </w:r>
    </w:p>
    <w:p w14:paraId="6A6B11F7"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supporting communications capacity of AHP partners and local organisations.</w:t>
      </w:r>
    </w:p>
    <w:p w14:paraId="289D234C" w14:textId="278C0E21" w:rsidR="00533537" w:rsidRPr="00F40015" w:rsidRDefault="00533537" w:rsidP="0011591E">
      <w:pPr>
        <w:pStyle w:val="ListParagraph"/>
        <w:numPr>
          <w:ilvl w:val="1"/>
          <w:numId w:val="44"/>
        </w:numPr>
        <w:spacing w:after="0" w:line="240" w:lineRule="auto"/>
        <w:contextualSpacing w:val="0"/>
        <w:rPr>
          <w:rFonts w:cstheme="minorHAnsi"/>
          <w:lang w:val="en-AU"/>
        </w:rPr>
      </w:pPr>
      <w:r w:rsidRPr="00F40015">
        <w:rPr>
          <w:rFonts w:cstheme="minorHAnsi"/>
          <w:lang w:val="en-AU"/>
        </w:rPr>
        <w:lastRenderedPageBreak/>
        <w:t xml:space="preserve">The AHPSU will develop an AHP Communications and Knowledge Brokering Strategy in consultation with DFAT and the ANGOs. The Strategy will </w:t>
      </w:r>
      <w:bookmarkStart w:id="107" w:name="_Hlk86310476"/>
      <w:r w:rsidRPr="00F40015">
        <w:rPr>
          <w:rFonts w:cstheme="minorHAnsi"/>
          <w:lang w:val="en-AU"/>
        </w:rPr>
        <w:t>include a summary of key communications and knowledge brokering objectives for the AHP (consistent with EOPO 3), an analysis of audiences, stakeholders and communication channels, clear roles, responsibilities and ways of working, key messages, and a forward content and activity plan. The Strategy must also include a communications pack with communication protocols to guide communication activities in the lead up to, during and after a humanitarian response, and branding, case study and photography guidelines</w:t>
      </w:r>
      <w:bookmarkEnd w:id="107"/>
      <w:r w:rsidRPr="00F40015">
        <w:rPr>
          <w:rFonts w:cstheme="minorHAnsi"/>
          <w:lang w:val="en-AU"/>
        </w:rPr>
        <w:t xml:space="preserve">. </w:t>
      </w:r>
    </w:p>
    <w:p w14:paraId="2F5FEA09" w14:textId="77777777" w:rsidR="00533537" w:rsidRPr="00F40015" w:rsidRDefault="00533537" w:rsidP="0011591E">
      <w:pPr>
        <w:pStyle w:val="ListParagraph"/>
        <w:numPr>
          <w:ilvl w:val="1"/>
          <w:numId w:val="44"/>
        </w:numPr>
        <w:spacing w:after="0" w:line="240" w:lineRule="auto"/>
        <w:contextualSpacing w:val="0"/>
        <w:rPr>
          <w:rFonts w:cstheme="minorHAnsi"/>
          <w:lang w:val="en-AU"/>
        </w:rPr>
      </w:pPr>
      <w:r w:rsidRPr="00F40015">
        <w:rPr>
          <w:rFonts w:cstheme="minorHAnsi"/>
          <w:lang w:val="en-AU"/>
        </w:rPr>
        <w:t xml:space="preserve">During a response, the AHPSU will gather information from AHP NGOs as responses are assembled and provide comprehensive materials to DFAT to enable informed reporting internally and externally. </w:t>
      </w:r>
    </w:p>
    <w:p w14:paraId="13B3986C" w14:textId="77777777" w:rsidR="00533537" w:rsidRPr="00F40015" w:rsidRDefault="00533537" w:rsidP="0011591E">
      <w:pPr>
        <w:pStyle w:val="ListParagraph"/>
        <w:numPr>
          <w:ilvl w:val="0"/>
          <w:numId w:val="44"/>
        </w:numPr>
        <w:spacing w:after="0" w:line="240" w:lineRule="auto"/>
        <w:contextualSpacing w:val="0"/>
        <w:rPr>
          <w:rFonts w:cstheme="minorHAnsi"/>
          <w:b/>
          <w:bCs/>
        </w:rPr>
      </w:pPr>
      <w:r w:rsidRPr="00F40015">
        <w:rPr>
          <w:rFonts w:cstheme="minorHAnsi"/>
          <w:b/>
          <w:bCs/>
        </w:rPr>
        <w:t>RISK MANAGEMENT</w:t>
      </w:r>
    </w:p>
    <w:p w14:paraId="6BEB13E4" w14:textId="77777777" w:rsidR="00533537" w:rsidRPr="00F40015" w:rsidRDefault="00533537" w:rsidP="0011591E">
      <w:pPr>
        <w:pStyle w:val="ListParagraph"/>
        <w:numPr>
          <w:ilvl w:val="1"/>
          <w:numId w:val="44"/>
        </w:numPr>
        <w:spacing w:after="0" w:line="240" w:lineRule="auto"/>
        <w:contextualSpacing w:val="0"/>
        <w:rPr>
          <w:rFonts w:cstheme="minorHAnsi"/>
          <w:lang w:val="en-AU" w:eastAsia="en-AU"/>
        </w:rPr>
      </w:pPr>
      <w:r w:rsidRPr="00F40015">
        <w:rPr>
          <w:rFonts w:cstheme="minorHAnsi"/>
          <w:lang w:val="en-AU" w:eastAsia="en-AU"/>
        </w:rPr>
        <w:t xml:space="preserve">The Contractor will comply with all DFAT policies and reporting requirements relating to the </w:t>
      </w:r>
      <w:r w:rsidRPr="00F40015">
        <w:rPr>
          <w:rFonts w:cstheme="minorHAnsi"/>
          <w:lang w:val="en-AU"/>
        </w:rPr>
        <w:t>management</w:t>
      </w:r>
      <w:r w:rsidRPr="00F40015">
        <w:rPr>
          <w:rFonts w:cstheme="minorHAnsi"/>
          <w:lang w:val="en-AU" w:eastAsia="en-AU"/>
        </w:rPr>
        <w:t xml:space="preserve"> of risks and safeguards.</w:t>
      </w:r>
    </w:p>
    <w:p w14:paraId="3466F58F" w14:textId="77777777" w:rsidR="00533537" w:rsidRPr="00F40015" w:rsidRDefault="00533537" w:rsidP="0011591E">
      <w:pPr>
        <w:pStyle w:val="ListParagraph"/>
        <w:numPr>
          <w:ilvl w:val="1"/>
          <w:numId w:val="44"/>
        </w:numPr>
        <w:spacing w:after="0" w:line="240" w:lineRule="auto"/>
        <w:contextualSpacing w:val="0"/>
        <w:rPr>
          <w:rFonts w:cstheme="minorHAnsi"/>
          <w:lang w:val="en-AU" w:eastAsia="en-AU"/>
        </w:rPr>
      </w:pPr>
      <w:r w:rsidRPr="00F40015">
        <w:rPr>
          <w:rFonts w:cstheme="minorHAnsi"/>
          <w:lang w:val="en-AU" w:eastAsia="en-AU"/>
        </w:rPr>
        <w:t xml:space="preserve">The Contractor will be responsible for monitoring Partnership-level risks, including governance, </w:t>
      </w:r>
      <w:r w:rsidRPr="00F40015">
        <w:rPr>
          <w:rFonts w:cstheme="minorHAnsi"/>
          <w:lang w:val="en-AU"/>
        </w:rPr>
        <w:t>coordination</w:t>
      </w:r>
      <w:r w:rsidRPr="00F40015">
        <w:rPr>
          <w:rFonts w:cstheme="minorHAnsi"/>
          <w:lang w:val="en-AU" w:eastAsia="en-AU"/>
        </w:rPr>
        <w:t>, relationship, operating risks, and will:</w:t>
      </w:r>
    </w:p>
    <w:p w14:paraId="6CE73FCB"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Develop and maintain a Partnership-level risk register and management plan, which is reviewed on a minimum six (6) monthly basis using safeguard screening and monitoring protocols;</w:t>
      </w:r>
    </w:p>
    <w:p w14:paraId="7E874E92"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bookmarkStart w:id="108" w:name="_Hlk92876494"/>
      <w:r w:rsidRPr="00F40015">
        <w:rPr>
          <w:rFonts w:cstheme="minorHAnsi"/>
          <w:lang w:val="en-AU"/>
        </w:rPr>
        <w:t>keep DFAT regularly informed of emerging risks and risk escalation; and</w:t>
      </w:r>
    </w:p>
    <w:p w14:paraId="27DE32BF"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monitor and/or manage delivery of mitigation measures to reduce risks</w:t>
      </w:r>
      <w:bookmarkEnd w:id="108"/>
      <w:r w:rsidRPr="00F40015">
        <w:rPr>
          <w:rFonts w:cstheme="minorHAnsi"/>
          <w:lang w:val="en-AU"/>
        </w:rPr>
        <w:t xml:space="preserve"> (as appropriate depending on the risk owner).</w:t>
      </w:r>
    </w:p>
    <w:p w14:paraId="124D9F08" w14:textId="77777777" w:rsidR="00533537" w:rsidRPr="00F40015" w:rsidRDefault="00533537" w:rsidP="0011591E">
      <w:pPr>
        <w:pStyle w:val="ListParagraph"/>
        <w:numPr>
          <w:ilvl w:val="2"/>
          <w:numId w:val="44"/>
        </w:numPr>
        <w:spacing w:after="0" w:line="240" w:lineRule="auto"/>
        <w:contextualSpacing w:val="0"/>
        <w:rPr>
          <w:rFonts w:cstheme="minorHAnsi"/>
          <w:lang w:val="en-AU"/>
        </w:rPr>
      </w:pPr>
      <w:r w:rsidRPr="00F40015">
        <w:rPr>
          <w:rFonts w:cstheme="minorHAnsi"/>
          <w:lang w:val="en-AU"/>
        </w:rPr>
        <w:t xml:space="preserve">This risk management plan must be discussed with AHP NGOs and relevant stakeholders through the AHP meetings as required. </w:t>
      </w:r>
    </w:p>
    <w:p w14:paraId="46DAC0FC" w14:textId="149FF7D3" w:rsidR="00533537" w:rsidRPr="00F40015" w:rsidRDefault="00533537" w:rsidP="0011591E">
      <w:pPr>
        <w:pStyle w:val="ListParagraph"/>
        <w:numPr>
          <w:ilvl w:val="1"/>
          <w:numId w:val="44"/>
        </w:numPr>
        <w:spacing w:after="0" w:line="240" w:lineRule="auto"/>
        <w:contextualSpacing w:val="0"/>
        <w:rPr>
          <w:rFonts w:cstheme="minorHAnsi"/>
          <w:lang w:val="en-AU" w:eastAsia="en-AU"/>
        </w:rPr>
      </w:pPr>
      <w:r w:rsidRPr="00F40015">
        <w:rPr>
          <w:rFonts w:cstheme="minorHAnsi"/>
          <w:lang w:val="en-AU" w:eastAsia="en-AU"/>
        </w:rPr>
        <w:t xml:space="preserve">The Contractor will implement an Administrative Controls Framework to monitor </w:t>
      </w:r>
      <w:r w:rsidRPr="00F40015">
        <w:rPr>
          <w:rFonts w:cstheme="minorHAnsi"/>
          <w:lang w:val="en-AU"/>
        </w:rPr>
        <w:t>Administrative</w:t>
      </w:r>
      <w:r w:rsidRPr="00F40015">
        <w:rPr>
          <w:rFonts w:cstheme="minorHAnsi"/>
          <w:lang w:val="en-AU" w:eastAsia="en-AU"/>
        </w:rPr>
        <w:t xml:space="preserve"> Grant Recipient compliance with DFAT’s risk management and safeguarding requirements in accordance with the Deed. </w:t>
      </w:r>
    </w:p>
    <w:p w14:paraId="47062A14" w14:textId="1041C14D" w:rsidR="00025457" w:rsidRPr="00B33E61" w:rsidRDefault="00025457" w:rsidP="00B33E61">
      <w:pPr>
        <w:rPr>
          <w:rFonts w:asciiTheme="majorHAnsi" w:eastAsiaTheme="majorEastAsia" w:hAnsiTheme="majorHAnsi" w:cstheme="majorBidi"/>
          <w:b/>
          <w:bCs/>
          <w:caps/>
        </w:rPr>
      </w:pPr>
    </w:p>
    <w:sectPr w:rsidR="00025457" w:rsidRPr="00B33E61" w:rsidSect="00F9169D">
      <w:headerReference w:type="even" r:id="rId24"/>
      <w:footerReference w:type="even" r:id="rId25"/>
      <w:footerReference w:type="default" r:id="rId26"/>
      <w:headerReference w:type="first" r:id="rId27"/>
      <w:footerReference w:type="first" r:id="rId2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832E" w14:textId="77777777" w:rsidR="009374DF" w:rsidRDefault="009374DF" w:rsidP="00D37B04">
      <w:r>
        <w:separator/>
      </w:r>
    </w:p>
  </w:endnote>
  <w:endnote w:type="continuationSeparator" w:id="0">
    <w:p w14:paraId="5DD6F3E9" w14:textId="77777777" w:rsidR="009374DF" w:rsidRDefault="009374DF"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Roboto-Regular">
    <w:altName w:val="Robot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494818"/>
      <w:docPartObj>
        <w:docPartGallery w:val="Page Numbers (Bottom of Page)"/>
        <w:docPartUnique/>
      </w:docPartObj>
    </w:sdtPr>
    <w:sdtEndPr>
      <w:rPr>
        <w:noProof/>
        <w:color w:val="auto"/>
      </w:rPr>
    </w:sdtEndPr>
    <w:sdtContent>
      <w:p w14:paraId="523CB501" w14:textId="77777777" w:rsidR="00673397" w:rsidRDefault="00673397">
        <w:pPr>
          <w:pStyle w:val="Footer"/>
          <w:jc w:val="center"/>
          <w:rPr>
            <w:noProof/>
            <w:color w:val="auto"/>
          </w:rPr>
        </w:pPr>
        <w:r w:rsidRPr="00083C66">
          <w:rPr>
            <w:color w:val="auto"/>
          </w:rPr>
          <w:fldChar w:fldCharType="begin"/>
        </w:r>
        <w:r w:rsidRPr="00083C66">
          <w:rPr>
            <w:color w:val="auto"/>
          </w:rPr>
          <w:instrText xml:space="preserve"> PAGE   \* MERGEFORMAT </w:instrText>
        </w:r>
        <w:r w:rsidRPr="00083C66">
          <w:rPr>
            <w:color w:val="auto"/>
          </w:rPr>
          <w:fldChar w:fldCharType="separate"/>
        </w:r>
        <w:r w:rsidRPr="00083C66">
          <w:rPr>
            <w:noProof/>
            <w:color w:val="auto"/>
          </w:rPr>
          <w:t>2</w:t>
        </w:r>
        <w:r w:rsidRPr="00083C66">
          <w:rPr>
            <w:noProof/>
            <w:color w:val="auto"/>
          </w:rPr>
          <w:fldChar w:fldCharType="end"/>
        </w:r>
      </w:p>
      <w:p w14:paraId="7C597123" w14:textId="34E95159" w:rsidR="00673397" w:rsidRPr="00083C66" w:rsidRDefault="009374DF">
        <w:pPr>
          <w:pStyle w:val="Footer"/>
          <w:jc w:val="center"/>
          <w:rPr>
            <w:color w:val="auto"/>
          </w:rPr>
        </w:pPr>
      </w:p>
    </w:sdtContent>
  </w:sdt>
  <w:p w14:paraId="2825E0C1" w14:textId="77777777" w:rsidR="00673397" w:rsidRPr="00766743" w:rsidRDefault="00673397" w:rsidP="00FC322F">
    <w:pPr>
      <w:pStyle w:val="Footer"/>
      <w:rPr>
        <w:b/>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106151"/>
      <w:docPartObj>
        <w:docPartGallery w:val="Page Numbers (Bottom of Page)"/>
        <w:docPartUnique/>
      </w:docPartObj>
    </w:sdtPr>
    <w:sdtEndPr>
      <w:rPr>
        <w:noProof/>
        <w:color w:val="auto"/>
      </w:rPr>
    </w:sdtEndPr>
    <w:sdtContent>
      <w:p w14:paraId="46DEB13A" w14:textId="105AD373" w:rsidR="00673397" w:rsidRDefault="00673397" w:rsidP="00083C66">
        <w:pPr>
          <w:pStyle w:val="Footer"/>
          <w:spacing w:after="100" w:afterAutospacing="1"/>
          <w:jc w:val="center"/>
          <w:rPr>
            <w:noProof/>
            <w:color w:val="auto"/>
          </w:rPr>
        </w:pPr>
        <w:r w:rsidRPr="009F5A62">
          <w:rPr>
            <w:color w:val="auto"/>
          </w:rPr>
          <w:fldChar w:fldCharType="begin"/>
        </w:r>
        <w:r w:rsidRPr="009F5A62">
          <w:rPr>
            <w:color w:val="auto"/>
          </w:rPr>
          <w:instrText xml:space="preserve"> PAGE   \* MERGEFORMAT </w:instrText>
        </w:r>
        <w:r w:rsidRPr="009F5A62">
          <w:rPr>
            <w:color w:val="auto"/>
          </w:rPr>
          <w:fldChar w:fldCharType="separate"/>
        </w:r>
        <w:r w:rsidRPr="009F5A62">
          <w:rPr>
            <w:noProof/>
            <w:color w:val="auto"/>
          </w:rPr>
          <w:t>2</w:t>
        </w:r>
        <w:r w:rsidRPr="009F5A62">
          <w:rPr>
            <w:noProof/>
            <w:color w:val="auto"/>
          </w:rPr>
          <w:fldChar w:fldCharType="end"/>
        </w:r>
      </w:p>
    </w:sdtContent>
  </w:sdt>
  <w:p w14:paraId="298B83B7" w14:textId="77777777" w:rsidR="00673397" w:rsidRPr="00FC322F" w:rsidRDefault="00673397"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042519"/>
      <w:docPartObj>
        <w:docPartGallery w:val="Page Numbers (Bottom of Page)"/>
        <w:docPartUnique/>
      </w:docPartObj>
    </w:sdtPr>
    <w:sdtEndPr>
      <w:rPr>
        <w:noProof/>
      </w:rPr>
    </w:sdtEndPr>
    <w:sdtContent>
      <w:p w14:paraId="705D6D13" w14:textId="77777777" w:rsidR="00673397" w:rsidRPr="00083C66" w:rsidRDefault="00673397">
        <w:pPr>
          <w:pStyle w:val="Footer"/>
          <w:jc w:val="center"/>
          <w:rPr>
            <w:noProof/>
            <w:color w:val="auto"/>
          </w:rPr>
        </w:pPr>
        <w:r w:rsidRPr="00083C66">
          <w:rPr>
            <w:color w:val="auto"/>
          </w:rPr>
          <w:fldChar w:fldCharType="begin"/>
        </w:r>
        <w:r w:rsidRPr="00083C66">
          <w:rPr>
            <w:color w:val="auto"/>
          </w:rPr>
          <w:instrText xml:space="preserve"> PAGE   \* MERGEFORMAT </w:instrText>
        </w:r>
        <w:r w:rsidRPr="00083C66">
          <w:rPr>
            <w:color w:val="auto"/>
          </w:rPr>
          <w:fldChar w:fldCharType="separate"/>
        </w:r>
        <w:r w:rsidRPr="00083C66">
          <w:rPr>
            <w:noProof/>
            <w:color w:val="auto"/>
          </w:rPr>
          <w:t>2</w:t>
        </w:r>
        <w:r w:rsidRPr="00083C66">
          <w:rPr>
            <w:noProof/>
            <w:color w:val="auto"/>
          </w:rPr>
          <w:fldChar w:fldCharType="end"/>
        </w:r>
      </w:p>
      <w:p w14:paraId="1A2CAD51" w14:textId="11F147D5" w:rsidR="00673397" w:rsidRDefault="009374DF">
        <w:pPr>
          <w:pStyle w:val="Footer"/>
          <w:jc w:val="center"/>
        </w:pPr>
      </w:p>
    </w:sdtContent>
  </w:sdt>
  <w:p w14:paraId="58BF4C9B" w14:textId="77777777" w:rsidR="00673397" w:rsidRPr="00766743" w:rsidRDefault="00673397" w:rsidP="00FC322F">
    <w:pPr>
      <w:pStyle w:val="Footer"/>
      <w:rPr>
        <w:b/>
        <w:u w:val="singl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6DE9" w14:textId="77777777" w:rsidR="00673397" w:rsidRPr="00FC322F" w:rsidRDefault="00673397" w:rsidP="00FC322F">
    <w:pPr>
      <w:pStyle w:val="Footer"/>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778953"/>
      <w:docPartObj>
        <w:docPartGallery w:val="Page Numbers (Bottom of Page)"/>
        <w:docPartUnique/>
      </w:docPartObj>
    </w:sdtPr>
    <w:sdtEndPr>
      <w:rPr>
        <w:noProof/>
      </w:rPr>
    </w:sdtEndPr>
    <w:sdtContent>
      <w:p w14:paraId="23BFCE22" w14:textId="77777777" w:rsidR="00673397" w:rsidRDefault="00673397">
        <w:pPr>
          <w:pStyle w:val="Footer"/>
          <w:jc w:val="center"/>
          <w:rPr>
            <w:noProof/>
            <w:color w:val="auto"/>
          </w:rPr>
        </w:pPr>
        <w:r w:rsidRPr="00083C66">
          <w:rPr>
            <w:color w:val="auto"/>
          </w:rPr>
          <w:fldChar w:fldCharType="begin"/>
        </w:r>
        <w:r w:rsidRPr="00083C66">
          <w:rPr>
            <w:color w:val="auto"/>
          </w:rPr>
          <w:instrText xml:space="preserve"> PAGE   \* MERGEFORMAT </w:instrText>
        </w:r>
        <w:r w:rsidRPr="00083C66">
          <w:rPr>
            <w:color w:val="auto"/>
          </w:rPr>
          <w:fldChar w:fldCharType="separate"/>
        </w:r>
        <w:r w:rsidRPr="00083C66">
          <w:rPr>
            <w:noProof/>
            <w:color w:val="auto"/>
          </w:rPr>
          <w:t>2</w:t>
        </w:r>
        <w:r w:rsidRPr="00083C66">
          <w:rPr>
            <w:noProof/>
            <w:color w:val="auto"/>
          </w:rPr>
          <w:fldChar w:fldCharType="end"/>
        </w:r>
      </w:p>
      <w:p w14:paraId="65DF8288" w14:textId="51A78C57" w:rsidR="00673397" w:rsidRDefault="009374DF">
        <w:pPr>
          <w:pStyle w:val="Footer"/>
          <w:jc w:val="center"/>
        </w:pPr>
      </w:p>
    </w:sdtContent>
  </w:sdt>
  <w:p w14:paraId="02E2C8FD" w14:textId="0819EE81" w:rsidR="00673397" w:rsidRPr="00766743" w:rsidRDefault="00673397" w:rsidP="004B6773">
    <w:pPr>
      <w:pStyle w:val="Footer"/>
      <w:tabs>
        <w:tab w:val="left" w:pos="3735"/>
      </w:tabs>
      <w:rPr>
        <w:b/>
        <w:u w:val="singl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627806"/>
      <w:docPartObj>
        <w:docPartGallery w:val="Page Numbers (Bottom of Page)"/>
        <w:docPartUnique/>
      </w:docPartObj>
    </w:sdtPr>
    <w:sdtEndPr>
      <w:rPr>
        <w:noProof/>
      </w:rPr>
    </w:sdtEndPr>
    <w:sdtContent>
      <w:p w14:paraId="4B11FD81" w14:textId="56DA1A2C" w:rsidR="00673397" w:rsidRDefault="00673397">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0C3712FC" w14:textId="77777777" w:rsidR="00673397" w:rsidRPr="00FC322F" w:rsidRDefault="00673397" w:rsidP="00FC322F">
    <w:pPr>
      <w:pStyle w:val="Footer"/>
      <w:rPr>
        <w:b/>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0B28" w14:textId="77777777" w:rsidR="00673397" w:rsidRDefault="006733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894443"/>
      <w:docPartObj>
        <w:docPartGallery w:val="Page Numbers (Bottom of Page)"/>
        <w:docPartUnique/>
      </w:docPartObj>
    </w:sdtPr>
    <w:sdtEndPr>
      <w:rPr>
        <w:noProof/>
        <w:color w:val="auto"/>
      </w:rPr>
    </w:sdtEndPr>
    <w:sdtContent>
      <w:p w14:paraId="79335999" w14:textId="755BB04E" w:rsidR="00673397" w:rsidRDefault="00673397">
        <w:pPr>
          <w:pStyle w:val="Footer"/>
          <w:jc w:val="center"/>
        </w:pPr>
        <w:r w:rsidRPr="00256CCF">
          <w:rPr>
            <w:color w:val="auto"/>
          </w:rPr>
          <w:fldChar w:fldCharType="begin"/>
        </w:r>
        <w:r w:rsidRPr="00256CCF">
          <w:rPr>
            <w:color w:val="auto"/>
          </w:rPr>
          <w:instrText xml:space="preserve"> PAGE   \* MERGEFORMAT </w:instrText>
        </w:r>
        <w:r w:rsidRPr="00256CCF">
          <w:rPr>
            <w:color w:val="auto"/>
          </w:rPr>
          <w:fldChar w:fldCharType="separate"/>
        </w:r>
        <w:r w:rsidRPr="00256CCF">
          <w:rPr>
            <w:noProof/>
            <w:color w:val="auto"/>
          </w:rPr>
          <w:t>2</w:t>
        </w:r>
        <w:r w:rsidRPr="00256CCF">
          <w:rPr>
            <w:noProof/>
            <w:color w:val="auto"/>
          </w:rPr>
          <w:fldChar w:fldCharType="end"/>
        </w:r>
      </w:p>
    </w:sdtContent>
  </w:sdt>
  <w:p w14:paraId="3CF21BAD" w14:textId="7428BE13" w:rsidR="00673397" w:rsidRDefault="00673397" w:rsidP="005B1D6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BC56" w14:textId="77777777" w:rsidR="00673397" w:rsidRDefault="00673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0372" w14:textId="77777777" w:rsidR="009374DF" w:rsidRPr="008C5A0E" w:rsidRDefault="009374DF" w:rsidP="00D37B04">
      <w:pPr>
        <w:pStyle w:val="Footer"/>
      </w:pPr>
    </w:p>
  </w:footnote>
  <w:footnote w:type="continuationSeparator" w:id="0">
    <w:p w14:paraId="587171D5" w14:textId="77777777" w:rsidR="009374DF" w:rsidRDefault="009374DF" w:rsidP="00D37B04">
      <w:r>
        <w:continuationSeparator/>
      </w:r>
    </w:p>
  </w:footnote>
  <w:footnote w:id="1">
    <w:p w14:paraId="44FB6C68" w14:textId="77777777" w:rsidR="00673397" w:rsidRPr="00FF3D91" w:rsidRDefault="00673397" w:rsidP="005F524C">
      <w:pPr>
        <w:pStyle w:val="FootnoteText"/>
        <w:rPr>
          <w:sz w:val="18"/>
          <w:szCs w:val="18"/>
        </w:rPr>
      </w:pPr>
      <w:r w:rsidRPr="00FF3D91">
        <w:rPr>
          <w:rStyle w:val="FootnoteReference"/>
          <w:sz w:val="18"/>
          <w:szCs w:val="18"/>
        </w:rPr>
        <w:footnoteRef/>
      </w:r>
      <w:r w:rsidRPr="00FF3D91">
        <w:rPr>
          <w:sz w:val="18"/>
          <w:szCs w:val="18"/>
        </w:rPr>
        <w:t xml:space="preserve"> AHP builds on a predecessor program, the DFAT-NGO Humanitarian Partnership Agreement which operated for six years. </w:t>
      </w:r>
    </w:p>
  </w:footnote>
  <w:footnote w:id="2">
    <w:p w14:paraId="1ACD1466" w14:textId="7FD38786" w:rsidR="00673397" w:rsidRPr="005B092D" w:rsidRDefault="00673397">
      <w:pPr>
        <w:pStyle w:val="FootnoteText"/>
        <w:rPr>
          <w:sz w:val="16"/>
          <w:szCs w:val="16"/>
          <w:lang w:val="en-AU"/>
        </w:rPr>
      </w:pPr>
      <w:r w:rsidRPr="005B092D">
        <w:rPr>
          <w:rStyle w:val="FootnoteReference"/>
          <w:sz w:val="16"/>
          <w:szCs w:val="16"/>
        </w:rPr>
        <w:footnoteRef/>
      </w:r>
      <w:r w:rsidRPr="005B092D">
        <w:rPr>
          <w:sz w:val="16"/>
          <w:szCs w:val="16"/>
        </w:rPr>
        <w:t xml:space="preserve"> </w:t>
      </w:r>
      <w:r w:rsidRPr="005B092D">
        <w:rPr>
          <w:sz w:val="18"/>
          <w:szCs w:val="18"/>
        </w:rPr>
        <w:t xml:space="preserve">In addition to the lead ANGOs and their consortia partners, AHP NGO Partners </w:t>
      </w:r>
      <w:r w:rsidRPr="00D10910">
        <w:rPr>
          <w:sz w:val="18"/>
          <w:szCs w:val="18"/>
        </w:rPr>
        <w:t xml:space="preserve">also include </w:t>
      </w:r>
      <w:r w:rsidRPr="005B092D">
        <w:rPr>
          <w:sz w:val="18"/>
          <w:szCs w:val="18"/>
        </w:rPr>
        <w:t>local partners</w:t>
      </w:r>
      <w:r w:rsidRPr="00D10910">
        <w:rPr>
          <w:sz w:val="18"/>
          <w:szCs w:val="18"/>
        </w:rPr>
        <w:t xml:space="preserve"> (national NGOs or CBOs)</w:t>
      </w:r>
      <w:r>
        <w:rPr>
          <w:sz w:val="18"/>
          <w:szCs w:val="18"/>
        </w:rPr>
        <w:t xml:space="preserve"> who are engaged on a case-by-case basis</w:t>
      </w:r>
    </w:p>
  </w:footnote>
  <w:footnote w:id="3">
    <w:p w14:paraId="4594BAB1" w14:textId="4692E2B2" w:rsidR="00673397" w:rsidRPr="005B092D" w:rsidRDefault="00673397">
      <w:pPr>
        <w:pStyle w:val="FootnoteText"/>
        <w:rPr>
          <w:lang w:val="en-AU"/>
        </w:rPr>
      </w:pPr>
      <w:r w:rsidRPr="005B092D">
        <w:rPr>
          <w:rStyle w:val="FootnoteReference"/>
          <w:sz w:val="18"/>
          <w:szCs w:val="18"/>
        </w:rPr>
        <w:footnoteRef/>
      </w:r>
      <w:r w:rsidRPr="005B092D">
        <w:rPr>
          <w:sz w:val="18"/>
          <w:szCs w:val="18"/>
        </w:rPr>
        <w:t xml:space="preserve"> Australian Humanitarian Partnership (AHP) Mid-Term Evaluation (2020) and Management Response (2021)</w:t>
      </w:r>
      <w:r>
        <w:t xml:space="preserve"> </w:t>
      </w:r>
    </w:p>
  </w:footnote>
  <w:footnote w:id="4">
    <w:p w14:paraId="2E89D0A3" w14:textId="4E6C1B8A" w:rsidR="00673397" w:rsidRPr="003E2C60" w:rsidRDefault="00673397">
      <w:pPr>
        <w:pStyle w:val="FootnoteText"/>
        <w:rPr>
          <w:lang w:val="en-AU"/>
        </w:rPr>
      </w:pPr>
      <w:r>
        <w:rPr>
          <w:rStyle w:val="FootnoteReference"/>
        </w:rPr>
        <w:footnoteRef/>
      </w:r>
      <w:r>
        <w:t xml:space="preserve"> </w:t>
      </w:r>
      <w:bookmarkStart w:id="14" w:name="_Hlk95468369"/>
      <w:r w:rsidRPr="00FF3D91">
        <w:rPr>
          <w:sz w:val="18"/>
          <w:szCs w:val="18"/>
        </w:rPr>
        <w:t>OCHA (202</w:t>
      </w:r>
      <w:r>
        <w:rPr>
          <w:sz w:val="18"/>
          <w:szCs w:val="18"/>
        </w:rPr>
        <w:t>2</w:t>
      </w:r>
      <w:r w:rsidRPr="00FF3D91">
        <w:rPr>
          <w:sz w:val="18"/>
          <w:szCs w:val="18"/>
        </w:rPr>
        <w:t>) ‘Global Humanitarian Overview’</w:t>
      </w:r>
      <w:bookmarkEnd w:id="14"/>
    </w:p>
  </w:footnote>
  <w:footnote w:id="5">
    <w:p w14:paraId="0B7C0CFF" w14:textId="040A6EFC" w:rsidR="00673397" w:rsidRPr="003E2C60" w:rsidRDefault="00673397">
      <w:pPr>
        <w:pStyle w:val="FootnoteText"/>
        <w:rPr>
          <w:lang w:val="en-AU"/>
        </w:rPr>
      </w:pPr>
      <w:r>
        <w:rPr>
          <w:rStyle w:val="FootnoteReference"/>
        </w:rPr>
        <w:footnoteRef/>
      </w:r>
      <w:r>
        <w:t xml:space="preserve"> </w:t>
      </w:r>
      <w:r w:rsidRPr="00FF3D91">
        <w:rPr>
          <w:sz w:val="18"/>
          <w:szCs w:val="18"/>
        </w:rPr>
        <w:t>OCHA (202</w:t>
      </w:r>
      <w:r>
        <w:rPr>
          <w:sz w:val="18"/>
          <w:szCs w:val="18"/>
        </w:rPr>
        <w:t>2</w:t>
      </w:r>
      <w:r w:rsidRPr="00FF3D91">
        <w:rPr>
          <w:sz w:val="18"/>
          <w:szCs w:val="18"/>
        </w:rPr>
        <w:t>) ‘Global Humanitarian Overview’</w:t>
      </w:r>
    </w:p>
  </w:footnote>
  <w:footnote w:id="6">
    <w:p w14:paraId="44501D93" w14:textId="77777777" w:rsidR="00673397" w:rsidRPr="00FF3D91" w:rsidRDefault="00673397" w:rsidP="006F3AF5">
      <w:pPr>
        <w:pStyle w:val="FootnoteText"/>
        <w:rPr>
          <w:sz w:val="18"/>
          <w:szCs w:val="18"/>
        </w:rPr>
      </w:pPr>
      <w:r w:rsidRPr="00FF3D91">
        <w:rPr>
          <w:rStyle w:val="FootnoteReference"/>
          <w:sz w:val="18"/>
          <w:szCs w:val="18"/>
        </w:rPr>
        <w:footnoteRef/>
      </w:r>
      <w:r w:rsidRPr="00FF3D91">
        <w:rPr>
          <w:sz w:val="18"/>
          <w:szCs w:val="18"/>
        </w:rPr>
        <w:t xml:space="preserve"> UNDRR Update, 27 January 2021. </w:t>
      </w:r>
    </w:p>
  </w:footnote>
  <w:footnote w:id="7">
    <w:p w14:paraId="69718784" w14:textId="77777777" w:rsidR="00673397" w:rsidRPr="00FF3D91" w:rsidRDefault="00673397" w:rsidP="006F3AF5">
      <w:pPr>
        <w:pStyle w:val="FootnoteText"/>
        <w:rPr>
          <w:sz w:val="18"/>
          <w:szCs w:val="18"/>
        </w:rPr>
      </w:pPr>
      <w:r w:rsidRPr="00FF3D91">
        <w:rPr>
          <w:rStyle w:val="FootnoteReference"/>
          <w:sz w:val="18"/>
          <w:szCs w:val="18"/>
        </w:rPr>
        <w:footnoteRef/>
      </w:r>
      <w:r w:rsidRPr="00FF3D91">
        <w:rPr>
          <w:sz w:val="18"/>
          <w:szCs w:val="18"/>
        </w:rPr>
        <w:t xml:space="preserve"> Asia-Pacific Disaster Report, 2021</w:t>
      </w:r>
    </w:p>
  </w:footnote>
  <w:footnote w:id="8">
    <w:p w14:paraId="428487D5" w14:textId="380ECECC" w:rsidR="00673397" w:rsidRPr="00AF15AF" w:rsidRDefault="00673397" w:rsidP="00AF15AF">
      <w:pPr>
        <w:pStyle w:val="FootnoteText"/>
        <w:rPr>
          <w:sz w:val="18"/>
          <w:szCs w:val="18"/>
        </w:rPr>
      </w:pPr>
      <w:r w:rsidRPr="00AF15AF">
        <w:rPr>
          <w:rStyle w:val="FootnoteReference"/>
          <w:sz w:val="18"/>
          <w:szCs w:val="18"/>
        </w:rPr>
        <w:footnoteRef/>
      </w:r>
      <w:r w:rsidRPr="00AF15AF">
        <w:rPr>
          <w:sz w:val="18"/>
          <w:szCs w:val="18"/>
        </w:rPr>
        <w:t xml:space="preserve"> Resilience is</w:t>
      </w:r>
      <w:r>
        <w:rPr>
          <w:sz w:val="18"/>
          <w:szCs w:val="18"/>
        </w:rPr>
        <w:t xml:space="preserve"> defined as the capacity of communities to proactively and inclusively manage disaster risks</w:t>
      </w:r>
    </w:p>
  </w:footnote>
  <w:footnote w:id="9">
    <w:p w14:paraId="5131F13D" w14:textId="46776BD9" w:rsidR="00673397" w:rsidRPr="005B092D" w:rsidRDefault="00673397">
      <w:pPr>
        <w:pStyle w:val="FootnoteText"/>
        <w:rPr>
          <w:lang w:val="en-AU"/>
        </w:rPr>
      </w:pPr>
      <w:r w:rsidRPr="005B092D">
        <w:rPr>
          <w:rStyle w:val="FootnoteReference"/>
          <w:sz w:val="18"/>
          <w:szCs w:val="18"/>
        </w:rPr>
        <w:footnoteRef/>
      </w:r>
      <w:r>
        <w:t xml:space="preserve"> </w:t>
      </w:r>
      <w:r>
        <w:rPr>
          <w:sz w:val="18"/>
          <w:szCs w:val="18"/>
          <w:lang w:val="en-AU"/>
        </w:rPr>
        <w:t>T</w:t>
      </w:r>
      <w:r w:rsidRPr="005B092D">
        <w:rPr>
          <w:sz w:val="18"/>
          <w:szCs w:val="18"/>
          <w:lang w:val="en-AU"/>
        </w:rPr>
        <w:t>he transition or overlap between the delivery of humanitarian assistance and the provision of long-term development assistance</w:t>
      </w:r>
      <w:r w:rsidRPr="00715F47">
        <w:rPr>
          <w:sz w:val="18"/>
          <w:szCs w:val="18"/>
          <w:lang w:val="en-AU"/>
        </w:rPr>
        <w:t xml:space="preserve"> </w:t>
      </w:r>
    </w:p>
  </w:footnote>
  <w:footnote w:id="10">
    <w:p w14:paraId="4237465A" w14:textId="3A0DDB27" w:rsidR="00673397" w:rsidRPr="00FF3D91" w:rsidRDefault="00673397">
      <w:pPr>
        <w:pStyle w:val="FootnoteText"/>
        <w:rPr>
          <w:sz w:val="18"/>
          <w:szCs w:val="18"/>
          <w:lang w:val="en-AU"/>
        </w:rPr>
      </w:pPr>
      <w:r w:rsidRPr="00FF3D91">
        <w:rPr>
          <w:rStyle w:val="FootnoteReference"/>
          <w:sz w:val="18"/>
          <w:szCs w:val="18"/>
        </w:rPr>
        <w:footnoteRef/>
      </w:r>
      <w:r w:rsidRPr="00FF3D91">
        <w:rPr>
          <w:sz w:val="18"/>
          <w:szCs w:val="18"/>
        </w:rPr>
        <w:t xml:space="preserve"> </w:t>
      </w:r>
      <w:r w:rsidRPr="00FF3D91">
        <w:rPr>
          <w:sz w:val="18"/>
          <w:szCs w:val="18"/>
          <w:lang w:val="en-AU"/>
        </w:rPr>
        <w:t>DFAT (20209</w:t>
      </w:r>
      <w:r w:rsidRPr="00FF3D91">
        <w:rPr>
          <w:i/>
          <w:iCs/>
          <w:sz w:val="18"/>
          <w:szCs w:val="18"/>
          <w:lang w:val="en-AU"/>
        </w:rPr>
        <w:t>) Partnerships for Recovery</w:t>
      </w:r>
      <w:r w:rsidRPr="00FF3D91">
        <w:rPr>
          <w:sz w:val="18"/>
          <w:szCs w:val="18"/>
          <w:lang w:val="en-AU"/>
        </w:rPr>
        <w:t xml:space="preserve"> </w:t>
      </w:r>
    </w:p>
  </w:footnote>
  <w:footnote w:id="11">
    <w:p w14:paraId="2E4D56E6" w14:textId="2CB54C9C" w:rsidR="00673397" w:rsidRPr="005B092D" w:rsidRDefault="00673397">
      <w:pPr>
        <w:pStyle w:val="FootnoteText"/>
        <w:rPr>
          <w:lang w:val="en-AU"/>
        </w:rPr>
      </w:pPr>
      <w:r w:rsidRPr="005B092D">
        <w:rPr>
          <w:rStyle w:val="FootnoteReference"/>
          <w:sz w:val="18"/>
          <w:szCs w:val="18"/>
        </w:rPr>
        <w:footnoteRef/>
      </w:r>
      <w:r w:rsidRPr="005B092D">
        <w:rPr>
          <w:sz w:val="18"/>
          <w:szCs w:val="18"/>
        </w:rPr>
        <w:t xml:space="preserve"> </w:t>
      </w:r>
      <w:bookmarkStart w:id="15" w:name="_Hlk95476547"/>
      <w:r w:rsidRPr="005B092D">
        <w:rPr>
          <w:sz w:val="18"/>
          <w:szCs w:val="18"/>
          <w:lang w:val="en-AU"/>
        </w:rPr>
        <w:t>Disability Inclusion in Disaster Preparedness and Response: an evaluation of disability inclusion in the Disaster READY program in Fiji, Vanuatu, Solomon Islands, Papua New Guinea, and Timor-Leste June 2021</w:t>
      </w:r>
      <w:bookmarkEnd w:id="15"/>
    </w:p>
  </w:footnote>
  <w:footnote w:id="12">
    <w:p w14:paraId="328A37ED" w14:textId="24641E8B" w:rsidR="00673397" w:rsidRPr="00855F24" w:rsidRDefault="00673397">
      <w:pPr>
        <w:pStyle w:val="FootnoteText"/>
        <w:rPr>
          <w:sz w:val="18"/>
          <w:szCs w:val="18"/>
          <w:lang w:val="en-AU"/>
        </w:rPr>
      </w:pPr>
      <w:r w:rsidRPr="005B092D">
        <w:rPr>
          <w:rStyle w:val="FootnoteReference"/>
          <w:sz w:val="18"/>
          <w:szCs w:val="18"/>
        </w:rPr>
        <w:footnoteRef/>
      </w:r>
      <w:r w:rsidRPr="005B092D">
        <w:rPr>
          <w:sz w:val="18"/>
          <w:szCs w:val="18"/>
        </w:rPr>
        <w:t xml:space="preserve"> </w:t>
      </w:r>
      <w:r>
        <w:rPr>
          <w:sz w:val="18"/>
          <w:szCs w:val="18"/>
          <w:lang w:val="en-AU"/>
        </w:rPr>
        <w:t>T</w:t>
      </w:r>
      <w:r w:rsidRPr="005B092D">
        <w:rPr>
          <w:sz w:val="18"/>
          <w:szCs w:val="18"/>
          <w:lang w:val="en-AU"/>
        </w:rPr>
        <w:t xml:space="preserve">he ways in which different aspects of a person's identity can expose them to overlapping forms of discrimination and </w:t>
      </w:r>
      <w:r w:rsidRPr="00855F24">
        <w:rPr>
          <w:sz w:val="18"/>
          <w:szCs w:val="18"/>
          <w:lang w:val="en-AU"/>
        </w:rPr>
        <w:t>marginalisation.</w:t>
      </w:r>
    </w:p>
  </w:footnote>
  <w:footnote w:id="13">
    <w:p w14:paraId="2084312D" w14:textId="20E76076" w:rsidR="00673397" w:rsidRPr="00C950CD" w:rsidRDefault="00673397" w:rsidP="00C950CD">
      <w:pPr>
        <w:pStyle w:val="FootnoteText"/>
      </w:pPr>
      <w:r w:rsidRPr="00855F24">
        <w:rPr>
          <w:rStyle w:val="FootnoteReference"/>
          <w:sz w:val="18"/>
          <w:szCs w:val="18"/>
        </w:rPr>
        <w:footnoteRef/>
      </w:r>
      <w:r w:rsidRPr="00855F24">
        <w:rPr>
          <w:sz w:val="18"/>
          <w:szCs w:val="18"/>
        </w:rPr>
        <w:t xml:space="preserve"> Australian Humanitarian Partnership: A partnership between DFAT and Australian NGOs – Investment Design Document 11 May 2016</w:t>
      </w:r>
    </w:p>
  </w:footnote>
  <w:footnote w:id="14">
    <w:p w14:paraId="37FA93A1" w14:textId="77777777" w:rsidR="00673397" w:rsidRPr="00FF3D91" w:rsidRDefault="00673397" w:rsidP="008A7BFC">
      <w:pPr>
        <w:pStyle w:val="FootnoteText"/>
        <w:rPr>
          <w:sz w:val="18"/>
          <w:szCs w:val="18"/>
          <w:lang w:val="en-AU"/>
        </w:rPr>
      </w:pPr>
      <w:r w:rsidRPr="00FF3D91">
        <w:rPr>
          <w:rStyle w:val="FootnoteReference"/>
          <w:sz w:val="18"/>
          <w:szCs w:val="18"/>
        </w:rPr>
        <w:footnoteRef/>
      </w:r>
      <w:r w:rsidRPr="00FF3D91">
        <w:rPr>
          <w:sz w:val="18"/>
          <w:szCs w:val="18"/>
        </w:rPr>
        <w:t xml:space="preserve"> </w:t>
      </w:r>
      <w:r w:rsidRPr="00FF3D91">
        <w:rPr>
          <w:sz w:val="18"/>
          <w:szCs w:val="18"/>
          <w:lang w:val="en-AU"/>
        </w:rPr>
        <w:t xml:space="preserve">DFAT (2020) </w:t>
      </w:r>
      <w:r w:rsidRPr="00FF3D91">
        <w:rPr>
          <w:i/>
          <w:iCs/>
          <w:sz w:val="18"/>
          <w:szCs w:val="18"/>
          <w:lang w:val="en-AU"/>
        </w:rPr>
        <w:t>Partnerships for Recovery</w:t>
      </w:r>
      <w:r w:rsidRPr="00FF3D91">
        <w:rPr>
          <w:sz w:val="18"/>
          <w:szCs w:val="18"/>
          <w:lang w:val="en-AU"/>
        </w:rPr>
        <w:t xml:space="preserve"> </w:t>
      </w:r>
    </w:p>
  </w:footnote>
  <w:footnote w:id="15">
    <w:p w14:paraId="18733795" w14:textId="210D6BDB" w:rsidR="00673397" w:rsidRPr="005B092D" w:rsidRDefault="00673397" w:rsidP="00952518">
      <w:pPr>
        <w:pStyle w:val="FootnoteText"/>
        <w:rPr>
          <w:sz w:val="18"/>
          <w:szCs w:val="18"/>
          <w:lang w:val="en-AU"/>
        </w:rPr>
      </w:pPr>
      <w:r w:rsidRPr="005B092D">
        <w:rPr>
          <w:rStyle w:val="FootnoteReference"/>
          <w:sz w:val="18"/>
          <w:szCs w:val="18"/>
        </w:rPr>
        <w:footnoteRef/>
      </w:r>
      <w:r>
        <w:t xml:space="preserve"> </w:t>
      </w:r>
      <w:r w:rsidRPr="005B092D">
        <w:rPr>
          <w:sz w:val="18"/>
          <w:szCs w:val="18"/>
          <w:lang w:val="en-AU"/>
        </w:rPr>
        <w:t>Working with Non-government organisations (NGOs): Effective Development Partners Statement | Australian Government Department of</w:t>
      </w:r>
      <w:r>
        <w:rPr>
          <w:sz w:val="18"/>
          <w:szCs w:val="18"/>
          <w:lang w:val="en-AU"/>
        </w:rPr>
        <w:t xml:space="preserve"> </w:t>
      </w:r>
      <w:r w:rsidRPr="005B092D">
        <w:rPr>
          <w:sz w:val="18"/>
          <w:szCs w:val="18"/>
          <w:lang w:val="en-AU"/>
        </w:rPr>
        <w:t>Foreign Affairs and Trade (dfat.gov.au)</w:t>
      </w:r>
    </w:p>
  </w:footnote>
  <w:footnote w:id="16">
    <w:p w14:paraId="3EED023E" w14:textId="34AD475D" w:rsidR="00673397" w:rsidRPr="000277F1" w:rsidRDefault="00673397">
      <w:pPr>
        <w:pStyle w:val="FootnoteText"/>
        <w:rPr>
          <w:sz w:val="18"/>
          <w:szCs w:val="18"/>
          <w:lang w:val="en-AU"/>
        </w:rPr>
      </w:pPr>
      <w:r w:rsidRPr="000277F1">
        <w:rPr>
          <w:rStyle w:val="FootnoteReference"/>
          <w:sz w:val="18"/>
          <w:szCs w:val="18"/>
        </w:rPr>
        <w:footnoteRef/>
      </w:r>
      <w:r w:rsidRPr="000277F1">
        <w:rPr>
          <w:sz w:val="18"/>
          <w:szCs w:val="18"/>
        </w:rPr>
        <w:t xml:space="preserve"> including people marginalized by age, ethnicities, geographical remoteness and diverse sexual orientation and gender identity.</w:t>
      </w:r>
    </w:p>
  </w:footnote>
  <w:footnote w:id="17">
    <w:p w14:paraId="244526D4" w14:textId="13250F06" w:rsidR="00673397" w:rsidRPr="00945A26" w:rsidRDefault="00673397">
      <w:pPr>
        <w:pStyle w:val="FootnoteText"/>
        <w:rPr>
          <w:sz w:val="18"/>
          <w:szCs w:val="18"/>
          <w:lang w:val="en-AU"/>
        </w:rPr>
      </w:pPr>
      <w:r w:rsidRPr="00945A26">
        <w:rPr>
          <w:rStyle w:val="FootnoteReference"/>
          <w:sz w:val="18"/>
          <w:szCs w:val="18"/>
        </w:rPr>
        <w:footnoteRef/>
      </w:r>
      <w:r w:rsidRPr="00945A26">
        <w:rPr>
          <w:sz w:val="18"/>
          <w:szCs w:val="18"/>
        </w:rPr>
        <w:t xml:space="preserve"> </w:t>
      </w:r>
      <w:r>
        <w:rPr>
          <w:sz w:val="18"/>
          <w:szCs w:val="18"/>
        </w:rPr>
        <w:t xml:space="preserve">Disaster events include pandemic disasters such as COVID-19, and climate-induced disasters. In the past 50 years, </w:t>
      </w:r>
      <w:r w:rsidRPr="00945A26">
        <w:rPr>
          <w:sz w:val="18"/>
          <w:szCs w:val="18"/>
        </w:rPr>
        <w:t>weather, climate, and water hazards accounted for 50% of all disasters, 45% of all reported deaths and 74% of all reported economic losses</w:t>
      </w:r>
      <w:r w:rsidRPr="00B77506">
        <w:rPr>
          <w:sz w:val="18"/>
          <w:szCs w:val="18"/>
        </w:rPr>
        <w:t xml:space="preserve"> </w:t>
      </w:r>
      <w:r>
        <w:rPr>
          <w:sz w:val="18"/>
          <w:szCs w:val="18"/>
        </w:rPr>
        <w:t>(</w:t>
      </w:r>
      <w:r w:rsidRPr="00304214">
        <w:rPr>
          <w:sz w:val="18"/>
          <w:szCs w:val="18"/>
        </w:rPr>
        <w:t>WMO Atlas of Mortality and Economic Losses from Weather, Climate and Water Extremes (1970 – 2019)</w:t>
      </w:r>
    </w:p>
  </w:footnote>
  <w:footnote w:id="18">
    <w:p w14:paraId="4F6A054D" w14:textId="77777777" w:rsidR="00673397" w:rsidRPr="002A3FE4" w:rsidRDefault="00673397" w:rsidP="007E6D84">
      <w:pPr>
        <w:pStyle w:val="FootnoteText"/>
        <w:rPr>
          <w:sz w:val="14"/>
          <w:lang w:val="en-AU"/>
        </w:rPr>
      </w:pPr>
      <w:r w:rsidRPr="00B71B60">
        <w:rPr>
          <w:rStyle w:val="FootnoteReference"/>
          <w:sz w:val="18"/>
          <w:szCs w:val="18"/>
        </w:rPr>
        <w:footnoteRef/>
      </w:r>
      <w:r w:rsidRPr="00B71B60">
        <w:rPr>
          <w:sz w:val="18"/>
          <w:szCs w:val="18"/>
        </w:rPr>
        <w:t xml:space="preserve"> </w:t>
      </w:r>
      <w:r w:rsidRPr="000F35C4">
        <w:rPr>
          <w:sz w:val="18"/>
          <w:szCs w:val="18"/>
        </w:rPr>
        <w:t xml:space="preserve"> Framework for Resilient Development in the Pacific</w:t>
      </w:r>
      <w:r>
        <w:rPr>
          <w:sz w:val="18"/>
          <w:szCs w:val="18"/>
        </w:rPr>
        <w:t xml:space="preserve"> (</w:t>
      </w:r>
      <w:r w:rsidRPr="000F35C4">
        <w:rPr>
          <w:sz w:val="18"/>
          <w:szCs w:val="18"/>
        </w:rPr>
        <w:t>2016</w:t>
      </w:r>
      <w:r>
        <w:rPr>
          <w:sz w:val="18"/>
          <w:szCs w:val="18"/>
        </w:rPr>
        <w:t>)</w:t>
      </w:r>
      <w:r w:rsidRPr="000F35C4">
        <w:rPr>
          <w:sz w:val="18"/>
          <w:szCs w:val="18"/>
        </w:rPr>
        <w:t>, pg35</w:t>
      </w:r>
    </w:p>
  </w:footnote>
  <w:footnote w:id="19">
    <w:p w14:paraId="5A8DE26A" w14:textId="3371770C" w:rsidR="00673397" w:rsidRPr="00F54784" w:rsidRDefault="00673397" w:rsidP="008E4A55">
      <w:pPr>
        <w:pStyle w:val="FootnoteText"/>
        <w:rPr>
          <w:sz w:val="18"/>
          <w:szCs w:val="18"/>
          <w:lang w:val="en-AU"/>
        </w:rPr>
      </w:pPr>
      <w:r w:rsidRPr="00F54784">
        <w:rPr>
          <w:rStyle w:val="FootnoteReference"/>
          <w:sz w:val="18"/>
          <w:szCs w:val="18"/>
        </w:rPr>
        <w:footnoteRef/>
      </w:r>
      <w:r w:rsidRPr="00F54784">
        <w:rPr>
          <w:sz w:val="18"/>
          <w:szCs w:val="18"/>
        </w:rPr>
        <w:t xml:space="preserve"> </w:t>
      </w:r>
      <w:r>
        <w:rPr>
          <w:sz w:val="18"/>
          <w:szCs w:val="18"/>
        </w:rPr>
        <w:t>A</w:t>
      </w:r>
      <w:r w:rsidRPr="007846B8">
        <w:rPr>
          <w:sz w:val="17"/>
          <w:szCs w:val="17"/>
          <w:lang w:val="en-AU"/>
        </w:rPr>
        <w:t xml:space="preserve"> variety of partnership models are employed in AHP rapid and protracted responses. These include: </w:t>
      </w:r>
      <w:r>
        <w:rPr>
          <w:sz w:val="17"/>
          <w:szCs w:val="17"/>
          <w:lang w:val="en-AU"/>
        </w:rPr>
        <w:t xml:space="preserve">one </w:t>
      </w:r>
      <w:r w:rsidRPr="007846B8">
        <w:rPr>
          <w:sz w:val="17"/>
          <w:szCs w:val="17"/>
          <w:lang w:val="en-AU"/>
        </w:rPr>
        <w:t xml:space="preserve">ANGO working </w:t>
      </w:r>
      <w:r>
        <w:rPr>
          <w:sz w:val="17"/>
          <w:szCs w:val="17"/>
          <w:lang w:val="en-AU"/>
        </w:rPr>
        <w:t xml:space="preserve">alone </w:t>
      </w:r>
      <w:r w:rsidRPr="007846B8">
        <w:rPr>
          <w:sz w:val="17"/>
          <w:szCs w:val="17"/>
          <w:lang w:val="en-AU"/>
        </w:rPr>
        <w:t xml:space="preserve">with </w:t>
      </w:r>
      <w:r>
        <w:rPr>
          <w:sz w:val="17"/>
          <w:szCs w:val="17"/>
          <w:lang w:val="en-AU"/>
        </w:rPr>
        <w:t>its</w:t>
      </w:r>
      <w:r w:rsidRPr="007846B8">
        <w:rPr>
          <w:sz w:val="17"/>
          <w:szCs w:val="17"/>
          <w:lang w:val="en-AU"/>
        </w:rPr>
        <w:t xml:space="preserve"> consortia</w:t>
      </w:r>
      <w:r>
        <w:rPr>
          <w:sz w:val="17"/>
          <w:szCs w:val="17"/>
          <w:lang w:val="en-AU"/>
        </w:rPr>
        <w:t xml:space="preserve"> and local partners;</w:t>
      </w:r>
      <w:r w:rsidRPr="007846B8">
        <w:rPr>
          <w:sz w:val="17"/>
          <w:szCs w:val="17"/>
          <w:lang w:val="en-AU"/>
        </w:rPr>
        <w:t xml:space="preserve"> two or more ANGOs working together where one ANGO </w:t>
      </w:r>
      <w:r>
        <w:rPr>
          <w:sz w:val="17"/>
          <w:szCs w:val="17"/>
          <w:lang w:val="en-AU"/>
        </w:rPr>
        <w:t>is the formal contracted lead;</w:t>
      </w:r>
      <w:r w:rsidRPr="007846B8">
        <w:rPr>
          <w:sz w:val="17"/>
          <w:szCs w:val="17"/>
          <w:lang w:val="en-AU"/>
        </w:rPr>
        <w:t xml:space="preserve"> and two or more ANGOs working together in a collaborative model (where the ANGOs are contracted separately but work collaboratively to </w:t>
      </w:r>
      <w:r>
        <w:rPr>
          <w:sz w:val="17"/>
          <w:szCs w:val="17"/>
          <w:lang w:val="en-AU"/>
        </w:rPr>
        <w:t xml:space="preserve">shared goals to </w:t>
      </w:r>
      <w:r w:rsidRPr="007846B8">
        <w:rPr>
          <w:sz w:val="17"/>
          <w:szCs w:val="17"/>
          <w:lang w:val="en-AU"/>
        </w:rPr>
        <w:t>maximise impact and eliminate gaps and duplication</w:t>
      </w:r>
      <w:r>
        <w:rPr>
          <w:sz w:val="17"/>
          <w:szCs w:val="17"/>
          <w:lang w:val="en-AU"/>
        </w:rPr>
        <w:t>)</w:t>
      </w:r>
      <w:r w:rsidRPr="007846B8">
        <w:rPr>
          <w:sz w:val="17"/>
          <w:szCs w:val="17"/>
          <w:lang w:val="en-AU"/>
        </w:rPr>
        <w:t>.</w:t>
      </w:r>
      <w:r w:rsidRPr="009752EF">
        <w:rPr>
          <w:sz w:val="17"/>
          <w:szCs w:val="17"/>
          <w:lang w:val="en-AU"/>
        </w:rPr>
        <w:t xml:space="preserve"> Country</w:t>
      </w:r>
      <w:r>
        <w:rPr>
          <w:sz w:val="17"/>
          <w:szCs w:val="17"/>
          <w:lang w:val="en-AU"/>
        </w:rPr>
        <w:t xml:space="preserve">-led collaborative proposals refer to a single proposal, developed by the DRCC, where </w:t>
      </w:r>
      <w:r w:rsidRPr="007846B8">
        <w:rPr>
          <w:sz w:val="17"/>
          <w:szCs w:val="17"/>
          <w:lang w:val="en-AU"/>
        </w:rPr>
        <w:t xml:space="preserve">the ANGOs are contracted separately but work </w:t>
      </w:r>
      <w:r>
        <w:rPr>
          <w:sz w:val="17"/>
          <w:szCs w:val="17"/>
          <w:lang w:val="en-AU"/>
        </w:rPr>
        <w:t>in a collaborative model.</w:t>
      </w:r>
      <w:r w:rsidRPr="007846B8">
        <w:rPr>
          <w:sz w:val="17"/>
          <w:szCs w:val="17"/>
          <w:lang w:val="en-AU"/>
        </w:rPr>
        <w:t xml:space="preserve"> </w:t>
      </w:r>
    </w:p>
  </w:footnote>
  <w:footnote w:id="20">
    <w:p w14:paraId="29CA4665" w14:textId="555174EF" w:rsidR="00673397" w:rsidRPr="005B092D" w:rsidRDefault="00673397">
      <w:pPr>
        <w:pStyle w:val="FootnoteText"/>
        <w:rPr>
          <w:sz w:val="18"/>
          <w:szCs w:val="18"/>
        </w:rPr>
      </w:pPr>
      <w:r w:rsidRPr="005B092D">
        <w:rPr>
          <w:rStyle w:val="FootnoteReference"/>
          <w:sz w:val="18"/>
          <w:szCs w:val="18"/>
        </w:rPr>
        <w:footnoteRef/>
      </w:r>
      <w:r w:rsidRPr="005B092D">
        <w:rPr>
          <w:sz w:val="18"/>
          <w:szCs w:val="18"/>
        </w:rPr>
        <w:t xml:space="preserve"> </w:t>
      </w:r>
      <w:r>
        <w:rPr>
          <w:sz w:val="18"/>
          <w:szCs w:val="18"/>
        </w:rPr>
        <w:t xml:space="preserve">UNDRR Action Brief: </w:t>
      </w:r>
      <w:r w:rsidRPr="00D92621">
        <w:rPr>
          <w:sz w:val="18"/>
          <w:szCs w:val="18"/>
        </w:rPr>
        <w:t xml:space="preserve">Gender </w:t>
      </w:r>
      <w:r>
        <w:rPr>
          <w:sz w:val="18"/>
          <w:szCs w:val="18"/>
        </w:rPr>
        <w:t>a</w:t>
      </w:r>
      <w:r w:rsidRPr="00D92621">
        <w:rPr>
          <w:sz w:val="18"/>
          <w:szCs w:val="18"/>
        </w:rPr>
        <w:t>nd Disaster Risk Reduction</w:t>
      </w:r>
      <w:r>
        <w:rPr>
          <w:sz w:val="18"/>
          <w:szCs w:val="18"/>
        </w:rPr>
        <w:t xml:space="preserve"> </w:t>
      </w:r>
      <w:r w:rsidRPr="00D92621">
        <w:rPr>
          <w:sz w:val="18"/>
          <w:szCs w:val="18"/>
        </w:rPr>
        <w:t>and Response in The Context of Covid-19:</w:t>
      </w:r>
      <w:r>
        <w:rPr>
          <w:sz w:val="18"/>
          <w:szCs w:val="18"/>
        </w:rPr>
        <w:t xml:space="preserve"> </w:t>
      </w:r>
      <w:r w:rsidRPr="00D92621">
        <w:rPr>
          <w:sz w:val="18"/>
          <w:szCs w:val="18"/>
        </w:rPr>
        <w:t>The Asia-Pacific Region</w:t>
      </w:r>
      <w:r w:rsidRPr="00D92621" w:rsidDel="00D92621">
        <w:rPr>
          <w:sz w:val="18"/>
          <w:szCs w:val="18"/>
        </w:rPr>
        <w:t xml:space="preserve"> </w:t>
      </w:r>
      <w:r>
        <w:rPr>
          <w:sz w:val="18"/>
          <w:szCs w:val="18"/>
        </w:rPr>
        <w:t>December 2020</w:t>
      </w:r>
    </w:p>
  </w:footnote>
  <w:footnote w:id="21">
    <w:p w14:paraId="42B7B598" w14:textId="383B02F9" w:rsidR="00673397" w:rsidRPr="005B092D" w:rsidRDefault="00673397">
      <w:pPr>
        <w:pStyle w:val="FootnoteText"/>
        <w:rPr>
          <w:lang w:val="en-AU"/>
        </w:rPr>
      </w:pPr>
      <w:r>
        <w:rPr>
          <w:rStyle w:val="FootnoteReference"/>
        </w:rPr>
        <w:footnoteRef/>
      </w:r>
      <w:r>
        <w:t xml:space="preserve"> </w:t>
      </w:r>
      <w:r w:rsidRPr="005B092D">
        <w:rPr>
          <w:sz w:val="18"/>
          <w:szCs w:val="18"/>
        </w:rPr>
        <w:t>OCHA (2022) ‘Global Humanitarian Overview’</w:t>
      </w:r>
      <w:r>
        <w:rPr>
          <w:sz w:val="18"/>
          <w:szCs w:val="18"/>
        </w:rPr>
        <w:t xml:space="preserve"> and UNDRR Action Brief: </w:t>
      </w:r>
      <w:r w:rsidRPr="00D92621">
        <w:rPr>
          <w:sz w:val="18"/>
          <w:szCs w:val="18"/>
        </w:rPr>
        <w:t xml:space="preserve">Gender </w:t>
      </w:r>
      <w:r>
        <w:rPr>
          <w:sz w:val="18"/>
          <w:szCs w:val="18"/>
        </w:rPr>
        <w:t>a</w:t>
      </w:r>
      <w:r w:rsidRPr="00D92621">
        <w:rPr>
          <w:sz w:val="18"/>
          <w:szCs w:val="18"/>
        </w:rPr>
        <w:t>nd Disaster Risk Reduction</w:t>
      </w:r>
      <w:r>
        <w:rPr>
          <w:sz w:val="18"/>
          <w:szCs w:val="18"/>
        </w:rPr>
        <w:t xml:space="preserve"> </w:t>
      </w:r>
      <w:r w:rsidRPr="00D92621">
        <w:rPr>
          <w:sz w:val="18"/>
          <w:szCs w:val="18"/>
        </w:rPr>
        <w:t>and Response in The Context of Covid-19:</w:t>
      </w:r>
      <w:r>
        <w:rPr>
          <w:sz w:val="18"/>
          <w:szCs w:val="18"/>
        </w:rPr>
        <w:t xml:space="preserve"> </w:t>
      </w:r>
      <w:r w:rsidRPr="00D92621">
        <w:rPr>
          <w:sz w:val="18"/>
          <w:szCs w:val="18"/>
        </w:rPr>
        <w:t>The Asia-Pacific Region</w:t>
      </w:r>
      <w:r w:rsidRPr="00F2258D" w:rsidDel="00D92621">
        <w:rPr>
          <w:sz w:val="18"/>
          <w:szCs w:val="18"/>
        </w:rPr>
        <w:t xml:space="preserve"> </w:t>
      </w:r>
      <w:r>
        <w:rPr>
          <w:sz w:val="18"/>
          <w:szCs w:val="18"/>
        </w:rPr>
        <w:t>December 2020</w:t>
      </w:r>
    </w:p>
  </w:footnote>
  <w:footnote w:id="22">
    <w:p w14:paraId="2DB7C4E2" w14:textId="014E73F1" w:rsidR="00673397" w:rsidRPr="005B092D" w:rsidRDefault="00673397">
      <w:pPr>
        <w:pStyle w:val="FootnoteText"/>
        <w:rPr>
          <w:lang w:val="en-AU"/>
        </w:rPr>
      </w:pPr>
      <w:r w:rsidRPr="005B092D">
        <w:rPr>
          <w:rStyle w:val="FootnoteReference"/>
          <w:sz w:val="16"/>
          <w:szCs w:val="16"/>
        </w:rPr>
        <w:footnoteRef/>
      </w:r>
      <w:r w:rsidRPr="005B092D">
        <w:rPr>
          <w:sz w:val="16"/>
          <w:szCs w:val="16"/>
        </w:rPr>
        <w:t xml:space="preserve"> Global Facility for Disaster Reduction and Recovery (2017) Disability inclusion in disaster risk management: Promising practices and opportunities for enhanced engagement: </w:t>
      </w:r>
      <w:hyperlink r:id="rId1" w:history="1">
        <w:r w:rsidRPr="005B092D">
          <w:rPr>
            <w:rStyle w:val="Hyperlink"/>
            <w:rFonts w:cstheme="minorBidi"/>
            <w:sz w:val="16"/>
            <w:szCs w:val="16"/>
          </w:rPr>
          <w:t>http://www.didrrn.net/wp-content/uploads/2018/07/GFDRR-World-Bank_Disability-inclusion-in-DRM-Report.pdf</w:t>
        </w:r>
      </w:hyperlink>
    </w:p>
  </w:footnote>
  <w:footnote w:id="23">
    <w:p w14:paraId="7B2B3753" w14:textId="20AAB0AD" w:rsidR="00673397" w:rsidRPr="005B092D" w:rsidRDefault="00673397">
      <w:pPr>
        <w:pStyle w:val="FootnoteText"/>
        <w:rPr>
          <w:lang w:val="en-AU"/>
        </w:rPr>
      </w:pPr>
      <w:r w:rsidRPr="005B092D">
        <w:rPr>
          <w:rStyle w:val="FootnoteReference"/>
          <w:sz w:val="16"/>
          <w:szCs w:val="16"/>
        </w:rPr>
        <w:footnoteRef/>
      </w:r>
      <w:r w:rsidRPr="005B092D">
        <w:rPr>
          <w:sz w:val="16"/>
          <w:szCs w:val="16"/>
        </w:rPr>
        <w:t xml:space="preserve"> </w:t>
      </w:r>
      <w:r w:rsidRPr="00F2258D">
        <w:rPr>
          <w:sz w:val="16"/>
          <w:szCs w:val="16"/>
          <w:lang w:val="en-AU"/>
        </w:rPr>
        <w:t xml:space="preserve">Disability Inclusion in Disaster Preparedness and Response: </w:t>
      </w:r>
      <w:bookmarkStart w:id="46" w:name="_Hlk95477385"/>
      <w:r w:rsidRPr="00F2258D">
        <w:rPr>
          <w:sz w:val="16"/>
          <w:szCs w:val="16"/>
          <w:lang w:val="en-AU"/>
        </w:rPr>
        <w:t xml:space="preserve">an evaluation of disability inclusion in the Disaster READY program </w:t>
      </w:r>
      <w:bookmarkEnd w:id="46"/>
      <w:r w:rsidRPr="00F2258D">
        <w:rPr>
          <w:sz w:val="16"/>
          <w:szCs w:val="16"/>
          <w:lang w:val="en-AU"/>
        </w:rPr>
        <w:t>in Fiji, Vanuatu, Solomon Islands, Papua New Guinea, and Timor-Leste June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F8DB" w14:textId="77777777" w:rsidR="00673397" w:rsidRPr="000854FD" w:rsidRDefault="00673397" w:rsidP="00DB058C">
    <w:pPr>
      <w:pStyle w:val="Header"/>
      <w:tabs>
        <w:tab w:val="clear" w:pos="4513"/>
        <w:tab w:val="clear" w:pos="9026"/>
        <w:tab w:val="left" w:pos="9484"/>
      </w:tabs>
    </w:pPr>
    <w:r w:rsidRPr="00943730">
      <w:rPr>
        <w:noProof/>
        <w:lang w:val="en-AU" w:eastAsia="en-AU"/>
      </w:rPr>
      <w:drawing>
        <wp:anchor distT="0" distB="0" distL="114300" distR="114300" simplePos="0" relativeHeight="251666432" behindDoc="1" locked="1" layoutInCell="1" allowOverlap="1" wp14:anchorId="414F93F4" wp14:editId="5AFCB052">
          <wp:simplePos x="0" y="0"/>
          <wp:positionH relativeFrom="page">
            <wp:posOffset>-137160</wp:posOffset>
          </wp:positionH>
          <wp:positionV relativeFrom="page">
            <wp:align>bottom</wp:align>
          </wp:positionV>
          <wp:extent cx="10246995" cy="10692765"/>
          <wp:effectExtent l="0" t="0" r="190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246995" cy="1069276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70CC" w14:textId="78F11275" w:rsidR="00673397" w:rsidRPr="00025E18" w:rsidRDefault="00673397" w:rsidP="00AF68AB">
    <w:pPr>
      <w:pStyle w:val="Header"/>
      <w:jc w:val="center"/>
      <w:rPr>
        <w:color w:val="auto"/>
      </w:rPr>
    </w:pPr>
    <w:r w:rsidRPr="00025E18">
      <w:rPr>
        <w:noProof/>
        <w:color w:val="auto"/>
        <w:lang w:val="en-AU" w:eastAsia="en-AU"/>
      </w:rPr>
      <w:t>OFFICIAL-USE-ONLY</w:t>
    </w:r>
  </w:p>
  <w:p w14:paraId="3ED92E62" w14:textId="12DFC5FA" w:rsidR="00673397" w:rsidRDefault="00673397">
    <w:pPr>
      <w:pStyle w:val="Header"/>
    </w:pPr>
    <w:r w:rsidRPr="00943730">
      <w:rPr>
        <w:noProof/>
        <w:lang w:val="en-AU" w:eastAsia="en-AU"/>
      </w:rPr>
      <w:drawing>
        <wp:anchor distT="0" distB="0" distL="114300" distR="114300" simplePos="0" relativeHeight="251667456" behindDoc="1" locked="1" layoutInCell="1" allowOverlap="1" wp14:anchorId="06EFA06D" wp14:editId="0EA420C6">
          <wp:simplePos x="0" y="0"/>
          <wp:positionH relativeFrom="page">
            <wp:posOffset>-104775</wp:posOffset>
          </wp:positionH>
          <wp:positionV relativeFrom="page">
            <wp:posOffset>-73660</wp:posOffset>
          </wp:positionV>
          <wp:extent cx="10246995" cy="10692765"/>
          <wp:effectExtent l="0" t="0" r="190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246995" cy="1069276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1E60" w14:textId="77777777" w:rsidR="00673397" w:rsidRPr="000854FD" w:rsidRDefault="00673397" w:rsidP="003E2C60">
    <w:pPr>
      <w:pStyle w:val="Header"/>
      <w:tabs>
        <w:tab w:val="clear" w:pos="4513"/>
        <w:tab w:val="clear" w:pos="9026"/>
        <w:tab w:val="left" w:pos="9484"/>
      </w:tabs>
      <w:ind w:left="0"/>
    </w:pPr>
    <w:r w:rsidRPr="00943730">
      <w:rPr>
        <w:noProof/>
        <w:lang w:val="en-AU" w:eastAsia="en-AU"/>
      </w:rPr>
      <w:drawing>
        <wp:anchor distT="0" distB="0" distL="114300" distR="114300" simplePos="0" relativeHeight="251669504" behindDoc="1" locked="1" layoutInCell="1" allowOverlap="1" wp14:anchorId="08A8D490" wp14:editId="3BB6F74F">
          <wp:simplePos x="0" y="0"/>
          <wp:positionH relativeFrom="page">
            <wp:posOffset>-137160</wp:posOffset>
          </wp:positionH>
          <wp:positionV relativeFrom="page">
            <wp:align>bottom</wp:align>
          </wp:positionV>
          <wp:extent cx="10246995" cy="10692765"/>
          <wp:effectExtent l="0" t="0" r="1905" b="0"/>
          <wp:wrapNone/>
          <wp:docPr id="283" name="Picture 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246995" cy="1069276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A013" w14:textId="77777777" w:rsidR="00673397" w:rsidRDefault="00673397">
    <w:pPr>
      <w:pStyle w:val="Header"/>
    </w:pPr>
  </w:p>
  <w:p w14:paraId="7EC0F44E" w14:textId="77777777" w:rsidR="00673397" w:rsidRDefault="00673397">
    <w:pPr>
      <w:pStyle w:val="Header"/>
    </w:pPr>
    <w:r w:rsidRPr="00943730">
      <w:rPr>
        <w:noProof/>
        <w:lang w:val="en-AU" w:eastAsia="en-AU"/>
      </w:rPr>
      <w:drawing>
        <wp:anchor distT="0" distB="0" distL="114300" distR="114300" simplePos="0" relativeHeight="251670528" behindDoc="1" locked="1" layoutInCell="1" allowOverlap="1" wp14:anchorId="2CB3B99B" wp14:editId="7BA8CE7B">
          <wp:simplePos x="0" y="0"/>
          <wp:positionH relativeFrom="page">
            <wp:posOffset>-104775</wp:posOffset>
          </wp:positionH>
          <wp:positionV relativeFrom="page">
            <wp:posOffset>-73660</wp:posOffset>
          </wp:positionV>
          <wp:extent cx="10246995" cy="10692765"/>
          <wp:effectExtent l="0" t="0" r="1905" b="0"/>
          <wp:wrapNone/>
          <wp:docPr id="284" name="Picture 2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24699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00D2" w14:textId="5881101B" w:rsidR="00673397" w:rsidRPr="000854FD" w:rsidRDefault="00673397" w:rsidP="003E2C60">
    <w:pPr>
      <w:pStyle w:val="Header"/>
      <w:tabs>
        <w:tab w:val="clear" w:pos="4513"/>
        <w:tab w:val="clear" w:pos="9026"/>
        <w:tab w:val="left" w:pos="9484"/>
      </w:tabs>
      <w:ind w:left="0"/>
    </w:pPr>
    <w:r w:rsidRPr="00943730">
      <w:rPr>
        <w:noProof/>
        <w:lang w:val="en-AU" w:eastAsia="en-AU"/>
      </w:rPr>
      <w:drawing>
        <wp:anchor distT="0" distB="0" distL="114300" distR="114300" simplePos="0" relativeHeight="251662336" behindDoc="1" locked="1" layoutInCell="1" allowOverlap="1" wp14:anchorId="47599557" wp14:editId="538A5851">
          <wp:simplePos x="0" y="0"/>
          <wp:positionH relativeFrom="page">
            <wp:posOffset>-137160</wp:posOffset>
          </wp:positionH>
          <wp:positionV relativeFrom="page">
            <wp:align>bottom</wp:align>
          </wp:positionV>
          <wp:extent cx="10246995" cy="10692765"/>
          <wp:effectExtent l="0" t="0" r="190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246995" cy="1069276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D29F" w14:textId="77777777" w:rsidR="00673397" w:rsidRDefault="00673397">
    <w:pPr>
      <w:pStyle w:val="Header"/>
    </w:pPr>
  </w:p>
  <w:p w14:paraId="2537F4DB" w14:textId="619173B8" w:rsidR="00673397" w:rsidRDefault="00673397">
    <w:pPr>
      <w:pStyle w:val="Header"/>
    </w:pPr>
    <w:r w:rsidRPr="00943730">
      <w:rPr>
        <w:noProof/>
        <w:lang w:val="en-AU" w:eastAsia="en-AU"/>
      </w:rPr>
      <w:drawing>
        <wp:anchor distT="0" distB="0" distL="114300" distR="114300" simplePos="0" relativeHeight="251664384" behindDoc="1" locked="1" layoutInCell="1" allowOverlap="1" wp14:anchorId="60D2799A" wp14:editId="58BEB92E">
          <wp:simplePos x="0" y="0"/>
          <wp:positionH relativeFrom="page">
            <wp:posOffset>-104775</wp:posOffset>
          </wp:positionH>
          <wp:positionV relativeFrom="page">
            <wp:posOffset>-73660</wp:posOffset>
          </wp:positionV>
          <wp:extent cx="10246995" cy="10692765"/>
          <wp:effectExtent l="0" t="0" r="190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24699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3C2C" w14:textId="77777777" w:rsidR="00673397" w:rsidRDefault="0067339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DB75" w14:textId="77777777" w:rsidR="00673397" w:rsidRDefault="00673397" w:rsidP="005B1D67">
    <w:r>
      <w:rPr>
        <w:noProof/>
        <w:lang w:eastAsia="en-GB"/>
      </w:rPr>
      <w:drawing>
        <wp:anchor distT="0" distB="0" distL="114300" distR="114300" simplePos="0" relativeHeight="251672576" behindDoc="1" locked="0" layoutInCell="1" allowOverlap="1" wp14:anchorId="0D6FAE15" wp14:editId="2B0522B1">
          <wp:simplePos x="0" y="0"/>
          <wp:positionH relativeFrom="column">
            <wp:posOffset>-899756</wp:posOffset>
          </wp:positionH>
          <wp:positionV relativeFrom="paragraph">
            <wp:posOffset>-504190</wp:posOffset>
          </wp:positionV>
          <wp:extent cx="10690956" cy="7560000"/>
          <wp:effectExtent l="0" t="0" r="0" b="3175"/>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1"/>
                  <a:stretch>
                    <a:fillRect/>
                  </a:stretch>
                </pic:blipFill>
                <pic:spPr>
                  <a:xfrm>
                    <a:off x="0" y="0"/>
                    <a:ext cx="10690956"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E45"/>
    <w:multiLevelType w:val="hybridMultilevel"/>
    <w:tmpl w:val="7F9605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C1751"/>
    <w:multiLevelType w:val="hybridMultilevel"/>
    <w:tmpl w:val="4CE0B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293D"/>
    <w:multiLevelType w:val="multilevel"/>
    <w:tmpl w:val="96CE0442"/>
    <w:lvl w:ilvl="0">
      <w:start w:val="3"/>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542" w:hanging="108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056" w:hanging="1440"/>
      </w:pPr>
      <w:rPr>
        <w:rFonts w:hint="default"/>
      </w:rPr>
    </w:lvl>
  </w:abstractNum>
  <w:abstractNum w:abstractNumId="3" w15:restartNumberingAfterBreak="0">
    <w:nsid w:val="05BD44C6"/>
    <w:multiLevelType w:val="hybridMultilevel"/>
    <w:tmpl w:val="1FB265AA"/>
    <w:lvl w:ilvl="0" w:tplc="9504571C">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 w15:restartNumberingAfterBreak="0">
    <w:nsid w:val="06116180"/>
    <w:multiLevelType w:val="hybridMultilevel"/>
    <w:tmpl w:val="7F4044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2E75A7"/>
    <w:multiLevelType w:val="multilevel"/>
    <w:tmpl w:val="54607714"/>
    <w:lvl w:ilvl="0">
      <w:start w:val="1"/>
      <w:numFmt w:val="decimal"/>
      <w:pStyle w:val="SchedTitle"/>
      <w:suff w:val="space"/>
      <w:lvlText w:val="Schedule %1"/>
      <w:lvlJc w:val="left"/>
      <w:pPr>
        <w:ind w:left="4329" w:hanging="360"/>
      </w:pPr>
      <w:rPr>
        <w:rFonts w:hint="default"/>
      </w:rPr>
    </w:lvl>
    <w:lvl w:ilvl="1">
      <w:start w:val="1"/>
      <w:numFmt w:val="decimal"/>
      <w:pStyle w:val="SchedH1"/>
      <w:lvlText w:val="%2"/>
      <w:lvlJc w:val="left"/>
      <w:pPr>
        <w:tabs>
          <w:tab w:val="num" w:pos="736"/>
        </w:tabs>
        <w:ind w:left="736" w:hanging="737"/>
      </w:pPr>
      <w:rPr>
        <w:rFonts w:hint="default"/>
      </w:rPr>
    </w:lvl>
    <w:lvl w:ilvl="2">
      <w:start w:val="1"/>
      <w:numFmt w:val="decimal"/>
      <w:pStyle w:val="SchedH2"/>
      <w:lvlText w:val="%2.%3"/>
      <w:lvlJc w:val="left"/>
      <w:pPr>
        <w:tabs>
          <w:tab w:val="num" w:pos="736"/>
        </w:tabs>
        <w:ind w:left="736" w:hanging="737"/>
      </w:pPr>
      <w:rPr>
        <w:rFonts w:ascii="Times New Roman" w:hAnsi="Times New Roman" w:cs="Times New Roman" w:hint="default"/>
        <w:b w:val="0"/>
      </w:rPr>
    </w:lvl>
    <w:lvl w:ilvl="3">
      <w:start w:val="1"/>
      <w:numFmt w:val="decimal"/>
      <w:pStyle w:val="SchedNumParaL2"/>
      <w:lvlText w:val="%2.%4"/>
      <w:lvlJc w:val="left"/>
      <w:pPr>
        <w:tabs>
          <w:tab w:val="num" w:pos="736"/>
        </w:tabs>
        <w:ind w:left="736" w:hanging="737"/>
      </w:pPr>
      <w:rPr>
        <w:rFonts w:hint="default"/>
        <w:b w:val="0"/>
        <w:bCs/>
      </w:rPr>
    </w:lvl>
    <w:lvl w:ilvl="4">
      <w:start w:val="1"/>
      <w:numFmt w:val="decimal"/>
      <w:pStyle w:val="SchedNumParaL3"/>
      <w:lvlText w:val="%2.%3.%5"/>
      <w:lvlJc w:val="left"/>
      <w:pPr>
        <w:tabs>
          <w:tab w:val="num" w:pos="736"/>
        </w:tabs>
        <w:ind w:left="736" w:hanging="737"/>
      </w:pPr>
      <w:rPr>
        <w:rFonts w:hint="default"/>
      </w:rPr>
    </w:lvl>
    <w:lvl w:ilvl="5">
      <w:start w:val="1"/>
      <w:numFmt w:val="lowerLetter"/>
      <w:pStyle w:val="SchedAlpha"/>
      <w:lvlText w:val="(%6)"/>
      <w:lvlJc w:val="left"/>
      <w:pPr>
        <w:tabs>
          <w:tab w:val="num" w:pos="1473"/>
        </w:tabs>
        <w:ind w:left="1473" w:hanging="737"/>
      </w:pPr>
      <w:rPr>
        <w:rFonts w:hint="default"/>
        <w:b w:val="0"/>
      </w:rPr>
    </w:lvl>
    <w:lvl w:ilvl="6">
      <w:start w:val="1"/>
      <w:numFmt w:val="lowerRoman"/>
      <w:pStyle w:val="SchedRom"/>
      <w:lvlText w:val="(%7)"/>
      <w:lvlJc w:val="left"/>
      <w:pPr>
        <w:tabs>
          <w:tab w:val="num" w:pos="2210"/>
        </w:tabs>
        <w:ind w:left="2210" w:hanging="737"/>
      </w:pPr>
      <w:rPr>
        <w:rFonts w:hint="default"/>
      </w:rPr>
    </w:lvl>
    <w:lvl w:ilvl="7">
      <w:start w:val="1"/>
      <w:numFmt w:val="lowerLetter"/>
      <w:lvlText w:val="%8."/>
      <w:lvlJc w:val="left"/>
      <w:pPr>
        <w:ind w:left="2879" w:hanging="360"/>
      </w:pPr>
      <w:rPr>
        <w:rFonts w:hint="default"/>
      </w:rPr>
    </w:lvl>
    <w:lvl w:ilvl="8">
      <w:start w:val="1"/>
      <w:numFmt w:val="lowerRoman"/>
      <w:lvlText w:val="%9."/>
      <w:lvlJc w:val="left"/>
      <w:pPr>
        <w:ind w:left="3239" w:hanging="360"/>
      </w:pPr>
      <w:rPr>
        <w:rFonts w:hint="default"/>
      </w:rPr>
    </w:lvl>
  </w:abstractNum>
  <w:abstractNum w:abstractNumId="6" w15:restartNumberingAfterBreak="0">
    <w:nsid w:val="087F2B6E"/>
    <w:multiLevelType w:val="hybridMultilevel"/>
    <w:tmpl w:val="B80A019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0D9B2243"/>
    <w:multiLevelType w:val="hybridMultilevel"/>
    <w:tmpl w:val="1EBA4D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9A6513"/>
    <w:multiLevelType w:val="hybridMultilevel"/>
    <w:tmpl w:val="376C797C"/>
    <w:lvl w:ilvl="0" w:tplc="FFFFFFFF">
      <w:start w:val="1"/>
      <w:numFmt w:val="lowerRoman"/>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1151011E"/>
    <w:multiLevelType w:val="hybridMultilevel"/>
    <w:tmpl w:val="FBF6B806"/>
    <w:lvl w:ilvl="0" w:tplc="F88A54C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1773594"/>
    <w:multiLevelType w:val="hybridMultilevel"/>
    <w:tmpl w:val="3C108F3A"/>
    <w:lvl w:ilvl="0" w:tplc="0C090005">
      <w:start w:val="1"/>
      <w:numFmt w:val="bullet"/>
      <w:lvlText w:val=""/>
      <w:lvlJc w:val="left"/>
      <w:pPr>
        <w:ind w:left="405" w:hanging="360"/>
      </w:pPr>
      <w:rPr>
        <w:rFonts w:ascii="Wingdings" w:hAnsi="Wingdings"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2" w15:restartNumberingAfterBreak="0">
    <w:nsid w:val="119C52D9"/>
    <w:multiLevelType w:val="hybridMultilevel"/>
    <w:tmpl w:val="45BEE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4" w15:restartNumberingAfterBreak="0">
    <w:nsid w:val="17111E73"/>
    <w:multiLevelType w:val="multilevel"/>
    <w:tmpl w:val="94EA5C4E"/>
    <w:lvl w:ilvl="0">
      <w:start w:val="2"/>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542" w:hanging="108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056" w:hanging="1440"/>
      </w:pPr>
      <w:rPr>
        <w:rFonts w:hint="default"/>
      </w:rPr>
    </w:lvl>
  </w:abstractNum>
  <w:abstractNum w:abstractNumId="15" w15:restartNumberingAfterBreak="0">
    <w:nsid w:val="177C1C7F"/>
    <w:multiLevelType w:val="hybridMultilevel"/>
    <w:tmpl w:val="12A45C94"/>
    <w:lvl w:ilvl="0" w:tplc="FCCA763A">
      <w:start w:val="1"/>
      <w:numFmt w:val="decimal"/>
      <w:lvlText w:val="%1."/>
      <w:lvlJc w:val="left"/>
      <w:pPr>
        <w:ind w:left="501" w:hanging="360"/>
      </w:pPr>
      <w:rPr>
        <w:rFonts w:hint="default"/>
        <w:b w:val="0"/>
        <w:bCs w:val="0"/>
        <w:i w:val="0"/>
        <w:iCs w:val="0"/>
      </w:rPr>
    </w:lvl>
    <w:lvl w:ilvl="1" w:tplc="0C090001">
      <w:start w:val="1"/>
      <w:numFmt w:val="bullet"/>
      <w:lvlText w:val=""/>
      <w:lvlJc w:val="left"/>
      <w:pPr>
        <w:ind w:left="-7710" w:hanging="360"/>
      </w:pPr>
      <w:rPr>
        <w:rFonts w:ascii="Symbol" w:hAnsi="Symbol" w:hint="default"/>
      </w:rPr>
    </w:lvl>
    <w:lvl w:ilvl="2" w:tplc="0C09001B" w:tentative="1">
      <w:start w:val="1"/>
      <w:numFmt w:val="lowerRoman"/>
      <w:lvlText w:val="%3."/>
      <w:lvlJc w:val="right"/>
      <w:pPr>
        <w:ind w:left="-6990" w:hanging="180"/>
      </w:pPr>
    </w:lvl>
    <w:lvl w:ilvl="3" w:tplc="0C09000F" w:tentative="1">
      <w:start w:val="1"/>
      <w:numFmt w:val="decimal"/>
      <w:lvlText w:val="%4."/>
      <w:lvlJc w:val="left"/>
      <w:pPr>
        <w:ind w:left="-6270" w:hanging="360"/>
      </w:pPr>
    </w:lvl>
    <w:lvl w:ilvl="4" w:tplc="0C090019">
      <w:start w:val="1"/>
      <w:numFmt w:val="lowerLetter"/>
      <w:lvlText w:val="%5."/>
      <w:lvlJc w:val="left"/>
      <w:pPr>
        <w:ind w:left="-555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4110" w:hanging="360"/>
      </w:pPr>
    </w:lvl>
    <w:lvl w:ilvl="7" w:tplc="0C090019" w:tentative="1">
      <w:start w:val="1"/>
      <w:numFmt w:val="lowerLetter"/>
      <w:lvlText w:val="%8."/>
      <w:lvlJc w:val="left"/>
      <w:pPr>
        <w:ind w:left="-3390" w:hanging="360"/>
      </w:pPr>
    </w:lvl>
    <w:lvl w:ilvl="8" w:tplc="0C09001B" w:tentative="1">
      <w:start w:val="1"/>
      <w:numFmt w:val="lowerRoman"/>
      <w:lvlText w:val="%9."/>
      <w:lvlJc w:val="right"/>
      <w:pPr>
        <w:ind w:left="-2670" w:hanging="180"/>
      </w:pPr>
    </w:lvl>
  </w:abstractNum>
  <w:abstractNum w:abstractNumId="16" w15:restartNumberingAfterBreak="0">
    <w:nsid w:val="196728DA"/>
    <w:multiLevelType w:val="hybridMultilevel"/>
    <w:tmpl w:val="FDC28E54"/>
    <w:lvl w:ilvl="0" w:tplc="FFFFFFFF">
      <w:start w:val="1"/>
      <w:numFmt w:val="lowerRoman"/>
      <w:lvlText w:val="%1."/>
      <w:lvlJc w:val="left"/>
      <w:pPr>
        <w:ind w:left="7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8D5900"/>
    <w:multiLevelType w:val="hybridMultilevel"/>
    <w:tmpl w:val="48E85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A5C67FE"/>
    <w:multiLevelType w:val="hybridMultilevel"/>
    <w:tmpl w:val="B70CB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7E22F5"/>
    <w:multiLevelType w:val="hybridMultilevel"/>
    <w:tmpl w:val="66BC9C2C"/>
    <w:lvl w:ilvl="0" w:tplc="F88A54C2">
      <w:start w:val="1"/>
      <w:numFmt w:val="lowerRoman"/>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21905BC5"/>
    <w:multiLevelType w:val="hybridMultilevel"/>
    <w:tmpl w:val="90C41698"/>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1" w15:restartNumberingAfterBreak="0">
    <w:nsid w:val="234256C0"/>
    <w:multiLevelType w:val="multilevel"/>
    <w:tmpl w:val="1436D14C"/>
    <w:lvl w:ilvl="0">
      <w:start w:val="1"/>
      <w:numFmt w:val="none"/>
      <w:pStyle w:val="TableHeading"/>
      <w:lvlText w:val=""/>
      <w:lvlJc w:val="left"/>
      <w:pPr>
        <w:tabs>
          <w:tab w:val="num" w:pos="0"/>
        </w:tabs>
        <w:ind w:left="0" w:firstLine="0"/>
      </w:pPr>
    </w:lvl>
    <w:lvl w:ilvl="1">
      <w:start w:val="1"/>
      <w:numFmt w:val="decimal"/>
      <w:lvlText w:val="%2."/>
      <w:lvlJc w:val="left"/>
      <w:pPr>
        <w:tabs>
          <w:tab w:val="num" w:pos="284"/>
        </w:tabs>
        <w:ind w:left="284" w:hanging="284"/>
      </w:pPr>
      <w:rPr>
        <w:color w:val="D8DCDB" w:themeColor="background2"/>
      </w:rPr>
    </w:lvl>
    <w:lvl w:ilvl="2">
      <w:start w:val="1"/>
      <w:numFmt w:val="none"/>
      <w:lvlText w:val=""/>
      <w:lvlJc w:val="left"/>
      <w:pPr>
        <w:tabs>
          <w:tab w:val="num" w:pos="568"/>
        </w:tabs>
        <w:ind w:left="568" w:firstLine="0"/>
      </w:pPr>
    </w:lvl>
    <w:lvl w:ilvl="3">
      <w:start w:val="1"/>
      <w:numFmt w:val="none"/>
      <w:lvlText w:val=""/>
      <w:lvlJc w:val="left"/>
      <w:pPr>
        <w:tabs>
          <w:tab w:val="num" w:pos="852"/>
        </w:tabs>
        <w:ind w:left="852" w:firstLine="0"/>
      </w:pPr>
    </w:lvl>
    <w:lvl w:ilvl="4">
      <w:start w:val="1"/>
      <w:numFmt w:val="none"/>
      <w:lvlText w:val=""/>
      <w:lvlJc w:val="left"/>
      <w:pPr>
        <w:tabs>
          <w:tab w:val="num" w:pos="1136"/>
        </w:tabs>
        <w:ind w:left="1136" w:firstLine="0"/>
      </w:pPr>
    </w:lvl>
    <w:lvl w:ilvl="5">
      <w:start w:val="1"/>
      <w:numFmt w:val="none"/>
      <w:lvlText w:val=""/>
      <w:lvlJc w:val="left"/>
      <w:pPr>
        <w:tabs>
          <w:tab w:val="num" w:pos="1420"/>
        </w:tabs>
        <w:ind w:left="1420" w:firstLine="0"/>
      </w:pPr>
    </w:lvl>
    <w:lvl w:ilvl="6">
      <w:start w:val="1"/>
      <w:numFmt w:val="none"/>
      <w:lvlText w:val=""/>
      <w:lvlJc w:val="left"/>
      <w:pPr>
        <w:tabs>
          <w:tab w:val="num" w:pos="1704"/>
        </w:tabs>
        <w:ind w:left="1704" w:firstLine="0"/>
      </w:pPr>
    </w:lvl>
    <w:lvl w:ilvl="7">
      <w:start w:val="1"/>
      <w:numFmt w:val="none"/>
      <w:lvlText w:val=""/>
      <w:lvlJc w:val="left"/>
      <w:pPr>
        <w:tabs>
          <w:tab w:val="num" w:pos="1988"/>
        </w:tabs>
        <w:ind w:left="1988" w:firstLine="0"/>
      </w:pPr>
    </w:lvl>
    <w:lvl w:ilvl="8">
      <w:start w:val="1"/>
      <w:numFmt w:val="none"/>
      <w:lvlText w:val=""/>
      <w:lvlJc w:val="left"/>
      <w:pPr>
        <w:tabs>
          <w:tab w:val="num" w:pos="2272"/>
        </w:tabs>
        <w:ind w:left="2272" w:firstLine="0"/>
      </w:pPr>
    </w:lvl>
  </w:abstractNum>
  <w:abstractNum w:abstractNumId="22" w15:restartNumberingAfterBreak="0">
    <w:nsid w:val="25B267EF"/>
    <w:multiLevelType w:val="hybridMultilevel"/>
    <w:tmpl w:val="DB200B86"/>
    <w:lvl w:ilvl="0" w:tplc="F88A54C2">
      <w:start w:val="1"/>
      <w:numFmt w:val="lowerRoman"/>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26AA04C3"/>
    <w:multiLevelType w:val="hybridMultilevel"/>
    <w:tmpl w:val="B754A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869096A"/>
    <w:multiLevelType w:val="hybridMultilevel"/>
    <w:tmpl w:val="A09A9EC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6" w15:restartNumberingAfterBreak="0">
    <w:nsid w:val="326D4CE1"/>
    <w:multiLevelType w:val="hybridMultilevel"/>
    <w:tmpl w:val="2682B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675593C"/>
    <w:multiLevelType w:val="hybridMultilevel"/>
    <w:tmpl w:val="42DE95FE"/>
    <w:lvl w:ilvl="0" w:tplc="0C09000B">
      <w:start w:val="1"/>
      <w:numFmt w:val="bullet"/>
      <w:lvlText w:val=""/>
      <w:lvlJc w:val="left"/>
      <w:pPr>
        <w:ind w:left="1074" w:hanging="360"/>
      </w:pPr>
      <w:rPr>
        <w:rFonts w:ascii="Wingdings" w:hAnsi="Wingdings" w:hint="default"/>
      </w:rPr>
    </w:lvl>
    <w:lvl w:ilvl="1" w:tplc="FFFFFFFF">
      <w:start w:val="1"/>
      <w:numFmt w:val="bullet"/>
      <w:lvlText w:val="o"/>
      <w:lvlJc w:val="left"/>
      <w:pPr>
        <w:ind w:left="1794" w:hanging="360"/>
      </w:pPr>
      <w:rPr>
        <w:rFonts w:ascii="Courier New" w:hAnsi="Courier New" w:cs="Courier New"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28" w15:restartNumberingAfterBreak="0">
    <w:nsid w:val="37D36AF0"/>
    <w:multiLevelType w:val="hybridMultilevel"/>
    <w:tmpl w:val="75E41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7E21A21"/>
    <w:multiLevelType w:val="hybridMultilevel"/>
    <w:tmpl w:val="42D0A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9B75240"/>
    <w:multiLevelType w:val="hybridMultilevel"/>
    <w:tmpl w:val="5DEA570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AA92E41"/>
    <w:multiLevelType w:val="hybridMultilevel"/>
    <w:tmpl w:val="771CE86E"/>
    <w:lvl w:ilvl="0" w:tplc="B20AD72E">
      <w:start w:val="1"/>
      <w:numFmt w:val="bullet"/>
      <w:lvlText w:val="-"/>
      <w:lvlJc w:val="left"/>
      <w:pPr>
        <w:ind w:left="405" w:hanging="360"/>
      </w:pPr>
      <w:rPr>
        <w:rFonts w:ascii="Calibri Light" w:eastAsiaTheme="minorHAnsi" w:hAnsi="Calibri Light" w:cs="Calibri Light"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2" w15:restartNumberingAfterBreak="0">
    <w:nsid w:val="417C74D8"/>
    <w:multiLevelType w:val="hybridMultilevel"/>
    <w:tmpl w:val="827E9ED2"/>
    <w:lvl w:ilvl="0" w:tplc="FFFFFFFF">
      <w:start w:val="1"/>
      <w:numFmt w:val="lowerRoman"/>
      <w:lvlText w:val="%1."/>
      <w:lvlJc w:val="left"/>
      <w:pPr>
        <w:ind w:left="7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26D125E"/>
    <w:multiLevelType w:val="hybridMultilevel"/>
    <w:tmpl w:val="A2B4621E"/>
    <w:lvl w:ilvl="0" w:tplc="8D20A9EE">
      <w:start w:val="1"/>
      <w:numFmt w:val="upperLetter"/>
      <w:lvlText w:val="%1."/>
      <w:lvlJc w:val="left"/>
      <w:pPr>
        <w:ind w:left="360" w:hanging="360"/>
      </w:pPr>
      <w:rPr>
        <w:rFonts w:hint="default"/>
        <w:b/>
        <w:color w:val="495965" w:themeColor="text2"/>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6591389"/>
    <w:multiLevelType w:val="hybridMultilevel"/>
    <w:tmpl w:val="453A4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B733189"/>
    <w:multiLevelType w:val="hybridMultilevel"/>
    <w:tmpl w:val="12CEB0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DAE51B7"/>
    <w:multiLevelType w:val="hybridMultilevel"/>
    <w:tmpl w:val="1B749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F0369BB"/>
    <w:multiLevelType w:val="hybridMultilevel"/>
    <w:tmpl w:val="91F04642"/>
    <w:lvl w:ilvl="0" w:tplc="FFFFFFFF">
      <w:start w:val="1"/>
      <w:numFmt w:val="lowerRoman"/>
      <w:lvlText w:val="%1."/>
      <w:lvlJc w:val="left"/>
      <w:pPr>
        <w:ind w:left="717" w:hanging="360"/>
      </w:pPr>
      <w:rPr>
        <w:rFonts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38" w15:restartNumberingAfterBreak="0">
    <w:nsid w:val="50F456DD"/>
    <w:multiLevelType w:val="hybridMultilevel"/>
    <w:tmpl w:val="376C797C"/>
    <w:lvl w:ilvl="0" w:tplc="F88A54C2">
      <w:start w:val="1"/>
      <w:numFmt w:val="lowerRoman"/>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9" w15:restartNumberingAfterBreak="0">
    <w:nsid w:val="52553D9F"/>
    <w:multiLevelType w:val="multilevel"/>
    <w:tmpl w:val="A6FA45D0"/>
    <w:numStyleLink w:val="BulletsList"/>
  </w:abstractNum>
  <w:abstractNum w:abstractNumId="40" w15:restartNumberingAfterBreak="0">
    <w:nsid w:val="560E19D2"/>
    <w:multiLevelType w:val="multilevel"/>
    <w:tmpl w:val="9A2635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584F094A"/>
    <w:multiLevelType w:val="hybridMultilevel"/>
    <w:tmpl w:val="1AF20BAA"/>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4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3" w15:restartNumberingAfterBreak="0">
    <w:nsid w:val="5B633194"/>
    <w:multiLevelType w:val="multilevel"/>
    <w:tmpl w:val="422CF75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2484"/>
        </w:tabs>
        <w:ind w:left="2484"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4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5" w15:restartNumberingAfterBreak="0">
    <w:nsid w:val="62005F02"/>
    <w:multiLevelType w:val="multilevel"/>
    <w:tmpl w:val="1DCEF05E"/>
    <w:lvl w:ilvl="0">
      <w:start w:val="1"/>
      <w:numFmt w:val="decimal"/>
      <w:pStyle w:val="Level1"/>
      <w:lvlText w:val="%1."/>
      <w:lvlJc w:val="left"/>
      <w:pPr>
        <w:tabs>
          <w:tab w:val="num" w:pos="720"/>
        </w:tabs>
        <w:ind w:left="720" w:hanging="720"/>
      </w:pPr>
      <w:rPr>
        <w:rFonts w:ascii="Palatino" w:hAnsi="Palatino" w:hint="default"/>
        <w:b w:val="0"/>
        <w:i w:val="0"/>
        <w:sz w:val="22"/>
      </w:rPr>
    </w:lvl>
    <w:lvl w:ilvl="1">
      <w:start w:val="1"/>
      <w:numFmt w:val="decimal"/>
      <w:pStyle w:val="Level11"/>
      <w:lvlText w:val="%1.%2"/>
      <w:lvlJc w:val="left"/>
      <w:pPr>
        <w:tabs>
          <w:tab w:val="num" w:pos="720"/>
        </w:tabs>
        <w:ind w:left="720" w:hanging="706"/>
      </w:pPr>
      <w:rPr>
        <w:rFonts w:ascii="Palatino" w:hAnsi="Palatino" w:hint="default"/>
        <w:b w:val="0"/>
        <w:i w:val="0"/>
        <w:sz w:val="22"/>
      </w:rPr>
    </w:lvl>
    <w:lvl w:ilvl="2">
      <w:start w:val="1"/>
      <w:numFmt w:val="lowerLetter"/>
      <w:pStyle w:val="Levela"/>
      <w:lvlText w:val="(%3)"/>
      <w:lvlJc w:val="left"/>
      <w:pPr>
        <w:tabs>
          <w:tab w:val="num" w:pos="1440"/>
        </w:tabs>
        <w:ind w:left="1440" w:hanging="720"/>
      </w:pPr>
      <w:rPr>
        <w:rFonts w:ascii="Palatino" w:hAnsi="Palatino" w:hint="default"/>
        <w:b w:val="0"/>
        <w:i w:val="0"/>
        <w:sz w:val="22"/>
      </w:rPr>
    </w:lvl>
    <w:lvl w:ilvl="3">
      <w:start w:val="1"/>
      <w:numFmt w:val="lowerRoman"/>
      <w:pStyle w:val="Leveli"/>
      <w:lvlText w:val="(%4)"/>
      <w:lvlJc w:val="left"/>
      <w:pPr>
        <w:tabs>
          <w:tab w:val="num" w:pos="2160"/>
        </w:tabs>
        <w:ind w:left="2160" w:hanging="720"/>
      </w:pPr>
      <w:rPr>
        <w:rFonts w:ascii="Palatino" w:hAnsi="Palatino" w:hint="default"/>
        <w:b w:val="0"/>
        <w:i w:val="0"/>
        <w:sz w:val="22"/>
      </w:rPr>
    </w:lvl>
    <w:lvl w:ilvl="4">
      <w:start w:val="1"/>
      <w:numFmt w:val="upperLetter"/>
      <w:pStyle w:val="PlainText"/>
      <w:lvlText w:val="(%5)"/>
      <w:lvlJc w:val="left"/>
      <w:pPr>
        <w:tabs>
          <w:tab w:val="num" w:pos="2880"/>
        </w:tabs>
        <w:ind w:left="2880" w:hanging="720"/>
      </w:pPr>
      <w:rPr>
        <w:rFonts w:ascii="Palatino" w:hAnsi="Palatino" w:hint="default"/>
        <w:b w:val="0"/>
        <w:i w:val="0"/>
        <w:sz w:val="22"/>
      </w:rPr>
    </w:lvl>
    <w:lvl w:ilvl="5">
      <w:start w:val="1"/>
      <w:numFmt w:val="upperRoman"/>
      <w:pStyle w:val="LevelA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62A34CE7"/>
    <w:multiLevelType w:val="hybridMultilevel"/>
    <w:tmpl w:val="DBD8A054"/>
    <w:lvl w:ilvl="0" w:tplc="0C090017">
      <w:start w:val="1"/>
      <w:numFmt w:val="lowerLetter"/>
      <w:lvlText w:val="%1)"/>
      <w:lvlJc w:val="left"/>
      <w:pPr>
        <w:ind w:left="644" w:hanging="360"/>
      </w:pPr>
      <w:rPr>
        <w:rFonts w:hint="default"/>
      </w:rPr>
    </w:lvl>
    <w:lvl w:ilvl="1" w:tplc="F88A54C2">
      <w:start w:val="1"/>
      <w:numFmt w:val="lowerRoman"/>
      <w:lvlText w:val="%2."/>
      <w:lvlJc w:val="left"/>
      <w:pPr>
        <w:ind w:left="1364" w:hanging="360"/>
      </w:pPr>
      <w:rPr>
        <w:rFonts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7" w15:restartNumberingAfterBreak="0">
    <w:nsid w:val="6855643F"/>
    <w:multiLevelType w:val="hybridMultilevel"/>
    <w:tmpl w:val="333CFB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CED1122"/>
    <w:multiLevelType w:val="hybridMultilevel"/>
    <w:tmpl w:val="F99C5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EBF68AC"/>
    <w:multiLevelType w:val="hybridMultilevel"/>
    <w:tmpl w:val="AF025944"/>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FF7158E"/>
    <w:multiLevelType w:val="multilevel"/>
    <w:tmpl w:val="828808BE"/>
    <w:lvl w:ilvl="0">
      <w:start w:val="1"/>
      <w:numFmt w:val="decimal"/>
      <w:lvlText w:val="%1."/>
      <w:lvlJc w:val="left"/>
      <w:pPr>
        <w:tabs>
          <w:tab w:val="num" w:pos="720"/>
        </w:tabs>
        <w:ind w:left="720" w:hanging="720"/>
      </w:pPr>
      <w:rPr>
        <w:rFonts w:ascii="Verdana" w:hAnsi="Verdana" w:hint="default"/>
        <w:b w:val="0"/>
        <w:i w:val="0"/>
        <w:color w:val="495965" w:themeColor="text2"/>
        <w:sz w:val="20"/>
        <w:szCs w:val="20"/>
      </w:rPr>
    </w:lvl>
    <w:lvl w:ilvl="1">
      <w:start w:val="1"/>
      <w:numFmt w:val="decimal"/>
      <w:lvlText w:val="%1.%2"/>
      <w:lvlJc w:val="left"/>
      <w:pPr>
        <w:tabs>
          <w:tab w:val="num" w:pos="848"/>
        </w:tabs>
        <w:ind w:left="848" w:hanging="706"/>
      </w:pPr>
      <w:rPr>
        <w:rFonts w:asciiTheme="minorHAnsi" w:hAnsiTheme="minorHAnsi" w:cs="Times New Roman" w:hint="default"/>
        <w:b w:val="0"/>
        <w:i w:val="0"/>
        <w:sz w:val="22"/>
        <w:szCs w:val="22"/>
      </w:rPr>
    </w:lvl>
    <w:lvl w:ilvl="2">
      <w:start w:val="1"/>
      <w:numFmt w:val="lowerLetter"/>
      <w:lvlText w:val="(%3)"/>
      <w:lvlJc w:val="left"/>
      <w:pPr>
        <w:tabs>
          <w:tab w:val="num" w:pos="1440"/>
        </w:tabs>
        <w:ind w:left="1440" w:hanging="720"/>
      </w:pPr>
      <w:rPr>
        <w:rFonts w:ascii="Calibri" w:hAnsi="Calibri" w:cs="Calibri" w:hint="default"/>
        <w:b w:val="0"/>
        <w:i w:val="0"/>
        <w:color w:val="495965" w:themeColor="text2"/>
        <w:sz w:val="22"/>
        <w:szCs w:val="22"/>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1" w15:restartNumberingAfterBreak="0">
    <w:nsid w:val="71AC24E2"/>
    <w:multiLevelType w:val="hybridMultilevel"/>
    <w:tmpl w:val="38FA36D0"/>
    <w:lvl w:ilvl="0" w:tplc="F88A54C2">
      <w:start w:val="1"/>
      <w:numFmt w:val="lowerRoman"/>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2"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3" w15:restartNumberingAfterBreak="0">
    <w:nsid w:val="73D91448"/>
    <w:multiLevelType w:val="hybridMultilevel"/>
    <w:tmpl w:val="C6A68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6ED2B51"/>
    <w:multiLevelType w:val="hybridMultilevel"/>
    <w:tmpl w:val="DB200B86"/>
    <w:lvl w:ilvl="0" w:tplc="F88A54C2">
      <w:start w:val="1"/>
      <w:numFmt w:val="lowerRoman"/>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5" w15:restartNumberingAfterBreak="0">
    <w:nsid w:val="792B42AF"/>
    <w:multiLevelType w:val="hybridMultilevel"/>
    <w:tmpl w:val="D0A6F0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7" w15:restartNumberingAfterBreak="0">
    <w:nsid w:val="7B182796"/>
    <w:multiLevelType w:val="multilevel"/>
    <w:tmpl w:val="C116FFA0"/>
    <w:lvl w:ilvl="0">
      <w:start w:val="1"/>
      <w:numFmt w:val="decimal"/>
      <w:pStyle w:val="CONLevel1"/>
      <w:lvlText w:val="%1."/>
      <w:lvlJc w:val="left"/>
      <w:pPr>
        <w:tabs>
          <w:tab w:val="num" w:pos="720"/>
        </w:tabs>
        <w:ind w:left="720" w:hanging="720"/>
      </w:pPr>
      <w:rPr>
        <w:rFonts w:asciiTheme="minorHAnsi" w:hAnsiTheme="minorHAnsi" w:cstheme="minorHAnsi" w:hint="default"/>
        <w:b/>
        <w:i w:val="0"/>
        <w:sz w:val="22"/>
        <w:szCs w:val="22"/>
      </w:rPr>
    </w:lvl>
    <w:lvl w:ilvl="1">
      <w:start w:val="1"/>
      <w:numFmt w:val="decimal"/>
      <w:pStyle w:val="CONLevel11"/>
      <w:lvlText w:val="%1.%2"/>
      <w:lvlJc w:val="left"/>
      <w:pPr>
        <w:tabs>
          <w:tab w:val="num" w:pos="990"/>
        </w:tabs>
        <w:ind w:left="990" w:hanging="706"/>
      </w:pPr>
      <w:rPr>
        <w:rFonts w:asciiTheme="minorHAnsi" w:hAnsiTheme="minorHAnsi" w:cstheme="minorHAnsi" w:hint="default"/>
        <w:b w:val="0"/>
        <w:i w:val="0"/>
        <w:sz w:val="22"/>
        <w:szCs w:val="22"/>
      </w:rPr>
    </w:lvl>
    <w:lvl w:ilvl="2">
      <w:start w:val="1"/>
      <w:numFmt w:val="lowerLetter"/>
      <w:pStyle w:val="CONLevela"/>
      <w:lvlText w:val="(%3)"/>
      <w:lvlJc w:val="left"/>
      <w:pPr>
        <w:tabs>
          <w:tab w:val="num" w:pos="1571"/>
        </w:tabs>
        <w:ind w:left="1571" w:hanging="720"/>
      </w:pPr>
      <w:rPr>
        <w:rFonts w:asciiTheme="minorHAnsi" w:hAnsiTheme="minorHAnsi" w:cstheme="minorHAnsi" w:hint="default"/>
        <w:b w:val="0"/>
        <w:i w:val="0"/>
        <w:sz w:val="22"/>
        <w:szCs w:val="22"/>
      </w:rPr>
    </w:lvl>
    <w:lvl w:ilvl="3">
      <w:start w:val="1"/>
      <w:numFmt w:val="lowerRoman"/>
      <w:pStyle w:val="CONLeveli"/>
      <w:lvlText w:val="%4."/>
      <w:lvlJc w:val="right"/>
      <w:pPr>
        <w:tabs>
          <w:tab w:val="num" w:pos="2160"/>
        </w:tabs>
        <w:ind w:left="2160" w:hanging="720"/>
      </w:pPr>
      <w:rPr>
        <w:b w:val="0"/>
        <w:i w:val="0"/>
        <w:sz w:val="24"/>
      </w:rPr>
    </w:lvl>
    <w:lvl w:ilvl="4">
      <w:start w:val="1"/>
      <w:numFmt w:val="upperLetter"/>
      <w:pStyle w:val="CONLevelA0"/>
      <w:lvlText w:val="(%5)"/>
      <w:lvlJc w:val="left"/>
      <w:pPr>
        <w:tabs>
          <w:tab w:val="num" w:pos="2880"/>
        </w:tabs>
        <w:ind w:left="2880" w:hanging="720"/>
      </w:pPr>
      <w:rPr>
        <w:rFonts w:asciiTheme="minorHAnsi" w:hAnsiTheme="minorHAnsi" w:cstheme="minorHAnsi" w:hint="default"/>
        <w:b w:val="0"/>
        <w:i w:val="0"/>
        <w:sz w:val="22"/>
        <w:szCs w:val="22"/>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8" w15:restartNumberingAfterBreak="0">
    <w:nsid w:val="7CEE1737"/>
    <w:multiLevelType w:val="hybridMultilevel"/>
    <w:tmpl w:val="B6183F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52"/>
  </w:num>
  <w:num w:numId="2">
    <w:abstractNumId w:val="7"/>
  </w:num>
  <w:num w:numId="3">
    <w:abstractNumId w:val="25"/>
  </w:num>
  <w:num w:numId="4">
    <w:abstractNumId w:val="42"/>
  </w:num>
  <w:num w:numId="5">
    <w:abstractNumId w:val="44"/>
  </w:num>
  <w:num w:numId="6">
    <w:abstractNumId w:val="25"/>
  </w:num>
  <w:num w:numId="7">
    <w:abstractNumId w:val="7"/>
  </w:num>
  <w:num w:numId="8">
    <w:abstractNumId w:val="13"/>
  </w:num>
  <w:num w:numId="9">
    <w:abstractNumId w:val="56"/>
  </w:num>
  <w:num w:numId="10">
    <w:abstractNumId w:val="39"/>
  </w:num>
  <w:num w:numId="11">
    <w:abstractNumId w:val="59"/>
  </w:num>
  <w:num w:numId="12">
    <w:abstractNumId w:val="15"/>
  </w:num>
  <w:num w:numId="13">
    <w:abstractNumId w:val="31"/>
  </w:num>
  <w:num w:numId="14">
    <w:abstractNumId w:val="11"/>
  </w:num>
  <w:num w:numId="15">
    <w:abstractNumId w:val="30"/>
  </w:num>
  <w:num w:numId="16">
    <w:abstractNumId w:val="34"/>
  </w:num>
  <w:num w:numId="17">
    <w:abstractNumId w:val="54"/>
  </w:num>
  <w:num w:numId="18">
    <w:abstractNumId w:val="22"/>
  </w:num>
  <w:num w:numId="19">
    <w:abstractNumId w:val="19"/>
  </w:num>
  <w:num w:numId="20">
    <w:abstractNumId w:val="51"/>
  </w:num>
  <w:num w:numId="21">
    <w:abstractNumId w:val="46"/>
  </w:num>
  <w:num w:numId="22">
    <w:abstractNumId w:val="33"/>
  </w:num>
  <w:num w:numId="23">
    <w:abstractNumId w:val="58"/>
  </w:num>
  <w:num w:numId="24">
    <w:abstractNumId w:val="20"/>
  </w:num>
  <w:num w:numId="25">
    <w:abstractNumId w:val="3"/>
  </w:num>
  <w:num w:numId="26">
    <w:abstractNumId w:val="37"/>
  </w:num>
  <w:num w:numId="27">
    <w:abstractNumId w:val="32"/>
  </w:num>
  <w:num w:numId="28">
    <w:abstractNumId w:val="16"/>
  </w:num>
  <w:num w:numId="29">
    <w:abstractNumId w:val="27"/>
  </w:num>
  <w:num w:numId="30">
    <w:abstractNumId w:val="10"/>
  </w:num>
  <w:num w:numId="31">
    <w:abstractNumId w:val="38"/>
  </w:num>
  <w:num w:numId="32">
    <w:abstractNumId w:val="9"/>
  </w:num>
  <w:num w:numId="33">
    <w:abstractNumId w:val="1"/>
  </w:num>
  <w:num w:numId="34">
    <w:abstractNumId w:val="49"/>
  </w:num>
  <w:num w:numId="35">
    <w:abstractNumId w:val="41"/>
  </w:num>
  <w:num w:numId="36">
    <w:abstractNumId w:val="24"/>
  </w:num>
  <w:num w:numId="37">
    <w:abstractNumId w:val="18"/>
  </w:num>
  <w:num w:numId="38">
    <w:abstractNumId w:val="48"/>
  </w:num>
  <w:num w:numId="39">
    <w:abstractNumId w:val="57"/>
  </w:num>
  <w:num w:numId="40">
    <w:abstractNumId w:val="45"/>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5"/>
  </w:num>
  <w:num w:numId="44">
    <w:abstractNumId w:val="50"/>
  </w:num>
  <w:num w:numId="45">
    <w:abstractNumId w:val="6"/>
  </w:num>
  <w:num w:numId="46">
    <w:abstractNumId w:val="40"/>
  </w:num>
  <w:num w:numId="47">
    <w:abstractNumId w:val="14"/>
  </w:num>
  <w:num w:numId="48">
    <w:abstractNumId w:val="2"/>
  </w:num>
  <w:num w:numId="49">
    <w:abstractNumId w:val="36"/>
  </w:num>
  <w:num w:numId="50">
    <w:abstractNumId w:val="0"/>
  </w:num>
  <w:num w:numId="51">
    <w:abstractNumId w:val="28"/>
  </w:num>
  <w:num w:numId="52">
    <w:abstractNumId w:val="53"/>
  </w:num>
  <w:num w:numId="53">
    <w:abstractNumId w:val="35"/>
  </w:num>
  <w:num w:numId="54">
    <w:abstractNumId w:val="12"/>
  </w:num>
  <w:num w:numId="55">
    <w:abstractNumId w:val="4"/>
  </w:num>
  <w:num w:numId="56">
    <w:abstractNumId w:val="29"/>
  </w:num>
  <w:num w:numId="57">
    <w:abstractNumId w:val="55"/>
  </w:num>
  <w:num w:numId="58">
    <w:abstractNumId w:val="17"/>
  </w:num>
  <w:num w:numId="59">
    <w:abstractNumId w:val="23"/>
  </w:num>
  <w:num w:numId="60">
    <w:abstractNumId w:val="47"/>
  </w:num>
  <w:num w:numId="61">
    <w:abstractNumId w:val="26"/>
  </w:num>
  <w:num w:numId="62">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583"/>
    <w:rsid w:val="000006F5"/>
    <w:rsid w:val="00001595"/>
    <w:rsid w:val="000018DF"/>
    <w:rsid w:val="00001BF6"/>
    <w:rsid w:val="00001DA8"/>
    <w:rsid w:val="000020C1"/>
    <w:rsid w:val="00002905"/>
    <w:rsid w:val="0000364C"/>
    <w:rsid w:val="00004173"/>
    <w:rsid w:val="0000446F"/>
    <w:rsid w:val="00004624"/>
    <w:rsid w:val="00006001"/>
    <w:rsid w:val="00006A87"/>
    <w:rsid w:val="0000786D"/>
    <w:rsid w:val="000078CE"/>
    <w:rsid w:val="000100D5"/>
    <w:rsid w:val="000103FE"/>
    <w:rsid w:val="000104F9"/>
    <w:rsid w:val="00010AAA"/>
    <w:rsid w:val="00011562"/>
    <w:rsid w:val="000124F1"/>
    <w:rsid w:val="000128E6"/>
    <w:rsid w:val="00013A09"/>
    <w:rsid w:val="00013BD5"/>
    <w:rsid w:val="00014ED5"/>
    <w:rsid w:val="00015309"/>
    <w:rsid w:val="0001539A"/>
    <w:rsid w:val="00015E26"/>
    <w:rsid w:val="000160DC"/>
    <w:rsid w:val="00016891"/>
    <w:rsid w:val="00016DFF"/>
    <w:rsid w:val="000170C7"/>
    <w:rsid w:val="00020266"/>
    <w:rsid w:val="00020650"/>
    <w:rsid w:val="0002080A"/>
    <w:rsid w:val="000214C5"/>
    <w:rsid w:val="00021566"/>
    <w:rsid w:val="00021596"/>
    <w:rsid w:val="000215CD"/>
    <w:rsid w:val="00022938"/>
    <w:rsid w:val="00023B4E"/>
    <w:rsid w:val="00023D91"/>
    <w:rsid w:val="00024A00"/>
    <w:rsid w:val="00025457"/>
    <w:rsid w:val="000256A9"/>
    <w:rsid w:val="00025E18"/>
    <w:rsid w:val="00025E48"/>
    <w:rsid w:val="00025F70"/>
    <w:rsid w:val="00026104"/>
    <w:rsid w:val="00026114"/>
    <w:rsid w:val="0002624C"/>
    <w:rsid w:val="0002663E"/>
    <w:rsid w:val="000268E4"/>
    <w:rsid w:val="00026C52"/>
    <w:rsid w:val="00026C94"/>
    <w:rsid w:val="00027246"/>
    <w:rsid w:val="000277F1"/>
    <w:rsid w:val="0002782F"/>
    <w:rsid w:val="00027E28"/>
    <w:rsid w:val="000301D6"/>
    <w:rsid w:val="00031AC3"/>
    <w:rsid w:val="00033C0A"/>
    <w:rsid w:val="00033C9B"/>
    <w:rsid w:val="00033CC8"/>
    <w:rsid w:val="000349C1"/>
    <w:rsid w:val="00034E6F"/>
    <w:rsid w:val="00035980"/>
    <w:rsid w:val="00035BBF"/>
    <w:rsid w:val="00035D6A"/>
    <w:rsid w:val="00035D92"/>
    <w:rsid w:val="00036346"/>
    <w:rsid w:val="000363A2"/>
    <w:rsid w:val="0003672D"/>
    <w:rsid w:val="000367C4"/>
    <w:rsid w:val="00037164"/>
    <w:rsid w:val="0004068D"/>
    <w:rsid w:val="000407D1"/>
    <w:rsid w:val="00040A04"/>
    <w:rsid w:val="000416CF"/>
    <w:rsid w:val="00041D92"/>
    <w:rsid w:val="00041E57"/>
    <w:rsid w:val="00043632"/>
    <w:rsid w:val="00044698"/>
    <w:rsid w:val="00044D94"/>
    <w:rsid w:val="00044FD9"/>
    <w:rsid w:val="00045ABA"/>
    <w:rsid w:val="000477E1"/>
    <w:rsid w:val="00050133"/>
    <w:rsid w:val="000505C7"/>
    <w:rsid w:val="00050806"/>
    <w:rsid w:val="00051096"/>
    <w:rsid w:val="00051F38"/>
    <w:rsid w:val="00052B81"/>
    <w:rsid w:val="0005300A"/>
    <w:rsid w:val="0005311A"/>
    <w:rsid w:val="0005444F"/>
    <w:rsid w:val="000546D9"/>
    <w:rsid w:val="00054C6E"/>
    <w:rsid w:val="00054E4D"/>
    <w:rsid w:val="00054F0F"/>
    <w:rsid w:val="000550A1"/>
    <w:rsid w:val="00056B90"/>
    <w:rsid w:val="00056D92"/>
    <w:rsid w:val="0005727E"/>
    <w:rsid w:val="000577C3"/>
    <w:rsid w:val="00057A9D"/>
    <w:rsid w:val="00060073"/>
    <w:rsid w:val="00060706"/>
    <w:rsid w:val="00060E1F"/>
    <w:rsid w:val="000616C6"/>
    <w:rsid w:val="000617E6"/>
    <w:rsid w:val="00061FA5"/>
    <w:rsid w:val="00062F9F"/>
    <w:rsid w:val="000630DB"/>
    <w:rsid w:val="00063AB3"/>
    <w:rsid w:val="00063CA1"/>
    <w:rsid w:val="00063CBE"/>
    <w:rsid w:val="00064643"/>
    <w:rsid w:val="00064AD5"/>
    <w:rsid w:val="00065A36"/>
    <w:rsid w:val="00065D57"/>
    <w:rsid w:val="00066309"/>
    <w:rsid w:val="000664FA"/>
    <w:rsid w:val="00067771"/>
    <w:rsid w:val="000701E4"/>
    <w:rsid w:val="00070348"/>
    <w:rsid w:val="00070FD4"/>
    <w:rsid w:val="00071A91"/>
    <w:rsid w:val="00072665"/>
    <w:rsid w:val="00073577"/>
    <w:rsid w:val="000735BD"/>
    <w:rsid w:val="000735F0"/>
    <w:rsid w:val="000746D3"/>
    <w:rsid w:val="00075107"/>
    <w:rsid w:val="0007539B"/>
    <w:rsid w:val="0007591E"/>
    <w:rsid w:val="00076B01"/>
    <w:rsid w:val="00077A2B"/>
    <w:rsid w:val="00077D87"/>
    <w:rsid w:val="00080590"/>
    <w:rsid w:val="000811DD"/>
    <w:rsid w:val="000817D4"/>
    <w:rsid w:val="000823FC"/>
    <w:rsid w:val="0008292B"/>
    <w:rsid w:val="00082A83"/>
    <w:rsid w:val="00082C48"/>
    <w:rsid w:val="0008331B"/>
    <w:rsid w:val="00083C66"/>
    <w:rsid w:val="00083C7A"/>
    <w:rsid w:val="00083F99"/>
    <w:rsid w:val="000841B6"/>
    <w:rsid w:val="00084D05"/>
    <w:rsid w:val="000854CC"/>
    <w:rsid w:val="000854FD"/>
    <w:rsid w:val="00085776"/>
    <w:rsid w:val="00085E50"/>
    <w:rsid w:val="0008681E"/>
    <w:rsid w:val="00086EC5"/>
    <w:rsid w:val="00087210"/>
    <w:rsid w:val="00087F81"/>
    <w:rsid w:val="00087FF8"/>
    <w:rsid w:val="00090287"/>
    <w:rsid w:val="00090AEF"/>
    <w:rsid w:val="00090EDD"/>
    <w:rsid w:val="00091392"/>
    <w:rsid w:val="00091696"/>
    <w:rsid w:val="00091982"/>
    <w:rsid w:val="00091FC0"/>
    <w:rsid w:val="00092045"/>
    <w:rsid w:val="000926C6"/>
    <w:rsid w:val="00093822"/>
    <w:rsid w:val="00093D0E"/>
    <w:rsid w:val="00095A25"/>
    <w:rsid w:val="00095A6E"/>
    <w:rsid w:val="00096107"/>
    <w:rsid w:val="00096CE8"/>
    <w:rsid w:val="00096E0B"/>
    <w:rsid w:val="00096F6B"/>
    <w:rsid w:val="000970B9"/>
    <w:rsid w:val="000978D4"/>
    <w:rsid w:val="000A07B0"/>
    <w:rsid w:val="000A130F"/>
    <w:rsid w:val="000A22DF"/>
    <w:rsid w:val="000A239D"/>
    <w:rsid w:val="000A34A9"/>
    <w:rsid w:val="000A3B11"/>
    <w:rsid w:val="000A439D"/>
    <w:rsid w:val="000A446B"/>
    <w:rsid w:val="000A4DA5"/>
    <w:rsid w:val="000A520F"/>
    <w:rsid w:val="000A5D8E"/>
    <w:rsid w:val="000A62CF"/>
    <w:rsid w:val="000A6489"/>
    <w:rsid w:val="000A672C"/>
    <w:rsid w:val="000A6AAA"/>
    <w:rsid w:val="000A749E"/>
    <w:rsid w:val="000A76FF"/>
    <w:rsid w:val="000A79A3"/>
    <w:rsid w:val="000B1612"/>
    <w:rsid w:val="000B1D73"/>
    <w:rsid w:val="000B2729"/>
    <w:rsid w:val="000B2D87"/>
    <w:rsid w:val="000B309C"/>
    <w:rsid w:val="000B37F5"/>
    <w:rsid w:val="000B4B10"/>
    <w:rsid w:val="000B5394"/>
    <w:rsid w:val="000B5C0A"/>
    <w:rsid w:val="000B6419"/>
    <w:rsid w:val="000B6870"/>
    <w:rsid w:val="000B730C"/>
    <w:rsid w:val="000C170E"/>
    <w:rsid w:val="000C1BD3"/>
    <w:rsid w:val="000C1BD6"/>
    <w:rsid w:val="000C1D00"/>
    <w:rsid w:val="000C2504"/>
    <w:rsid w:val="000C287E"/>
    <w:rsid w:val="000C2B6A"/>
    <w:rsid w:val="000C2F72"/>
    <w:rsid w:val="000C346F"/>
    <w:rsid w:val="000C480E"/>
    <w:rsid w:val="000C4D0A"/>
    <w:rsid w:val="000C4DA4"/>
    <w:rsid w:val="000C5364"/>
    <w:rsid w:val="000C53B0"/>
    <w:rsid w:val="000C64EE"/>
    <w:rsid w:val="000C67FB"/>
    <w:rsid w:val="000D23D0"/>
    <w:rsid w:val="000D29AF"/>
    <w:rsid w:val="000D42F5"/>
    <w:rsid w:val="000D444E"/>
    <w:rsid w:val="000D4FD1"/>
    <w:rsid w:val="000D592A"/>
    <w:rsid w:val="000D6143"/>
    <w:rsid w:val="000D66D6"/>
    <w:rsid w:val="000D6804"/>
    <w:rsid w:val="000D70EE"/>
    <w:rsid w:val="000D7A19"/>
    <w:rsid w:val="000E05EB"/>
    <w:rsid w:val="000E09D5"/>
    <w:rsid w:val="000E1CFE"/>
    <w:rsid w:val="000E21F8"/>
    <w:rsid w:val="000E356A"/>
    <w:rsid w:val="000E5911"/>
    <w:rsid w:val="000E5C5A"/>
    <w:rsid w:val="000E5EF3"/>
    <w:rsid w:val="000E6694"/>
    <w:rsid w:val="000E6711"/>
    <w:rsid w:val="000E6CAB"/>
    <w:rsid w:val="000E706F"/>
    <w:rsid w:val="000E7FF6"/>
    <w:rsid w:val="000F11A7"/>
    <w:rsid w:val="000F1B38"/>
    <w:rsid w:val="000F2ED3"/>
    <w:rsid w:val="000F3B3A"/>
    <w:rsid w:val="000F3DA7"/>
    <w:rsid w:val="000F5140"/>
    <w:rsid w:val="000F5B52"/>
    <w:rsid w:val="000F6EFA"/>
    <w:rsid w:val="000F768D"/>
    <w:rsid w:val="0010026A"/>
    <w:rsid w:val="00100DB0"/>
    <w:rsid w:val="0010116D"/>
    <w:rsid w:val="00101BD5"/>
    <w:rsid w:val="00101E60"/>
    <w:rsid w:val="0010396C"/>
    <w:rsid w:val="00103A2E"/>
    <w:rsid w:val="00104620"/>
    <w:rsid w:val="00104676"/>
    <w:rsid w:val="00104832"/>
    <w:rsid w:val="00104A8F"/>
    <w:rsid w:val="00106192"/>
    <w:rsid w:val="00106F42"/>
    <w:rsid w:val="0010707C"/>
    <w:rsid w:val="00107415"/>
    <w:rsid w:val="00107451"/>
    <w:rsid w:val="00111793"/>
    <w:rsid w:val="00111A1B"/>
    <w:rsid w:val="00111DE9"/>
    <w:rsid w:val="00112027"/>
    <w:rsid w:val="00112FAB"/>
    <w:rsid w:val="00113288"/>
    <w:rsid w:val="00113C31"/>
    <w:rsid w:val="001153FE"/>
    <w:rsid w:val="001156BC"/>
    <w:rsid w:val="00115882"/>
    <w:rsid w:val="0011591E"/>
    <w:rsid w:val="00115B33"/>
    <w:rsid w:val="0011649C"/>
    <w:rsid w:val="00117035"/>
    <w:rsid w:val="00117458"/>
    <w:rsid w:val="00120FD8"/>
    <w:rsid w:val="00121117"/>
    <w:rsid w:val="001214BE"/>
    <w:rsid w:val="00121E22"/>
    <w:rsid w:val="0012283A"/>
    <w:rsid w:val="0012339E"/>
    <w:rsid w:val="00123AAB"/>
    <w:rsid w:val="0012441D"/>
    <w:rsid w:val="001248FE"/>
    <w:rsid w:val="001252D6"/>
    <w:rsid w:val="00125757"/>
    <w:rsid w:val="00126DD1"/>
    <w:rsid w:val="00127EEC"/>
    <w:rsid w:val="00130286"/>
    <w:rsid w:val="00130515"/>
    <w:rsid w:val="001305D3"/>
    <w:rsid w:val="00130BE5"/>
    <w:rsid w:val="00130E9A"/>
    <w:rsid w:val="0013101C"/>
    <w:rsid w:val="00131EA6"/>
    <w:rsid w:val="00132159"/>
    <w:rsid w:val="00132A01"/>
    <w:rsid w:val="00132F2F"/>
    <w:rsid w:val="001331F2"/>
    <w:rsid w:val="0013336F"/>
    <w:rsid w:val="001339FE"/>
    <w:rsid w:val="00133EE6"/>
    <w:rsid w:val="00134128"/>
    <w:rsid w:val="00136455"/>
    <w:rsid w:val="00136A45"/>
    <w:rsid w:val="00136CF3"/>
    <w:rsid w:val="00137601"/>
    <w:rsid w:val="00137867"/>
    <w:rsid w:val="00140CA6"/>
    <w:rsid w:val="00140D4D"/>
    <w:rsid w:val="00141696"/>
    <w:rsid w:val="00141A2B"/>
    <w:rsid w:val="00141F5A"/>
    <w:rsid w:val="0014210C"/>
    <w:rsid w:val="0014277E"/>
    <w:rsid w:val="00143389"/>
    <w:rsid w:val="0014382F"/>
    <w:rsid w:val="00143B80"/>
    <w:rsid w:val="001461D6"/>
    <w:rsid w:val="00147254"/>
    <w:rsid w:val="001473BE"/>
    <w:rsid w:val="00147DB1"/>
    <w:rsid w:val="00150384"/>
    <w:rsid w:val="00150E46"/>
    <w:rsid w:val="00150F02"/>
    <w:rsid w:val="00151059"/>
    <w:rsid w:val="001516EA"/>
    <w:rsid w:val="00151856"/>
    <w:rsid w:val="00151FCF"/>
    <w:rsid w:val="00152E52"/>
    <w:rsid w:val="00153268"/>
    <w:rsid w:val="001541EA"/>
    <w:rsid w:val="0015606A"/>
    <w:rsid w:val="001560B0"/>
    <w:rsid w:val="001572BF"/>
    <w:rsid w:val="001576B2"/>
    <w:rsid w:val="00157879"/>
    <w:rsid w:val="0015798F"/>
    <w:rsid w:val="00157C7D"/>
    <w:rsid w:val="0016232C"/>
    <w:rsid w:val="00162595"/>
    <w:rsid w:val="0016298C"/>
    <w:rsid w:val="00162C8F"/>
    <w:rsid w:val="0016366A"/>
    <w:rsid w:val="0016501F"/>
    <w:rsid w:val="001656CF"/>
    <w:rsid w:val="00165B5E"/>
    <w:rsid w:val="00165D56"/>
    <w:rsid w:val="00165D87"/>
    <w:rsid w:val="00165D88"/>
    <w:rsid w:val="001667C9"/>
    <w:rsid w:val="001668C8"/>
    <w:rsid w:val="00167902"/>
    <w:rsid w:val="00171A10"/>
    <w:rsid w:val="00172575"/>
    <w:rsid w:val="00172A06"/>
    <w:rsid w:val="00174AE8"/>
    <w:rsid w:val="001754DB"/>
    <w:rsid w:val="00175B83"/>
    <w:rsid w:val="00176122"/>
    <w:rsid w:val="001761A7"/>
    <w:rsid w:val="00176263"/>
    <w:rsid w:val="00176721"/>
    <w:rsid w:val="00176AF9"/>
    <w:rsid w:val="001773ED"/>
    <w:rsid w:val="001775C0"/>
    <w:rsid w:val="00180021"/>
    <w:rsid w:val="00180AB8"/>
    <w:rsid w:val="00180F1D"/>
    <w:rsid w:val="001820A8"/>
    <w:rsid w:val="00183708"/>
    <w:rsid w:val="00183CE2"/>
    <w:rsid w:val="001853AB"/>
    <w:rsid w:val="0018560C"/>
    <w:rsid w:val="0018607F"/>
    <w:rsid w:val="0019055E"/>
    <w:rsid w:val="00190C8C"/>
    <w:rsid w:val="00190DAF"/>
    <w:rsid w:val="0019165D"/>
    <w:rsid w:val="00191BE5"/>
    <w:rsid w:val="00191EA2"/>
    <w:rsid w:val="001922D7"/>
    <w:rsid w:val="0019291C"/>
    <w:rsid w:val="00192DDC"/>
    <w:rsid w:val="00192DF9"/>
    <w:rsid w:val="001938F6"/>
    <w:rsid w:val="00193DD7"/>
    <w:rsid w:val="001943DC"/>
    <w:rsid w:val="0019455D"/>
    <w:rsid w:val="00194B3C"/>
    <w:rsid w:val="001967FA"/>
    <w:rsid w:val="00196D17"/>
    <w:rsid w:val="00196EC5"/>
    <w:rsid w:val="00196F95"/>
    <w:rsid w:val="001973A2"/>
    <w:rsid w:val="001A079B"/>
    <w:rsid w:val="001A1969"/>
    <w:rsid w:val="001A31B0"/>
    <w:rsid w:val="001A32EF"/>
    <w:rsid w:val="001A33E4"/>
    <w:rsid w:val="001A36A3"/>
    <w:rsid w:val="001A375C"/>
    <w:rsid w:val="001A4312"/>
    <w:rsid w:val="001A4424"/>
    <w:rsid w:val="001A6528"/>
    <w:rsid w:val="001A6810"/>
    <w:rsid w:val="001A6FE7"/>
    <w:rsid w:val="001A789B"/>
    <w:rsid w:val="001B0C4B"/>
    <w:rsid w:val="001B0F50"/>
    <w:rsid w:val="001B0F81"/>
    <w:rsid w:val="001B0FB9"/>
    <w:rsid w:val="001B32C1"/>
    <w:rsid w:val="001B4C42"/>
    <w:rsid w:val="001B5185"/>
    <w:rsid w:val="001B5433"/>
    <w:rsid w:val="001B5D46"/>
    <w:rsid w:val="001B5F92"/>
    <w:rsid w:val="001B6170"/>
    <w:rsid w:val="001B7072"/>
    <w:rsid w:val="001B76A4"/>
    <w:rsid w:val="001B7825"/>
    <w:rsid w:val="001C0211"/>
    <w:rsid w:val="001C06BC"/>
    <w:rsid w:val="001C0D91"/>
    <w:rsid w:val="001C1256"/>
    <w:rsid w:val="001C153E"/>
    <w:rsid w:val="001C2669"/>
    <w:rsid w:val="001C3EE7"/>
    <w:rsid w:val="001C3FA1"/>
    <w:rsid w:val="001C4475"/>
    <w:rsid w:val="001C4938"/>
    <w:rsid w:val="001C5688"/>
    <w:rsid w:val="001C63A1"/>
    <w:rsid w:val="001D0307"/>
    <w:rsid w:val="001D1228"/>
    <w:rsid w:val="001D1910"/>
    <w:rsid w:val="001D195E"/>
    <w:rsid w:val="001D1BC7"/>
    <w:rsid w:val="001D2C60"/>
    <w:rsid w:val="001D3382"/>
    <w:rsid w:val="001D3889"/>
    <w:rsid w:val="001D4260"/>
    <w:rsid w:val="001D4996"/>
    <w:rsid w:val="001D51DF"/>
    <w:rsid w:val="001D663E"/>
    <w:rsid w:val="001D69F2"/>
    <w:rsid w:val="001D702E"/>
    <w:rsid w:val="001D715F"/>
    <w:rsid w:val="001D7C61"/>
    <w:rsid w:val="001E01DA"/>
    <w:rsid w:val="001E0460"/>
    <w:rsid w:val="001E07C5"/>
    <w:rsid w:val="001E14B6"/>
    <w:rsid w:val="001E19E0"/>
    <w:rsid w:val="001E1DC0"/>
    <w:rsid w:val="001E2143"/>
    <w:rsid w:val="001E22CF"/>
    <w:rsid w:val="001E26E9"/>
    <w:rsid w:val="001E30EA"/>
    <w:rsid w:val="001E327A"/>
    <w:rsid w:val="001E3E09"/>
    <w:rsid w:val="001E43F2"/>
    <w:rsid w:val="001E46EB"/>
    <w:rsid w:val="001E47DA"/>
    <w:rsid w:val="001E516C"/>
    <w:rsid w:val="001E5316"/>
    <w:rsid w:val="001E58F7"/>
    <w:rsid w:val="001E6BB0"/>
    <w:rsid w:val="001E7410"/>
    <w:rsid w:val="001E7ACD"/>
    <w:rsid w:val="001E7D10"/>
    <w:rsid w:val="001F1373"/>
    <w:rsid w:val="001F146A"/>
    <w:rsid w:val="001F1940"/>
    <w:rsid w:val="001F373F"/>
    <w:rsid w:val="001F3885"/>
    <w:rsid w:val="001F492E"/>
    <w:rsid w:val="001F5BB1"/>
    <w:rsid w:val="001F5F84"/>
    <w:rsid w:val="001F67B2"/>
    <w:rsid w:val="001F6C8E"/>
    <w:rsid w:val="001F6CB6"/>
    <w:rsid w:val="001F7258"/>
    <w:rsid w:val="00200567"/>
    <w:rsid w:val="00201381"/>
    <w:rsid w:val="00202078"/>
    <w:rsid w:val="002022F6"/>
    <w:rsid w:val="00203277"/>
    <w:rsid w:val="00204D49"/>
    <w:rsid w:val="002050B1"/>
    <w:rsid w:val="00205A0A"/>
    <w:rsid w:val="00205B2E"/>
    <w:rsid w:val="002061C8"/>
    <w:rsid w:val="00206B16"/>
    <w:rsid w:val="00206E7B"/>
    <w:rsid w:val="00207770"/>
    <w:rsid w:val="00207E27"/>
    <w:rsid w:val="0021075B"/>
    <w:rsid w:val="002110D0"/>
    <w:rsid w:val="00213479"/>
    <w:rsid w:val="00213486"/>
    <w:rsid w:val="00213D79"/>
    <w:rsid w:val="0021419F"/>
    <w:rsid w:val="0021440A"/>
    <w:rsid w:val="00214C50"/>
    <w:rsid w:val="00214EB4"/>
    <w:rsid w:val="002151F2"/>
    <w:rsid w:val="00215C4D"/>
    <w:rsid w:val="00215F9A"/>
    <w:rsid w:val="00216277"/>
    <w:rsid w:val="002164E1"/>
    <w:rsid w:val="0021650C"/>
    <w:rsid w:val="00216F73"/>
    <w:rsid w:val="00217714"/>
    <w:rsid w:val="00221AD6"/>
    <w:rsid w:val="0022247A"/>
    <w:rsid w:val="002226B9"/>
    <w:rsid w:val="0022303F"/>
    <w:rsid w:val="002235DB"/>
    <w:rsid w:val="002241C7"/>
    <w:rsid w:val="00224FDA"/>
    <w:rsid w:val="00225076"/>
    <w:rsid w:val="0022534E"/>
    <w:rsid w:val="002254EA"/>
    <w:rsid w:val="00225AED"/>
    <w:rsid w:val="00225F43"/>
    <w:rsid w:val="00230092"/>
    <w:rsid w:val="00230B51"/>
    <w:rsid w:val="002310B8"/>
    <w:rsid w:val="002311F8"/>
    <w:rsid w:val="00231675"/>
    <w:rsid w:val="00231987"/>
    <w:rsid w:val="00232353"/>
    <w:rsid w:val="00232DBC"/>
    <w:rsid w:val="0023353D"/>
    <w:rsid w:val="002339C9"/>
    <w:rsid w:val="00233AA2"/>
    <w:rsid w:val="00234D94"/>
    <w:rsid w:val="00235BB2"/>
    <w:rsid w:val="00237B37"/>
    <w:rsid w:val="00240058"/>
    <w:rsid w:val="00241A97"/>
    <w:rsid w:val="00242D1C"/>
    <w:rsid w:val="0024394B"/>
    <w:rsid w:val="00243EDE"/>
    <w:rsid w:val="00244D72"/>
    <w:rsid w:val="00245430"/>
    <w:rsid w:val="00245662"/>
    <w:rsid w:val="00245E03"/>
    <w:rsid w:val="00247256"/>
    <w:rsid w:val="002507C9"/>
    <w:rsid w:val="00250C09"/>
    <w:rsid w:val="00252C04"/>
    <w:rsid w:val="00253B69"/>
    <w:rsid w:val="00254774"/>
    <w:rsid w:val="00255328"/>
    <w:rsid w:val="00255488"/>
    <w:rsid w:val="00255825"/>
    <w:rsid w:val="00255FB6"/>
    <w:rsid w:val="00256CCF"/>
    <w:rsid w:val="00256D9A"/>
    <w:rsid w:val="00257BF1"/>
    <w:rsid w:val="00257C42"/>
    <w:rsid w:val="00257C54"/>
    <w:rsid w:val="0026006D"/>
    <w:rsid w:val="002602ED"/>
    <w:rsid w:val="002622DD"/>
    <w:rsid w:val="00263404"/>
    <w:rsid w:val="0026359C"/>
    <w:rsid w:val="00263AEA"/>
    <w:rsid w:val="00263E88"/>
    <w:rsid w:val="002649EE"/>
    <w:rsid w:val="0026576A"/>
    <w:rsid w:val="00265868"/>
    <w:rsid w:val="00265C55"/>
    <w:rsid w:val="002661AB"/>
    <w:rsid w:val="002667B4"/>
    <w:rsid w:val="0026689F"/>
    <w:rsid w:val="0027044C"/>
    <w:rsid w:val="00270B9A"/>
    <w:rsid w:val="0027114E"/>
    <w:rsid w:val="0027349B"/>
    <w:rsid w:val="00273E11"/>
    <w:rsid w:val="00274225"/>
    <w:rsid w:val="00274303"/>
    <w:rsid w:val="0027531C"/>
    <w:rsid w:val="00275FD7"/>
    <w:rsid w:val="00276293"/>
    <w:rsid w:val="0027632A"/>
    <w:rsid w:val="00276373"/>
    <w:rsid w:val="002768C2"/>
    <w:rsid w:val="00276ECE"/>
    <w:rsid w:val="00280AD8"/>
    <w:rsid w:val="00280BBD"/>
    <w:rsid w:val="002811AF"/>
    <w:rsid w:val="0028132F"/>
    <w:rsid w:val="00281A66"/>
    <w:rsid w:val="00281E95"/>
    <w:rsid w:val="00284190"/>
    <w:rsid w:val="0028602A"/>
    <w:rsid w:val="00286B5D"/>
    <w:rsid w:val="00287FF5"/>
    <w:rsid w:val="00290488"/>
    <w:rsid w:val="002905FD"/>
    <w:rsid w:val="00290C57"/>
    <w:rsid w:val="00291505"/>
    <w:rsid w:val="00291872"/>
    <w:rsid w:val="002934E2"/>
    <w:rsid w:val="00293674"/>
    <w:rsid w:val="00293DA0"/>
    <w:rsid w:val="0029561D"/>
    <w:rsid w:val="0029599A"/>
    <w:rsid w:val="002964A6"/>
    <w:rsid w:val="00297B2E"/>
    <w:rsid w:val="00297EFB"/>
    <w:rsid w:val="002A01B1"/>
    <w:rsid w:val="002A03A2"/>
    <w:rsid w:val="002A119F"/>
    <w:rsid w:val="002A12E9"/>
    <w:rsid w:val="002A1D02"/>
    <w:rsid w:val="002A1F78"/>
    <w:rsid w:val="002A2014"/>
    <w:rsid w:val="002A2137"/>
    <w:rsid w:val="002A25A7"/>
    <w:rsid w:val="002A25C4"/>
    <w:rsid w:val="002A3C41"/>
    <w:rsid w:val="002A3CA3"/>
    <w:rsid w:val="002A4100"/>
    <w:rsid w:val="002A44B0"/>
    <w:rsid w:val="002A497B"/>
    <w:rsid w:val="002A655B"/>
    <w:rsid w:val="002A7564"/>
    <w:rsid w:val="002A7842"/>
    <w:rsid w:val="002A7B40"/>
    <w:rsid w:val="002A7C72"/>
    <w:rsid w:val="002A7FA1"/>
    <w:rsid w:val="002B0140"/>
    <w:rsid w:val="002B017E"/>
    <w:rsid w:val="002B0613"/>
    <w:rsid w:val="002B0D6D"/>
    <w:rsid w:val="002B101E"/>
    <w:rsid w:val="002B12AE"/>
    <w:rsid w:val="002B145F"/>
    <w:rsid w:val="002B1655"/>
    <w:rsid w:val="002B2301"/>
    <w:rsid w:val="002B2605"/>
    <w:rsid w:val="002B2D01"/>
    <w:rsid w:val="002B390D"/>
    <w:rsid w:val="002B4942"/>
    <w:rsid w:val="002B5ABE"/>
    <w:rsid w:val="002B5D5C"/>
    <w:rsid w:val="002B5E10"/>
    <w:rsid w:val="002B60C2"/>
    <w:rsid w:val="002C01E5"/>
    <w:rsid w:val="002C0397"/>
    <w:rsid w:val="002C117B"/>
    <w:rsid w:val="002C28C1"/>
    <w:rsid w:val="002C35E2"/>
    <w:rsid w:val="002C5136"/>
    <w:rsid w:val="002C5465"/>
    <w:rsid w:val="002C54EB"/>
    <w:rsid w:val="002C602F"/>
    <w:rsid w:val="002C6061"/>
    <w:rsid w:val="002C6683"/>
    <w:rsid w:val="002C6771"/>
    <w:rsid w:val="002C691E"/>
    <w:rsid w:val="002C793D"/>
    <w:rsid w:val="002C7D44"/>
    <w:rsid w:val="002C7E08"/>
    <w:rsid w:val="002D07BB"/>
    <w:rsid w:val="002D08B4"/>
    <w:rsid w:val="002D21BB"/>
    <w:rsid w:val="002D2C06"/>
    <w:rsid w:val="002D3156"/>
    <w:rsid w:val="002D457B"/>
    <w:rsid w:val="002D4604"/>
    <w:rsid w:val="002D545C"/>
    <w:rsid w:val="002D574C"/>
    <w:rsid w:val="002D5B25"/>
    <w:rsid w:val="002E036E"/>
    <w:rsid w:val="002E084F"/>
    <w:rsid w:val="002E1CC9"/>
    <w:rsid w:val="002E2C40"/>
    <w:rsid w:val="002E3346"/>
    <w:rsid w:val="002E435F"/>
    <w:rsid w:val="002E5EC3"/>
    <w:rsid w:val="002E6492"/>
    <w:rsid w:val="002E671E"/>
    <w:rsid w:val="002E6AAD"/>
    <w:rsid w:val="002E7518"/>
    <w:rsid w:val="002E75DE"/>
    <w:rsid w:val="002E7824"/>
    <w:rsid w:val="002E7979"/>
    <w:rsid w:val="002E7F4E"/>
    <w:rsid w:val="002F0466"/>
    <w:rsid w:val="002F0771"/>
    <w:rsid w:val="002F0A1F"/>
    <w:rsid w:val="002F0C81"/>
    <w:rsid w:val="002F0DDA"/>
    <w:rsid w:val="002F1194"/>
    <w:rsid w:val="002F2041"/>
    <w:rsid w:val="002F237C"/>
    <w:rsid w:val="002F2928"/>
    <w:rsid w:val="002F2BA3"/>
    <w:rsid w:val="002F374C"/>
    <w:rsid w:val="002F476D"/>
    <w:rsid w:val="002F4F2B"/>
    <w:rsid w:val="002F5268"/>
    <w:rsid w:val="002F6301"/>
    <w:rsid w:val="002F68B2"/>
    <w:rsid w:val="002F69BC"/>
    <w:rsid w:val="002F7186"/>
    <w:rsid w:val="002F7D0A"/>
    <w:rsid w:val="003002C0"/>
    <w:rsid w:val="00300B0E"/>
    <w:rsid w:val="00301144"/>
    <w:rsid w:val="00301FDC"/>
    <w:rsid w:val="003022AE"/>
    <w:rsid w:val="00302864"/>
    <w:rsid w:val="003031C6"/>
    <w:rsid w:val="00304214"/>
    <w:rsid w:val="00304984"/>
    <w:rsid w:val="00305018"/>
    <w:rsid w:val="0030597D"/>
    <w:rsid w:val="00306641"/>
    <w:rsid w:val="0030797E"/>
    <w:rsid w:val="00307ACE"/>
    <w:rsid w:val="00310969"/>
    <w:rsid w:val="00310C87"/>
    <w:rsid w:val="00310FEB"/>
    <w:rsid w:val="00311481"/>
    <w:rsid w:val="00311B82"/>
    <w:rsid w:val="00312838"/>
    <w:rsid w:val="00312BF8"/>
    <w:rsid w:val="00313003"/>
    <w:rsid w:val="00313FDB"/>
    <w:rsid w:val="00314139"/>
    <w:rsid w:val="003143DC"/>
    <w:rsid w:val="0031444B"/>
    <w:rsid w:val="0031477E"/>
    <w:rsid w:val="003148B7"/>
    <w:rsid w:val="00314F7A"/>
    <w:rsid w:val="00315358"/>
    <w:rsid w:val="003153A9"/>
    <w:rsid w:val="003158C3"/>
    <w:rsid w:val="00315EEF"/>
    <w:rsid w:val="00316B16"/>
    <w:rsid w:val="00316E02"/>
    <w:rsid w:val="0032033C"/>
    <w:rsid w:val="0032060E"/>
    <w:rsid w:val="00320A62"/>
    <w:rsid w:val="00320AC4"/>
    <w:rsid w:val="00321123"/>
    <w:rsid w:val="0032116B"/>
    <w:rsid w:val="0032297C"/>
    <w:rsid w:val="003247B5"/>
    <w:rsid w:val="0032500D"/>
    <w:rsid w:val="003251FF"/>
    <w:rsid w:val="0032638F"/>
    <w:rsid w:val="0032640E"/>
    <w:rsid w:val="00327244"/>
    <w:rsid w:val="003274CD"/>
    <w:rsid w:val="00327888"/>
    <w:rsid w:val="003279C3"/>
    <w:rsid w:val="00327D09"/>
    <w:rsid w:val="003300ED"/>
    <w:rsid w:val="00330F5C"/>
    <w:rsid w:val="003314B8"/>
    <w:rsid w:val="00332F36"/>
    <w:rsid w:val="0033312C"/>
    <w:rsid w:val="00333338"/>
    <w:rsid w:val="00333501"/>
    <w:rsid w:val="00333634"/>
    <w:rsid w:val="0033443C"/>
    <w:rsid w:val="00335A7A"/>
    <w:rsid w:val="0034000C"/>
    <w:rsid w:val="00340186"/>
    <w:rsid w:val="003411CE"/>
    <w:rsid w:val="0034208D"/>
    <w:rsid w:val="0034274E"/>
    <w:rsid w:val="00342A77"/>
    <w:rsid w:val="00343653"/>
    <w:rsid w:val="00343F70"/>
    <w:rsid w:val="003449DE"/>
    <w:rsid w:val="003452A0"/>
    <w:rsid w:val="003457C4"/>
    <w:rsid w:val="00345D20"/>
    <w:rsid w:val="003468C8"/>
    <w:rsid w:val="00347994"/>
    <w:rsid w:val="00350868"/>
    <w:rsid w:val="0035119D"/>
    <w:rsid w:val="003511B0"/>
    <w:rsid w:val="00351B0B"/>
    <w:rsid w:val="00352A36"/>
    <w:rsid w:val="00352EE7"/>
    <w:rsid w:val="0035364F"/>
    <w:rsid w:val="00354A90"/>
    <w:rsid w:val="00355804"/>
    <w:rsid w:val="00355D46"/>
    <w:rsid w:val="00355D87"/>
    <w:rsid w:val="0035677A"/>
    <w:rsid w:val="00361536"/>
    <w:rsid w:val="0036178A"/>
    <w:rsid w:val="00361E2E"/>
    <w:rsid w:val="00361F26"/>
    <w:rsid w:val="00361FA7"/>
    <w:rsid w:val="00361FF8"/>
    <w:rsid w:val="00362FF7"/>
    <w:rsid w:val="00363444"/>
    <w:rsid w:val="00364087"/>
    <w:rsid w:val="00364E33"/>
    <w:rsid w:val="00365963"/>
    <w:rsid w:val="003668AB"/>
    <w:rsid w:val="00366FB9"/>
    <w:rsid w:val="0036728A"/>
    <w:rsid w:val="00370538"/>
    <w:rsid w:val="00370D3E"/>
    <w:rsid w:val="00370E05"/>
    <w:rsid w:val="00370EB7"/>
    <w:rsid w:val="003718E2"/>
    <w:rsid w:val="0037199D"/>
    <w:rsid w:val="00372B79"/>
    <w:rsid w:val="00373CB0"/>
    <w:rsid w:val="00373CFF"/>
    <w:rsid w:val="00374537"/>
    <w:rsid w:val="00374D09"/>
    <w:rsid w:val="00375785"/>
    <w:rsid w:val="00375B00"/>
    <w:rsid w:val="00376BB1"/>
    <w:rsid w:val="00376CC2"/>
    <w:rsid w:val="00377091"/>
    <w:rsid w:val="00377B39"/>
    <w:rsid w:val="00380066"/>
    <w:rsid w:val="00380D0C"/>
    <w:rsid w:val="00381174"/>
    <w:rsid w:val="0038171D"/>
    <w:rsid w:val="00381C19"/>
    <w:rsid w:val="00381C74"/>
    <w:rsid w:val="00382116"/>
    <w:rsid w:val="003827CF"/>
    <w:rsid w:val="00382D97"/>
    <w:rsid w:val="003832F5"/>
    <w:rsid w:val="003833A6"/>
    <w:rsid w:val="003835B4"/>
    <w:rsid w:val="00384112"/>
    <w:rsid w:val="00384D40"/>
    <w:rsid w:val="003853F5"/>
    <w:rsid w:val="003857F1"/>
    <w:rsid w:val="003872DE"/>
    <w:rsid w:val="00387471"/>
    <w:rsid w:val="0038766C"/>
    <w:rsid w:val="00387C37"/>
    <w:rsid w:val="00391728"/>
    <w:rsid w:val="0039344A"/>
    <w:rsid w:val="0039358F"/>
    <w:rsid w:val="00393664"/>
    <w:rsid w:val="0039370E"/>
    <w:rsid w:val="003945B8"/>
    <w:rsid w:val="00395163"/>
    <w:rsid w:val="003958A3"/>
    <w:rsid w:val="003958B8"/>
    <w:rsid w:val="00395D3B"/>
    <w:rsid w:val="0039617B"/>
    <w:rsid w:val="00396CA6"/>
    <w:rsid w:val="00396DFE"/>
    <w:rsid w:val="00397E39"/>
    <w:rsid w:val="003A0448"/>
    <w:rsid w:val="003A21CC"/>
    <w:rsid w:val="003A3325"/>
    <w:rsid w:val="003A3D83"/>
    <w:rsid w:val="003A3E6A"/>
    <w:rsid w:val="003A447B"/>
    <w:rsid w:val="003A50BD"/>
    <w:rsid w:val="003A5AA5"/>
    <w:rsid w:val="003A642F"/>
    <w:rsid w:val="003A6E13"/>
    <w:rsid w:val="003A76D9"/>
    <w:rsid w:val="003B07D7"/>
    <w:rsid w:val="003B10C4"/>
    <w:rsid w:val="003B26B1"/>
    <w:rsid w:val="003B3D96"/>
    <w:rsid w:val="003B3F16"/>
    <w:rsid w:val="003B469E"/>
    <w:rsid w:val="003B4B12"/>
    <w:rsid w:val="003B4E62"/>
    <w:rsid w:val="003B4F12"/>
    <w:rsid w:val="003B6BE9"/>
    <w:rsid w:val="003B73F0"/>
    <w:rsid w:val="003B746B"/>
    <w:rsid w:val="003C0629"/>
    <w:rsid w:val="003C0F48"/>
    <w:rsid w:val="003C2822"/>
    <w:rsid w:val="003C30CA"/>
    <w:rsid w:val="003C3D5F"/>
    <w:rsid w:val="003C3F73"/>
    <w:rsid w:val="003C3FFA"/>
    <w:rsid w:val="003C4533"/>
    <w:rsid w:val="003C528C"/>
    <w:rsid w:val="003C5474"/>
    <w:rsid w:val="003C5977"/>
    <w:rsid w:val="003C5A77"/>
    <w:rsid w:val="003C5F7B"/>
    <w:rsid w:val="003C6480"/>
    <w:rsid w:val="003C7121"/>
    <w:rsid w:val="003C72B9"/>
    <w:rsid w:val="003C7BF9"/>
    <w:rsid w:val="003D0230"/>
    <w:rsid w:val="003D1CA5"/>
    <w:rsid w:val="003D22BC"/>
    <w:rsid w:val="003D22C8"/>
    <w:rsid w:val="003D23C4"/>
    <w:rsid w:val="003D2AD5"/>
    <w:rsid w:val="003D2B52"/>
    <w:rsid w:val="003D2DDE"/>
    <w:rsid w:val="003D4297"/>
    <w:rsid w:val="003D4485"/>
    <w:rsid w:val="003D4612"/>
    <w:rsid w:val="003D560B"/>
    <w:rsid w:val="003D6A96"/>
    <w:rsid w:val="003D6E7F"/>
    <w:rsid w:val="003D742D"/>
    <w:rsid w:val="003D7E7E"/>
    <w:rsid w:val="003E00D9"/>
    <w:rsid w:val="003E0A7D"/>
    <w:rsid w:val="003E16C9"/>
    <w:rsid w:val="003E1857"/>
    <w:rsid w:val="003E229B"/>
    <w:rsid w:val="003E285E"/>
    <w:rsid w:val="003E2C60"/>
    <w:rsid w:val="003E2DD1"/>
    <w:rsid w:val="003E31D2"/>
    <w:rsid w:val="003E39F5"/>
    <w:rsid w:val="003E4875"/>
    <w:rsid w:val="003E60EB"/>
    <w:rsid w:val="003E6563"/>
    <w:rsid w:val="003E6D79"/>
    <w:rsid w:val="003E736B"/>
    <w:rsid w:val="003F029C"/>
    <w:rsid w:val="003F08E5"/>
    <w:rsid w:val="003F093E"/>
    <w:rsid w:val="003F0E8D"/>
    <w:rsid w:val="003F104B"/>
    <w:rsid w:val="003F122E"/>
    <w:rsid w:val="003F2041"/>
    <w:rsid w:val="003F2110"/>
    <w:rsid w:val="003F277E"/>
    <w:rsid w:val="003F2996"/>
    <w:rsid w:val="003F2B01"/>
    <w:rsid w:val="003F2E35"/>
    <w:rsid w:val="003F3B68"/>
    <w:rsid w:val="003F3F31"/>
    <w:rsid w:val="003F42C2"/>
    <w:rsid w:val="003F43EB"/>
    <w:rsid w:val="003F4CCD"/>
    <w:rsid w:val="003F5A8B"/>
    <w:rsid w:val="003F6457"/>
    <w:rsid w:val="00400335"/>
    <w:rsid w:val="00401314"/>
    <w:rsid w:val="00402106"/>
    <w:rsid w:val="00402978"/>
    <w:rsid w:val="00402ACC"/>
    <w:rsid w:val="004030B1"/>
    <w:rsid w:val="00403DEA"/>
    <w:rsid w:val="00403F43"/>
    <w:rsid w:val="00404245"/>
    <w:rsid w:val="0040462E"/>
    <w:rsid w:val="00404DD4"/>
    <w:rsid w:val="00406058"/>
    <w:rsid w:val="004069B8"/>
    <w:rsid w:val="00406DC5"/>
    <w:rsid w:val="00406E45"/>
    <w:rsid w:val="00406F70"/>
    <w:rsid w:val="00406F84"/>
    <w:rsid w:val="00407BFE"/>
    <w:rsid w:val="00407CB3"/>
    <w:rsid w:val="004105ED"/>
    <w:rsid w:val="004106B0"/>
    <w:rsid w:val="00410733"/>
    <w:rsid w:val="00410CBD"/>
    <w:rsid w:val="00411A7D"/>
    <w:rsid w:val="00411D0B"/>
    <w:rsid w:val="004120EC"/>
    <w:rsid w:val="004123BC"/>
    <w:rsid w:val="004125F7"/>
    <w:rsid w:val="00412E98"/>
    <w:rsid w:val="00412F9B"/>
    <w:rsid w:val="004130FE"/>
    <w:rsid w:val="00413764"/>
    <w:rsid w:val="00414001"/>
    <w:rsid w:val="00414EB9"/>
    <w:rsid w:val="00415502"/>
    <w:rsid w:val="00416660"/>
    <w:rsid w:val="004168ED"/>
    <w:rsid w:val="0041699A"/>
    <w:rsid w:val="00416D92"/>
    <w:rsid w:val="00417ADA"/>
    <w:rsid w:val="00417C31"/>
    <w:rsid w:val="00417FAF"/>
    <w:rsid w:val="00420040"/>
    <w:rsid w:val="00422344"/>
    <w:rsid w:val="00422966"/>
    <w:rsid w:val="00423EDC"/>
    <w:rsid w:val="00423F31"/>
    <w:rsid w:val="0042520A"/>
    <w:rsid w:val="004261C5"/>
    <w:rsid w:val="00426A3A"/>
    <w:rsid w:val="00426DA0"/>
    <w:rsid w:val="00430EC0"/>
    <w:rsid w:val="00430F8C"/>
    <w:rsid w:val="004316BC"/>
    <w:rsid w:val="00431899"/>
    <w:rsid w:val="004320EE"/>
    <w:rsid w:val="00433468"/>
    <w:rsid w:val="0043380E"/>
    <w:rsid w:val="00433F36"/>
    <w:rsid w:val="00434CBA"/>
    <w:rsid w:val="00435955"/>
    <w:rsid w:val="004359A1"/>
    <w:rsid w:val="004359C4"/>
    <w:rsid w:val="004360D3"/>
    <w:rsid w:val="00436E35"/>
    <w:rsid w:val="00437569"/>
    <w:rsid w:val="00437631"/>
    <w:rsid w:val="00437ACC"/>
    <w:rsid w:val="00437C3F"/>
    <w:rsid w:val="00440930"/>
    <w:rsid w:val="00440F70"/>
    <w:rsid w:val="004410EE"/>
    <w:rsid w:val="004414E7"/>
    <w:rsid w:val="00441698"/>
    <w:rsid w:val="00441D21"/>
    <w:rsid w:val="00442055"/>
    <w:rsid w:val="004422B7"/>
    <w:rsid w:val="00442971"/>
    <w:rsid w:val="004429B7"/>
    <w:rsid w:val="00443EBB"/>
    <w:rsid w:val="00444F0A"/>
    <w:rsid w:val="004452CB"/>
    <w:rsid w:val="00445616"/>
    <w:rsid w:val="004457A7"/>
    <w:rsid w:val="00445ADA"/>
    <w:rsid w:val="00445B04"/>
    <w:rsid w:val="00445D2E"/>
    <w:rsid w:val="00446EAE"/>
    <w:rsid w:val="0044725D"/>
    <w:rsid w:val="0044731A"/>
    <w:rsid w:val="00450520"/>
    <w:rsid w:val="00450DF7"/>
    <w:rsid w:val="00450E2E"/>
    <w:rsid w:val="00450E69"/>
    <w:rsid w:val="004510FC"/>
    <w:rsid w:val="004511EC"/>
    <w:rsid w:val="00451410"/>
    <w:rsid w:val="00451472"/>
    <w:rsid w:val="00451604"/>
    <w:rsid w:val="00451B0E"/>
    <w:rsid w:val="00451CE1"/>
    <w:rsid w:val="0045366B"/>
    <w:rsid w:val="00453689"/>
    <w:rsid w:val="00453888"/>
    <w:rsid w:val="00453D1D"/>
    <w:rsid w:val="00454482"/>
    <w:rsid w:val="00454970"/>
    <w:rsid w:val="00455AE8"/>
    <w:rsid w:val="00456088"/>
    <w:rsid w:val="004563A7"/>
    <w:rsid w:val="004564AF"/>
    <w:rsid w:val="004565A9"/>
    <w:rsid w:val="00457714"/>
    <w:rsid w:val="00457753"/>
    <w:rsid w:val="0045787B"/>
    <w:rsid w:val="004604E7"/>
    <w:rsid w:val="00461D05"/>
    <w:rsid w:val="00462430"/>
    <w:rsid w:val="0046272A"/>
    <w:rsid w:val="00462A68"/>
    <w:rsid w:val="00462F87"/>
    <w:rsid w:val="004633D4"/>
    <w:rsid w:val="0046347B"/>
    <w:rsid w:val="00463DAB"/>
    <w:rsid w:val="0046425C"/>
    <w:rsid w:val="00465394"/>
    <w:rsid w:val="004654E8"/>
    <w:rsid w:val="0046568C"/>
    <w:rsid w:val="00465BDE"/>
    <w:rsid w:val="004662E6"/>
    <w:rsid w:val="00466B8B"/>
    <w:rsid w:val="004677FD"/>
    <w:rsid w:val="0047031F"/>
    <w:rsid w:val="004706AF"/>
    <w:rsid w:val="00470FBE"/>
    <w:rsid w:val="004715F1"/>
    <w:rsid w:val="0047184E"/>
    <w:rsid w:val="00471D78"/>
    <w:rsid w:val="00472609"/>
    <w:rsid w:val="00472F64"/>
    <w:rsid w:val="00473512"/>
    <w:rsid w:val="004739CB"/>
    <w:rsid w:val="00473CBB"/>
    <w:rsid w:val="004753AF"/>
    <w:rsid w:val="0047569C"/>
    <w:rsid w:val="0047601F"/>
    <w:rsid w:val="00476EBC"/>
    <w:rsid w:val="004770F5"/>
    <w:rsid w:val="0047747F"/>
    <w:rsid w:val="00480B0C"/>
    <w:rsid w:val="00480B3A"/>
    <w:rsid w:val="00480C01"/>
    <w:rsid w:val="00480F8A"/>
    <w:rsid w:val="00480FBA"/>
    <w:rsid w:val="0048101D"/>
    <w:rsid w:val="004822E4"/>
    <w:rsid w:val="00482AE8"/>
    <w:rsid w:val="0048492D"/>
    <w:rsid w:val="00485848"/>
    <w:rsid w:val="00485E0C"/>
    <w:rsid w:val="00486804"/>
    <w:rsid w:val="00486E13"/>
    <w:rsid w:val="00486E4D"/>
    <w:rsid w:val="00487754"/>
    <w:rsid w:val="00487E86"/>
    <w:rsid w:val="004902A7"/>
    <w:rsid w:val="00490514"/>
    <w:rsid w:val="00490D50"/>
    <w:rsid w:val="00491307"/>
    <w:rsid w:val="00491C3F"/>
    <w:rsid w:val="00492422"/>
    <w:rsid w:val="00492CEC"/>
    <w:rsid w:val="00492EA9"/>
    <w:rsid w:val="00493283"/>
    <w:rsid w:val="00493794"/>
    <w:rsid w:val="004939C4"/>
    <w:rsid w:val="004940E6"/>
    <w:rsid w:val="00494AB3"/>
    <w:rsid w:val="0049522D"/>
    <w:rsid w:val="00496300"/>
    <w:rsid w:val="004977E5"/>
    <w:rsid w:val="004978AA"/>
    <w:rsid w:val="004A0528"/>
    <w:rsid w:val="004A18EA"/>
    <w:rsid w:val="004A1AED"/>
    <w:rsid w:val="004A1CCC"/>
    <w:rsid w:val="004A1F05"/>
    <w:rsid w:val="004A2ED2"/>
    <w:rsid w:val="004A3CFF"/>
    <w:rsid w:val="004A3DB5"/>
    <w:rsid w:val="004A5453"/>
    <w:rsid w:val="004A5E04"/>
    <w:rsid w:val="004A64D5"/>
    <w:rsid w:val="004A7500"/>
    <w:rsid w:val="004B089C"/>
    <w:rsid w:val="004B0AC3"/>
    <w:rsid w:val="004B0D83"/>
    <w:rsid w:val="004B12CB"/>
    <w:rsid w:val="004B2E5E"/>
    <w:rsid w:val="004B35AD"/>
    <w:rsid w:val="004B3775"/>
    <w:rsid w:val="004B538B"/>
    <w:rsid w:val="004B53D8"/>
    <w:rsid w:val="004B540E"/>
    <w:rsid w:val="004B55DE"/>
    <w:rsid w:val="004B59C2"/>
    <w:rsid w:val="004B5E70"/>
    <w:rsid w:val="004B6295"/>
    <w:rsid w:val="004B6773"/>
    <w:rsid w:val="004B71C6"/>
    <w:rsid w:val="004B749C"/>
    <w:rsid w:val="004B75E9"/>
    <w:rsid w:val="004B7726"/>
    <w:rsid w:val="004C044E"/>
    <w:rsid w:val="004C07FA"/>
    <w:rsid w:val="004C1B31"/>
    <w:rsid w:val="004C2359"/>
    <w:rsid w:val="004C2962"/>
    <w:rsid w:val="004C2AE9"/>
    <w:rsid w:val="004C374B"/>
    <w:rsid w:val="004C48E5"/>
    <w:rsid w:val="004C49D7"/>
    <w:rsid w:val="004C4B36"/>
    <w:rsid w:val="004C57D5"/>
    <w:rsid w:val="004C5855"/>
    <w:rsid w:val="004C5973"/>
    <w:rsid w:val="004C5B2E"/>
    <w:rsid w:val="004C5F67"/>
    <w:rsid w:val="004C61F5"/>
    <w:rsid w:val="004C6342"/>
    <w:rsid w:val="004C6A16"/>
    <w:rsid w:val="004C6C23"/>
    <w:rsid w:val="004C7340"/>
    <w:rsid w:val="004C765C"/>
    <w:rsid w:val="004D05B7"/>
    <w:rsid w:val="004D0BA0"/>
    <w:rsid w:val="004D103B"/>
    <w:rsid w:val="004D140A"/>
    <w:rsid w:val="004D1517"/>
    <w:rsid w:val="004D1E8C"/>
    <w:rsid w:val="004D2B91"/>
    <w:rsid w:val="004D328B"/>
    <w:rsid w:val="004D3B62"/>
    <w:rsid w:val="004D3C2E"/>
    <w:rsid w:val="004D531C"/>
    <w:rsid w:val="004D536C"/>
    <w:rsid w:val="004D54CB"/>
    <w:rsid w:val="004D5589"/>
    <w:rsid w:val="004D569B"/>
    <w:rsid w:val="004D5E12"/>
    <w:rsid w:val="004D646E"/>
    <w:rsid w:val="004D737E"/>
    <w:rsid w:val="004E058F"/>
    <w:rsid w:val="004E07EF"/>
    <w:rsid w:val="004E0AF6"/>
    <w:rsid w:val="004E18D1"/>
    <w:rsid w:val="004E2C20"/>
    <w:rsid w:val="004E34ED"/>
    <w:rsid w:val="004E3977"/>
    <w:rsid w:val="004E3B87"/>
    <w:rsid w:val="004E52D1"/>
    <w:rsid w:val="004E5C37"/>
    <w:rsid w:val="004E629B"/>
    <w:rsid w:val="004E62C3"/>
    <w:rsid w:val="004E6886"/>
    <w:rsid w:val="004E6F20"/>
    <w:rsid w:val="004E7143"/>
    <w:rsid w:val="004E7208"/>
    <w:rsid w:val="004E7977"/>
    <w:rsid w:val="004E7EDB"/>
    <w:rsid w:val="004F0BDC"/>
    <w:rsid w:val="004F1D37"/>
    <w:rsid w:val="004F1E41"/>
    <w:rsid w:val="004F2A76"/>
    <w:rsid w:val="004F2AF9"/>
    <w:rsid w:val="004F2F45"/>
    <w:rsid w:val="004F33F8"/>
    <w:rsid w:val="004F393D"/>
    <w:rsid w:val="004F3EA2"/>
    <w:rsid w:val="004F4387"/>
    <w:rsid w:val="004F4687"/>
    <w:rsid w:val="004F4762"/>
    <w:rsid w:val="004F4FF8"/>
    <w:rsid w:val="004F514D"/>
    <w:rsid w:val="004F51E7"/>
    <w:rsid w:val="004F52AB"/>
    <w:rsid w:val="004F5604"/>
    <w:rsid w:val="004F5AF7"/>
    <w:rsid w:val="004F5DEC"/>
    <w:rsid w:val="004F70E2"/>
    <w:rsid w:val="004F7714"/>
    <w:rsid w:val="004F7E98"/>
    <w:rsid w:val="005006AE"/>
    <w:rsid w:val="00500DC0"/>
    <w:rsid w:val="00500E94"/>
    <w:rsid w:val="00502647"/>
    <w:rsid w:val="00502F7F"/>
    <w:rsid w:val="00503744"/>
    <w:rsid w:val="00503B9E"/>
    <w:rsid w:val="005042B1"/>
    <w:rsid w:val="0050501C"/>
    <w:rsid w:val="0050581D"/>
    <w:rsid w:val="005068F2"/>
    <w:rsid w:val="00506C77"/>
    <w:rsid w:val="00506D97"/>
    <w:rsid w:val="00507553"/>
    <w:rsid w:val="00507BE6"/>
    <w:rsid w:val="00510921"/>
    <w:rsid w:val="00510AD3"/>
    <w:rsid w:val="00511FDC"/>
    <w:rsid w:val="00512A18"/>
    <w:rsid w:val="00513348"/>
    <w:rsid w:val="00513AD8"/>
    <w:rsid w:val="00513CBA"/>
    <w:rsid w:val="005144ED"/>
    <w:rsid w:val="00514555"/>
    <w:rsid w:val="00514F84"/>
    <w:rsid w:val="005153BC"/>
    <w:rsid w:val="005159EC"/>
    <w:rsid w:val="005160FE"/>
    <w:rsid w:val="0051636F"/>
    <w:rsid w:val="005163C4"/>
    <w:rsid w:val="005173FE"/>
    <w:rsid w:val="005201EA"/>
    <w:rsid w:val="005204D2"/>
    <w:rsid w:val="00520E5B"/>
    <w:rsid w:val="005216A1"/>
    <w:rsid w:val="005218DA"/>
    <w:rsid w:val="0052196D"/>
    <w:rsid w:val="00521E7E"/>
    <w:rsid w:val="00522371"/>
    <w:rsid w:val="00522396"/>
    <w:rsid w:val="0052346B"/>
    <w:rsid w:val="00523714"/>
    <w:rsid w:val="00523920"/>
    <w:rsid w:val="00524C1C"/>
    <w:rsid w:val="00525EC3"/>
    <w:rsid w:val="00526264"/>
    <w:rsid w:val="0052647D"/>
    <w:rsid w:val="00526DCC"/>
    <w:rsid w:val="00527A44"/>
    <w:rsid w:val="00527E2B"/>
    <w:rsid w:val="00530616"/>
    <w:rsid w:val="0053104E"/>
    <w:rsid w:val="00531264"/>
    <w:rsid w:val="005324E7"/>
    <w:rsid w:val="0053258F"/>
    <w:rsid w:val="005326EE"/>
    <w:rsid w:val="0053287D"/>
    <w:rsid w:val="00532BEF"/>
    <w:rsid w:val="00532C15"/>
    <w:rsid w:val="00532DF2"/>
    <w:rsid w:val="00533537"/>
    <w:rsid w:val="00533B5D"/>
    <w:rsid w:val="005340A2"/>
    <w:rsid w:val="005348BB"/>
    <w:rsid w:val="00534A4B"/>
    <w:rsid w:val="005351B5"/>
    <w:rsid w:val="005353EA"/>
    <w:rsid w:val="005356B9"/>
    <w:rsid w:val="0053576D"/>
    <w:rsid w:val="0053616A"/>
    <w:rsid w:val="00536896"/>
    <w:rsid w:val="00537BA5"/>
    <w:rsid w:val="005400C6"/>
    <w:rsid w:val="0054073A"/>
    <w:rsid w:val="00540885"/>
    <w:rsid w:val="00540A06"/>
    <w:rsid w:val="0054109C"/>
    <w:rsid w:val="00541549"/>
    <w:rsid w:val="00541908"/>
    <w:rsid w:val="00541C90"/>
    <w:rsid w:val="00541E33"/>
    <w:rsid w:val="00542319"/>
    <w:rsid w:val="005429D7"/>
    <w:rsid w:val="00542DAA"/>
    <w:rsid w:val="0054355F"/>
    <w:rsid w:val="00544137"/>
    <w:rsid w:val="00544516"/>
    <w:rsid w:val="0054482D"/>
    <w:rsid w:val="00544ACA"/>
    <w:rsid w:val="00544EBF"/>
    <w:rsid w:val="00545258"/>
    <w:rsid w:val="005456D2"/>
    <w:rsid w:val="00545865"/>
    <w:rsid w:val="00545928"/>
    <w:rsid w:val="00546190"/>
    <w:rsid w:val="005474B9"/>
    <w:rsid w:val="005507B1"/>
    <w:rsid w:val="00550BF9"/>
    <w:rsid w:val="005515E2"/>
    <w:rsid w:val="005516AC"/>
    <w:rsid w:val="005520B4"/>
    <w:rsid w:val="00552F7C"/>
    <w:rsid w:val="00553749"/>
    <w:rsid w:val="00553B39"/>
    <w:rsid w:val="00553EB6"/>
    <w:rsid w:val="00553F90"/>
    <w:rsid w:val="0055460A"/>
    <w:rsid w:val="00555310"/>
    <w:rsid w:val="00555464"/>
    <w:rsid w:val="0055588A"/>
    <w:rsid w:val="00555DC6"/>
    <w:rsid w:val="00557160"/>
    <w:rsid w:val="00557A81"/>
    <w:rsid w:val="00557B08"/>
    <w:rsid w:val="005600DD"/>
    <w:rsid w:val="005602C9"/>
    <w:rsid w:val="005603FA"/>
    <w:rsid w:val="00562812"/>
    <w:rsid w:val="005633B3"/>
    <w:rsid w:val="005635FE"/>
    <w:rsid w:val="0056407A"/>
    <w:rsid w:val="00564D1A"/>
    <w:rsid w:val="005665DC"/>
    <w:rsid w:val="0056678D"/>
    <w:rsid w:val="00566B3B"/>
    <w:rsid w:val="0056724E"/>
    <w:rsid w:val="005674B1"/>
    <w:rsid w:val="0056799B"/>
    <w:rsid w:val="00567E20"/>
    <w:rsid w:val="0057069D"/>
    <w:rsid w:val="00570823"/>
    <w:rsid w:val="00570E45"/>
    <w:rsid w:val="005712A0"/>
    <w:rsid w:val="00571E10"/>
    <w:rsid w:val="00571F47"/>
    <w:rsid w:val="005735EC"/>
    <w:rsid w:val="00574669"/>
    <w:rsid w:val="0057478F"/>
    <w:rsid w:val="0057502B"/>
    <w:rsid w:val="00575873"/>
    <w:rsid w:val="00575F4B"/>
    <w:rsid w:val="0057703A"/>
    <w:rsid w:val="00577702"/>
    <w:rsid w:val="0058133C"/>
    <w:rsid w:val="005819FB"/>
    <w:rsid w:val="00581F70"/>
    <w:rsid w:val="005825FA"/>
    <w:rsid w:val="00582A02"/>
    <w:rsid w:val="005831C9"/>
    <w:rsid w:val="00584294"/>
    <w:rsid w:val="005843A7"/>
    <w:rsid w:val="00584B1C"/>
    <w:rsid w:val="00584D52"/>
    <w:rsid w:val="00585375"/>
    <w:rsid w:val="005854BA"/>
    <w:rsid w:val="005860BA"/>
    <w:rsid w:val="00586180"/>
    <w:rsid w:val="00586AFA"/>
    <w:rsid w:val="00587783"/>
    <w:rsid w:val="005904D6"/>
    <w:rsid w:val="005916D3"/>
    <w:rsid w:val="0059173F"/>
    <w:rsid w:val="00591C87"/>
    <w:rsid w:val="00591EC0"/>
    <w:rsid w:val="005921FA"/>
    <w:rsid w:val="0059228E"/>
    <w:rsid w:val="005929CC"/>
    <w:rsid w:val="00593029"/>
    <w:rsid w:val="005958E8"/>
    <w:rsid w:val="00595EFE"/>
    <w:rsid w:val="005960C9"/>
    <w:rsid w:val="00596180"/>
    <w:rsid w:val="00596A05"/>
    <w:rsid w:val="00596C76"/>
    <w:rsid w:val="00596DF7"/>
    <w:rsid w:val="005A03A1"/>
    <w:rsid w:val="005A03A6"/>
    <w:rsid w:val="005A04BB"/>
    <w:rsid w:val="005A06A3"/>
    <w:rsid w:val="005A121F"/>
    <w:rsid w:val="005A12BE"/>
    <w:rsid w:val="005A18B2"/>
    <w:rsid w:val="005A1B92"/>
    <w:rsid w:val="005A20F6"/>
    <w:rsid w:val="005A2109"/>
    <w:rsid w:val="005A2657"/>
    <w:rsid w:val="005A39D8"/>
    <w:rsid w:val="005A406F"/>
    <w:rsid w:val="005A443C"/>
    <w:rsid w:val="005A4635"/>
    <w:rsid w:val="005A549A"/>
    <w:rsid w:val="005A60ED"/>
    <w:rsid w:val="005A6AA7"/>
    <w:rsid w:val="005A6B3F"/>
    <w:rsid w:val="005A73B5"/>
    <w:rsid w:val="005A7901"/>
    <w:rsid w:val="005B03A8"/>
    <w:rsid w:val="005B092D"/>
    <w:rsid w:val="005B1CE0"/>
    <w:rsid w:val="005B1D67"/>
    <w:rsid w:val="005B1FCB"/>
    <w:rsid w:val="005B2232"/>
    <w:rsid w:val="005B2D63"/>
    <w:rsid w:val="005B342E"/>
    <w:rsid w:val="005B360C"/>
    <w:rsid w:val="005B41F9"/>
    <w:rsid w:val="005B4C46"/>
    <w:rsid w:val="005B4E5C"/>
    <w:rsid w:val="005B53E7"/>
    <w:rsid w:val="005B55E8"/>
    <w:rsid w:val="005B716E"/>
    <w:rsid w:val="005C03EC"/>
    <w:rsid w:val="005C04B0"/>
    <w:rsid w:val="005C2E78"/>
    <w:rsid w:val="005C2E97"/>
    <w:rsid w:val="005C3CAD"/>
    <w:rsid w:val="005C46D4"/>
    <w:rsid w:val="005C4CCE"/>
    <w:rsid w:val="005C52AC"/>
    <w:rsid w:val="005C5642"/>
    <w:rsid w:val="005C587A"/>
    <w:rsid w:val="005C6115"/>
    <w:rsid w:val="005C682C"/>
    <w:rsid w:val="005C6DD7"/>
    <w:rsid w:val="005C6DF5"/>
    <w:rsid w:val="005C7DF0"/>
    <w:rsid w:val="005D025E"/>
    <w:rsid w:val="005D0C63"/>
    <w:rsid w:val="005D17B9"/>
    <w:rsid w:val="005D1844"/>
    <w:rsid w:val="005D1FF9"/>
    <w:rsid w:val="005D27DF"/>
    <w:rsid w:val="005D2F82"/>
    <w:rsid w:val="005D330A"/>
    <w:rsid w:val="005D35B3"/>
    <w:rsid w:val="005D3655"/>
    <w:rsid w:val="005D38D2"/>
    <w:rsid w:val="005D3BDC"/>
    <w:rsid w:val="005D42D5"/>
    <w:rsid w:val="005D45F0"/>
    <w:rsid w:val="005D4E00"/>
    <w:rsid w:val="005D4FA6"/>
    <w:rsid w:val="005D600E"/>
    <w:rsid w:val="005D62B2"/>
    <w:rsid w:val="005E0F08"/>
    <w:rsid w:val="005E25A4"/>
    <w:rsid w:val="005E2D88"/>
    <w:rsid w:val="005E2DBE"/>
    <w:rsid w:val="005E2E8B"/>
    <w:rsid w:val="005E2EED"/>
    <w:rsid w:val="005E34D3"/>
    <w:rsid w:val="005E3ABD"/>
    <w:rsid w:val="005E3B54"/>
    <w:rsid w:val="005E3C7D"/>
    <w:rsid w:val="005E403F"/>
    <w:rsid w:val="005E4830"/>
    <w:rsid w:val="005E5CC5"/>
    <w:rsid w:val="005E67A2"/>
    <w:rsid w:val="005E6A33"/>
    <w:rsid w:val="005E71BE"/>
    <w:rsid w:val="005E71BF"/>
    <w:rsid w:val="005E7352"/>
    <w:rsid w:val="005E7DE1"/>
    <w:rsid w:val="005F172A"/>
    <w:rsid w:val="005F3161"/>
    <w:rsid w:val="005F3B23"/>
    <w:rsid w:val="005F4050"/>
    <w:rsid w:val="005F4229"/>
    <w:rsid w:val="005F524C"/>
    <w:rsid w:val="005F5996"/>
    <w:rsid w:val="005F5D87"/>
    <w:rsid w:val="005F6CD9"/>
    <w:rsid w:val="005F79EB"/>
    <w:rsid w:val="005F7CEB"/>
    <w:rsid w:val="00601443"/>
    <w:rsid w:val="00601DE5"/>
    <w:rsid w:val="006020FA"/>
    <w:rsid w:val="0060231F"/>
    <w:rsid w:val="00602C58"/>
    <w:rsid w:val="00602C67"/>
    <w:rsid w:val="006046A5"/>
    <w:rsid w:val="00604A0B"/>
    <w:rsid w:val="00604DA3"/>
    <w:rsid w:val="00606B17"/>
    <w:rsid w:val="00606FE6"/>
    <w:rsid w:val="00610941"/>
    <w:rsid w:val="00610F42"/>
    <w:rsid w:val="00612B5B"/>
    <w:rsid w:val="00612E87"/>
    <w:rsid w:val="00613514"/>
    <w:rsid w:val="00613600"/>
    <w:rsid w:val="00614BBC"/>
    <w:rsid w:val="00614D57"/>
    <w:rsid w:val="00616F88"/>
    <w:rsid w:val="006211EF"/>
    <w:rsid w:val="0062174C"/>
    <w:rsid w:val="00621C73"/>
    <w:rsid w:val="00622608"/>
    <w:rsid w:val="00622B86"/>
    <w:rsid w:val="006230CD"/>
    <w:rsid w:val="006231E0"/>
    <w:rsid w:val="00623BA1"/>
    <w:rsid w:val="00624619"/>
    <w:rsid w:val="00624A1A"/>
    <w:rsid w:val="0062521A"/>
    <w:rsid w:val="006259D6"/>
    <w:rsid w:val="00625AAA"/>
    <w:rsid w:val="00625BAE"/>
    <w:rsid w:val="0062672F"/>
    <w:rsid w:val="00627C08"/>
    <w:rsid w:val="00627F3F"/>
    <w:rsid w:val="006313F3"/>
    <w:rsid w:val="006316B4"/>
    <w:rsid w:val="00632173"/>
    <w:rsid w:val="00632F7B"/>
    <w:rsid w:val="006337E2"/>
    <w:rsid w:val="006344AF"/>
    <w:rsid w:val="0063451B"/>
    <w:rsid w:val="006346BC"/>
    <w:rsid w:val="00634E97"/>
    <w:rsid w:val="0063581B"/>
    <w:rsid w:val="00635E14"/>
    <w:rsid w:val="006374F1"/>
    <w:rsid w:val="006402DD"/>
    <w:rsid w:val="0064068F"/>
    <w:rsid w:val="00640A97"/>
    <w:rsid w:val="00641681"/>
    <w:rsid w:val="006416C0"/>
    <w:rsid w:val="00642AA5"/>
    <w:rsid w:val="00643003"/>
    <w:rsid w:val="006433C9"/>
    <w:rsid w:val="006433E3"/>
    <w:rsid w:val="00644602"/>
    <w:rsid w:val="006455F1"/>
    <w:rsid w:val="006456CF"/>
    <w:rsid w:val="006458CB"/>
    <w:rsid w:val="00645D45"/>
    <w:rsid w:val="00645E6F"/>
    <w:rsid w:val="00645F7B"/>
    <w:rsid w:val="006468BE"/>
    <w:rsid w:val="0064733B"/>
    <w:rsid w:val="006506B0"/>
    <w:rsid w:val="00655097"/>
    <w:rsid w:val="0065559C"/>
    <w:rsid w:val="00655685"/>
    <w:rsid w:val="006558C4"/>
    <w:rsid w:val="00655C3C"/>
    <w:rsid w:val="00656052"/>
    <w:rsid w:val="00656963"/>
    <w:rsid w:val="00656EC0"/>
    <w:rsid w:val="006571F1"/>
    <w:rsid w:val="00657699"/>
    <w:rsid w:val="006612EA"/>
    <w:rsid w:val="006621C0"/>
    <w:rsid w:val="006621F3"/>
    <w:rsid w:val="0066235F"/>
    <w:rsid w:val="00662776"/>
    <w:rsid w:val="00664603"/>
    <w:rsid w:val="006656E6"/>
    <w:rsid w:val="00665E67"/>
    <w:rsid w:val="0066614E"/>
    <w:rsid w:val="0066652A"/>
    <w:rsid w:val="0066652E"/>
    <w:rsid w:val="00666C2B"/>
    <w:rsid w:val="00666CC9"/>
    <w:rsid w:val="0067042F"/>
    <w:rsid w:val="006707DC"/>
    <w:rsid w:val="006719C3"/>
    <w:rsid w:val="00672793"/>
    <w:rsid w:val="00672CEA"/>
    <w:rsid w:val="00672EB5"/>
    <w:rsid w:val="00673397"/>
    <w:rsid w:val="006734F6"/>
    <w:rsid w:val="00673C5D"/>
    <w:rsid w:val="00674662"/>
    <w:rsid w:val="006748B5"/>
    <w:rsid w:val="00675D84"/>
    <w:rsid w:val="00676003"/>
    <w:rsid w:val="00676AE9"/>
    <w:rsid w:val="00676EF4"/>
    <w:rsid w:val="00680274"/>
    <w:rsid w:val="00680372"/>
    <w:rsid w:val="00680522"/>
    <w:rsid w:val="00680633"/>
    <w:rsid w:val="0068162C"/>
    <w:rsid w:val="00681BE6"/>
    <w:rsid w:val="00682167"/>
    <w:rsid w:val="00682265"/>
    <w:rsid w:val="00682A34"/>
    <w:rsid w:val="00683D51"/>
    <w:rsid w:val="00684762"/>
    <w:rsid w:val="00685544"/>
    <w:rsid w:val="006856B2"/>
    <w:rsid w:val="00685ABC"/>
    <w:rsid w:val="00685D5C"/>
    <w:rsid w:val="006903A2"/>
    <w:rsid w:val="00690632"/>
    <w:rsid w:val="0069079B"/>
    <w:rsid w:val="006912BC"/>
    <w:rsid w:val="0069184D"/>
    <w:rsid w:val="00692174"/>
    <w:rsid w:val="00692543"/>
    <w:rsid w:val="00693ECF"/>
    <w:rsid w:val="006961B2"/>
    <w:rsid w:val="00696A57"/>
    <w:rsid w:val="00697CEA"/>
    <w:rsid w:val="006A0332"/>
    <w:rsid w:val="006A06F1"/>
    <w:rsid w:val="006A0D33"/>
    <w:rsid w:val="006A105D"/>
    <w:rsid w:val="006A1B19"/>
    <w:rsid w:val="006A1F2D"/>
    <w:rsid w:val="006A20D8"/>
    <w:rsid w:val="006A2B6F"/>
    <w:rsid w:val="006A2F6D"/>
    <w:rsid w:val="006A3FCF"/>
    <w:rsid w:val="006A421F"/>
    <w:rsid w:val="006A4CEE"/>
    <w:rsid w:val="006A509F"/>
    <w:rsid w:val="006A5545"/>
    <w:rsid w:val="006A5CEC"/>
    <w:rsid w:val="006A6080"/>
    <w:rsid w:val="006A6556"/>
    <w:rsid w:val="006A67CD"/>
    <w:rsid w:val="006A6EA2"/>
    <w:rsid w:val="006A7D01"/>
    <w:rsid w:val="006A7D68"/>
    <w:rsid w:val="006B0FEE"/>
    <w:rsid w:val="006B3C0C"/>
    <w:rsid w:val="006B45FF"/>
    <w:rsid w:val="006B4A81"/>
    <w:rsid w:val="006B57E3"/>
    <w:rsid w:val="006B585C"/>
    <w:rsid w:val="006B75EF"/>
    <w:rsid w:val="006B7C16"/>
    <w:rsid w:val="006B7FBA"/>
    <w:rsid w:val="006C08EA"/>
    <w:rsid w:val="006C0B5E"/>
    <w:rsid w:val="006C0FD6"/>
    <w:rsid w:val="006C13E8"/>
    <w:rsid w:val="006C148E"/>
    <w:rsid w:val="006C1ABA"/>
    <w:rsid w:val="006C2366"/>
    <w:rsid w:val="006C2DE4"/>
    <w:rsid w:val="006C300D"/>
    <w:rsid w:val="006C3B4F"/>
    <w:rsid w:val="006C427A"/>
    <w:rsid w:val="006C42AF"/>
    <w:rsid w:val="006C4360"/>
    <w:rsid w:val="006C437D"/>
    <w:rsid w:val="006C4443"/>
    <w:rsid w:val="006C4BFF"/>
    <w:rsid w:val="006C50EB"/>
    <w:rsid w:val="006C532D"/>
    <w:rsid w:val="006C6088"/>
    <w:rsid w:val="006C67C2"/>
    <w:rsid w:val="006C6F04"/>
    <w:rsid w:val="006C7540"/>
    <w:rsid w:val="006C7EA0"/>
    <w:rsid w:val="006D0C1A"/>
    <w:rsid w:val="006D1424"/>
    <w:rsid w:val="006D1CE9"/>
    <w:rsid w:val="006D23E8"/>
    <w:rsid w:val="006D2767"/>
    <w:rsid w:val="006D2D7F"/>
    <w:rsid w:val="006D2E8E"/>
    <w:rsid w:val="006D3701"/>
    <w:rsid w:val="006D3A67"/>
    <w:rsid w:val="006D4622"/>
    <w:rsid w:val="006D4903"/>
    <w:rsid w:val="006D492D"/>
    <w:rsid w:val="006D5055"/>
    <w:rsid w:val="006D5C62"/>
    <w:rsid w:val="006D6913"/>
    <w:rsid w:val="006D79B1"/>
    <w:rsid w:val="006D7B52"/>
    <w:rsid w:val="006D7F7D"/>
    <w:rsid w:val="006E020D"/>
    <w:rsid w:val="006E13EC"/>
    <w:rsid w:val="006E1A73"/>
    <w:rsid w:val="006E2889"/>
    <w:rsid w:val="006E2897"/>
    <w:rsid w:val="006E3015"/>
    <w:rsid w:val="006E3D42"/>
    <w:rsid w:val="006E3F6F"/>
    <w:rsid w:val="006E42EB"/>
    <w:rsid w:val="006E45F9"/>
    <w:rsid w:val="006E6549"/>
    <w:rsid w:val="006E6E8C"/>
    <w:rsid w:val="006F03B1"/>
    <w:rsid w:val="006F05B4"/>
    <w:rsid w:val="006F07FF"/>
    <w:rsid w:val="006F0CE3"/>
    <w:rsid w:val="006F248C"/>
    <w:rsid w:val="006F2701"/>
    <w:rsid w:val="006F3807"/>
    <w:rsid w:val="006F3930"/>
    <w:rsid w:val="006F39D2"/>
    <w:rsid w:val="006F3AF5"/>
    <w:rsid w:val="006F3E4C"/>
    <w:rsid w:val="006F40D7"/>
    <w:rsid w:val="006F5355"/>
    <w:rsid w:val="006F5486"/>
    <w:rsid w:val="006F602A"/>
    <w:rsid w:val="006F62E9"/>
    <w:rsid w:val="006F7297"/>
    <w:rsid w:val="006F79E2"/>
    <w:rsid w:val="00700AC7"/>
    <w:rsid w:val="00701103"/>
    <w:rsid w:val="007011D1"/>
    <w:rsid w:val="00701759"/>
    <w:rsid w:val="00701AAD"/>
    <w:rsid w:val="007021FC"/>
    <w:rsid w:val="00702406"/>
    <w:rsid w:val="00702457"/>
    <w:rsid w:val="00702B4A"/>
    <w:rsid w:val="00704794"/>
    <w:rsid w:val="00704BCC"/>
    <w:rsid w:val="00704D74"/>
    <w:rsid w:val="007053E1"/>
    <w:rsid w:val="007055DA"/>
    <w:rsid w:val="007059C8"/>
    <w:rsid w:val="00706199"/>
    <w:rsid w:val="00707D60"/>
    <w:rsid w:val="00707FE0"/>
    <w:rsid w:val="0071180E"/>
    <w:rsid w:val="00711815"/>
    <w:rsid w:val="00711D8E"/>
    <w:rsid w:val="00712401"/>
    <w:rsid w:val="00712652"/>
    <w:rsid w:val="00712672"/>
    <w:rsid w:val="007131F7"/>
    <w:rsid w:val="0071390B"/>
    <w:rsid w:val="0071395D"/>
    <w:rsid w:val="00715887"/>
    <w:rsid w:val="00715D65"/>
    <w:rsid w:val="00715F47"/>
    <w:rsid w:val="00716657"/>
    <w:rsid w:val="00716F33"/>
    <w:rsid w:val="00717068"/>
    <w:rsid w:val="00717BE9"/>
    <w:rsid w:val="00717F37"/>
    <w:rsid w:val="00717F83"/>
    <w:rsid w:val="00720037"/>
    <w:rsid w:val="007202D0"/>
    <w:rsid w:val="00721592"/>
    <w:rsid w:val="00722587"/>
    <w:rsid w:val="00722AEE"/>
    <w:rsid w:val="00724F79"/>
    <w:rsid w:val="0072546E"/>
    <w:rsid w:val="00725BB4"/>
    <w:rsid w:val="00725D4A"/>
    <w:rsid w:val="007262A9"/>
    <w:rsid w:val="00727AEF"/>
    <w:rsid w:val="00727D8D"/>
    <w:rsid w:val="0073008A"/>
    <w:rsid w:val="007302AD"/>
    <w:rsid w:val="007318DC"/>
    <w:rsid w:val="00732063"/>
    <w:rsid w:val="00732527"/>
    <w:rsid w:val="007328A9"/>
    <w:rsid w:val="00733041"/>
    <w:rsid w:val="007330AF"/>
    <w:rsid w:val="0073379D"/>
    <w:rsid w:val="00734B4F"/>
    <w:rsid w:val="00734C81"/>
    <w:rsid w:val="00734E3F"/>
    <w:rsid w:val="007355FE"/>
    <w:rsid w:val="00736248"/>
    <w:rsid w:val="00736730"/>
    <w:rsid w:val="00736985"/>
    <w:rsid w:val="00736C02"/>
    <w:rsid w:val="0074002C"/>
    <w:rsid w:val="007403C2"/>
    <w:rsid w:val="007407BA"/>
    <w:rsid w:val="00740B9D"/>
    <w:rsid w:val="00740C01"/>
    <w:rsid w:val="007413E3"/>
    <w:rsid w:val="00742555"/>
    <w:rsid w:val="0074279B"/>
    <w:rsid w:val="00742AB2"/>
    <w:rsid w:val="007435A5"/>
    <w:rsid w:val="0074459D"/>
    <w:rsid w:val="0074462A"/>
    <w:rsid w:val="007450AA"/>
    <w:rsid w:val="00745DF5"/>
    <w:rsid w:val="007465F0"/>
    <w:rsid w:val="007471E2"/>
    <w:rsid w:val="00747E65"/>
    <w:rsid w:val="007501C2"/>
    <w:rsid w:val="00750C75"/>
    <w:rsid w:val="00751D04"/>
    <w:rsid w:val="00751EBA"/>
    <w:rsid w:val="0075220F"/>
    <w:rsid w:val="00752472"/>
    <w:rsid w:val="00752CFD"/>
    <w:rsid w:val="007532EC"/>
    <w:rsid w:val="0075442F"/>
    <w:rsid w:val="00754E90"/>
    <w:rsid w:val="00755042"/>
    <w:rsid w:val="007563E8"/>
    <w:rsid w:val="00756CC9"/>
    <w:rsid w:val="0076100D"/>
    <w:rsid w:val="0076123A"/>
    <w:rsid w:val="0076250F"/>
    <w:rsid w:val="0076292D"/>
    <w:rsid w:val="00763572"/>
    <w:rsid w:val="00764206"/>
    <w:rsid w:val="007642E7"/>
    <w:rsid w:val="00765B5E"/>
    <w:rsid w:val="00765E3B"/>
    <w:rsid w:val="0076640E"/>
    <w:rsid w:val="00766743"/>
    <w:rsid w:val="0076790D"/>
    <w:rsid w:val="0077021D"/>
    <w:rsid w:val="007705F4"/>
    <w:rsid w:val="007706B8"/>
    <w:rsid w:val="0077145B"/>
    <w:rsid w:val="0077165F"/>
    <w:rsid w:val="00772076"/>
    <w:rsid w:val="00772347"/>
    <w:rsid w:val="007723F4"/>
    <w:rsid w:val="0077269F"/>
    <w:rsid w:val="00773D1C"/>
    <w:rsid w:val="007745CB"/>
    <w:rsid w:val="00774D18"/>
    <w:rsid w:val="00774E68"/>
    <w:rsid w:val="00774EE4"/>
    <w:rsid w:val="0077596B"/>
    <w:rsid w:val="00775D5C"/>
    <w:rsid w:val="00776224"/>
    <w:rsid w:val="007765D7"/>
    <w:rsid w:val="00776619"/>
    <w:rsid w:val="00776998"/>
    <w:rsid w:val="007777D9"/>
    <w:rsid w:val="00777810"/>
    <w:rsid w:val="00780128"/>
    <w:rsid w:val="0078050F"/>
    <w:rsid w:val="00780FA5"/>
    <w:rsid w:val="007830B1"/>
    <w:rsid w:val="0078344B"/>
    <w:rsid w:val="007846B8"/>
    <w:rsid w:val="007848C5"/>
    <w:rsid w:val="00784BA1"/>
    <w:rsid w:val="0079014C"/>
    <w:rsid w:val="007902E3"/>
    <w:rsid w:val="00790F55"/>
    <w:rsid w:val="0079207A"/>
    <w:rsid w:val="0079271A"/>
    <w:rsid w:val="007935E5"/>
    <w:rsid w:val="00793A02"/>
    <w:rsid w:val="00794FB5"/>
    <w:rsid w:val="00795A63"/>
    <w:rsid w:val="00796017"/>
    <w:rsid w:val="007975C9"/>
    <w:rsid w:val="007977EA"/>
    <w:rsid w:val="007A06C0"/>
    <w:rsid w:val="007A1017"/>
    <w:rsid w:val="007A22B7"/>
    <w:rsid w:val="007A22E0"/>
    <w:rsid w:val="007A23FC"/>
    <w:rsid w:val="007A28B0"/>
    <w:rsid w:val="007A2B41"/>
    <w:rsid w:val="007A4706"/>
    <w:rsid w:val="007A5489"/>
    <w:rsid w:val="007A5F14"/>
    <w:rsid w:val="007A633A"/>
    <w:rsid w:val="007A6589"/>
    <w:rsid w:val="007A6823"/>
    <w:rsid w:val="007A6853"/>
    <w:rsid w:val="007B0158"/>
    <w:rsid w:val="007B03CB"/>
    <w:rsid w:val="007B07AB"/>
    <w:rsid w:val="007B0DF4"/>
    <w:rsid w:val="007B1412"/>
    <w:rsid w:val="007B2659"/>
    <w:rsid w:val="007B375C"/>
    <w:rsid w:val="007B37BC"/>
    <w:rsid w:val="007B5499"/>
    <w:rsid w:val="007B5AA1"/>
    <w:rsid w:val="007B6200"/>
    <w:rsid w:val="007B6CB4"/>
    <w:rsid w:val="007B6DFA"/>
    <w:rsid w:val="007B7321"/>
    <w:rsid w:val="007C09C4"/>
    <w:rsid w:val="007C1A3C"/>
    <w:rsid w:val="007C1EE6"/>
    <w:rsid w:val="007C222F"/>
    <w:rsid w:val="007C2A1A"/>
    <w:rsid w:val="007C2E23"/>
    <w:rsid w:val="007C37C4"/>
    <w:rsid w:val="007C37D2"/>
    <w:rsid w:val="007C3840"/>
    <w:rsid w:val="007C3B3D"/>
    <w:rsid w:val="007C3D9F"/>
    <w:rsid w:val="007C4717"/>
    <w:rsid w:val="007C4B76"/>
    <w:rsid w:val="007C4FCB"/>
    <w:rsid w:val="007C69DD"/>
    <w:rsid w:val="007C6A87"/>
    <w:rsid w:val="007C6D20"/>
    <w:rsid w:val="007D04ED"/>
    <w:rsid w:val="007D06A9"/>
    <w:rsid w:val="007D16BF"/>
    <w:rsid w:val="007D18B9"/>
    <w:rsid w:val="007D1B7E"/>
    <w:rsid w:val="007D1BFE"/>
    <w:rsid w:val="007D2C70"/>
    <w:rsid w:val="007D35E7"/>
    <w:rsid w:val="007D3A44"/>
    <w:rsid w:val="007D4B3C"/>
    <w:rsid w:val="007D4CB4"/>
    <w:rsid w:val="007D5698"/>
    <w:rsid w:val="007D59D0"/>
    <w:rsid w:val="007D5B9F"/>
    <w:rsid w:val="007D5D60"/>
    <w:rsid w:val="007D7CC1"/>
    <w:rsid w:val="007E0EDD"/>
    <w:rsid w:val="007E157A"/>
    <w:rsid w:val="007E225C"/>
    <w:rsid w:val="007E244A"/>
    <w:rsid w:val="007E33CF"/>
    <w:rsid w:val="007E3951"/>
    <w:rsid w:val="007E39C3"/>
    <w:rsid w:val="007E3CDC"/>
    <w:rsid w:val="007E3E12"/>
    <w:rsid w:val="007E3EB1"/>
    <w:rsid w:val="007E46BE"/>
    <w:rsid w:val="007E5298"/>
    <w:rsid w:val="007E6781"/>
    <w:rsid w:val="007E6D84"/>
    <w:rsid w:val="007E777C"/>
    <w:rsid w:val="007E795B"/>
    <w:rsid w:val="007F0477"/>
    <w:rsid w:val="007F06A0"/>
    <w:rsid w:val="007F0904"/>
    <w:rsid w:val="007F253E"/>
    <w:rsid w:val="007F30EA"/>
    <w:rsid w:val="007F30EE"/>
    <w:rsid w:val="007F3395"/>
    <w:rsid w:val="007F41E9"/>
    <w:rsid w:val="007F4A11"/>
    <w:rsid w:val="007F730F"/>
    <w:rsid w:val="007F7644"/>
    <w:rsid w:val="00801B9F"/>
    <w:rsid w:val="0080204D"/>
    <w:rsid w:val="00802070"/>
    <w:rsid w:val="008037E7"/>
    <w:rsid w:val="00803857"/>
    <w:rsid w:val="00804AD5"/>
    <w:rsid w:val="00804D27"/>
    <w:rsid w:val="00804E90"/>
    <w:rsid w:val="00805A65"/>
    <w:rsid w:val="00805B9C"/>
    <w:rsid w:val="00805D5E"/>
    <w:rsid w:val="00805E14"/>
    <w:rsid w:val="00805EAD"/>
    <w:rsid w:val="00806836"/>
    <w:rsid w:val="008114CE"/>
    <w:rsid w:val="00812416"/>
    <w:rsid w:val="0081243E"/>
    <w:rsid w:val="0081280B"/>
    <w:rsid w:val="00812DF7"/>
    <w:rsid w:val="00813CBC"/>
    <w:rsid w:val="00814247"/>
    <w:rsid w:val="00814978"/>
    <w:rsid w:val="008155A9"/>
    <w:rsid w:val="00815A9B"/>
    <w:rsid w:val="0081644B"/>
    <w:rsid w:val="00816F01"/>
    <w:rsid w:val="00817A65"/>
    <w:rsid w:val="00817B34"/>
    <w:rsid w:val="00817FF9"/>
    <w:rsid w:val="008214A1"/>
    <w:rsid w:val="00822A1B"/>
    <w:rsid w:val="00823422"/>
    <w:rsid w:val="00823435"/>
    <w:rsid w:val="0082397F"/>
    <w:rsid w:val="00823BB2"/>
    <w:rsid w:val="008247C1"/>
    <w:rsid w:val="00824D69"/>
    <w:rsid w:val="0082522E"/>
    <w:rsid w:val="008258E4"/>
    <w:rsid w:val="0082600E"/>
    <w:rsid w:val="00826425"/>
    <w:rsid w:val="00826A8E"/>
    <w:rsid w:val="00826C8A"/>
    <w:rsid w:val="00826F0D"/>
    <w:rsid w:val="00827CE9"/>
    <w:rsid w:val="0083052F"/>
    <w:rsid w:val="0083096B"/>
    <w:rsid w:val="00831050"/>
    <w:rsid w:val="00831B4D"/>
    <w:rsid w:val="00831C53"/>
    <w:rsid w:val="00832AD2"/>
    <w:rsid w:val="00832CF7"/>
    <w:rsid w:val="00832DF6"/>
    <w:rsid w:val="00834B5E"/>
    <w:rsid w:val="00834D8B"/>
    <w:rsid w:val="00834F4C"/>
    <w:rsid w:val="0083555C"/>
    <w:rsid w:val="00835832"/>
    <w:rsid w:val="00836089"/>
    <w:rsid w:val="00836491"/>
    <w:rsid w:val="008364B6"/>
    <w:rsid w:val="008366BB"/>
    <w:rsid w:val="0083734A"/>
    <w:rsid w:val="00837F33"/>
    <w:rsid w:val="00840028"/>
    <w:rsid w:val="0084050F"/>
    <w:rsid w:val="00841084"/>
    <w:rsid w:val="00841FFC"/>
    <w:rsid w:val="00843E43"/>
    <w:rsid w:val="008446E0"/>
    <w:rsid w:val="00844F20"/>
    <w:rsid w:val="0084523A"/>
    <w:rsid w:val="0084534D"/>
    <w:rsid w:val="00845C5B"/>
    <w:rsid w:val="0084618E"/>
    <w:rsid w:val="0084637F"/>
    <w:rsid w:val="00846911"/>
    <w:rsid w:val="008475F0"/>
    <w:rsid w:val="00847743"/>
    <w:rsid w:val="00847A47"/>
    <w:rsid w:val="0085076D"/>
    <w:rsid w:val="00850AA7"/>
    <w:rsid w:val="0085155B"/>
    <w:rsid w:val="00851776"/>
    <w:rsid w:val="00851A62"/>
    <w:rsid w:val="00851FB0"/>
    <w:rsid w:val="00853338"/>
    <w:rsid w:val="00853365"/>
    <w:rsid w:val="008535AA"/>
    <w:rsid w:val="00854289"/>
    <w:rsid w:val="00854CC8"/>
    <w:rsid w:val="008557A7"/>
    <w:rsid w:val="00855F24"/>
    <w:rsid w:val="008560B3"/>
    <w:rsid w:val="008562FB"/>
    <w:rsid w:val="008564F0"/>
    <w:rsid w:val="00857132"/>
    <w:rsid w:val="00857A15"/>
    <w:rsid w:val="008604C3"/>
    <w:rsid w:val="00861213"/>
    <w:rsid w:val="0086252A"/>
    <w:rsid w:val="008625BF"/>
    <w:rsid w:val="00863AD1"/>
    <w:rsid w:val="00863F44"/>
    <w:rsid w:val="00864171"/>
    <w:rsid w:val="00864F45"/>
    <w:rsid w:val="0086546D"/>
    <w:rsid w:val="00866C39"/>
    <w:rsid w:val="0086736C"/>
    <w:rsid w:val="00870821"/>
    <w:rsid w:val="00870928"/>
    <w:rsid w:val="00870A9C"/>
    <w:rsid w:val="00871230"/>
    <w:rsid w:val="008744FA"/>
    <w:rsid w:val="00874849"/>
    <w:rsid w:val="00875C85"/>
    <w:rsid w:val="00875E0C"/>
    <w:rsid w:val="00875E8E"/>
    <w:rsid w:val="0087707A"/>
    <w:rsid w:val="008778ED"/>
    <w:rsid w:val="008805B9"/>
    <w:rsid w:val="008806EA"/>
    <w:rsid w:val="0088075A"/>
    <w:rsid w:val="00881340"/>
    <w:rsid w:val="008817E2"/>
    <w:rsid w:val="00881DCB"/>
    <w:rsid w:val="00881EE2"/>
    <w:rsid w:val="00882A44"/>
    <w:rsid w:val="00882AC1"/>
    <w:rsid w:val="00883285"/>
    <w:rsid w:val="0088335B"/>
    <w:rsid w:val="00883A36"/>
    <w:rsid w:val="00883EDF"/>
    <w:rsid w:val="00884988"/>
    <w:rsid w:val="00884D52"/>
    <w:rsid w:val="0088519A"/>
    <w:rsid w:val="00885A62"/>
    <w:rsid w:val="00886029"/>
    <w:rsid w:val="00886116"/>
    <w:rsid w:val="00886AE9"/>
    <w:rsid w:val="00886F2C"/>
    <w:rsid w:val="00887685"/>
    <w:rsid w:val="00887A82"/>
    <w:rsid w:val="00887A8A"/>
    <w:rsid w:val="00890000"/>
    <w:rsid w:val="0089012C"/>
    <w:rsid w:val="008905AA"/>
    <w:rsid w:val="008913BB"/>
    <w:rsid w:val="00891C55"/>
    <w:rsid w:val="00892EBA"/>
    <w:rsid w:val="008930B5"/>
    <w:rsid w:val="00893344"/>
    <w:rsid w:val="00893534"/>
    <w:rsid w:val="00893E17"/>
    <w:rsid w:val="0089405C"/>
    <w:rsid w:val="008950F7"/>
    <w:rsid w:val="00895C88"/>
    <w:rsid w:val="008960F7"/>
    <w:rsid w:val="00897FA2"/>
    <w:rsid w:val="00897FEE"/>
    <w:rsid w:val="008A0220"/>
    <w:rsid w:val="008A07D5"/>
    <w:rsid w:val="008A0825"/>
    <w:rsid w:val="008A0D42"/>
    <w:rsid w:val="008A141C"/>
    <w:rsid w:val="008A22D9"/>
    <w:rsid w:val="008A25C6"/>
    <w:rsid w:val="008A2E26"/>
    <w:rsid w:val="008A3D36"/>
    <w:rsid w:val="008A3E03"/>
    <w:rsid w:val="008A4073"/>
    <w:rsid w:val="008A4A29"/>
    <w:rsid w:val="008A5004"/>
    <w:rsid w:val="008A55BB"/>
    <w:rsid w:val="008A5806"/>
    <w:rsid w:val="008A5AFE"/>
    <w:rsid w:val="008A61F4"/>
    <w:rsid w:val="008A6C5A"/>
    <w:rsid w:val="008A7240"/>
    <w:rsid w:val="008A7BFC"/>
    <w:rsid w:val="008A7CC7"/>
    <w:rsid w:val="008B02BE"/>
    <w:rsid w:val="008B072F"/>
    <w:rsid w:val="008B09C6"/>
    <w:rsid w:val="008B1BD6"/>
    <w:rsid w:val="008B29BC"/>
    <w:rsid w:val="008B306F"/>
    <w:rsid w:val="008B3AB6"/>
    <w:rsid w:val="008B3ABB"/>
    <w:rsid w:val="008B3F35"/>
    <w:rsid w:val="008B4125"/>
    <w:rsid w:val="008B44B1"/>
    <w:rsid w:val="008B4B6C"/>
    <w:rsid w:val="008B5757"/>
    <w:rsid w:val="008B59D3"/>
    <w:rsid w:val="008B5BA5"/>
    <w:rsid w:val="008B5FC5"/>
    <w:rsid w:val="008B63E1"/>
    <w:rsid w:val="008B6E32"/>
    <w:rsid w:val="008B6EF2"/>
    <w:rsid w:val="008C04AF"/>
    <w:rsid w:val="008C137F"/>
    <w:rsid w:val="008C1F48"/>
    <w:rsid w:val="008C1FB5"/>
    <w:rsid w:val="008C322F"/>
    <w:rsid w:val="008C4F6E"/>
    <w:rsid w:val="008C4FA3"/>
    <w:rsid w:val="008C5322"/>
    <w:rsid w:val="008C594F"/>
    <w:rsid w:val="008C5A0E"/>
    <w:rsid w:val="008C613D"/>
    <w:rsid w:val="008D033F"/>
    <w:rsid w:val="008D07DE"/>
    <w:rsid w:val="008D0902"/>
    <w:rsid w:val="008D1110"/>
    <w:rsid w:val="008D23C0"/>
    <w:rsid w:val="008D3F95"/>
    <w:rsid w:val="008D4033"/>
    <w:rsid w:val="008D5E25"/>
    <w:rsid w:val="008D62BC"/>
    <w:rsid w:val="008D755C"/>
    <w:rsid w:val="008E075A"/>
    <w:rsid w:val="008E083A"/>
    <w:rsid w:val="008E1546"/>
    <w:rsid w:val="008E191C"/>
    <w:rsid w:val="008E205F"/>
    <w:rsid w:val="008E285F"/>
    <w:rsid w:val="008E2AA2"/>
    <w:rsid w:val="008E367E"/>
    <w:rsid w:val="008E3ABE"/>
    <w:rsid w:val="008E4674"/>
    <w:rsid w:val="008E4A55"/>
    <w:rsid w:val="008E543C"/>
    <w:rsid w:val="008E5E63"/>
    <w:rsid w:val="008E6405"/>
    <w:rsid w:val="008E650B"/>
    <w:rsid w:val="008E6E37"/>
    <w:rsid w:val="008E7337"/>
    <w:rsid w:val="008F14FF"/>
    <w:rsid w:val="008F170E"/>
    <w:rsid w:val="008F206D"/>
    <w:rsid w:val="008F2934"/>
    <w:rsid w:val="008F2AD6"/>
    <w:rsid w:val="008F2EC8"/>
    <w:rsid w:val="008F39CF"/>
    <w:rsid w:val="008F40A7"/>
    <w:rsid w:val="008F4218"/>
    <w:rsid w:val="008F4B63"/>
    <w:rsid w:val="008F4B94"/>
    <w:rsid w:val="008F4C27"/>
    <w:rsid w:val="008F5567"/>
    <w:rsid w:val="008F5DB8"/>
    <w:rsid w:val="008F6F57"/>
    <w:rsid w:val="008F726A"/>
    <w:rsid w:val="0090029F"/>
    <w:rsid w:val="00901145"/>
    <w:rsid w:val="009015AC"/>
    <w:rsid w:val="00902577"/>
    <w:rsid w:val="009029B3"/>
    <w:rsid w:val="00902ADF"/>
    <w:rsid w:val="00902B81"/>
    <w:rsid w:val="00902BA8"/>
    <w:rsid w:val="0090317C"/>
    <w:rsid w:val="009032D7"/>
    <w:rsid w:val="00903A31"/>
    <w:rsid w:val="00904226"/>
    <w:rsid w:val="009057C9"/>
    <w:rsid w:val="00905B74"/>
    <w:rsid w:val="00906311"/>
    <w:rsid w:val="009078E3"/>
    <w:rsid w:val="00907D92"/>
    <w:rsid w:val="0091099E"/>
    <w:rsid w:val="00910E6A"/>
    <w:rsid w:val="009119DD"/>
    <w:rsid w:val="009135E3"/>
    <w:rsid w:val="009136A1"/>
    <w:rsid w:val="009140E8"/>
    <w:rsid w:val="00914251"/>
    <w:rsid w:val="0091481B"/>
    <w:rsid w:val="00914EAF"/>
    <w:rsid w:val="009154EB"/>
    <w:rsid w:val="009156B1"/>
    <w:rsid w:val="00915F2D"/>
    <w:rsid w:val="00916001"/>
    <w:rsid w:val="00916150"/>
    <w:rsid w:val="00916236"/>
    <w:rsid w:val="00916293"/>
    <w:rsid w:val="00916865"/>
    <w:rsid w:val="00916B91"/>
    <w:rsid w:val="009170DC"/>
    <w:rsid w:val="00917FE0"/>
    <w:rsid w:val="00920BE1"/>
    <w:rsid w:val="00921468"/>
    <w:rsid w:val="009215EC"/>
    <w:rsid w:val="009219AC"/>
    <w:rsid w:val="00921A8C"/>
    <w:rsid w:val="00922112"/>
    <w:rsid w:val="009223F1"/>
    <w:rsid w:val="00922BCC"/>
    <w:rsid w:val="009233CF"/>
    <w:rsid w:val="00923AA4"/>
    <w:rsid w:val="00923EFC"/>
    <w:rsid w:val="00924C5C"/>
    <w:rsid w:val="00924CEA"/>
    <w:rsid w:val="009251A1"/>
    <w:rsid w:val="009253DC"/>
    <w:rsid w:val="00926BEC"/>
    <w:rsid w:val="009300B6"/>
    <w:rsid w:val="009305D2"/>
    <w:rsid w:val="00930F47"/>
    <w:rsid w:val="00930F9C"/>
    <w:rsid w:val="0093103C"/>
    <w:rsid w:val="009319EE"/>
    <w:rsid w:val="00932171"/>
    <w:rsid w:val="00932318"/>
    <w:rsid w:val="00933D0C"/>
    <w:rsid w:val="00933EAB"/>
    <w:rsid w:val="00935CEA"/>
    <w:rsid w:val="009369F9"/>
    <w:rsid w:val="00936A79"/>
    <w:rsid w:val="009374DF"/>
    <w:rsid w:val="00937629"/>
    <w:rsid w:val="00937E46"/>
    <w:rsid w:val="00940051"/>
    <w:rsid w:val="00940066"/>
    <w:rsid w:val="00940197"/>
    <w:rsid w:val="00940798"/>
    <w:rsid w:val="00940DBA"/>
    <w:rsid w:val="00941C95"/>
    <w:rsid w:val="00941D72"/>
    <w:rsid w:val="00942289"/>
    <w:rsid w:val="00943501"/>
    <w:rsid w:val="00943730"/>
    <w:rsid w:val="00943D50"/>
    <w:rsid w:val="00943FB1"/>
    <w:rsid w:val="00944051"/>
    <w:rsid w:val="009444F2"/>
    <w:rsid w:val="00944A5C"/>
    <w:rsid w:val="009456CE"/>
    <w:rsid w:val="00945A26"/>
    <w:rsid w:val="00945AD7"/>
    <w:rsid w:val="00945C2A"/>
    <w:rsid w:val="00945E0E"/>
    <w:rsid w:val="00945EF6"/>
    <w:rsid w:val="00947092"/>
    <w:rsid w:val="0094734E"/>
    <w:rsid w:val="009505BD"/>
    <w:rsid w:val="00952101"/>
    <w:rsid w:val="00952518"/>
    <w:rsid w:val="00952CDB"/>
    <w:rsid w:val="00952F90"/>
    <w:rsid w:val="00953C02"/>
    <w:rsid w:val="00954939"/>
    <w:rsid w:val="00954A1F"/>
    <w:rsid w:val="00955DB5"/>
    <w:rsid w:val="009601D2"/>
    <w:rsid w:val="009606DB"/>
    <w:rsid w:val="009606EE"/>
    <w:rsid w:val="00960A4B"/>
    <w:rsid w:val="00961645"/>
    <w:rsid w:val="00961DDC"/>
    <w:rsid w:val="00961E72"/>
    <w:rsid w:val="00962019"/>
    <w:rsid w:val="00962157"/>
    <w:rsid w:val="00962AD7"/>
    <w:rsid w:val="00962D89"/>
    <w:rsid w:val="0096312E"/>
    <w:rsid w:val="009633CD"/>
    <w:rsid w:val="009634D7"/>
    <w:rsid w:val="00963A9C"/>
    <w:rsid w:val="00966B5A"/>
    <w:rsid w:val="009676D0"/>
    <w:rsid w:val="009702B2"/>
    <w:rsid w:val="00970C22"/>
    <w:rsid w:val="0097146C"/>
    <w:rsid w:val="00971850"/>
    <w:rsid w:val="00971ED7"/>
    <w:rsid w:val="0097228A"/>
    <w:rsid w:val="00973569"/>
    <w:rsid w:val="00973685"/>
    <w:rsid w:val="00973D8F"/>
    <w:rsid w:val="00974F4F"/>
    <w:rsid w:val="009750B8"/>
    <w:rsid w:val="009752EF"/>
    <w:rsid w:val="0097552F"/>
    <w:rsid w:val="00975CA5"/>
    <w:rsid w:val="009760CE"/>
    <w:rsid w:val="00977D00"/>
    <w:rsid w:val="00981B38"/>
    <w:rsid w:val="00981BF7"/>
    <w:rsid w:val="009826AC"/>
    <w:rsid w:val="00982CAB"/>
    <w:rsid w:val="009832B3"/>
    <w:rsid w:val="00983643"/>
    <w:rsid w:val="00983958"/>
    <w:rsid w:val="00983AED"/>
    <w:rsid w:val="00984007"/>
    <w:rsid w:val="0098454E"/>
    <w:rsid w:val="009857D4"/>
    <w:rsid w:val="009860CC"/>
    <w:rsid w:val="00986590"/>
    <w:rsid w:val="00986ADE"/>
    <w:rsid w:val="009874E1"/>
    <w:rsid w:val="00987AB1"/>
    <w:rsid w:val="00987C7D"/>
    <w:rsid w:val="00987CFA"/>
    <w:rsid w:val="00990040"/>
    <w:rsid w:val="009901FB"/>
    <w:rsid w:val="00990B44"/>
    <w:rsid w:val="00990B83"/>
    <w:rsid w:val="00990F3D"/>
    <w:rsid w:val="00991672"/>
    <w:rsid w:val="009917FF"/>
    <w:rsid w:val="00991E53"/>
    <w:rsid w:val="00992C76"/>
    <w:rsid w:val="00993141"/>
    <w:rsid w:val="00993D7B"/>
    <w:rsid w:val="00993DD7"/>
    <w:rsid w:val="009950F3"/>
    <w:rsid w:val="009958EB"/>
    <w:rsid w:val="009959EB"/>
    <w:rsid w:val="00995DF9"/>
    <w:rsid w:val="00995E02"/>
    <w:rsid w:val="009969D6"/>
    <w:rsid w:val="00996FEF"/>
    <w:rsid w:val="0099717F"/>
    <w:rsid w:val="009A000D"/>
    <w:rsid w:val="009A0105"/>
    <w:rsid w:val="009A0783"/>
    <w:rsid w:val="009A0C80"/>
    <w:rsid w:val="009A1846"/>
    <w:rsid w:val="009A19DB"/>
    <w:rsid w:val="009A281C"/>
    <w:rsid w:val="009A290D"/>
    <w:rsid w:val="009A2E6A"/>
    <w:rsid w:val="009A3DD2"/>
    <w:rsid w:val="009A4A05"/>
    <w:rsid w:val="009A517F"/>
    <w:rsid w:val="009A5E27"/>
    <w:rsid w:val="009B06FE"/>
    <w:rsid w:val="009B099F"/>
    <w:rsid w:val="009B22D9"/>
    <w:rsid w:val="009B38D2"/>
    <w:rsid w:val="009B4AEA"/>
    <w:rsid w:val="009B4D3B"/>
    <w:rsid w:val="009B4EF8"/>
    <w:rsid w:val="009B5558"/>
    <w:rsid w:val="009B5643"/>
    <w:rsid w:val="009B5725"/>
    <w:rsid w:val="009B5F2E"/>
    <w:rsid w:val="009B6281"/>
    <w:rsid w:val="009B631A"/>
    <w:rsid w:val="009B6CB9"/>
    <w:rsid w:val="009B7249"/>
    <w:rsid w:val="009B7942"/>
    <w:rsid w:val="009B79A4"/>
    <w:rsid w:val="009C06C2"/>
    <w:rsid w:val="009C0744"/>
    <w:rsid w:val="009C07F8"/>
    <w:rsid w:val="009C1B56"/>
    <w:rsid w:val="009C1DBC"/>
    <w:rsid w:val="009C2250"/>
    <w:rsid w:val="009C2DF0"/>
    <w:rsid w:val="009C3EF9"/>
    <w:rsid w:val="009C41D4"/>
    <w:rsid w:val="009C4861"/>
    <w:rsid w:val="009C4BF2"/>
    <w:rsid w:val="009C5C67"/>
    <w:rsid w:val="009C6553"/>
    <w:rsid w:val="009C738F"/>
    <w:rsid w:val="009C74B6"/>
    <w:rsid w:val="009C7B21"/>
    <w:rsid w:val="009C7B29"/>
    <w:rsid w:val="009C7DE2"/>
    <w:rsid w:val="009D06D5"/>
    <w:rsid w:val="009D19EC"/>
    <w:rsid w:val="009D264D"/>
    <w:rsid w:val="009D2EB3"/>
    <w:rsid w:val="009D2F88"/>
    <w:rsid w:val="009D33DB"/>
    <w:rsid w:val="009D3400"/>
    <w:rsid w:val="009D351E"/>
    <w:rsid w:val="009D3695"/>
    <w:rsid w:val="009D3C2D"/>
    <w:rsid w:val="009D4D0E"/>
    <w:rsid w:val="009D4EC1"/>
    <w:rsid w:val="009D4ED5"/>
    <w:rsid w:val="009D7026"/>
    <w:rsid w:val="009D72E3"/>
    <w:rsid w:val="009D7407"/>
    <w:rsid w:val="009E07EA"/>
    <w:rsid w:val="009E0866"/>
    <w:rsid w:val="009E0AA1"/>
    <w:rsid w:val="009E22C6"/>
    <w:rsid w:val="009E273C"/>
    <w:rsid w:val="009E3524"/>
    <w:rsid w:val="009E3757"/>
    <w:rsid w:val="009E41E9"/>
    <w:rsid w:val="009E4A56"/>
    <w:rsid w:val="009E4AA4"/>
    <w:rsid w:val="009E4AB5"/>
    <w:rsid w:val="009E5364"/>
    <w:rsid w:val="009E5792"/>
    <w:rsid w:val="009E6609"/>
    <w:rsid w:val="009E6967"/>
    <w:rsid w:val="009E774B"/>
    <w:rsid w:val="009F0418"/>
    <w:rsid w:val="009F1039"/>
    <w:rsid w:val="009F12E7"/>
    <w:rsid w:val="009F1350"/>
    <w:rsid w:val="009F157B"/>
    <w:rsid w:val="009F1FAF"/>
    <w:rsid w:val="009F209C"/>
    <w:rsid w:val="009F2379"/>
    <w:rsid w:val="009F2DFC"/>
    <w:rsid w:val="009F34CF"/>
    <w:rsid w:val="009F5080"/>
    <w:rsid w:val="009F5854"/>
    <w:rsid w:val="009F5A62"/>
    <w:rsid w:val="009F5DE9"/>
    <w:rsid w:val="009F6423"/>
    <w:rsid w:val="009F6A8E"/>
    <w:rsid w:val="009F6AA8"/>
    <w:rsid w:val="009F6EBC"/>
    <w:rsid w:val="009F6EC6"/>
    <w:rsid w:val="009F7505"/>
    <w:rsid w:val="00A02135"/>
    <w:rsid w:val="00A0254A"/>
    <w:rsid w:val="00A0284C"/>
    <w:rsid w:val="00A02A65"/>
    <w:rsid w:val="00A03358"/>
    <w:rsid w:val="00A03F91"/>
    <w:rsid w:val="00A0419C"/>
    <w:rsid w:val="00A04319"/>
    <w:rsid w:val="00A04D3A"/>
    <w:rsid w:val="00A04D4B"/>
    <w:rsid w:val="00A05C4E"/>
    <w:rsid w:val="00A061CA"/>
    <w:rsid w:val="00A06CF6"/>
    <w:rsid w:val="00A07161"/>
    <w:rsid w:val="00A0721A"/>
    <w:rsid w:val="00A1037B"/>
    <w:rsid w:val="00A1115D"/>
    <w:rsid w:val="00A11BF9"/>
    <w:rsid w:val="00A1217D"/>
    <w:rsid w:val="00A12522"/>
    <w:rsid w:val="00A12971"/>
    <w:rsid w:val="00A13116"/>
    <w:rsid w:val="00A1378D"/>
    <w:rsid w:val="00A1392A"/>
    <w:rsid w:val="00A13B5E"/>
    <w:rsid w:val="00A13D03"/>
    <w:rsid w:val="00A14F58"/>
    <w:rsid w:val="00A167A3"/>
    <w:rsid w:val="00A167B4"/>
    <w:rsid w:val="00A16BDA"/>
    <w:rsid w:val="00A175B3"/>
    <w:rsid w:val="00A17FD1"/>
    <w:rsid w:val="00A20C49"/>
    <w:rsid w:val="00A20D37"/>
    <w:rsid w:val="00A20ED7"/>
    <w:rsid w:val="00A2241F"/>
    <w:rsid w:val="00A22955"/>
    <w:rsid w:val="00A23040"/>
    <w:rsid w:val="00A239AB"/>
    <w:rsid w:val="00A24752"/>
    <w:rsid w:val="00A24A62"/>
    <w:rsid w:val="00A2679E"/>
    <w:rsid w:val="00A27286"/>
    <w:rsid w:val="00A2759A"/>
    <w:rsid w:val="00A27FF1"/>
    <w:rsid w:val="00A308D3"/>
    <w:rsid w:val="00A30CA0"/>
    <w:rsid w:val="00A30E5F"/>
    <w:rsid w:val="00A31C9F"/>
    <w:rsid w:val="00A32858"/>
    <w:rsid w:val="00A334DD"/>
    <w:rsid w:val="00A33EB4"/>
    <w:rsid w:val="00A34C3A"/>
    <w:rsid w:val="00A35813"/>
    <w:rsid w:val="00A3587F"/>
    <w:rsid w:val="00A35B96"/>
    <w:rsid w:val="00A36A70"/>
    <w:rsid w:val="00A3731A"/>
    <w:rsid w:val="00A40478"/>
    <w:rsid w:val="00A4062F"/>
    <w:rsid w:val="00A407B4"/>
    <w:rsid w:val="00A4119F"/>
    <w:rsid w:val="00A4131A"/>
    <w:rsid w:val="00A4144F"/>
    <w:rsid w:val="00A415F7"/>
    <w:rsid w:val="00A41C47"/>
    <w:rsid w:val="00A41C50"/>
    <w:rsid w:val="00A41FE2"/>
    <w:rsid w:val="00A42870"/>
    <w:rsid w:val="00A42D50"/>
    <w:rsid w:val="00A42E43"/>
    <w:rsid w:val="00A43102"/>
    <w:rsid w:val="00A43FAE"/>
    <w:rsid w:val="00A44FC3"/>
    <w:rsid w:val="00A456B3"/>
    <w:rsid w:val="00A45ABB"/>
    <w:rsid w:val="00A470C3"/>
    <w:rsid w:val="00A476FF"/>
    <w:rsid w:val="00A51051"/>
    <w:rsid w:val="00A5361F"/>
    <w:rsid w:val="00A53804"/>
    <w:rsid w:val="00A54B5C"/>
    <w:rsid w:val="00A54C15"/>
    <w:rsid w:val="00A54E03"/>
    <w:rsid w:val="00A5510C"/>
    <w:rsid w:val="00A553FE"/>
    <w:rsid w:val="00A55767"/>
    <w:rsid w:val="00A56108"/>
    <w:rsid w:val="00A56549"/>
    <w:rsid w:val="00A5661C"/>
    <w:rsid w:val="00A56FEF"/>
    <w:rsid w:val="00A57118"/>
    <w:rsid w:val="00A57382"/>
    <w:rsid w:val="00A57C81"/>
    <w:rsid w:val="00A6018D"/>
    <w:rsid w:val="00A6025A"/>
    <w:rsid w:val="00A61B4D"/>
    <w:rsid w:val="00A62858"/>
    <w:rsid w:val="00A6448E"/>
    <w:rsid w:val="00A64A15"/>
    <w:rsid w:val="00A65283"/>
    <w:rsid w:val="00A66A7B"/>
    <w:rsid w:val="00A66AF6"/>
    <w:rsid w:val="00A67A96"/>
    <w:rsid w:val="00A709C6"/>
    <w:rsid w:val="00A71E8E"/>
    <w:rsid w:val="00A725FA"/>
    <w:rsid w:val="00A7391D"/>
    <w:rsid w:val="00A745B7"/>
    <w:rsid w:val="00A74972"/>
    <w:rsid w:val="00A74C53"/>
    <w:rsid w:val="00A74D79"/>
    <w:rsid w:val="00A757CC"/>
    <w:rsid w:val="00A75C89"/>
    <w:rsid w:val="00A762B1"/>
    <w:rsid w:val="00A7709B"/>
    <w:rsid w:val="00A775D6"/>
    <w:rsid w:val="00A77635"/>
    <w:rsid w:val="00A777F1"/>
    <w:rsid w:val="00A77C38"/>
    <w:rsid w:val="00A77D3C"/>
    <w:rsid w:val="00A80810"/>
    <w:rsid w:val="00A80BB7"/>
    <w:rsid w:val="00A80BED"/>
    <w:rsid w:val="00A80DB2"/>
    <w:rsid w:val="00A80F95"/>
    <w:rsid w:val="00A818B2"/>
    <w:rsid w:val="00A81EC7"/>
    <w:rsid w:val="00A820E6"/>
    <w:rsid w:val="00A823E2"/>
    <w:rsid w:val="00A82EFE"/>
    <w:rsid w:val="00A8303A"/>
    <w:rsid w:val="00A83320"/>
    <w:rsid w:val="00A839FB"/>
    <w:rsid w:val="00A83CB6"/>
    <w:rsid w:val="00A850A4"/>
    <w:rsid w:val="00A86487"/>
    <w:rsid w:val="00A8675A"/>
    <w:rsid w:val="00A867D2"/>
    <w:rsid w:val="00A8733E"/>
    <w:rsid w:val="00A90239"/>
    <w:rsid w:val="00A90344"/>
    <w:rsid w:val="00A91795"/>
    <w:rsid w:val="00A918A1"/>
    <w:rsid w:val="00A922CF"/>
    <w:rsid w:val="00A92894"/>
    <w:rsid w:val="00A92B1C"/>
    <w:rsid w:val="00A92BC5"/>
    <w:rsid w:val="00A92CF6"/>
    <w:rsid w:val="00A9318F"/>
    <w:rsid w:val="00A93C36"/>
    <w:rsid w:val="00A95269"/>
    <w:rsid w:val="00A954BF"/>
    <w:rsid w:val="00A954C0"/>
    <w:rsid w:val="00A95BD5"/>
    <w:rsid w:val="00A95F45"/>
    <w:rsid w:val="00A96506"/>
    <w:rsid w:val="00A9696B"/>
    <w:rsid w:val="00A97BF1"/>
    <w:rsid w:val="00A97D28"/>
    <w:rsid w:val="00AA0642"/>
    <w:rsid w:val="00AA08F2"/>
    <w:rsid w:val="00AA10E7"/>
    <w:rsid w:val="00AA1D65"/>
    <w:rsid w:val="00AA298A"/>
    <w:rsid w:val="00AA2AF1"/>
    <w:rsid w:val="00AA315B"/>
    <w:rsid w:val="00AA3494"/>
    <w:rsid w:val="00AA3911"/>
    <w:rsid w:val="00AA4F23"/>
    <w:rsid w:val="00AA5981"/>
    <w:rsid w:val="00AA5B17"/>
    <w:rsid w:val="00AA7DE7"/>
    <w:rsid w:val="00AB03B8"/>
    <w:rsid w:val="00AB04C1"/>
    <w:rsid w:val="00AB086A"/>
    <w:rsid w:val="00AB1FFB"/>
    <w:rsid w:val="00AB2469"/>
    <w:rsid w:val="00AB28B9"/>
    <w:rsid w:val="00AB2A46"/>
    <w:rsid w:val="00AB3744"/>
    <w:rsid w:val="00AB39D3"/>
    <w:rsid w:val="00AB3B14"/>
    <w:rsid w:val="00AB4142"/>
    <w:rsid w:val="00AB46DA"/>
    <w:rsid w:val="00AB47CA"/>
    <w:rsid w:val="00AB4829"/>
    <w:rsid w:val="00AB4B87"/>
    <w:rsid w:val="00AB5B9D"/>
    <w:rsid w:val="00AB5C0F"/>
    <w:rsid w:val="00AC164A"/>
    <w:rsid w:val="00AC1D28"/>
    <w:rsid w:val="00AC29A6"/>
    <w:rsid w:val="00AC2ECA"/>
    <w:rsid w:val="00AC404A"/>
    <w:rsid w:val="00AC411C"/>
    <w:rsid w:val="00AC4CDD"/>
    <w:rsid w:val="00AC4F7C"/>
    <w:rsid w:val="00AC5178"/>
    <w:rsid w:val="00AC5875"/>
    <w:rsid w:val="00AC65BE"/>
    <w:rsid w:val="00AC6855"/>
    <w:rsid w:val="00AC7C36"/>
    <w:rsid w:val="00AD19A0"/>
    <w:rsid w:val="00AD1E4A"/>
    <w:rsid w:val="00AD27ED"/>
    <w:rsid w:val="00AD335D"/>
    <w:rsid w:val="00AD3611"/>
    <w:rsid w:val="00AD3B5D"/>
    <w:rsid w:val="00AD5CB3"/>
    <w:rsid w:val="00AD64D9"/>
    <w:rsid w:val="00AD69ED"/>
    <w:rsid w:val="00AD7783"/>
    <w:rsid w:val="00AE01E8"/>
    <w:rsid w:val="00AE023A"/>
    <w:rsid w:val="00AE0437"/>
    <w:rsid w:val="00AE0AC8"/>
    <w:rsid w:val="00AE0BB1"/>
    <w:rsid w:val="00AE129F"/>
    <w:rsid w:val="00AE222E"/>
    <w:rsid w:val="00AE2FE3"/>
    <w:rsid w:val="00AE320C"/>
    <w:rsid w:val="00AE3525"/>
    <w:rsid w:val="00AE3FE9"/>
    <w:rsid w:val="00AE4080"/>
    <w:rsid w:val="00AE448A"/>
    <w:rsid w:val="00AE4737"/>
    <w:rsid w:val="00AE4C35"/>
    <w:rsid w:val="00AE58F7"/>
    <w:rsid w:val="00AE6CD6"/>
    <w:rsid w:val="00AE6E4D"/>
    <w:rsid w:val="00AE6FBC"/>
    <w:rsid w:val="00AE7530"/>
    <w:rsid w:val="00AE799B"/>
    <w:rsid w:val="00AE7C54"/>
    <w:rsid w:val="00AE7EB7"/>
    <w:rsid w:val="00AE7F83"/>
    <w:rsid w:val="00AF15AF"/>
    <w:rsid w:val="00AF1606"/>
    <w:rsid w:val="00AF1FE6"/>
    <w:rsid w:val="00AF2034"/>
    <w:rsid w:val="00AF2050"/>
    <w:rsid w:val="00AF2C72"/>
    <w:rsid w:val="00AF31C7"/>
    <w:rsid w:val="00AF36AF"/>
    <w:rsid w:val="00AF5324"/>
    <w:rsid w:val="00AF627E"/>
    <w:rsid w:val="00AF68AB"/>
    <w:rsid w:val="00AF6CB2"/>
    <w:rsid w:val="00AF72D9"/>
    <w:rsid w:val="00AF75A3"/>
    <w:rsid w:val="00AF75EE"/>
    <w:rsid w:val="00AF797D"/>
    <w:rsid w:val="00B00944"/>
    <w:rsid w:val="00B00F21"/>
    <w:rsid w:val="00B0175F"/>
    <w:rsid w:val="00B019D1"/>
    <w:rsid w:val="00B01DB4"/>
    <w:rsid w:val="00B0243F"/>
    <w:rsid w:val="00B02762"/>
    <w:rsid w:val="00B02D59"/>
    <w:rsid w:val="00B0354F"/>
    <w:rsid w:val="00B03CA8"/>
    <w:rsid w:val="00B03E9D"/>
    <w:rsid w:val="00B04249"/>
    <w:rsid w:val="00B0429E"/>
    <w:rsid w:val="00B04501"/>
    <w:rsid w:val="00B04F98"/>
    <w:rsid w:val="00B0535E"/>
    <w:rsid w:val="00B05380"/>
    <w:rsid w:val="00B055EE"/>
    <w:rsid w:val="00B056C3"/>
    <w:rsid w:val="00B05EAC"/>
    <w:rsid w:val="00B060EB"/>
    <w:rsid w:val="00B066B9"/>
    <w:rsid w:val="00B06EEE"/>
    <w:rsid w:val="00B06F8A"/>
    <w:rsid w:val="00B074E7"/>
    <w:rsid w:val="00B07743"/>
    <w:rsid w:val="00B101B1"/>
    <w:rsid w:val="00B10D36"/>
    <w:rsid w:val="00B1106B"/>
    <w:rsid w:val="00B12027"/>
    <w:rsid w:val="00B12E88"/>
    <w:rsid w:val="00B13AD6"/>
    <w:rsid w:val="00B13B64"/>
    <w:rsid w:val="00B15705"/>
    <w:rsid w:val="00B157D0"/>
    <w:rsid w:val="00B15FB0"/>
    <w:rsid w:val="00B17863"/>
    <w:rsid w:val="00B17BDA"/>
    <w:rsid w:val="00B204DB"/>
    <w:rsid w:val="00B20AA4"/>
    <w:rsid w:val="00B20C06"/>
    <w:rsid w:val="00B21138"/>
    <w:rsid w:val="00B213C5"/>
    <w:rsid w:val="00B21E11"/>
    <w:rsid w:val="00B22583"/>
    <w:rsid w:val="00B226B2"/>
    <w:rsid w:val="00B22C76"/>
    <w:rsid w:val="00B22DF0"/>
    <w:rsid w:val="00B22FD3"/>
    <w:rsid w:val="00B236F4"/>
    <w:rsid w:val="00B238B4"/>
    <w:rsid w:val="00B24078"/>
    <w:rsid w:val="00B241B9"/>
    <w:rsid w:val="00B2651B"/>
    <w:rsid w:val="00B2677E"/>
    <w:rsid w:val="00B26793"/>
    <w:rsid w:val="00B2762A"/>
    <w:rsid w:val="00B30C4C"/>
    <w:rsid w:val="00B31A3B"/>
    <w:rsid w:val="00B3228D"/>
    <w:rsid w:val="00B334DE"/>
    <w:rsid w:val="00B33756"/>
    <w:rsid w:val="00B3384E"/>
    <w:rsid w:val="00B33BBB"/>
    <w:rsid w:val="00B33C0A"/>
    <w:rsid w:val="00B33C6D"/>
    <w:rsid w:val="00B33E61"/>
    <w:rsid w:val="00B34E3E"/>
    <w:rsid w:val="00B358B6"/>
    <w:rsid w:val="00B35AF9"/>
    <w:rsid w:val="00B36002"/>
    <w:rsid w:val="00B36AC4"/>
    <w:rsid w:val="00B36DCF"/>
    <w:rsid w:val="00B37114"/>
    <w:rsid w:val="00B3731A"/>
    <w:rsid w:val="00B375BE"/>
    <w:rsid w:val="00B40B28"/>
    <w:rsid w:val="00B429A9"/>
    <w:rsid w:val="00B42CEE"/>
    <w:rsid w:val="00B42DD3"/>
    <w:rsid w:val="00B4307D"/>
    <w:rsid w:val="00B430C3"/>
    <w:rsid w:val="00B439F4"/>
    <w:rsid w:val="00B455B9"/>
    <w:rsid w:val="00B46065"/>
    <w:rsid w:val="00B467E0"/>
    <w:rsid w:val="00B4684D"/>
    <w:rsid w:val="00B468A4"/>
    <w:rsid w:val="00B47954"/>
    <w:rsid w:val="00B47A57"/>
    <w:rsid w:val="00B50B79"/>
    <w:rsid w:val="00B513D3"/>
    <w:rsid w:val="00B51765"/>
    <w:rsid w:val="00B527E2"/>
    <w:rsid w:val="00B531D7"/>
    <w:rsid w:val="00B53699"/>
    <w:rsid w:val="00B53785"/>
    <w:rsid w:val="00B537F9"/>
    <w:rsid w:val="00B54414"/>
    <w:rsid w:val="00B55924"/>
    <w:rsid w:val="00B55E19"/>
    <w:rsid w:val="00B562C8"/>
    <w:rsid w:val="00B56A5F"/>
    <w:rsid w:val="00B60CA1"/>
    <w:rsid w:val="00B61E7D"/>
    <w:rsid w:val="00B62FD5"/>
    <w:rsid w:val="00B637B6"/>
    <w:rsid w:val="00B642AD"/>
    <w:rsid w:val="00B646EF"/>
    <w:rsid w:val="00B647C7"/>
    <w:rsid w:val="00B65493"/>
    <w:rsid w:val="00B66820"/>
    <w:rsid w:val="00B669AB"/>
    <w:rsid w:val="00B669B9"/>
    <w:rsid w:val="00B66A3E"/>
    <w:rsid w:val="00B670CD"/>
    <w:rsid w:val="00B706E1"/>
    <w:rsid w:val="00B70D91"/>
    <w:rsid w:val="00B70FBE"/>
    <w:rsid w:val="00B717CF"/>
    <w:rsid w:val="00B71B60"/>
    <w:rsid w:val="00B7379F"/>
    <w:rsid w:val="00B73F03"/>
    <w:rsid w:val="00B7400B"/>
    <w:rsid w:val="00B74279"/>
    <w:rsid w:val="00B7508A"/>
    <w:rsid w:val="00B752BE"/>
    <w:rsid w:val="00B757D8"/>
    <w:rsid w:val="00B768F1"/>
    <w:rsid w:val="00B77506"/>
    <w:rsid w:val="00B77541"/>
    <w:rsid w:val="00B77A14"/>
    <w:rsid w:val="00B77A47"/>
    <w:rsid w:val="00B77CC6"/>
    <w:rsid w:val="00B80830"/>
    <w:rsid w:val="00B80AC0"/>
    <w:rsid w:val="00B81132"/>
    <w:rsid w:val="00B821F5"/>
    <w:rsid w:val="00B822EC"/>
    <w:rsid w:val="00B8367B"/>
    <w:rsid w:val="00B83E12"/>
    <w:rsid w:val="00B8453D"/>
    <w:rsid w:val="00B84693"/>
    <w:rsid w:val="00B84EBA"/>
    <w:rsid w:val="00B86A61"/>
    <w:rsid w:val="00B87207"/>
    <w:rsid w:val="00B900F8"/>
    <w:rsid w:val="00B90657"/>
    <w:rsid w:val="00B90ACF"/>
    <w:rsid w:val="00B90FAA"/>
    <w:rsid w:val="00B91892"/>
    <w:rsid w:val="00B91A4C"/>
    <w:rsid w:val="00B91D4A"/>
    <w:rsid w:val="00B9285D"/>
    <w:rsid w:val="00B9334D"/>
    <w:rsid w:val="00B93D35"/>
    <w:rsid w:val="00B93F15"/>
    <w:rsid w:val="00B940C5"/>
    <w:rsid w:val="00B942CB"/>
    <w:rsid w:val="00B94758"/>
    <w:rsid w:val="00B94CC1"/>
    <w:rsid w:val="00B9586B"/>
    <w:rsid w:val="00B9600E"/>
    <w:rsid w:val="00B96472"/>
    <w:rsid w:val="00B97031"/>
    <w:rsid w:val="00B971EE"/>
    <w:rsid w:val="00B97369"/>
    <w:rsid w:val="00BA2788"/>
    <w:rsid w:val="00BA2859"/>
    <w:rsid w:val="00BA2DCC"/>
    <w:rsid w:val="00BA39A0"/>
    <w:rsid w:val="00BA3AB0"/>
    <w:rsid w:val="00BA3E5E"/>
    <w:rsid w:val="00BA49F1"/>
    <w:rsid w:val="00BA4B6D"/>
    <w:rsid w:val="00BA54D2"/>
    <w:rsid w:val="00BA6D44"/>
    <w:rsid w:val="00BA72C8"/>
    <w:rsid w:val="00BA73DE"/>
    <w:rsid w:val="00BB03D3"/>
    <w:rsid w:val="00BB096A"/>
    <w:rsid w:val="00BB0975"/>
    <w:rsid w:val="00BB0CF8"/>
    <w:rsid w:val="00BB1096"/>
    <w:rsid w:val="00BB26C5"/>
    <w:rsid w:val="00BB301E"/>
    <w:rsid w:val="00BB32F6"/>
    <w:rsid w:val="00BB389D"/>
    <w:rsid w:val="00BB3BCA"/>
    <w:rsid w:val="00BB4796"/>
    <w:rsid w:val="00BB5252"/>
    <w:rsid w:val="00BB5407"/>
    <w:rsid w:val="00BB5505"/>
    <w:rsid w:val="00BB6271"/>
    <w:rsid w:val="00BB6884"/>
    <w:rsid w:val="00BB69B9"/>
    <w:rsid w:val="00BB702C"/>
    <w:rsid w:val="00BB73CF"/>
    <w:rsid w:val="00BB7F63"/>
    <w:rsid w:val="00BC012B"/>
    <w:rsid w:val="00BC05AE"/>
    <w:rsid w:val="00BC0EEB"/>
    <w:rsid w:val="00BC12AD"/>
    <w:rsid w:val="00BC235D"/>
    <w:rsid w:val="00BC274E"/>
    <w:rsid w:val="00BC2BF2"/>
    <w:rsid w:val="00BC2CD1"/>
    <w:rsid w:val="00BC31BD"/>
    <w:rsid w:val="00BC33EB"/>
    <w:rsid w:val="00BC494E"/>
    <w:rsid w:val="00BC4E7F"/>
    <w:rsid w:val="00BC621E"/>
    <w:rsid w:val="00BC658A"/>
    <w:rsid w:val="00BC7252"/>
    <w:rsid w:val="00BD23BB"/>
    <w:rsid w:val="00BD2901"/>
    <w:rsid w:val="00BD30DC"/>
    <w:rsid w:val="00BD30E4"/>
    <w:rsid w:val="00BD31C3"/>
    <w:rsid w:val="00BD35FE"/>
    <w:rsid w:val="00BD3CB1"/>
    <w:rsid w:val="00BD49C4"/>
    <w:rsid w:val="00BD55FF"/>
    <w:rsid w:val="00BD59D7"/>
    <w:rsid w:val="00BD5AC8"/>
    <w:rsid w:val="00BD6E32"/>
    <w:rsid w:val="00BD6F50"/>
    <w:rsid w:val="00BD6FDF"/>
    <w:rsid w:val="00BD775B"/>
    <w:rsid w:val="00BD7893"/>
    <w:rsid w:val="00BE02E6"/>
    <w:rsid w:val="00BE1BE2"/>
    <w:rsid w:val="00BE1F1F"/>
    <w:rsid w:val="00BE2E3D"/>
    <w:rsid w:val="00BE44D2"/>
    <w:rsid w:val="00BE5612"/>
    <w:rsid w:val="00BE5D48"/>
    <w:rsid w:val="00BE6074"/>
    <w:rsid w:val="00BE612E"/>
    <w:rsid w:val="00BE6697"/>
    <w:rsid w:val="00BE6B8F"/>
    <w:rsid w:val="00BF034D"/>
    <w:rsid w:val="00BF0BC3"/>
    <w:rsid w:val="00BF0C98"/>
    <w:rsid w:val="00BF0E87"/>
    <w:rsid w:val="00BF0F83"/>
    <w:rsid w:val="00BF1C60"/>
    <w:rsid w:val="00BF1ED1"/>
    <w:rsid w:val="00BF2019"/>
    <w:rsid w:val="00BF20ED"/>
    <w:rsid w:val="00BF2326"/>
    <w:rsid w:val="00BF259C"/>
    <w:rsid w:val="00BF3210"/>
    <w:rsid w:val="00BF36FC"/>
    <w:rsid w:val="00BF46D9"/>
    <w:rsid w:val="00BF4DE6"/>
    <w:rsid w:val="00BF52FC"/>
    <w:rsid w:val="00BF5F46"/>
    <w:rsid w:val="00BF783C"/>
    <w:rsid w:val="00BF78F0"/>
    <w:rsid w:val="00BF79ED"/>
    <w:rsid w:val="00BF7AA1"/>
    <w:rsid w:val="00C00D68"/>
    <w:rsid w:val="00C013FF"/>
    <w:rsid w:val="00C01540"/>
    <w:rsid w:val="00C016CB"/>
    <w:rsid w:val="00C021D1"/>
    <w:rsid w:val="00C0232B"/>
    <w:rsid w:val="00C03408"/>
    <w:rsid w:val="00C03BBB"/>
    <w:rsid w:val="00C03F8A"/>
    <w:rsid w:val="00C04AB4"/>
    <w:rsid w:val="00C05675"/>
    <w:rsid w:val="00C065E5"/>
    <w:rsid w:val="00C06A9C"/>
    <w:rsid w:val="00C06B13"/>
    <w:rsid w:val="00C06FF3"/>
    <w:rsid w:val="00C073A3"/>
    <w:rsid w:val="00C07512"/>
    <w:rsid w:val="00C10236"/>
    <w:rsid w:val="00C10B17"/>
    <w:rsid w:val="00C11975"/>
    <w:rsid w:val="00C128D1"/>
    <w:rsid w:val="00C12D28"/>
    <w:rsid w:val="00C141B7"/>
    <w:rsid w:val="00C15569"/>
    <w:rsid w:val="00C15765"/>
    <w:rsid w:val="00C16AEE"/>
    <w:rsid w:val="00C17049"/>
    <w:rsid w:val="00C173F6"/>
    <w:rsid w:val="00C17A24"/>
    <w:rsid w:val="00C17E44"/>
    <w:rsid w:val="00C205AC"/>
    <w:rsid w:val="00C20B07"/>
    <w:rsid w:val="00C2118F"/>
    <w:rsid w:val="00C217F2"/>
    <w:rsid w:val="00C21CBD"/>
    <w:rsid w:val="00C22614"/>
    <w:rsid w:val="00C22A5D"/>
    <w:rsid w:val="00C23021"/>
    <w:rsid w:val="00C237B4"/>
    <w:rsid w:val="00C2408E"/>
    <w:rsid w:val="00C25AAC"/>
    <w:rsid w:val="00C25CA1"/>
    <w:rsid w:val="00C25F4C"/>
    <w:rsid w:val="00C260CB"/>
    <w:rsid w:val="00C26AC3"/>
    <w:rsid w:val="00C277AE"/>
    <w:rsid w:val="00C27D25"/>
    <w:rsid w:val="00C3117B"/>
    <w:rsid w:val="00C312EC"/>
    <w:rsid w:val="00C31940"/>
    <w:rsid w:val="00C335F2"/>
    <w:rsid w:val="00C33653"/>
    <w:rsid w:val="00C33C9D"/>
    <w:rsid w:val="00C33D6B"/>
    <w:rsid w:val="00C33E8F"/>
    <w:rsid w:val="00C34398"/>
    <w:rsid w:val="00C34F91"/>
    <w:rsid w:val="00C35428"/>
    <w:rsid w:val="00C35CAB"/>
    <w:rsid w:val="00C36E67"/>
    <w:rsid w:val="00C37D4D"/>
    <w:rsid w:val="00C411DF"/>
    <w:rsid w:val="00C42190"/>
    <w:rsid w:val="00C42541"/>
    <w:rsid w:val="00C42CDE"/>
    <w:rsid w:val="00C42DCB"/>
    <w:rsid w:val="00C432C7"/>
    <w:rsid w:val="00C43508"/>
    <w:rsid w:val="00C43DE6"/>
    <w:rsid w:val="00C44097"/>
    <w:rsid w:val="00C448AA"/>
    <w:rsid w:val="00C45A1E"/>
    <w:rsid w:val="00C46600"/>
    <w:rsid w:val="00C50338"/>
    <w:rsid w:val="00C50377"/>
    <w:rsid w:val="00C50CFB"/>
    <w:rsid w:val="00C516A3"/>
    <w:rsid w:val="00C5182A"/>
    <w:rsid w:val="00C51C64"/>
    <w:rsid w:val="00C52526"/>
    <w:rsid w:val="00C5284F"/>
    <w:rsid w:val="00C5344F"/>
    <w:rsid w:val="00C53643"/>
    <w:rsid w:val="00C53CC8"/>
    <w:rsid w:val="00C53E79"/>
    <w:rsid w:val="00C5532E"/>
    <w:rsid w:val="00C56C3E"/>
    <w:rsid w:val="00C5749C"/>
    <w:rsid w:val="00C57D2A"/>
    <w:rsid w:val="00C57D5C"/>
    <w:rsid w:val="00C62DBC"/>
    <w:rsid w:val="00C63085"/>
    <w:rsid w:val="00C63A95"/>
    <w:rsid w:val="00C63EE9"/>
    <w:rsid w:val="00C64632"/>
    <w:rsid w:val="00C6478C"/>
    <w:rsid w:val="00C655BC"/>
    <w:rsid w:val="00C66529"/>
    <w:rsid w:val="00C66899"/>
    <w:rsid w:val="00C677EA"/>
    <w:rsid w:val="00C702FF"/>
    <w:rsid w:val="00C703F3"/>
    <w:rsid w:val="00C7063A"/>
    <w:rsid w:val="00C707A6"/>
    <w:rsid w:val="00C70D50"/>
    <w:rsid w:val="00C72CB5"/>
    <w:rsid w:val="00C72EB9"/>
    <w:rsid w:val="00C72FE8"/>
    <w:rsid w:val="00C74117"/>
    <w:rsid w:val="00C74794"/>
    <w:rsid w:val="00C7502D"/>
    <w:rsid w:val="00C75815"/>
    <w:rsid w:val="00C75EEA"/>
    <w:rsid w:val="00C75F0A"/>
    <w:rsid w:val="00C7653E"/>
    <w:rsid w:val="00C76ACB"/>
    <w:rsid w:val="00C76FCE"/>
    <w:rsid w:val="00C77686"/>
    <w:rsid w:val="00C778E1"/>
    <w:rsid w:val="00C77E52"/>
    <w:rsid w:val="00C80B3F"/>
    <w:rsid w:val="00C8113B"/>
    <w:rsid w:val="00C8114C"/>
    <w:rsid w:val="00C81618"/>
    <w:rsid w:val="00C819E2"/>
    <w:rsid w:val="00C81B6D"/>
    <w:rsid w:val="00C81DF6"/>
    <w:rsid w:val="00C81E13"/>
    <w:rsid w:val="00C823A1"/>
    <w:rsid w:val="00C8278F"/>
    <w:rsid w:val="00C83283"/>
    <w:rsid w:val="00C83617"/>
    <w:rsid w:val="00C84D68"/>
    <w:rsid w:val="00C84E45"/>
    <w:rsid w:val="00C8544C"/>
    <w:rsid w:val="00C857A2"/>
    <w:rsid w:val="00C85913"/>
    <w:rsid w:val="00C85FDA"/>
    <w:rsid w:val="00C864EA"/>
    <w:rsid w:val="00C865A9"/>
    <w:rsid w:val="00C87305"/>
    <w:rsid w:val="00C87567"/>
    <w:rsid w:val="00C8758D"/>
    <w:rsid w:val="00C879A7"/>
    <w:rsid w:val="00C904C0"/>
    <w:rsid w:val="00C90538"/>
    <w:rsid w:val="00C907B4"/>
    <w:rsid w:val="00C91BC1"/>
    <w:rsid w:val="00C91D1A"/>
    <w:rsid w:val="00C9359E"/>
    <w:rsid w:val="00C93CC6"/>
    <w:rsid w:val="00C94188"/>
    <w:rsid w:val="00C950CD"/>
    <w:rsid w:val="00C95677"/>
    <w:rsid w:val="00C957FA"/>
    <w:rsid w:val="00C96135"/>
    <w:rsid w:val="00C961E1"/>
    <w:rsid w:val="00C96903"/>
    <w:rsid w:val="00C974DE"/>
    <w:rsid w:val="00CA0518"/>
    <w:rsid w:val="00CA0705"/>
    <w:rsid w:val="00CA08C7"/>
    <w:rsid w:val="00CA0DFE"/>
    <w:rsid w:val="00CA10D3"/>
    <w:rsid w:val="00CA10E1"/>
    <w:rsid w:val="00CA16F3"/>
    <w:rsid w:val="00CA2644"/>
    <w:rsid w:val="00CA3798"/>
    <w:rsid w:val="00CA37B1"/>
    <w:rsid w:val="00CA3809"/>
    <w:rsid w:val="00CA3872"/>
    <w:rsid w:val="00CA4710"/>
    <w:rsid w:val="00CA5184"/>
    <w:rsid w:val="00CA5571"/>
    <w:rsid w:val="00CA58E6"/>
    <w:rsid w:val="00CA5E68"/>
    <w:rsid w:val="00CA7F1C"/>
    <w:rsid w:val="00CA7FC9"/>
    <w:rsid w:val="00CB14F7"/>
    <w:rsid w:val="00CB172E"/>
    <w:rsid w:val="00CB1959"/>
    <w:rsid w:val="00CB1AAE"/>
    <w:rsid w:val="00CB1D4A"/>
    <w:rsid w:val="00CB1DBD"/>
    <w:rsid w:val="00CB1F12"/>
    <w:rsid w:val="00CB2645"/>
    <w:rsid w:val="00CB2853"/>
    <w:rsid w:val="00CB2D43"/>
    <w:rsid w:val="00CB3199"/>
    <w:rsid w:val="00CB3DCF"/>
    <w:rsid w:val="00CB493A"/>
    <w:rsid w:val="00CB4D4B"/>
    <w:rsid w:val="00CB50D8"/>
    <w:rsid w:val="00CB52A3"/>
    <w:rsid w:val="00CB535A"/>
    <w:rsid w:val="00CB586B"/>
    <w:rsid w:val="00CB6E0A"/>
    <w:rsid w:val="00CB6EA3"/>
    <w:rsid w:val="00CB7528"/>
    <w:rsid w:val="00CB7586"/>
    <w:rsid w:val="00CC0C4E"/>
    <w:rsid w:val="00CC1A7C"/>
    <w:rsid w:val="00CC2F8F"/>
    <w:rsid w:val="00CC4428"/>
    <w:rsid w:val="00CC45DA"/>
    <w:rsid w:val="00CC4B08"/>
    <w:rsid w:val="00CC4F07"/>
    <w:rsid w:val="00CC57D4"/>
    <w:rsid w:val="00CC57E6"/>
    <w:rsid w:val="00CC5FBB"/>
    <w:rsid w:val="00CC63DC"/>
    <w:rsid w:val="00CC6BF6"/>
    <w:rsid w:val="00CC741B"/>
    <w:rsid w:val="00CC7B38"/>
    <w:rsid w:val="00CD0513"/>
    <w:rsid w:val="00CD0C25"/>
    <w:rsid w:val="00CD0E4B"/>
    <w:rsid w:val="00CD130D"/>
    <w:rsid w:val="00CD1434"/>
    <w:rsid w:val="00CD20E8"/>
    <w:rsid w:val="00CD23BF"/>
    <w:rsid w:val="00CD30B2"/>
    <w:rsid w:val="00CD3112"/>
    <w:rsid w:val="00CD4CB0"/>
    <w:rsid w:val="00CD4CEA"/>
    <w:rsid w:val="00CD50EE"/>
    <w:rsid w:val="00CD626D"/>
    <w:rsid w:val="00CD7B85"/>
    <w:rsid w:val="00CD7E5C"/>
    <w:rsid w:val="00CE042E"/>
    <w:rsid w:val="00CE0C9E"/>
    <w:rsid w:val="00CE147C"/>
    <w:rsid w:val="00CE1A52"/>
    <w:rsid w:val="00CE1D48"/>
    <w:rsid w:val="00CE3081"/>
    <w:rsid w:val="00CE3852"/>
    <w:rsid w:val="00CE3DB6"/>
    <w:rsid w:val="00CE49D1"/>
    <w:rsid w:val="00CE4C89"/>
    <w:rsid w:val="00CE5338"/>
    <w:rsid w:val="00CE5FF3"/>
    <w:rsid w:val="00CE69D4"/>
    <w:rsid w:val="00CF02C0"/>
    <w:rsid w:val="00CF07BA"/>
    <w:rsid w:val="00CF1BB9"/>
    <w:rsid w:val="00CF1D24"/>
    <w:rsid w:val="00CF2049"/>
    <w:rsid w:val="00CF2253"/>
    <w:rsid w:val="00CF2365"/>
    <w:rsid w:val="00CF309E"/>
    <w:rsid w:val="00CF4346"/>
    <w:rsid w:val="00CF542D"/>
    <w:rsid w:val="00CF5AFC"/>
    <w:rsid w:val="00CF5F7E"/>
    <w:rsid w:val="00CF65C9"/>
    <w:rsid w:val="00CF6D4C"/>
    <w:rsid w:val="00CF6D6E"/>
    <w:rsid w:val="00CF7CE8"/>
    <w:rsid w:val="00CF7D1C"/>
    <w:rsid w:val="00D006FA"/>
    <w:rsid w:val="00D01013"/>
    <w:rsid w:val="00D01B71"/>
    <w:rsid w:val="00D0246C"/>
    <w:rsid w:val="00D0296C"/>
    <w:rsid w:val="00D02A65"/>
    <w:rsid w:val="00D02AEA"/>
    <w:rsid w:val="00D03282"/>
    <w:rsid w:val="00D042C0"/>
    <w:rsid w:val="00D04DF8"/>
    <w:rsid w:val="00D04FB0"/>
    <w:rsid w:val="00D05102"/>
    <w:rsid w:val="00D0625C"/>
    <w:rsid w:val="00D079D0"/>
    <w:rsid w:val="00D07BA8"/>
    <w:rsid w:val="00D07FFE"/>
    <w:rsid w:val="00D1054B"/>
    <w:rsid w:val="00D106C5"/>
    <w:rsid w:val="00D10910"/>
    <w:rsid w:val="00D10A9A"/>
    <w:rsid w:val="00D11D16"/>
    <w:rsid w:val="00D13004"/>
    <w:rsid w:val="00D13250"/>
    <w:rsid w:val="00D13E89"/>
    <w:rsid w:val="00D13F17"/>
    <w:rsid w:val="00D1457D"/>
    <w:rsid w:val="00D14AD4"/>
    <w:rsid w:val="00D15511"/>
    <w:rsid w:val="00D1616E"/>
    <w:rsid w:val="00D1642C"/>
    <w:rsid w:val="00D1673C"/>
    <w:rsid w:val="00D16E53"/>
    <w:rsid w:val="00D16EB0"/>
    <w:rsid w:val="00D174D7"/>
    <w:rsid w:val="00D179C4"/>
    <w:rsid w:val="00D17A20"/>
    <w:rsid w:val="00D17B90"/>
    <w:rsid w:val="00D2053B"/>
    <w:rsid w:val="00D20680"/>
    <w:rsid w:val="00D20C2A"/>
    <w:rsid w:val="00D20E1A"/>
    <w:rsid w:val="00D21786"/>
    <w:rsid w:val="00D217C5"/>
    <w:rsid w:val="00D2187F"/>
    <w:rsid w:val="00D222F1"/>
    <w:rsid w:val="00D23341"/>
    <w:rsid w:val="00D2386E"/>
    <w:rsid w:val="00D23930"/>
    <w:rsid w:val="00D23D0A"/>
    <w:rsid w:val="00D24649"/>
    <w:rsid w:val="00D246A5"/>
    <w:rsid w:val="00D253FD"/>
    <w:rsid w:val="00D25C56"/>
    <w:rsid w:val="00D2696D"/>
    <w:rsid w:val="00D272E8"/>
    <w:rsid w:val="00D30F3F"/>
    <w:rsid w:val="00D3165F"/>
    <w:rsid w:val="00D31E36"/>
    <w:rsid w:val="00D3207E"/>
    <w:rsid w:val="00D323AF"/>
    <w:rsid w:val="00D32A23"/>
    <w:rsid w:val="00D32B9D"/>
    <w:rsid w:val="00D32D6F"/>
    <w:rsid w:val="00D33AA9"/>
    <w:rsid w:val="00D34E7F"/>
    <w:rsid w:val="00D3533B"/>
    <w:rsid w:val="00D35D3C"/>
    <w:rsid w:val="00D36056"/>
    <w:rsid w:val="00D36638"/>
    <w:rsid w:val="00D36736"/>
    <w:rsid w:val="00D3694D"/>
    <w:rsid w:val="00D370F1"/>
    <w:rsid w:val="00D37312"/>
    <w:rsid w:val="00D3736D"/>
    <w:rsid w:val="00D378A8"/>
    <w:rsid w:val="00D37B04"/>
    <w:rsid w:val="00D40382"/>
    <w:rsid w:val="00D403AD"/>
    <w:rsid w:val="00D40F67"/>
    <w:rsid w:val="00D41594"/>
    <w:rsid w:val="00D41CD6"/>
    <w:rsid w:val="00D4251F"/>
    <w:rsid w:val="00D4255C"/>
    <w:rsid w:val="00D42CAC"/>
    <w:rsid w:val="00D44D6A"/>
    <w:rsid w:val="00D45C65"/>
    <w:rsid w:val="00D46C87"/>
    <w:rsid w:val="00D47290"/>
    <w:rsid w:val="00D475EF"/>
    <w:rsid w:val="00D4788B"/>
    <w:rsid w:val="00D5043B"/>
    <w:rsid w:val="00D508CF"/>
    <w:rsid w:val="00D51055"/>
    <w:rsid w:val="00D5136E"/>
    <w:rsid w:val="00D51D21"/>
    <w:rsid w:val="00D521E3"/>
    <w:rsid w:val="00D527C6"/>
    <w:rsid w:val="00D52DB4"/>
    <w:rsid w:val="00D52DFC"/>
    <w:rsid w:val="00D53231"/>
    <w:rsid w:val="00D53B7A"/>
    <w:rsid w:val="00D540C6"/>
    <w:rsid w:val="00D54D05"/>
    <w:rsid w:val="00D54EA3"/>
    <w:rsid w:val="00D5653F"/>
    <w:rsid w:val="00D57916"/>
    <w:rsid w:val="00D60B70"/>
    <w:rsid w:val="00D613AE"/>
    <w:rsid w:val="00D624D5"/>
    <w:rsid w:val="00D62D3C"/>
    <w:rsid w:val="00D630BA"/>
    <w:rsid w:val="00D64BD1"/>
    <w:rsid w:val="00D64C88"/>
    <w:rsid w:val="00D64D59"/>
    <w:rsid w:val="00D651A0"/>
    <w:rsid w:val="00D661A7"/>
    <w:rsid w:val="00D661CB"/>
    <w:rsid w:val="00D668AE"/>
    <w:rsid w:val="00D6720B"/>
    <w:rsid w:val="00D67927"/>
    <w:rsid w:val="00D67F2E"/>
    <w:rsid w:val="00D703CD"/>
    <w:rsid w:val="00D70450"/>
    <w:rsid w:val="00D70D5B"/>
    <w:rsid w:val="00D7168A"/>
    <w:rsid w:val="00D71FD2"/>
    <w:rsid w:val="00D7223E"/>
    <w:rsid w:val="00D725A8"/>
    <w:rsid w:val="00D72885"/>
    <w:rsid w:val="00D729EC"/>
    <w:rsid w:val="00D72A3C"/>
    <w:rsid w:val="00D72E3F"/>
    <w:rsid w:val="00D73298"/>
    <w:rsid w:val="00D73843"/>
    <w:rsid w:val="00D73BB6"/>
    <w:rsid w:val="00D748AF"/>
    <w:rsid w:val="00D74CC5"/>
    <w:rsid w:val="00D74FE9"/>
    <w:rsid w:val="00D75413"/>
    <w:rsid w:val="00D75F55"/>
    <w:rsid w:val="00D760F3"/>
    <w:rsid w:val="00D7644A"/>
    <w:rsid w:val="00D77E4B"/>
    <w:rsid w:val="00D80044"/>
    <w:rsid w:val="00D800D7"/>
    <w:rsid w:val="00D80EB2"/>
    <w:rsid w:val="00D81518"/>
    <w:rsid w:val="00D8255B"/>
    <w:rsid w:val="00D82FF4"/>
    <w:rsid w:val="00D8345C"/>
    <w:rsid w:val="00D843CA"/>
    <w:rsid w:val="00D8460D"/>
    <w:rsid w:val="00D84A31"/>
    <w:rsid w:val="00D84CF5"/>
    <w:rsid w:val="00D84D03"/>
    <w:rsid w:val="00D85126"/>
    <w:rsid w:val="00D8588E"/>
    <w:rsid w:val="00D85BFB"/>
    <w:rsid w:val="00D86225"/>
    <w:rsid w:val="00D86511"/>
    <w:rsid w:val="00D86754"/>
    <w:rsid w:val="00D86E1F"/>
    <w:rsid w:val="00D870B9"/>
    <w:rsid w:val="00D8748D"/>
    <w:rsid w:val="00D9001F"/>
    <w:rsid w:val="00D9056C"/>
    <w:rsid w:val="00D92254"/>
    <w:rsid w:val="00D92621"/>
    <w:rsid w:val="00D92F02"/>
    <w:rsid w:val="00D9303A"/>
    <w:rsid w:val="00D930F0"/>
    <w:rsid w:val="00D943C5"/>
    <w:rsid w:val="00D943E9"/>
    <w:rsid w:val="00D94452"/>
    <w:rsid w:val="00D94B0E"/>
    <w:rsid w:val="00D94C38"/>
    <w:rsid w:val="00D95310"/>
    <w:rsid w:val="00D95C56"/>
    <w:rsid w:val="00D962CF"/>
    <w:rsid w:val="00D96427"/>
    <w:rsid w:val="00DA034D"/>
    <w:rsid w:val="00DA12F8"/>
    <w:rsid w:val="00DA1615"/>
    <w:rsid w:val="00DA1979"/>
    <w:rsid w:val="00DA23B0"/>
    <w:rsid w:val="00DA2C67"/>
    <w:rsid w:val="00DA325E"/>
    <w:rsid w:val="00DA33B2"/>
    <w:rsid w:val="00DA349E"/>
    <w:rsid w:val="00DA370E"/>
    <w:rsid w:val="00DA3C1D"/>
    <w:rsid w:val="00DA3DFB"/>
    <w:rsid w:val="00DA4525"/>
    <w:rsid w:val="00DA4869"/>
    <w:rsid w:val="00DA4C13"/>
    <w:rsid w:val="00DA5AD4"/>
    <w:rsid w:val="00DA5CB2"/>
    <w:rsid w:val="00DA5D19"/>
    <w:rsid w:val="00DA5F57"/>
    <w:rsid w:val="00DA6323"/>
    <w:rsid w:val="00DA659E"/>
    <w:rsid w:val="00DA7216"/>
    <w:rsid w:val="00DA7D63"/>
    <w:rsid w:val="00DB058C"/>
    <w:rsid w:val="00DB05E7"/>
    <w:rsid w:val="00DB3953"/>
    <w:rsid w:val="00DB54A8"/>
    <w:rsid w:val="00DB6319"/>
    <w:rsid w:val="00DB66DE"/>
    <w:rsid w:val="00DB686A"/>
    <w:rsid w:val="00DB6AF4"/>
    <w:rsid w:val="00DB6C00"/>
    <w:rsid w:val="00DB712B"/>
    <w:rsid w:val="00DB7D68"/>
    <w:rsid w:val="00DC017C"/>
    <w:rsid w:val="00DC12C4"/>
    <w:rsid w:val="00DC1D41"/>
    <w:rsid w:val="00DC22D7"/>
    <w:rsid w:val="00DC26A5"/>
    <w:rsid w:val="00DC2A5E"/>
    <w:rsid w:val="00DC2F43"/>
    <w:rsid w:val="00DC4944"/>
    <w:rsid w:val="00DC4A52"/>
    <w:rsid w:val="00DC4B12"/>
    <w:rsid w:val="00DC4C4E"/>
    <w:rsid w:val="00DC549F"/>
    <w:rsid w:val="00DC57C4"/>
    <w:rsid w:val="00DC7545"/>
    <w:rsid w:val="00DC75FA"/>
    <w:rsid w:val="00DC7DD5"/>
    <w:rsid w:val="00DC7DFC"/>
    <w:rsid w:val="00DC7F48"/>
    <w:rsid w:val="00DD01C3"/>
    <w:rsid w:val="00DD0B1B"/>
    <w:rsid w:val="00DD106C"/>
    <w:rsid w:val="00DD155D"/>
    <w:rsid w:val="00DD16E6"/>
    <w:rsid w:val="00DD1FCA"/>
    <w:rsid w:val="00DD212D"/>
    <w:rsid w:val="00DD27B0"/>
    <w:rsid w:val="00DD28A7"/>
    <w:rsid w:val="00DD3770"/>
    <w:rsid w:val="00DD436D"/>
    <w:rsid w:val="00DD4C75"/>
    <w:rsid w:val="00DD62DD"/>
    <w:rsid w:val="00DD6725"/>
    <w:rsid w:val="00DD7086"/>
    <w:rsid w:val="00DD7E0C"/>
    <w:rsid w:val="00DE084C"/>
    <w:rsid w:val="00DE08A8"/>
    <w:rsid w:val="00DE1487"/>
    <w:rsid w:val="00DE1ECD"/>
    <w:rsid w:val="00DE1F81"/>
    <w:rsid w:val="00DE213A"/>
    <w:rsid w:val="00DE287B"/>
    <w:rsid w:val="00DE3E4A"/>
    <w:rsid w:val="00DE3EE4"/>
    <w:rsid w:val="00DE423B"/>
    <w:rsid w:val="00DE5721"/>
    <w:rsid w:val="00DE5BCA"/>
    <w:rsid w:val="00DE75CE"/>
    <w:rsid w:val="00DE7799"/>
    <w:rsid w:val="00DF0143"/>
    <w:rsid w:val="00DF053C"/>
    <w:rsid w:val="00DF0CDB"/>
    <w:rsid w:val="00DF18D3"/>
    <w:rsid w:val="00DF1AF3"/>
    <w:rsid w:val="00DF1B78"/>
    <w:rsid w:val="00DF213A"/>
    <w:rsid w:val="00DF3066"/>
    <w:rsid w:val="00DF30ED"/>
    <w:rsid w:val="00DF401E"/>
    <w:rsid w:val="00DF4A41"/>
    <w:rsid w:val="00DF4C1E"/>
    <w:rsid w:val="00DF5F2F"/>
    <w:rsid w:val="00DF663E"/>
    <w:rsid w:val="00E00172"/>
    <w:rsid w:val="00E004A3"/>
    <w:rsid w:val="00E007E8"/>
    <w:rsid w:val="00E00B0E"/>
    <w:rsid w:val="00E00D7F"/>
    <w:rsid w:val="00E0159A"/>
    <w:rsid w:val="00E021DA"/>
    <w:rsid w:val="00E03186"/>
    <w:rsid w:val="00E0349F"/>
    <w:rsid w:val="00E03EA0"/>
    <w:rsid w:val="00E0466D"/>
    <w:rsid w:val="00E049D5"/>
    <w:rsid w:val="00E04DA0"/>
    <w:rsid w:val="00E052C4"/>
    <w:rsid w:val="00E05874"/>
    <w:rsid w:val="00E0592E"/>
    <w:rsid w:val="00E069DF"/>
    <w:rsid w:val="00E06BC1"/>
    <w:rsid w:val="00E07B98"/>
    <w:rsid w:val="00E108A1"/>
    <w:rsid w:val="00E10B35"/>
    <w:rsid w:val="00E11481"/>
    <w:rsid w:val="00E12575"/>
    <w:rsid w:val="00E13D72"/>
    <w:rsid w:val="00E13F0D"/>
    <w:rsid w:val="00E14211"/>
    <w:rsid w:val="00E1421A"/>
    <w:rsid w:val="00E14A6E"/>
    <w:rsid w:val="00E14A80"/>
    <w:rsid w:val="00E14E20"/>
    <w:rsid w:val="00E14E64"/>
    <w:rsid w:val="00E14F51"/>
    <w:rsid w:val="00E15016"/>
    <w:rsid w:val="00E15394"/>
    <w:rsid w:val="00E158EE"/>
    <w:rsid w:val="00E16246"/>
    <w:rsid w:val="00E163F2"/>
    <w:rsid w:val="00E1675B"/>
    <w:rsid w:val="00E16AF8"/>
    <w:rsid w:val="00E16C70"/>
    <w:rsid w:val="00E200EB"/>
    <w:rsid w:val="00E20D33"/>
    <w:rsid w:val="00E20FA4"/>
    <w:rsid w:val="00E22AF1"/>
    <w:rsid w:val="00E22CA8"/>
    <w:rsid w:val="00E22CF0"/>
    <w:rsid w:val="00E23E53"/>
    <w:rsid w:val="00E25CE3"/>
    <w:rsid w:val="00E25D93"/>
    <w:rsid w:val="00E25DDE"/>
    <w:rsid w:val="00E26208"/>
    <w:rsid w:val="00E26974"/>
    <w:rsid w:val="00E272CA"/>
    <w:rsid w:val="00E27405"/>
    <w:rsid w:val="00E27B71"/>
    <w:rsid w:val="00E307E3"/>
    <w:rsid w:val="00E31B0A"/>
    <w:rsid w:val="00E31CB7"/>
    <w:rsid w:val="00E31FBB"/>
    <w:rsid w:val="00E32F56"/>
    <w:rsid w:val="00E3346D"/>
    <w:rsid w:val="00E33517"/>
    <w:rsid w:val="00E34371"/>
    <w:rsid w:val="00E34CDE"/>
    <w:rsid w:val="00E34F0F"/>
    <w:rsid w:val="00E357B7"/>
    <w:rsid w:val="00E36677"/>
    <w:rsid w:val="00E36AC3"/>
    <w:rsid w:val="00E37C37"/>
    <w:rsid w:val="00E4082E"/>
    <w:rsid w:val="00E415FA"/>
    <w:rsid w:val="00E41F5A"/>
    <w:rsid w:val="00E42347"/>
    <w:rsid w:val="00E4248F"/>
    <w:rsid w:val="00E431BD"/>
    <w:rsid w:val="00E4325C"/>
    <w:rsid w:val="00E43365"/>
    <w:rsid w:val="00E438F8"/>
    <w:rsid w:val="00E4479A"/>
    <w:rsid w:val="00E44BB7"/>
    <w:rsid w:val="00E45FA8"/>
    <w:rsid w:val="00E460CC"/>
    <w:rsid w:val="00E46435"/>
    <w:rsid w:val="00E46DAA"/>
    <w:rsid w:val="00E4723B"/>
    <w:rsid w:val="00E474E5"/>
    <w:rsid w:val="00E47DC3"/>
    <w:rsid w:val="00E503E9"/>
    <w:rsid w:val="00E508E3"/>
    <w:rsid w:val="00E50C33"/>
    <w:rsid w:val="00E50F99"/>
    <w:rsid w:val="00E5181A"/>
    <w:rsid w:val="00E52C22"/>
    <w:rsid w:val="00E53800"/>
    <w:rsid w:val="00E53AA9"/>
    <w:rsid w:val="00E553B7"/>
    <w:rsid w:val="00E554E2"/>
    <w:rsid w:val="00E55821"/>
    <w:rsid w:val="00E55A0C"/>
    <w:rsid w:val="00E562E8"/>
    <w:rsid w:val="00E566B4"/>
    <w:rsid w:val="00E570ED"/>
    <w:rsid w:val="00E577A7"/>
    <w:rsid w:val="00E60410"/>
    <w:rsid w:val="00E6081F"/>
    <w:rsid w:val="00E60B64"/>
    <w:rsid w:val="00E61F7B"/>
    <w:rsid w:val="00E62748"/>
    <w:rsid w:val="00E62FBC"/>
    <w:rsid w:val="00E63247"/>
    <w:rsid w:val="00E63A24"/>
    <w:rsid w:val="00E63D4E"/>
    <w:rsid w:val="00E64227"/>
    <w:rsid w:val="00E642BF"/>
    <w:rsid w:val="00E647B4"/>
    <w:rsid w:val="00E64FD5"/>
    <w:rsid w:val="00E652B2"/>
    <w:rsid w:val="00E65540"/>
    <w:rsid w:val="00E65F31"/>
    <w:rsid w:val="00E66705"/>
    <w:rsid w:val="00E66C5A"/>
    <w:rsid w:val="00E673A8"/>
    <w:rsid w:val="00E70487"/>
    <w:rsid w:val="00E71C64"/>
    <w:rsid w:val="00E726D8"/>
    <w:rsid w:val="00E7313A"/>
    <w:rsid w:val="00E731FE"/>
    <w:rsid w:val="00E73EE9"/>
    <w:rsid w:val="00E74BED"/>
    <w:rsid w:val="00E74E85"/>
    <w:rsid w:val="00E74FD8"/>
    <w:rsid w:val="00E7599E"/>
    <w:rsid w:val="00E76FD5"/>
    <w:rsid w:val="00E771D0"/>
    <w:rsid w:val="00E77C62"/>
    <w:rsid w:val="00E77F33"/>
    <w:rsid w:val="00E80E83"/>
    <w:rsid w:val="00E80FC7"/>
    <w:rsid w:val="00E810AA"/>
    <w:rsid w:val="00E81500"/>
    <w:rsid w:val="00E818A8"/>
    <w:rsid w:val="00E82317"/>
    <w:rsid w:val="00E8296D"/>
    <w:rsid w:val="00E82C78"/>
    <w:rsid w:val="00E831CB"/>
    <w:rsid w:val="00E84454"/>
    <w:rsid w:val="00E8457B"/>
    <w:rsid w:val="00E84923"/>
    <w:rsid w:val="00E84E59"/>
    <w:rsid w:val="00E86778"/>
    <w:rsid w:val="00E86936"/>
    <w:rsid w:val="00E86FFA"/>
    <w:rsid w:val="00E875BA"/>
    <w:rsid w:val="00E90882"/>
    <w:rsid w:val="00E90CB6"/>
    <w:rsid w:val="00E9117E"/>
    <w:rsid w:val="00E91C00"/>
    <w:rsid w:val="00E922F2"/>
    <w:rsid w:val="00E923D5"/>
    <w:rsid w:val="00E92F20"/>
    <w:rsid w:val="00E9304A"/>
    <w:rsid w:val="00E93683"/>
    <w:rsid w:val="00E93F10"/>
    <w:rsid w:val="00E9440A"/>
    <w:rsid w:val="00E94DDC"/>
    <w:rsid w:val="00E9602B"/>
    <w:rsid w:val="00E96C18"/>
    <w:rsid w:val="00E979E6"/>
    <w:rsid w:val="00EA0364"/>
    <w:rsid w:val="00EA04B2"/>
    <w:rsid w:val="00EA0CA0"/>
    <w:rsid w:val="00EA1898"/>
    <w:rsid w:val="00EA20F3"/>
    <w:rsid w:val="00EA2659"/>
    <w:rsid w:val="00EA2773"/>
    <w:rsid w:val="00EA2ADE"/>
    <w:rsid w:val="00EA37D5"/>
    <w:rsid w:val="00EA3B4D"/>
    <w:rsid w:val="00EA43AF"/>
    <w:rsid w:val="00EA447C"/>
    <w:rsid w:val="00EA4919"/>
    <w:rsid w:val="00EA4D11"/>
    <w:rsid w:val="00EA4E59"/>
    <w:rsid w:val="00EA53B7"/>
    <w:rsid w:val="00EA56EB"/>
    <w:rsid w:val="00EA5FB1"/>
    <w:rsid w:val="00EA6563"/>
    <w:rsid w:val="00EB0253"/>
    <w:rsid w:val="00EB16F1"/>
    <w:rsid w:val="00EB219C"/>
    <w:rsid w:val="00EB2499"/>
    <w:rsid w:val="00EB2983"/>
    <w:rsid w:val="00EB2A55"/>
    <w:rsid w:val="00EB2EC1"/>
    <w:rsid w:val="00EB3132"/>
    <w:rsid w:val="00EB31CE"/>
    <w:rsid w:val="00EB3557"/>
    <w:rsid w:val="00EB36B9"/>
    <w:rsid w:val="00EB3823"/>
    <w:rsid w:val="00EB5846"/>
    <w:rsid w:val="00EB6568"/>
    <w:rsid w:val="00EB679D"/>
    <w:rsid w:val="00EB74EB"/>
    <w:rsid w:val="00EB7745"/>
    <w:rsid w:val="00EC038D"/>
    <w:rsid w:val="00EC0BA1"/>
    <w:rsid w:val="00EC0F05"/>
    <w:rsid w:val="00EC10D3"/>
    <w:rsid w:val="00EC1543"/>
    <w:rsid w:val="00EC17BA"/>
    <w:rsid w:val="00EC18B4"/>
    <w:rsid w:val="00EC1CC5"/>
    <w:rsid w:val="00EC225F"/>
    <w:rsid w:val="00EC341B"/>
    <w:rsid w:val="00EC4AB8"/>
    <w:rsid w:val="00EC5109"/>
    <w:rsid w:val="00EC65F0"/>
    <w:rsid w:val="00EC6E33"/>
    <w:rsid w:val="00EC7947"/>
    <w:rsid w:val="00ED0A1D"/>
    <w:rsid w:val="00ED1BC4"/>
    <w:rsid w:val="00ED1F68"/>
    <w:rsid w:val="00ED22DA"/>
    <w:rsid w:val="00ED26A3"/>
    <w:rsid w:val="00ED2831"/>
    <w:rsid w:val="00ED425E"/>
    <w:rsid w:val="00ED43D1"/>
    <w:rsid w:val="00ED6362"/>
    <w:rsid w:val="00ED6721"/>
    <w:rsid w:val="00ED6B76"/>
    <w:rsid w:val="00ED6E08"/>
    <w:rsid w:val="00ED7B10"/>
    <w:rsid w:val="00EE025B"/>
    <w:rsid w:val="00EE1626"/>
    <w:rsid w:val="00EE25F4"/>
    <w:rsid w:val="00EE2860"/>
    <w:rsid w:val="00EE330E"/>
    <w:rsid w:val="00EE35CA"/>
    <w:rsid w:val="00EE4023"/>
    <w:rsid w:val="00EE43DA"/>
    <w:rsid w:val="00EE46EF"/>
    <w:rsid w:val="00EE4A88"/>
    <w:rsid w:val="00EE4EE1"/>
    <w:rsid w:val="00EE51CA"/>
    <w:rsid w:val="00EE5461"/>
    <w:rsid w:val="00EE5A52"/>
    <w:rsid w:val="00EE6E37"/>
    <w:rsid w:val="00EE70F3"/>
    <w:rsid w:val="00EE71F5"/>
    <w:rsid w:val="00EE741D"/>
    <w:rsid w:val="00EE7B01"/>
    <w:rsid w:val="00EE7EDE"/>
    <w:rsid w:val="00EF11E5"/>
    <w:rsid w:val="00EF1A8A"/>
    <w:rsid w:val="00EF317C"/>
    <w:rsid w:val="00EF31C4"/>
    <w:rsid w:val="00EF3273"/>
    <w:rsid w:val="00EF33EE"/>
    <w:rsid w:val="00EF3E82"/>
    <w:rsid w:val="00EF412F"/>
    <w:rsid w:val="00EF4574"/>
    <w:rsid w:val="00EF4B71"/>
    <w:rsid w:val="00EF5CA3"/>
    <w:rsid w:val="00EF5FB3"/>
    <w:rsid w:val="00EF76BE"/>
    <w:rsid w:val="00EF776E"/>
    <w:rsid w:val="00F00A37"/>
    <w:rsid w:val="00F01AE6"/>
    <w:rsid w:val="00F01C46"/>
    <w:rsid w:val="00F01D55"/>
    <w:rsid w:val="00F01EBF"/>
    <w:rsid w:val="00F020C8"/>
    <w:rsid w:val="00F02B3B"/>
    <w:rsid w:val="00F032F9"/>
    <w:rsid w:val="00F04629"/>
    <w:rsid w:val="00F05B27"/>
    <w:rsid w:val="00F05C24"/>
    <w:rsid w:val="00F05FDC"/>
    <w:rsid w:val="00F06472"/>
    <w:rsid w:val="00F069EF"/>
    <w:rsid w:val="00F07302"/>
    <w:rsid w:val="00F0774A"/>
    <w:rsid w:val="00F100D8"/>
    <w:rsid w:val="00F102EB"/>
    <w:rsid w:val="00F10562"/>
    <w:rsid w:val="00F117B6"/>
    <w:rsid w:val="00F11ADF"/>
    <w:rsid w:val="00F122A3"/>
    <w:rsid w:val="00F1393D"/>
    <w:rsid w:val="00F13AFB"/>
    <w:rsid w:val="00F1411C"/>
    <w:rsid w:val="00F148C8"/>
    <w:rsid w:val="00F163CC"/>
    <w:rsid w:val="00F17403"/>
    <w:rsid w:val="00F17535"/>
    <w:rsid w:val="00F179D1"/>
    <w:rsid w:val="00F17A79"/>
    <w:rsid w:val="00F203B0"/>
    <w:rsid w:val="00F20919"/>
    <w:rsid w:val="00F20D73"/>
    <w:rsid w:val="00F21098"/>
    <w:rsid w:val="00F22FB3"/>
    <w:rsid w:val="00F237DB"/>
    <w:rsid w:val="00F23A45"/>
    <w:rsid w:val="00F23E05"/>
    <w:rsid w:val="00F2438D"/>
    <w:rsid w:val="00F249A3"/>
    <w:rsid w:val="00F25287"/>
    <w:rsid w:val="00F25A93"/>
    <w:rsid w:val="00F25D07"/>
    <w:rsid w:val="00F25D99"/>
    <w:rsid w:val="00F25DE6"/>
    <w:rsid w:val="00F25E68"/>
    <w:rsid w:val="00F25F98"/>
    <w:rsid w:val="00F267E2"/>
    <w:rsid w:val="00F2684E"/>
    <w:rsid w:val="00F26E82"/>
    <w:rsid w:val="00F27F19"/>
    <w:rsid w:val="00F302AC"/>
    <w:rsid w:val="00F30ED5"/>
    <w:rsid w:val="00F30F27"/>
    <w:rsid w:val="00F310C7"/>
    <w:rsid w:val="00F32232"/>
    <w:rsid w:val="00F33449"/>
    <w:rsid w:val="00F33C7F"/>
    <w:rsid w:val="00F34FAD"/>
    <w:rsid w:val="00F35080"/>
    <w:rsid w:val="00F365EB"/>
    <w:rsid w:val="00F370EC"/>
    <w:rsid w:val="00F40015"/>
    <w:rsid w:val="00F4027C"/>
    <w:rsid w:val="00F41A73"/>
    <w:rsid w:val="00F42876"/>
    <w:rsid w:val="00F42CC9"/>
    <w:rsid w:val="00F42F2C"/>
    <w:rsid w:val="00F43000"/>
    <w:rsid w:val="00F43291"/>
    <w:rsid w:val="00F4344B"/>
    <w:rsid w:val="00F43A25"/>
    <w:rsid w:val="00F44728"/>
    <w:rsid w:val="00F44C09"/>
    <w:rsid w:val="00F454ED"/>
    <w:rsid w:val="00F45779"/>
    <w:rsid w:val="00F45DC3"/>
    <w:rsid w:val="00F46905"/>
    <w:rsid w:val="00F469B6"/>
    <w:rsid w:val="00F46E6E"/>
    <w:rsid w:val="00F4734B"/>
    <w:rsid w:val="00F47787"/>
    <w:rsid w:val="00F478AA"/>
    <w:rsid w:val="00F47C87"/>
    <w:rsid w:val="00F507D0"/>
    <w:rsid w:val="00F51004"/>
    <w:rsid w:val="00F51A9B"/>
    <w:rsid w:val="00F5329F"/>
    <w:rsid w:val="00F534F0"/>
    <w:rsid w:val="00F5404C"/>
    <w:rsid w:val="00F545A5"/>
    <w:rsid w:val="00F54784"/>
    <w:rsid w:val="00F550F1"/>
    <w:rsid w:val="00F554CC"/>
    <w:rsid w:val="00F564F6"/>
    <w:rsid w:val="00F56DE3"/>
    <w:rsid w:val="00F57439"/>
    <w:rsid w:val="00F5767D"/>
    <w:rsid w:val="00F604B9"/>
    <w:rsid w:val="00F6083E"/>
    <w:rsid w:val="00F62A8B"/>
    <w:rsid w:val="00F62CB7"/>
    <w:rsid w:val="00F63CA7"/>
    <w:rsid w:val="00F644A7"/>
    <w:rsid w:val="00F656D0"/>
    <w:rsid w:val="00F65952"/>
    <w:rsid w:val="00F65BBF"/>
    <w:rsid w:val="00F666EE"/>
    <w:rsid w:val="00F669B0"/>
    <w:rsid w:val="00F671EA"/>
    <w:rsid w:val="00F706F6"/>
    <w:rsid w:val="00F71641"/>
    <w:rsid w:val="00F71715"/>
    <w:rsid w:val="00F717BD"/>
    <w:rsid w:val="00F719DE"/>
    <w:rsid w:val="00F72083"/>
    <w:rsid w:val="00F72664"/>
    <w:rsid w:val="00F729EF"/>
    <w:rsid w:val="00F74251"/>
    <w:rsid w:val="00F74434"/>
    <w:rsid w:val="00F744A2"/>
    <w:rsid w:val="00F74911"/>
    <w:rsid w:val="00F749ED"/>
    <w:rsid w:val="00F757E0"/>
    <w:rsid w:val="00F7592F"/>
    <w:rsid w:val="00F75ACD"/>
    <w:rsid w:val="00F75DAC"/>
    <w:rsid w:val="00F76093"/>
    <w:rsid w:val="00F7644B"/>
    <w:rsid w:val="00F764A2"/>
    <w:rsid w:val="00F76BE5"/>
    <w:rsid w:val="00F77434"/>
    <w:rsid w:val="00F77A9D"/>
    <w:rsid w:val="00F77CAE"/>
    <w:rsid w:val="00F77F86"/>
    <w:rsid w:val="00F8053D"/>
    <w:rsid w:val="00F82271"/>
    <w:rsid w:val="00F82462"/>
    <w:rsid w:val="00F83428"/>
    <w:rsid w:val="00F838F2"/>
    <w:rsid w:val="00F83B1C"/>
    <w:rsid w:val="00F8404C"/>
    <w:rsid w:val="00F8439C"/>
    <w:rsid w:val="00F8444E"/>
    <w:rsid w:val="00F84C59"/>
    <w:rsid w:val="00F84F5B"/>
    <w:rsid w:val="00F853DD"/>
    <w:rsid w:val="00F8632F"/>
    <w:rsid w:val="00F86733"/>
    <w:rsid w:val="00F86A0E"/>
    <w:rsid w:val="00F87582"/>
    <w:rsid w:val="00F87797"/>
    <w:rsid w:val="00F91034"/>
    <w:rsid w:val="00F9169D"/>
    <w:rsid w:val="00F91A60"/>
    <w:rsid w:val="00F91AE6"/>
    <w:rsid w:val="00F91FC8"/>
    <w:rsid w:val="00F928FE"/>
    <w:rsid w:val="00F92B39"/>
    <w:rsid w:val="00F92D15"/>
    <w:rsid w:val="00F93987"/>
    <w:rsid w:val="00F93E31"/>
    <w:rsid w:val="00F945EC"/>
    <w:rsid w:val="00F946CE"/>
    <w:rsid w:val="00F94719"/>
    <w:rsid w:val="00F949A6"/>
    <w:rsid w:val="00F94C25"/>
    <w:rsid w:val="00F950E0"/>
    <w:rsid w:val="00F968C1"/>
    <w:rsid w:val="00F96BB9"/>
    <w:rsid w:val="00F96FEA"/>
    <w:rsid w:val="00F97CD7"/>
    <w:rsid w:val="00FA0065"/>
    <w:rsid w:val="00FA055E"/>
    <w:rsid w:val="00FA0EB6"/>
    <w:rsid w:val="00FA1A6C"/>
    <w:rsid w:val="00FA20D6"/>
    <w:rsid w:val="00FA234D"/>
    <w:rsid w:val="00FA2EF8"/>
    <w:rsid w:val="00FA3CA3"/>
    <w:rsid w:val="00FA3D60"/>
    <w:rsid w:val="00FA3E7B"/>
    <w:rsid w:val="00FA416F"/>
    <w:rsid w:val="00FA6556"/>
    <w:rsid w:val="00FA6DAF"/>
    <w:rsid w:val="00FA7576"/>
    <w:rsid w:val="00FA761C"/>
    <w:rsid w:val="00FA7946"/>
    <w:rsid w:val="00FB04BC"/>
    <w:rsid w:val="00FB0C69"/>
    <w:rsid w:val="00FB1A5C"/>
    <w:rsid w:val="00FB2715"/>
    <w:rsid w:val="00FB2802"/>
    <w:rsid w:val="00FB33AB"/>
    <w:rsid w:val="00FB3BDE"/>
    <w:rsid w:val="00FB3C96"/>
    <w:rsid w:val="00FB3EA5"/>
    <w:rsid w:val="00FB4612"/>
    <w:rsid w:val="00FB547C"/>
    <w:rsid w:val="00FB5847"/>
    <w:rsid w:val="00FB607A"/>
    <w:rsid w:val="00FB661A"/>
    <w:rsid w:val="00FB72BB"/>
    <w:rsid w:val="00FB739E"/>
    <w:rsid w:val="00FB7482"/>
    <w:rsid w:val="00FB7AC8"/>
    <w:rsid w:val="00FB7D4F"/>
    <w:rsid w:val="00FC0BCF"/>
    <w:rsid w:val="00FC0E1B"/>
    <w:rsid w:val="00FC10E9"/>
    <w:rsid w:val="00FC1266"/>
    <w:rsid w:val="00FC136A"/>
    <w:rsid w:val="00FC2088"/>
    <w:rsid w:val="00FC20EF"/>
    <w:rsid w:val="00FC2807"/>
    <w:rsid w:val="00FC2E5B"/>
    <w:rsid w:val="00FC2EC2"/>
    <w:rsid w:val="00FC322F"/>
    <w:rsid w:val="00FC3765"/>
    <w:rsid w:val="00FC38A5"/>
    <w:rsid w:val="00FC3E32"/>
    <w:rsid w:val="00FC4060"/>
    <w:rsid w:val="00FC4301"/>
    <w:rsid w:val="00FC56B5"/>
    <w:rsid w:val="00FC605D"/>
    <w:rsid w:val="00FC6796"/>
    <w:rsid w:val="00FC6C92"/>
    <w:rsid w:val="00FC7E9F"/>
    <w:rsid w:val="00FD07BD"/>
    <w:rsid w:val="00FD0844"/>
    <w:rsid w:val="00FD2FC8"/>
    <w:rsid w:val="00FD3674"/>
    <w:rsid w:val="00FD39FA"/>
    <w:rsid w:val="00FD3E54"/>
    <w:rsid w:val="00FD4125"/>
    <w:rsid w:val="00FD41E4"/>
    <w:rsid w:val="00FD44CB"/>
    <w:rsid w:val="00FD471B"/>
    <w:rsid w:val="00FD5688"/>
    <w:rsid w:val="00FD569F"/>
    <w:rsid w:val="00FD5961"/>
    <w:rsid w:val="00FD5AA8"/>
    <w:rsid w:val="00FD61CB"/>
    <w:rsid w:val="00FD68AB"/>
    <w:rsid w:val="00FD759F"/>
    <w:rsid w:val="00FD7B90"/>
    <w:rsid w:val="00FD7F71"/>
    <w:rsid w:val="00FE0C2E"/>
    <w:rsid w:val="00FE0ECA"/>
    <w:rsid w:val="00FE118C"/>
    <w:rsid w:val="00FE19C4"/>
    <w:rsid w:val="00FE4477"/>
    <w:rsid w:val="00FE4E6C"/>
    <w:rsid w:val="00FE5757"/>
    <w:rsid w:val="00FE587D"/>
    <w:rsid w:val="00FE5B06"/>
    <w:rsid w:val="00FE678C"/>
    <w:rsid w:val="00FE6D51"/>
    <w:rsid w:val="00FE6F0C"/>
    <w:rsid w:val="00FE6F2A"/>
    <w:rsid w:val="00FE780B"/>
    <w:rsid w:val="00FE7D0D"/>
    <w:rsid w:val="00FE7DB4"/>
    <w:rsid w:val="00FE7E9F"/>
    <w:rsid w:val="00FF034C"/>
    <w:rsid w:val="00FF07CD"/>
    <w:rsid w:val="00FF09EC"/>
    <w:rsid w:val="00FF0DFB"/>
    <w:rsid w:val="00FF0E77"/>
    <w:rsid w:val="00FF15A8"/>
    <w:rsid w:val="00FF172C"/>
    <w:rsid w:val="00FF2C0C"/>
    <w:rsid w:val="00FF2E51"/>
    <w:rsid w:val="00FF31D2"/>
    <w:rsid w:val="00FF3544"/>
    <w:rsid w:val="00FF3D91"/>
    <w:rsid w:val="00FF4115"/>
    <w:rsid w:val="00FF5345"/>
    <w:rsid w:val="00FF551B"/>
    <w:rsid w:val="00FF6086"/>
    <w:rsid w:val="00FF6271"/>
    <w:rsid w:val="00FF6A5C"/>
    <w:rsid w:val="00FF6AD0"/>
    <w:rsid w:val="00FF6C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2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C4060"/>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unhideWhenUsed/>
    <w:qFormat/>
    <w:locked/>
    <w:rsid w:val="00486804"/>
    <w:pPr>
      <w:outlineLvl w:val="6"/>
    </w:pPr>
    <w:rPr>
      <w:i/>
      <w:iCs w:val="0"/>
    </w:rPr>
  </w:style>
  <w:style w:type="paragraph" w:styleId="Heading8">
    <w:name w:val="heading 8"/>
    <w:basedOn w:val="Heading7"/>
    <w:next w:val="Normal"/>
    <w:link w:val="Heading8Char"/>
    <w:uiPriority w:val="9"/>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8B5FC5"/>
    <w:pPr>
      <w:pBdr>
        <w:top w:val="single" w:sz="4" w:space="6" w:color="65C5B4" w:themeColor="accent1"/>
        <w:between w:val="single" w:sz="4" w:space="6" w:color="65C5B4" w:themeColor="accent1"/>
      </w:pBdr>
      <w:tabs>
        <w:tab w:val="left" w:pos="400"/>
        <w:tab w:val="right" w:pos="9639"/>
      </w:tabs>
      <w:spacing w:before="0" w:after="0" w:line="240" w:lineRule="auto"/>
    </w:pPr>
    <w:rPr>
      <w:b/>
      <w:caps/>
      <w:color w:val="auto"/>
      <w:sz w:val="20"/>
    </w:rPr>
  </w:style>
  <w:style w:type="paragraph" w:styleId="TOC2">
    <w:name w:val="toc 2"/>
    <w:basedOn w:val="Normal"/>
    <w:next w:val="Normal"/>
    <w:autoRedefine/>
    <w:uiPriority w:val="39"/>
    <w:unhideWhenUsed/>
    <w:rsid w:val="00F11ADF"/>
    <w:pPr>
      <w:tabs>
        <w:tab w:val="right" w:pos="9628"/>
      </w:tabs>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aliases w:val="DPS Table Grid,epos-table1 top bottom 1"/>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qFormat/>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Char Char,Char,ft,single space,footnote text,fn,Footnote Text Char Char Char Char,FOOTNOTES,Footnote Text Char Char Char,Footnote Text Char Char,ft Char Char Char,ADB,(NECG) Footnote Text,Char Char Char Char,Footnote Text Char2,f"/>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Char Char Char,Char Char1,ft Char,single space Char,footnote text Char,fn Char,Footnote Text Char Char Char Char Char,FOOTNOTES Char,Footnote Text Char Char Char Char1,Footnote Text Char Char Char1,ft Char Char Char Char,ADB Char"/>
    <w:basedOn w:val="DefaultParagraphFont"/>
    <w:link w:val="FootnoteText"/>
    <w:uiPriority w:val="99"/>
    <w:rsid w:val="008C5A0E"/>
    <w:rPr>
      <w:color w:val="495965" w:themeColor="text2"/>
      <w:sz w:val="12"/>
      <w:szCs w:val="20"/>
    </w:rPr>
  </w:style>
  <w:style w:type="character" w:styleId="FootnoteReference">
    <w:name w:val="footnote reference"/>
    <w:aliases w:val="Normal + Font:9 Point,Superscript 3 Point Times,ftref,(NECG) Footnote Reference,Ref,de nota al pie,FnR-ANZDEC,Fußnotenzeichen DISS,fr,16 Point,Superscript 6 Point,Footnote Ref in FtNote,SUPERS,BVI fnr,Footnote Reference1"/>
    <w:basedOn w:val="DefaultParagraphFont"/>
    <w:uiPriority w:val="99"/>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Heading 2.,Bullets,List Paragraph1,Recommendation,List Paragraph11,List Paragraph (numbered (a)),Bullet point,L,CV text,F5 List Paragraph,Dot pt,Colorful List - Accent 11,No Spacing1,List Paragraph Char Char Char,Indicator Text,Liste 1"/>
    <w:basedOn w:val="Normal"/>
    <w:link w:val="ListParagraphChar"/>
    <w:uiPriority w:val="34"/>
    <w:qFormat/>
    <w:locked/>
    <w:rsid w:val="00A32858"/>
    <w:pPr>
      <w:ind w:left="720"/>
      <w:contextualSpacing/>
    </w:pPr>
  </w:style>
  <w:style w:type="paragraph" w:styleId="ListBullet">
    <w:name w:val="List Bullet"/>
    <w:basedOn w:val="BodyText"/>
    <w:qFormat/>
    <w:locked/>
    <w:rsid w:val="00A32858"/>
    <w:pPr>
      <w:numPr>
        <w:numId w:val="11"/>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table" w:customStyle="1" w:styleId="TableGrid1">
    <w:name w:val="Table Grid1"/>
    <w:basedOn w:val="TableNormal"/>
    <w:next w:val="TableGrid"/>
    <w:uiPriority w:val="99"/>
    <w:locked/>
    <w:rsid w:val="00B2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Table/Chart Title"/>
    <w:basedOn w:val="Heading2Char"/>
    <w:uiPriority w:val="33"/>
    <w:qFormat/>
    <w:locked/>
    <w:rsid w:val="00B22583"/>
    <w:rPr>
      <w:rFonts w:ascii="Calibri" w:eastAsiaTheme="majorEastAsia" w:hAnsi="Calibri" w:cstheme="majorBidi"/>
      <w:b/>
      <w:caps w:val="0"/>
      <w:color w:val="7C8C88"/>
      <w:sz w:val="26"/>
      <w:szCs w:val="26"/>
      <w:lang w:val="en-GB"/>
    </w:rPr>
  </w:style>
  <w:style w:type="paragraph" w:customStyle="1" w:styleId="Tablecolumnheading">
    <w:name w:val="Table column heading"/>
    <w:basedOn w:val="Normal"/>
    <w:qFormat/>
    <w:rsid w:val="00B22583"/>
    <w:pPr>
      <w:keepNext/>
      <w:suppressAutoHyphens w:val="0"/>
      <w:spacing w:before="57" w:after="57" w:line="220" w:lineRule="atLeast"/>
      <w:ind w:left="96" w:right="96"/>
      <w:jc w:val="center"/>
    </w:pPr>
    <w:rPr>
      <w:rFonts w:eastAsia="Times New Roman" w:cs="Times New Roman"/>
      <w:b/>
      <w:color w:val="FFFFFF" w:themeColor="background1"/>
      <w:sz w:val="20"/>
      <w:szCs w:val="20"/>
      <w:lang w:val="en-AU"/>
    </w:rPr>
  </w:style>
  <w:style w:type="table" w:styleId="GridTable1Light">
    <w:name w:val="Grid Table 1 Light"/>
    <w:basedOn w:val="TableNormal"/>
    <w:uiPriority w:val="46"/>
    <w:locked/>
    <w:rsid w:val="003617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E6074"/>
    <w:rPr>
      <w:color w:val="800080" w:themeColor="followedHyperlink"/>
      <w:u w:val="single"/>
    </w:rPr>
  </w:style>
  <w:style w:type="paragraph" w:styleId="EndnoteText">
    <w:name w:val="endnote text"/>
    <w:basedOn w:val="Normal"/>
    <w:link w:val="EndnoteTextChar"/>
    <w:uiPriority w:val="99"/>
    <w:semiHidden/>
    <w:unhideWhenUsed/>
    <w:rsid w:val="00EA189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A1898"/>
    <w:rPr>
      <w:color w:val="495965" w:themeColor="text2"/>
      <w:sz w:val="20"/>
      <w:szCs w:val="20"/>
      <w:lang w:val="en-GB"/>
    </w:rPr>
  </w:style>
  <w:style w:type="character" w:styleId="EndnoteReference">
    <w:name w:val="endnote reference"/>
    <w:basedOn w:val="DefaultParagraphFont"/>
    <w:uiPriority w:val="99"/>
    <w:semiHidden/>
    <w:unhideWhenUsed/>
    <w:rsid w:val="00EA1898"/>
    <w:rPr>
      <w:vertAlign w:val="superscript"/>
    </w:rPr>
  </w:style>
  <w:style w:type="character" w:styleId="UnresolvedMention">
    <w:name w:val="Unresolved Mention"/>
    <w:basedOn w:val="DefaultParagraphFont"/>
    <w:uiPriority w:val="99"/>
    <w:semiHidden/>
    <w:unhideWhenUsed/>
    <w:rsid w:val="0014277E"/>
    <w:rPr>
      <w:color w:val="605E5C"/>
      <w:shd w:val="clear" w:color="auto" w:fill="E1DFDD"/>
    </w:rPr>
  </w:style>
  <w:style w:type="character" w:customStyle="1" w:styleId="ListParagraphChar">
    <w:name w:val="List Paragraph Char"/>
    <w:aliases w:val="Heading 2. Char,Bullets Char,List Paragraph1 Char,Recommendation Char,List Paragraph11 Char,List Paragraph (numbered (a)) Char,Bullet point Char,L Char,CV text Char,F5 List Paragraph Char,Dot pt Char,Colorful List - Accent 11 Char"/>
    <w:basedOn w:val="DefaultParagraphFont"/>
    <w:link w:val="ListParagraph"/>
    <w:uiPriority w:val="34"/>
    <w:qFormat/>
    <w:locked/>
    <w:rsid w:val="00175B83"/>
    <w:rPr>
      <w:color w:val="495965" w:themeColor="text2"/>
      <w:lang w:val="en-GB"/>
    </w:rPr>
  </w:style>
  <w:style w:type="paragraph" w:styleId="Revision">
    <w:name w:val="Revision"/>
    <w:hidden/>
    <w:uiPriority w:val="99"/>
    <w:semiHidden/>
    <w:rsid w:val="009C4BF2"/>
    <w:pPr>
      <w:spacing w:after="0" w:line="240" w:lineRule="auto"/>
    </w:pPr>
    <w:rPr>
      <w:color w:val="495965" w:themeColor="text2"/>
      <w:lang w:val="en-GB"/>
    </w:rPr>
  </w:style>
  <w:style w:type="paragraph" w:styleId="NormalWeb">
    <w:name w:val="Normal (Web)"/>
    <w:basedOn w:val="Normal"/>
    <w:uiPriority w:val="99"/>
    <w:semiHidden/>
    <w:unhideWhenUsed/>
    <w:rsid w:val="00812DF7"/>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Default">
    <w:name w:val="Default"/>
    <w:rsid w:val="00025457"/>
    <w:pPr>
      <w:autoSpaceDE w:val="0"/>
      <w:autoSpaceDN w:val="0"/>
      <w:adjustRightInd w:val="0"/>
      <w:spacing w:after="0" w:line="240" w:lineRule="auto"/>
    </w:pPr>
    <w:rPr>
      <w:rFonts w:ascii="Calibri" w:hAnsi="Calibri" w:cs="Calibri"/>
      <w:color w:val="000000"/>
      <w:sz w:val="24"/>
      <w:szCs w:val="24"/>
    </w:rPr>
  </w:style>
  <w:style w:type="paragraph" w:customStyle="1" w:styleId="CONLevel1">
    <w:name w:val=".CON  Level   1."/>
    <w:basedOn w:val="Normal"/>
    <w:next w:val="Normal"/>
    <w:link w:val="CONLevel1Char"/>
    <w:rsid w:val="00533537"/>
    <w:pPr>
      <w:keepNext/>
      <w:numPr>
        <w:numId w:val="39"/>
      </w:numPr>
      <w:suppressAutoHyphens w:val="0"/>
      <w:spacing w:before="240" w:after="0" w:line="240" w:lineRule="auto"/>
      <w:outlineLvl w:val="1"/>
    </w:pPr>
    <w:rPr>
      <w:rFonts w:ascii="Times New Roman" w:eastAsia="Times New Roman" w:hAnsi="Times New Roman" w:cs="Times New Roman"/>
      <w:b/>
      <w:bCs/>
      <w:color w:val="auto"/>
      <w:sz w:val="24"/>
      <w:szCs w:val="24"/>
    </w:rPr>
  </w:style>
  <w:style w:type="paragraph" w:customStyle="1" w:styleId="CONLevel11">
    <w:name w:val=".CON  Level   1.1"/>
    <w:basedOn w:val="Normal"/>
    <w:next w:val="Normal"/>
    <w:link w:val="CONLevel11Char"/>
    <w:rsid w:val="00533537"/>
    <w:pPr>
      <w:numPr>
        <w:ilvl w:val="1"/>
        <w:numId w:val="39"/>
      </w:numPr>
      <w:suppressAutoHyphens w:val="0"/>
      <w:spacing w:before="240" w:after="0" w:line="240" w:lineRule="auto"/>
      <w:outlineLvl w:val="2"/>
    </w:pPr>
    <w:rPr>
      <w:rFonts w:ascii="Times New Roman" w:eastAsia="Times New Roman" w:hAnsi="Times New Roman" w:cs="Times New Roman"/>
      <w:color w:val="auto"/>
      <w:sz w:val="24"/>
      <w:szCs w:val="24"/>
    </w:rPr>
  </w:style>
  <w:style w:type="paragraph" w:customStyle="1" w:styleId="CONLevela">
    <w:name w:val=".CON  Level  (a)"/>
    <w:basedOn w:val="Normal"/>
    <w:next w:val="Normal"/>
    <w:rsid w:val="00533537"/>
    <w:pPr>
      <w:numPr>
        <w:ilvl w:val="2"/>
        <w:numId w:val="39"/>
      </w:numPr>
      <w:suppressAutoHyphens w:val="0"/>
      <w:spacing w:before="240" w:after="0" w:line="240" w:lineRule="auto"/>
      <w:outlineLvl w:val="3"/>
    </w:pPr>
    <w:rPr>
      <w:rFonts w:ascii="Times New Roman" w:eastAsia="Times New Roman" w:hAnsi="Times New Roman" w:cs="Times New Roman"/>
      <w:color w:val="auto"/>
      <w:sz w:val="24"/>
      <w:szCs w:val="24"/>
    </w:rPr>
  </w:style>
  <w:style w:type="paragraph" w:customStyle="1" w:styleId="CONLeveli">
    <w:name w:val=".CON  Level  (i)"/>
    <w:basedOn w:val="Normal"/>
    <w:next w:val="Normal"/>
    <w:rsid w:val="00533537"/>
    <w:pPr>
      <w:numPr>
        <w:ilvl w:val="3"/>
        <w:numId w:val="39"/>
      </w:numPr>
      <w:suppressAutoHyphens w:val="0"/>
      <w:spacing w:before="240" w:after="0" w:line="240" w:lineRule="auto"/>
      <w:outlineLvl w:val="4"/>
    </w:pPr>
    <w:rPr>
      <w:rFonts w:ascii="Times New Roman" w:eastAsia="Times New Roman" w:hAnsi="Times New Roman" w:cs="Times New Roman"/>
      <w:color w:val="auto"/>
      <w:sz w:val="24"/>
      <w:szCs w:val="24"/>
    </w:rPr>
  </w:style>
  <w:style w:type="paragraph" w:customStyle="1" w:styleId="CONLevelA0">
    <w:name w:val=".CON  Level (A)"/>
    <w:basedOn w:val="Normal"/>
    <w:next w:val="Normal"/>
    <w:rsid w:val="00533537"/>
    <w:pPr>
      <w:numPr>
        <w:ilvl w:val="4"/>
        <w:numId w:val="39"/>
      </w:numPr>
      <w:suppressAutoHyphens w:val="0"/>
      <w:spacing w:before="240" w:after="0" w:line="240" w:lineRule="auto"/>
      <w:outlineLvl w:val="5"/>
    </w:pPr>
    <w:rPr>
      <w:rFonts w:ascii="Times New Roman" w:eastAsia="Times New Roman" w:hAnsi="Times New Roman" w:cs="Times New Roman"/>
      <w:color w:val="auto"/>
      <w:sz w:val="24"/>
      <w:szCs w:val="24"/>
    </w:rPr>
  </w:style>
  <w:style w:type="paragraph" w:customStyle="1" w:styleId="CONLevelI0">
    <w:name w:val=".CON  Level (I)"/>
    <w:basedOn w:val="Normal"/>
    <w:next w:val="Normal"/>
    <w:rsid w:val="00533537"/>
    <w:pPr>
      <w:numPr>
        <w:ilvl w:val="5"/>
        <w:numId w:val="39"/>
      </w:numPr>
      <w:suppressAutoHyphens w:val="0"/>
      <w:spacing w:before="240" w:after="0" w:line="240" w:lineRule="auto"/>
      <w:outlineLvl w:val="6"/>
    </w:pPr>
    <w:rPr>
      <w:rFonts w:ascii="Times New Roman" w:eastAsia="Times New Roman" w:hAnsi="Times New Roman" w:cs="Times New Roman"/>
      <w:color w:val="auto"/>
      <w:sz w:val="24"/>
      <w:szCs w:val="24"/>
    </w:rPr>
  </w:style>
  <w:style w:type="character" w:customStyle="1" w:styleId="CONLevel11Char">
    <w:name w:val=".CON  Level   1.1 Char"/>
    <w:link w:val="CONLevel11"/>
    <w:rsid w:val="00533537"/>
    <w:rPr>
      <w:rFonts w:ascii="Times New Roman" w:eastAsia="Times New Roman" w:hAnsi="Times New Roman" w:cs="Times New Roman"/>
      <w:sz w:val="24"/>
      <w:szCs w:val="24"/>
      <w:lang w:val="en-GB"/>
    </w:rPr>
  </w:style>
  <w:style w:type="character" w:customStyle="1" w:styleId="CONLevel1Char">
    <w:name w:val=".CON  Level   1. Char"/>
    <w:link w:val="CONLevel1"/>
    <w:locked/>
    <w:rsid w:val="00533537"/>
    <w:rPr>
      <w:rFonts w:ascii="Times New Roman" w:eastAsia="Times New Roman" w:hAnsi="Times New Roman" w:cs="Times New Roman"/>
      <w:b/>
      <w:bCs/>
      <w:sz w:val="24"/>
      <w:szCs w:val="24"/>
      <w:lang w:val="en-GB"/>
    </w:rPr>
  </w:style>
  <w:style w:type="paragraph" w:customStyle="1" w:styleId="Level1">
    <w:name w:val="Level 1."/>
    <w:basedOn w:val="Normal"/>
    <w:rsid w:val="00533537"/>
    <w:pPr>
      <w:numPr>
        <w:numId w:val="40"/>
      </w:numPr>
      <w:suppressAutoHyphens w:val="0"/>
      <w:spacing w:before="240" w:after="0" w:line="240" w:lineRule="auto"/>
    </w:pPr>
    <w:rPr>
      <w:rFonts w:ascii="Times New Roman" w:eastAsia="Times New Roman" w:hAnsi="Times New Roman" w:cs="Times New Roman"/>
      <w:color w:val="auto"/>
      <w:sz w:val="24"/>
      <w:lang w:val="en-AU"/>
    </w:rPr>
  </w:style>
  <w:style w:type="paragraph" w:customStyle="1" w:styleId="Level11">
    <w:name w:val="Level 1.1"/>
    <w:basedOn w:val="Normal"/>
    <w:rsid w:val="00533537"/>
    <w:pPr>
      <w:numPr>
        <w:ilvl w:val="1"/>
        <w:numId w:val="40"/>
      </w:numPr>
      <w:suppressAutoHyphens w:val="0"/>
      <w:spacing w:before="240" w:after="0" w:line="240" w:lineRule="auto"/>
    </w:pPr>
    <w:rPr>
      <w:rFonts w:ascii="Times New Roman" w:eastAsia="Times New Roman" w:hAnsi="Times New Roman" w:cs="Times New Roman"/>
      <w:color w:val="auto"/>
      <w:sz w:val="24"/>
      <w:lang w:val="en-AU"/>
    </w:rPr>
  </w:style>
  <w:style w:type="paragraph" w:customStyle="1" w:styleId="Levela">
    <w:name w:val="Level (a)"/>
    <w:basedOn w:val="Normal"/>
    <w:rsid w:val="00533537"/>
    <w:pPr>
      <w:numPr>
        <w:ilvl w:val="2"/>
        <w:numId w:val="40"/>
      </w:numPr>
      <w:suppressAutoHyphens w:val="0"/>
      <w:spacing w:before="240" w:after="0" w:line="240" w:lineRule="auto"/>
    </w:pPr>
    <w:rPr>
      <w:rFonts w:ascii="Times New Roman" w:eastAsia="Times New Roman" w:hAnsi="Times New Roman" w:cs="Times New Roman"/>
      <w:color w:val="auto"/>
      <w:sz w:val="24"/>
      <w:lang w:val="en-AU"/>
    </w:rPr>
  </w:style>
  <w:style w:type="paragraph" w:customStyle="1" w:styleId="Leveli">
    <w:name w:val="Level (i)"/>
    <w:basedOn w:val="Normal"/>
    <w:rsid w:val="00533537"/>
    <w:pPr>
      <w:numPr>
        <w:ilvl w:val="3"/>
        <w:numId w:val="40"/>
      </w:numPr>
      <w:suppressAutoHyphens w:val="0"/>
      <w:spacing w:before="240" w:after="0" w:line="240" w:lineRule="auto"/>
    </w:pPr>
    <w:rPr>
      <w:rFonts w:ascii="Times New Roman" w:eastAsia="Times New Roman" w:hAnsi="Times New Roman" w:cs="Times New Roman"/>
      <w:color w:val="auto"/>
      <w:sz w:val="24"/>
      <w:lang w:val="en-AU"/>
    </w:rPr>
  </w:style>
  <w:style w:type="paragraph" w:styleId="PlainText">
    <w:name w:val="Plain Text"/>
    <w:basedOn w:val="Normal"/>
    <w:link w:val="PlainTextChar"/>
    <w:locked/>
    <w:rsid w:val="00533537"/>
    <w:pPr>
      <w:numPr>
        <w:ilvl w:val="4"/>
        <w:numId w:val="40"/>
      </w:numPr>
      <w:suppressAutoHyphens w:val="0"/>
      <w:spacing w:before="240" w:after="0" w:line="240" w:lineRule="auto"/>
    </w:pPr>
    <w:rPr>
      <w:rFonts w:ascii="Courier New" w:eastAsia="Times New Roman" w:hAnsi="Courier New" w:cs="Courier New"/>
      <w:color w:val="auto"/>
      <w:sz w:val="20"/>
      <w:szCs w:val="20"/>
      <w:lang w:val="en-AU"/>
    </w:rPr>
  </w:style>
  <w:style w:type="character" w:customStyle="1" w:styleId="PlainTextChar">
    <w:name w:val="Plain Text Char"/>
    <w:basedOn w:val="DefaultParagraphFont"/>
    <w:link w:val="PlainText"/>
    <w:rsid w:val="00533537"/>
    <w:rPr>
      <w:rFonts w:ascii="Courier New" w:eastAsia="Times New Roman" w:hAnsi="Courier New" w:cs="Courier New"/>
      <w:sz w:val="20"/>
      <w:szCs w:val="20"/>
    </w:rPr>
  </w:style>
  <w:style w:type="paragraph" w:customStyle="1" w:styleId="LevelA0">
    <w:name w:val="Level(A)"/>
    <w:basedOn w:val="Normal"/>
    <w:rsid w:val="00533537"/>
    <w:pPr>
      <w:numPr>
        <w:ilvl w:val="5"/>
        <w:numId w:val="40"/>
      </w:numPr>
      <w:suppressAutoHyphens w:val="0"/>
      <w:spacing w:before="240" w:after="0" w:line="240" w:lineRule="auto"/>
    </w:pPr>
    <w:rPr>
      <w:rFonts w:ascii="Times New Roman" w:eastAsia="Times New Roman" w:hAnsi="Times New Roman" w:cs="Times New Roman"/>
      <w:color w:val="auto"/>
      <w:sz w:val="24"/>
      <w:lang w:val="en-AU"/>
    </w:rPr>
  </w:style>
  <w:style w:type="table" w:customStyle="1" w:styleId="TableGrid0">
    <w:name w:val="TableGrid"/>
    <w:rsid w:val="00533537"/>
    <w:pPr>
      <w:spacing w:after="0" w:line="240" w:lineRule="auto"/>
    </w:pPr>
    <w:rPr>
      <w:rFonts w:eastAsiaTheme="minorEastAsia"/>
      <w:lang w:eastAsia="en-AU"/>
    </w:rPr>
    <w:tblPr>
      <w:tblCellMar>
        <w:top w:w="0" w:type="dxa"/>
        <w:left w:w="0" w:type="dxa"/>
        <w:bottom w:w="0" w:type="dxa"/>
        <w:right w:w="0" w:type="dxa"/>
      </w:tblCellMar>
    </w:tblPr>
  </w:style>
  <w:style w:type="paragraph" w:customStyle="1" w:styleId="Indent1">
    <w:name w:val="Indent1"/>
    <w:basedOn w:val="Normal"/>
    <w:uiPriority w:val="10"/>
    <w:qFormat/>
    <w:rsid w:val="00533537"/>
    <w:pPr>
      <w:tabs>
        <w:tab w:val="left" w:pos="1406"/>
      </w:tabs>
      <w:suppressAutoHyphens w:val="0"/>
      <w:spacing w:before="0" w:after="220" w:line="264" w:lineRule="auto"/>
      <w:ind w:left="782"/>
      <w:jc w:val="both"/>
    </w:pPr>
    <w:rPr>
      <w:rFonts w:ascii="Verdana" w:hAnsi="Verdana"/>
      <w:color w:val="auto"/>
      <w:sz w:val="18"/>
      <w:szCs w:val="18"/>
      <w:lang w:val="en-AU"/>
    </w:rPr>
  </w:style>
  <w:style w:type="paragraph" w:customStyle="1" w:styleId="TableHeading">
    <w:name w:val="Table Heading"/>
    <w:basedOn w:val="Normal"/>
    <w:uiPriority w:val="9"/>
    <w:qFormat/>
    <w:rsid w:val="00533537"/>
    <w:pPr>
      <w:numPr>
        <w:numId w:val="41"/>
      </w:numPr>
      <w:suppressAutoHyphens w:val="0"/>
      <w:spacing w:before="20" w:after="20" w:line="240" w:lineRule="auto"/>
    </w:pPr>
    <w:rPr>
      <w:rFonts w:ascii="Arial" w:eastAsia="Century Gothic" w:hAnsi="Arial" w:cs="Calibri"/>
      <w:b/>
      <w:bCs/>
      <w:color w:val="FFFFFF"/>
      <w:szCs w:val="24"/>
      <w:lang w:val="en-AU"/>
    </w:rPr>
  </w:style>
  <w:style w:type="table" w:customStyle="1" w:styleId="DefaultTable">
    <w:name w:val="_Default Table"/>
    <w:basedOn w:val="TableNormal"/>
    <w:uiPriority w:val="99"/>
    <w:rsid w:val="00533537"/>
    <w:pPr>
      <w:spacing w:after="0" w:line="240" w:lineRule="auto"/>
    </w:pPr>
    <w:rPr>
      <w:rFonts w:ascii="Arial" w:eastAsia="Times New Roman" w:hAnsi="Arial" w:cs="Times New Roman"/>
      <w:color w:val="000000"/>
      <w:sz w:val="20"/>
      <w:szCs w:val="20"/>
      <w:lang w:eastAsia="en-AU"/>
    </w:rPr>
    <w:tblPr>
      <w:tblStyleRowBandSize w:val="1"/>
      <w:tblStyleColBandSize w:val="1"/>
      <w:tblInd w:w="0" w:type="nil"/>
      <w:tblBorders>
        <w:top w:val="single" w:sz="4" w:space="0" w:color="1D336D"/>
        <w:left w:val="single" w:sz="4" w:space="0" w:color="1D336D"/>
        <w:bottom w:val="single" w:sz="4" w:space="0" w:color="1D336D"/>
        <w:right w:val="single" w:sz="4" w:space="0" w:color="1D336D"/>
        <w:insideH w:val="single" w:sz="4" w:space="0" w:color="1D336D"/>
        <w:insideV w:val="single" w:sz="4" w:space="0" w:color="1D336D"/>
      </w:tblBorders>
      <w:tblCellMar>
        <w:top w:w="113" w:type="dxa"/>
        <w:left w:w="113" w:type="dxa"/>
        <w:bottom w:w="113" w:type="dxa"/>
        <w:right w:w="113" w:type="dxa"/>
      </w:tblCellMar>
    </w:tblPr>
    <w:tblStylePr w:type="firstRow">
      <w:rPr>
        <w:b w:val="0"/>
        <w:color w:val="1D336D"/>
      </w:rPr>
      <w:tblPr/>
      <w:tcPr>
        <w:tcBorders>
          <w:top w:val="single" w:sz="4" w:space="0" w:color="1D336D"/>
          <w:left w:val="single" w:sz="4" w:space="0" w:color="1D336D"/>
          <w:bottom w:val="single" w:sz="4" w:space="0" w:color="1D336D"/>
          <w:right w:val="single" w:sz="4" w:space="0" w:color="1D336D"/>
          <w:insideH w:val="single" w:sz="4" w:space="0" w:color="1D336D"/>
          <w:insideV w:val="single" w:sz="4" w:space="0" w:color="1D336D"/>
        </w:tcBorders>
        <w:shd w:val="clear" w:color="auto" w:fill="1D336D"/>
      </w:tcPr>
    </w:tblStylePr>
    <w:tblStylePr w:type="lastRow">
      <w:tblPr/>
      <w:tcPr>
        <w:tcBorders>
          <w:top w:val="single" w:sz="12" w:space="0" w:color="1D336D"/>
          <w:left w:val="nil"/>
          <w:bottom w:val="single" w:sz="12" w:space="0" w:color="1D336D"/>
          <w:right w:val="nil"/>
          <w:insideH w:val="nil"/>
          <w:insideV w:val="nil"/>
          <w:tl2br w:val="nil"/>
          <w:tr2bl w:val="nil"/>
        </w:tcBorders>
        <w:shd w:val="clear" w:color="auto" w:fill="FFFFFF"/>
      </w:tcPr>
    </w:tblStylePr>
    <w:tblStylePr w:type="firstCol">
      <w:rPr>
        <w:color w:val="FFFFFF"/>
      </w:rPr>
      <w:tblPr/>
      <w:tcPr>
        <w:shd w:val="clear" w:color="auto" w:fill="C4CFEF"/>
      </w:tcPr>
    </w:tblStylePr>
    <w:tblStylePr w:type="lastCol">
      <w:rPr>
        <w:color w:val="FFFFFF"/>
      </w:rPr>
      <w:tblPr/>
      <w:tcPr>
        <w:tcBorders>
          <w:top w:val="nil"/>
          <w:left w:val="nil"/>
          <w:bottom w:val="nil"/>
          <w:right w:val="nil"/>
          <w:insideH w:val="nil"/>
          <w:insideV w:val="nil"/>
          <w:tl2br w:val="nil"/>
          <w:tr2bl w:val="nil"/>
        </w:tcBorders>
        <w:shd w:val="clear" w:color="auto" w:fill="1D336D"/>
      </w:tcPr>
    </w:tblStylePr>
    <w:tblStylePr w:type="band2Vert">
      <w:tblPr/>
      <w:tcPr>
        <w:shd w:val="clear" w:color="auto" w:fill="DEE4F6"/>
      </w:tcPr>
    </w:tblStylePr>
    <w:tblStylePr w:type="band2Horz">
      <w:tblPr/>
      <w:tcPr>
        <w:shd w:val="clear" w:color="auto" w:fill="DEE4F6"/>
      </w:tcPr>
    </w:tblStylePr>
  </w:style>
  <w:style w:type="table" w:customStyle="1" w:styleId="DefaultTable1">
    <w:name w:val="_Default Table1"/>
    <w:basedOn w:val="TableNormal"/>
    <w:uiPriority w:val="99"/>
    <w:rsid w:val="00533537"/>
    <w:pPr>
      <w:spacing w:after="0" w:line="240" w:lineRule="auto"/>
    </w:pPr>
    <w:rPr>
      <w:rFonts w:ascii="Arial" w:eastAsia="Times New Roman" w:hAnsi="Arial" w:cs="Times New Roman"/>
      <w:color w:val="000000"/>
      <w:sz w:val="20"/>
      <w:szCs w:val="20"/>
      <w:lang w:eastAsia="en-AU"/>
    </w:rPr>
    <w:tblPr>
      <w:tblStyleRowBandSize w:val="1"/>
      <w:tblStyleColBandSize w:val="1"/>
      <w:tblInd w:w="0" w:type="nil"/>
      <w:tblBorders>
        <w:top w:val="single" w:sz="4" w:space="0" w:color="1D336D"/>
        <w:left w:val="single" w:sz="4" w:space="0" w:color="1D336D"/>
        <w:bottom w:val="single" w:sz="4" w:space="0" w:color="1D336D"/>
        <w:right w:val="single" w:sz="4" w:space="0" w:color="1D336D"/>
        <w:insideH w:val="single" w:sz="4" w:space="0" w:color="1D336D"/>
        <w:insideV w:val="single" w:sz="4" w:space="0" w:color="1D336D"/>
      </w:tblBorders>
      <w:tblCellMar>
        <w:top w:w="113" w:type="dxa"/>
        <w:left w:w="113" w:type="dxa"/>
        <w:bottom w:w="113" w:type="dxa"/>
        <w:right w:w="113" w:type="dxa"/>
      </w:tblCellMar>
    </w:tblPr>
    <w:tblStylePr w:type="firstRow">
      <w:rPr>
        <w:b w:val="0"/>
        <w:color w:val="1D336D"/>
      </w:rPr>
      <w:tblPr/>
      <w:tcPr>
        <w:tcBorders>
          <w:top w:val="single" w:sz="4" w:space="0" w:color="1D336D"/>
          <w:left w:val="single" w:sz="4" w:space="0" w:color="1D336D"/>
          <w:bottom w:val="single" w:sz="4" w:space="0" w:color="1D336D"/>
          <w:right w:val="single" w:sz="4" w:space="0" w:color="1D336D"/>
          <w:insideH w:val="single" w:sz="4" w:space="0" w:color="1D336D"/>
          <w:insideV w:val="single" w:sz="4" w:space="0" w:color="1D336D"/>
        </w:tcBorders>
        <w:shd w:val="clear" w:color="auto" w:fill="1D336D"/>
      </w:tcPr>
    </w:tblStylePr>
    <w:tblStylePr w:type="lastRow">
      <w:tblPr/>
      <w:tcPr>
        <w:tcBorders>
          <w:top w:val="single" w:sz="12" w:space="0" w:color="1D336D"/>
          <w:left w:val="nil"/>
          <w:bottom w:val="single" w:sz="12" w:space="0" w:color="1D336D"/>
          <w:right w:val="nil"/>
          <w:insideH w:val="nil"/>
          <w:insideV w:val="nil"/>
          <w:tl2br w:val="nil"/>
          <w:tr2bl w:val="nil"/>
        </w:tcBorders>
        <w:shd w:val="clear" w:color="auto" w:fill="FFFFFF"/>
      </w:tcPr>
    </w:tblStylePr>
    <w:tblStylePr w:type="firstCol">
      <w:rPr>
        <w:color w:val="FFFFFF"/>
      </w:rPr>
      <w:tblPr/>
      <w:tcPr>
        <w:shd w:val="clear" w:color="auto" w:fill="C4CFEF"/>
      </w:tcPr>
    </w:tblStylePr>
    <w:tblStylePr w:type="lastCol">
      <w:rPr>
        <w:color w:val="FFFFFF"/>
      </w:rPr>
      <w:tblPr/>
      <w:tcPr>
        <w:tcBorders>
          <w:top w:val="nil"/>
          <w:left w:val="nil"/>
          <w:bottom w:val="nil"/>
          <w:right w:val="nil"/>
          <w:insideH w:val="nil"/>
          <w:insideV w:val="nil"/>
          <w:tl2br w:val="nil"/>
          <w:tr2bl w:val="nil"/>
        </w:tcBorders>
        <w:shd w:val="clear" w:color="auto" w:fill="1D336D"/>
      </w:tcPr>
    </w:tblStylePr>
    <w:tblStylePr w:type="band2Vert">
      <w:tblPr/>
      <w:tcPr>
        <w:shd w:val="clear" w:color="auto" w:fill="DEE4F6"/>
      </w:tcPr>
    </w:tblStylePr>
    <w:tblStylePr w:type="band2Horz">
      <w:tblPr/>
      <w:tcPr>
        <w:shd w:val="clear" w:color="auto" w:fill="DEE4F6"/>
      </w:tcPr>
    </w:tblStylePr>
  </w:style>
  <w:style w:type="numbering" w:customStyle="1" w:styleId="OutlineList2">
    <w:name w:val="OutlineList2"/>
    <w:uiPriority w:val="99"/>
    <w:rsid w:val="00533537"/>
    <w:pPr>
      <w:numPr>
        <w:numId w:val="42"/>
      </w:numPr>
    </w:pPr>
  </w:style>
  <w:style w:type="character" w:styleId="Mention">
    <w:name w:val="Mention"/>
    <w:basedOn w:val="DefaultParagraphFont"/>
    <w:uiPriority w:val="99"/>
    <w:unhideWhenUsed/>
    <w:rsid w:val="00533537"/>
    <w:rPr>
      <w:color w:val="2B579A"/>
      <w:shd w:val="clear" w:color="auto" w:fill="E6E6E6"/>
    </w:rPr>
  </w:style>
  <w:style w:type="paragraph" w:customStyle="1" w:styleId="SchedTitle">
    <w:name w:val="SchedTitle"/>
    <w:basedOn w:val="Normal"/>
    <w:rsid w:val="00533537"/>
    <w:pPr>
      <w:pageBreakBefore/>
      <w:numPr>
        <w:numId w:val="43"/>
      </w:numPr>
      <w:tabs>
        <w:tab w:val="num" w:pos="360"/>
      </w:tabs>
      <w:suppressAutoHyphens w:val="0"/>
      <w:spacing w:before="0" w:after="600" w:line="276" w:lineRule="auto"/>
      <w:ind w:left="0" w:firstLine="0"/>
      <w:outlineLvl w:val="0"/>
    </w:pPr>
    <w:rPr>
      <w:rFonts w:ascii="Arial" w:eastAsiaTheme="minorEastAsia" w:hAnsi="Arial"/>
      <w:color w:val="auto"/>
      <w:sz w:val="36"/>
      <w:lang w:val="en-AU" w:eastAsia="en-AU"/>
    </w:rPr>
  </w:style>
  <w:style w:type="paragraph" w:customStyle="1" w:styleId="SchedNumParaL2">
    <w:name w:val="SchedNumParaL2"/>
    <w:basedOn w:val="Normal"/>
    <w:rsid w:val="00533537"/>
    <w:pPr>
      <w:numPr>
        <w:ilvl w:val="3"/>
        <w:numId w:val="43"/>
      </w:numPr>
      <w:tabs>
        <w:tab w:val="clear" w:pos="736"/>
        <w:tab w:val="num" w:pos="360"/>
      </w:tabs>
      <w:suppressAutoHyphens w:val="0"/>
      <w:spacing w:before="0" w:after="240" w:line="276" w:lineRule="auto"/>
      <w:ind w:left="0" w:firstLine="0"/>
    </w:pPr>
    <w:rPr>
      <w:rFonts w:eastAsiaTheme="minorEastAsia"/>
      <w:color w:val="auto"/>
      <w:szCs w:val="23"/>
      <w:lang w:val="en-AU" w:eastAsia="en-AU"/>
    </w:rPr>
  </w:style>
  <w:style w:type="paragraph" w:customStyle="1" w:styleId="SchedNumParaL3">
    <w:name w:val="SchedNumParaL3"/>
    <w:basedOn w:val="Normal"/>
    <w:rsid w:val="00533537"/>
    <w:pPr>
      <w:numPr>
        <w:ilvl w:val="4"/>
        <w:numId w:val="43"/>
      </w:numPr>
      <w:tabs>
        <w:tab w:val="clear" w:pos="736"/>
        <w:tab w:val="num" w:pos="360"/>
      </w:tabs>
      <w:suppressAutoHyphens w:val="0"/>
      <w:spacing w:before="0" w:after="240" w:line="276" w:lineRule="auto"/>
      <w:ind w:left="0" w:firstLine="0"/>
      <w:outlineLvl w:val="2"/>
    </w:pPr>
    <w:rPr>
      <w:rFonts w:eastAsiaTheme="minorEastAsia"/>
      <w:color w:val="auto"/>
      <w:lang w:val="en-AU" w:eastAsia="en-AU"/>
    </w:rPr>
  </w:style>
  <w:style w:type="paragraph" w:customStyle="1" w:styleId="SchedAlpha">
    <w:name w:val="SchedAlpha"/>
    <w:basedOn w:val="Normal"/>
    <w:rsid w:val="00533537"/>
    <w:pPr>
      <w:numPr>
        <w:ilvl w:val="5"/>
        <w:numId w:val="43"/>
      </w:numPr>
      <w:tabs>
        <w:tab w:val="clear" w:pos="1473"/>
        <w:tab w:val="num" w:pos="360"/>
      </w:tabs>
      <w:suppressAutoHyphens w:val="0"/>
      <w:spacing w:before="0" w:after="240" w:line="276" w:lineRule="auto"/>
      <w:ind w:left="0" w:firstLine="0"/>
    </w:pPr>
    <w:rPr>
      <w:rFonts w:eastAsiaTheme="minorEastAsia"/>
      <w:color w:val="auto"/>
      <w:szCs w:val="23"/>
      <w:lang w:val="en-AU" w:eastAsia="en-AU"/>
    </w:rPr>
  </w:style>
  <w:style w:type="paragraph" w:customStyle="1" w:styleId="SchedRom">
    <w:name w:val="SchedRom"/>
    <w:basedOn w:val="Normal"/>
    <w:rsid w:val="00533537"/>
    <w:pPr>
      <w:numPr>
        <w:ilvl w:val="6"/>
        <w:numId w:val="43"/>
      </w:numPr>
      <w:tabs>
        <w:tab w:val="clear" w:pos="2210"/>
        <w:tab w:val="num" w:pos="360"/>
      </w:tabs>
      <w:suppressAutoHyphens w:val="0"/>
      <w:spacing w:before="0" w:after="240" w:line="276" w:lineRule="auto"/>
      <w:ind w:left="3648" w:hanging="1440"/>
    </w:pPr>
    <w:rPr>
      <w:rFonts w:ascii="Times New Roman" w:eastAsia="Times New Roman" w:hAnsi="Times New Roman" w:cs="Times New Roman"/>
      <w:b/>
      <w:bCs/>
      <w:color w:val="auto"/>
      <w:lang w:val="en-AU" w:eastAsia="en-AU"/>
    </w:rPr>
  </w:style>
  <w:style w:type="paragraph" w:customStyle="1" w:styleId="SchedH1">
    <w:name w:val="SchedH1"/>
    <w:basedOn w:val="Normal"/>
    <w:next w:val="SchedH2"/>
    <w:rsid w:val="00533537"/>
    <w:pPr>
      <w:keepNext/>
      <w:numPr>
        <w:ilvl w:val="1"/>
        <w:numId w:val="43"/>
      </w:numPr>
      <w:pBdr>
        <w:top w:val="single" w:sz="6" w:space="2" w:color="auto"/>
      </w:pBdr>
      <w:tabs>
        <w:tab w:val="clear" w:pos="736"/>
        <w:tab w:val="num" w:pos="360"/>
      </w:tabs>
      <w:suppressAutoHyphens w:val="0"/>
      <w:spacing w:before="240" w:after="120" w:line="276" w:lineRule="auto"/>
      <w:ind w:left="0" w:firstLine="0"/>
      <w:outlineLvl w:val="1"/>
    </w:pPr>
    <w:rPr>
      <w:rFonts w:ascii="Arial" w:eastAsiaTheme="minorEastAsia" w:hAnsi="Arial"/>
      <w:b/>
      <w:color w:val="auto"/>
      <w:sz w:val="28"/>
      <w:lang w:val="en-AU" w:eastAsia="en-AU"/>
    </w:rPr>
  </w:style>
  <w:style w:type="paragraph" w:customStyle="1" w:styleId="SchedH2">
    <w:name w:val="SchedH2"/>
    <w:basedOn w:val="Normal"/>
    <w:next w:val="Normal"/>
    <w:rsid w:val="00533537"/>
    <w:pPr>
      <w:keepNext/>
      <w:numPr>
        <w:ilvl w:val="2"/>
        <w:numId w:val="43"/>
      </w:numPr>
      <w:tabs>
        <w:tab w:val="clear" w:pos="736"/>
        <w:tab w:val="num" w:pos="360"/>
      </w:tabs>
      <w:suppressAutoHyphens w:val="0"/>
      <w:spacing w:after="120" w:line="276" w:lineRule="auto"/>
      <w:ind w:left="0" w:firstLine="0"/>
      <w:outlineLvl w:val="2"/>
    </w:pPr>
    <w:rPr>
      <w:rFonts w:ascii="Arial" w:eastAsiaTheme="minorEastAsia" w:hAnsi="Arial"/>
      <w:b/>
      <w:color w:val="auto"/>
      <w:lang w:val="en-AU" w:eastAsia="en-AU"/>
    </w:rPr>
  </w:style>
  <w:style w:type="paragraph" w:customStyle="1" w:styleId="SchedH2notnumbered">
    <w:name w:val="SchedH2 not numbered"/>
    <w:basedOn w:val="Normal"/>
    <w:qFormat/>
    <w:rsid w:val="00533537"/>
    <w:pPr>
      <w:widowControl w:val="0"/>
      <w:suppressAutoHyphens w:val="0"/>
      <w:spacing w:before="200" w:after="0" w:line="276" w:lineRule="auto"/>
      <w:outlineLvl w:val="1"/>
    </w:pPr>
    <w:rPr>
      <w:rFonts w:ascii="Arial" w:hAnsi="Arial" w:cs="Arial"/>
      <w:b/>
      <w:bCs/>
      <w:color w:val="404040" w:themeColor="text1" w:themeTint="BF"/>
      <w:lang w:eastAsia="en-GB"/>
    </w:rPr>
  </w:style>
  <w:style w:type="paragraph" w:customStyle="1" w:styleId="TableParagraph">
    <w:name w:val="Table Paragraph"/>
    <w:basedOn w:val="Normal"/>
    <w:uiPriority w:val="1"/>
    <w:qFormat/>
    <w:rsid w:val="00533537"/>
    <w:pPr>
      <w:widowControl w:val="0"/>
      <w:suppressAutoHyphens w:val="0"/>
      <w:autoSpaceDE w:val="0"/>
      <w:autoSpaceDN w:val="0"/>
      <w:spacing w:before="61" w:after="0" w:line="240" w:lineRule="auto"/>
    </w:pPr>
    <w:rPr>
      <w:rFonts w:ascii="Arial" w:eastAsia="Arial" w:hAnsi="Arial" w:cs="Arial"/>
      <w:color w:val="auto"/>
      <w:lang w:val="en-US"/>
    </w:rPr>
  </w:style>
  <w:style w:type="table" w:customStyle="1" w:styleId="epos-table1topbottom11">
    <w:name w:val="epos-table1 top bottom 11"/>
    <w:basedOn w:val="TableNormal"/>
    <w:next w:val="TableGrid"/>
    <w:uiPriority w:val="59"/>
    <w:locked/>
    <w:rsid w:val="00E52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525">
      <w:bodyDiv w:val="1"/>
      <w:marLeft w:val="0"/>
      <w:marRight w:val="0"/>
      <w:marTop w:val="0"/>
      <w:marBottom w:val="0"/>
      <w:divBdr>
        <w:top w:val="none" w:sz="0" w:space="0" w:color="auto"/>
        <w:left w:val="none" w:sz="0" w:space="0" w:color="auto"/>
        <w:bottom w:val="none" w:sz="0" w:space="0" w:color="auto"/>
        <w:right w:val="none" w:sz="0" w:space="0" w:color="auto"/>
      </w:divBdr>
    </w:div>
    <w:div w:id="35590431">
      <w:bodyDiv w:val="1"/>
      <w:marLeft w:val="0"/>
      <w:marRight w:val="0"/>
      <w:marTop w:val="0"/>
      <w:marBottom w:val="0"/>
      <w:divBdr>
        <w:top w:val="none" w:sz="0" w:space="0" w:color="auto"/>
        <w:left w:val="none" w:sz="0" w:space="0" w:color="auto"/>
        <w:bottom w:val="none" w:sz="0" w:space="0" w:color="auto"/>
        <w:right w:val="none" w:sz="0" w:space="0" w:color="auto"/>
      </w:divBdr>
    </w:div>
    <w:div w:id="94909785">
      <w:bodyDiv w:val="1"/>
      <w:marLeft w:val="0"/>
      <w:marRight w:val="0"/>
      <w:marTop w:val="0"/>
      <w:marBottom w:val="0"/>
      <w:divBdr>
        <w:top w:val="none" w:sz="0" w:space="0" w:color="auto"/>
        <w:left w:val="none" w:sz="0" w:space="0" w:color="auto"/>
        <w:bottom w:val="none" w:sz="0" w:space="0" w:color="auto"/>
        <w:right w:val="none" w:sz="0" w:space="0" w:color="auto"/>
      </w:divBdr>
    </w:div>
    <w:div w:id="98647271">
      <w:bodyDiv w:val="1"/>
      <w:marLeft w:val="0"/>
      <w:marRight w:val="0"/>
      <w:marTop w:val="0"/>
      <w:marBottom w:val="0"/>
      <w:divBdr>
        <w:top w:val="none" w:sz="0" w:space="0" w:color="auto"/>
        <w:left w:val="none" w:sz="0" w:space="0" w:color="auto"/>
        <w:bottom w:val="none" w:sz="0" w:space="0" w:color="auto"/>
        <w:right w:val="none" w:sz="0" w:space="0" w:color="auto"/>
      </w:divBdr>
    </w:div>
    <w:div w:id="134807780">
      <w:bodyDiv w:val="1"/>
      <w:marLeft w:val="0"/>
      <w:marRight w:val="0"/>
      <w:marTop w:val="0"/>
      <w:marBottom w:val="0"/>
      <w:divBdr>
        <w:top w:val="none" w:sz="0" w:space="0" w:color="auto"/>
        <w:left w:val="none" w:sz="0" w:space="0" w:color="auto"/>
        <w:bottom w:val="none" w:sz="0" w:space="0" w:color="auto"/>
        <w:right w:val="none" w:sz="0" w:space="0" w:color="auto"/>
      </w:divBdr>
    </w:div>
    <w:div w:id="179701998">
      <w:bodyDiv w:val="1"/>
      <w:marLeft w:val="0"/>
      <w:marRight w:val="0"/>
      <w:marTop w:val="0"/>
      <w:marBottom w:val="0"/>
      <w:divBdr>
        <w:top w:val="none" w:sz="0" w:space="0" w:color="auto"/>
        <w:left w:val="none" w:sz="0" w:space="0" w:color="auto"/>
        <w:bottom w:val="none" w:sz="0" w:space="0" w:color="auto"/>
        <w:right w:val="none" w:sz="0" w:space="0" w:color="auto"/>
      </w:divBdr>
    </w:div>
    <w:div w:id="236864963">
      <w:bodyDiv w:val="1"/>
      <w:marLeft w:val="0"/>
      <w:marRight w:val="0"/>
      <w:marTop w:val="0"/>
      <w:marBottom w:val="0"/>
      <w:divBdr>
        <w:top w:val="none" w:sz="0" w:space="0" w:color="auto"/>
        <w:left w:val="none" w:sz="0" w:space="0" w:color="auto"/>
        <w:bottom w:val="none" w:sz="0" w:space="0" w:color="auto"/>
        <w:right w:val="none" w:sz="0" w:space="0" w:color="auto"/>
      </w:divBdr>
    </w:div>
    <w:div w:id="248999867">
      <w:bodyDiv w:val="1"/>
      <w:marLeft w:val="0"/>
      <w:marRight w:val="0"/>
      <w:marTop w:val="0"/>
      <w:marBottom w:val="0"/>
      <w:divBdr>
        <w:top w:val="none" w:sz="0" w:space="0" w:color="auto"/>
        <w:left w:val="none" w:sz="0" w:space="0" w:color="auto"/>
        <w:bottom w:val="none" w:sz="0" w:space="0" w:color="auto"/>
        <w:right w:val="none" w:sz="0" w:space="0" w:color="auto"/>
      </w:divBdr>
    </w:div>
    <w:div w:id="257910790">
      <w:bodyDiv w:val="1"/>
      <w:marLeft w:val="0"/>
      <w:marRight w:val="0"/>
      <w:marTop w:val="0"/>
      <w:marBottom w:val="0"/>
      <w:divBdr>
        <w:top w:val="none" w:sz="0" w:space="0" w:color="auto"/>
        <w:left w:val="none" w:sz="0" w:space="0" w:color="auto"/>
        <w:bottom w:val="none" w:sz="0" w:space="0" w:color="auto"/>
        <w:right w:val="none" w:sz="0" w:space="0" w:color="auto"/>
      </w:divBdr>
    </w:div>
    <w:div w:id="315381761">
      <w:bodyDiv w:val="1"/>
      <w:marLeft w:val="0"/>
      <w:marRight w:val="0"/>
      <w:marTop w:val="0"/>
      <w:marBottom w:val="0"/>
      <w:divBdr>
        <w:top w:val="none" w:sz="0" w:space="0" w:color="auto"/>
        <w:left w:val="none" w:sz="0" w:space="0" w:color="auto"/>
        <w:bottom w:val="none" w:sz="0" w:space="0" w:color="auto"/>
        <w:right w:val="none" w:sz="0" w:space="0" w:color="auto"/>
      </w:divBdr>
    </w:div>
    <w:div w:id="327246487">
      <w:bodyDiv w:val="1"/>
      <w:marLeft w:val="0"/>
      <w:marRight w:val="0"/>
      <w:marTop w:val="0"/>
      <w:marBottom w:val="0"/>
      <w:divBdr>
        <w:top w:val="none" w:sz="0" w:space="0" w:color="auto"/>
        <w:left w:val="none" w:sz="0" w:space="0" w:color="auto"/>
        <w:bottom w:val="none" w:sz="0" w:space="0" w:color="auto"/>
        <w:right w:val="none" w:sz="0" w:space="0" w:color="auto"/>
      </w:divBdr>
      <w:divsChild>
        <w:div w:id="1556429025">
          <w:marLeft w:val="360"/>
          <w:marRight w:val="0"/>
          <w:marTop w:val="200"/>
          <w:marBottom w:val="0"/>
          <w:divBdr>
            <w:top w:val="none" w:sz="0" w:space="0" w:color="auto"/>
            <w:left w:val="none" w:sz="0" w:space="0" w:color="auto"/>
            <w:bottom w:val="none" w:sz="0" w:space="0" w:color="auto"/>
            <w:right w:val="none" w:sz="0" w:space="0" w:color="auto"/>
          </w:divBdr>
        </w:div>
        <w:div w:id="2105101717">
          <w:marLeft w:val="360"/>
          <w:marRight w:val="0"/>
          <w:marTop w:val="200"/>
          <w:marBottom w:val="0"/>
          <w:divBdr>
            <w:top w:val="none" w:sz="0" w:space="0" w:color="auto"/>
            <w:left w:val="none" w:sz="0" w:space="0" w:color="auto"/>
            <w:bottom w:val="none" w:sz="0" w:space="0" w:color="auto"/>
            <w:right w:val="none" w:sz="0" w:space="0" w:color="auto"/>
          </w:divBdr>
        </w:div>
        <w:div w:id="1728604050">
          <w:marLeft w:val="360"/>
          <w:marRight w:val="0"/>
          <w:marTop w:val="200"/>
          <w:marBottom w:val="0"/>
          <w:divBdr>
            <w:top w:val="none" w:sz="0" w:space="0" w:color="auto"/>
            <w:left w:val="none" w:sz="0" w:space="0" w:color="auto"/>
            <w:bottom w:val="none" w:sz="0" w:space="0" w:color="auto"/>
            <w:right w:val="none" w:sz="0" w:space="0" w:color="auto"/>
          </w:divBdr>
        </w:div>
        <w:div w:id="1702898485">
          <w:marLeft w:val="360"/>
          <w:marRight w:val="0"/>
          <w:marTop w:val="200"/>
          <w:marBottom w:val="0"/>
          <w:divBdr>
            <w:top w:val="none" w:sz="0" w:space="0" w:color="auto"/>
            <w:left w:val="none" w:sz="0" w:space="0" w:color="auto"/>
            <w:bottom w:val="none" w:sz="0" w:space="0" w:color="auto"/>
            <w:right w:val="none" w:sz="0" w:space="0" w:color="auto"/>
          </w:divBdr>
        </w:div>
        <w:div w:id="413405776">
          <w:marLeft w:val="360"/>
          <w:marRight w:val="0"/>
          <w:marTop w:val="200"/>
          <w:marBottom w:val="0"/>
          <w:divBdr>
            <w:top w:val="none" w:sz="0" w:space="0" w:color="auto"/>
            <w:left w:val="none" w:sz="0" w:space="0" w:color="auto"/>
            <w:bottom w:val="none" w:sz="0" w:space="0" w:color="auto"/>
            <w:right w:val="none" w:sz="0" w:space="0" w:color="auto"/>
          </w:divBdr>
        </w:div>
      </w:divsChild>
    </w:div>
    <w:div w:id="337268148">
      <w:bodyDiv w:val="1"/>
      <w:marLeft w:val="0"/>
      <w:marRight w:val="0"/>
      <w:marTop w:val="0"/>
      <w:marBottom w:val="0"/>
      <w:divBdr>
        <w:top w:val="none" w:sz="0" w:space="0" w:color="auto"/>
        <w:left w:val="none" w:sz="0" w:space="0" w:color="auto"/>
        <w:bottom w:val="none" w:sz="0" w:space="0" w:color="auto"/>
        <w:right w:val="none" w:sz="0" w:space="0" w:color="auto"/>
      </w:divBdr>
    </w:div>
    <w:div w:id="433407701">
      <w:bodyDiv w:val="1"/>
      <w:marLeft w:val="0"/>
      <w:marRight w:val="0"/>
      <w:marTop w:val="0"/>
      <w:marBottom w:val="0"/>
      <w:divBdr>
        <w:top w:val="none" w:sz="0" w:space="0" w:color="auto"/>
        <w:left w:val="none" w:sz="0" w:space="0" w:color="auto"/>
        <w:bottom w:val="none" w:sz="0" w:space="0" w:color="auto"/>
        <w:right w:val="none" w:sz="0" w:space="0" w:color="auto"/>
      </w:divBdr>
      <w:divsChild>
        <w:div w:id="942570385">
          <w:marLeft w:val="360"/>
          <w:marRight w:val="0"/>
          <w:marTop w:val="200"/>
          <w:marBottom w:val="0"/>
          <w:divBdr>
            <w:top w:val="none" w:sz="0" w:space="0" w:color="auto"/>
            <w:left w:val="none" w:sz="0" w:space="0" w:color="auto"/>
            <w:bottom w:val="none" w:sz="0" w:space="0" w:color="auto"/>
            <w:right w:val="none" w:sz="0" w:space="0" w:color="auto"/>
          </w:divBdr>
        </w:div>
        <w:div w:id="1505781356">
          <w:marLeft w:val="360"/>
          <w:marRight w:val="0"/>
          <w:marTop w:val="200"/>
          <w:marBottom w:val="0"/>
          <w:divBdr>
            <w:top w:val="none" w:sz="0" w:space="0" w:color="auto"/>
            <w:left w:val="none" w:sz="0" w:space="0" w:color="auto"/>
            <w:bottom w:val="none" w:sz="0" w:space="0" w:color="auto"/>
            <w:right w:val="none" w:sz="0" w:space="0" w:color="auto"/>
          </w:divBdr>
        </w:div>
        <w:div w:id="1239636490">
          <w:marLeft w:val="360"/>
          <w:marRight w:val="0"/>
          <w:marTop w:val="200"/>
          <w:marBottom w:val="0"/>
          <w:divBdr>
            <w:top w:val="none" w:sz="0" w:space="0" w:color="auto"/>
            <w:left w:val="none" w:sz="0" w:space="0" w:color="auto"/>
            <w:bottom w:val="none" w:sz="0" w:space="0" w:color="auto"/>
            <w:right w:val="none" w:sz="0" w:space="0" w:color="auto"/>
          </w:divBdr>
        </w:div>
        <w:div w:id="1569724432">
          <w:marLeft w:val="360"/>
          <w:marRight w:val="0"/>
          <w:marTop w:val="200"/>
          <w:marBottom w:val="0"/>
          <w:divBdr>
            <w:top w:val="none" w:sz="0" w:space="0" w:color="auto"/>
            <w:left w:val="none" w:sz="0" w:space="0" w:color="auto"/>
            <w:bottom w:val="none" w:sz="0" w:space="0" w:color="auto"/>
            <w:right w:val="none" w:sz="0" w:space="0" w:color="auto"/>
          </w:divBdr>
        </w:div>
        <w:div w:id="1924484313">
          <w:marLeft w:val="360"/>
          <w:marRight w:val="0"/>
          <w:marTop w:val="200"/>
          <w:marBottom w:val="0"/>
          <w:divBdr>
            <w:top w:val="none" w:sz="0" w:space="0" w:color="auto"/>
            <w:left w:val="none" w:sz="0" w:space="0" w:color="auto"/>
            <w:bottom w:val="none" w:sz="0" w:space="0" w:color="auto"/>
            <w:right w:val="none" w:sz="0" w:space="0" w:color="auto"/>
          </w:divBdr>
        </w:div>
        <w:div w:id="1384598602">
          <w:marLeft w:val="360"/>
          <w:marRight w:val="0"/>
          <w:marTop w:val="200"/>
          <w:marBottom w:val="0"/>
          <w:divBdr>
            <w:top w:val="none" w:sz="0" w:space="0" w:color="auto"/>
            <w:left w:val="none" w:sz="0" w:space="0" w:color="auto"/>
            <w:bottom w:val="none" w:sz="0" w:space="0" w:color="auto"/>
            <w:right w:val="none" w:sz="0" w:space="0" w:color="auto"/>
          </w:divBdr>
        </w:div>
        <w:div w:id="1372916939">
          <w:marLeft w:val="360"/>
          <w:marRight w:val="0"/>
          <w:marTop w:val="200"/>
          <w:marBottom w:val="0"/>
          <w:divBdr>
            <w:top w:val="none" w:sz="0" w:space="0" w:color="auto"/>
            <w:left w:val="none" w:sz="0" w:space="0" w:color="auto"/>
            <w:bottom w:val="none" w:sz="0" w:space="0" w:color="auto"/>
            <w:right w:val="none" w:sz="0" w:space="0" w:color="auto"/>
          </w:divBdr>
        </w:div>
        <w:div w:id="350112441">
          <w:marLeft w:val="360"/>
          <w:marRight w:val="0"/>
          <w:marTop w:val="200"/>
          <w:marBottom w:val="0"/>
          <w:divBdr>
            <w:top w:val="none" w:sz="0" w:space="0" w:color="auto"/>
            <w:left w:val="none" w:sz="0" w:space="0" w:color="auto"/>
            <w:bottom w:val="none" w:sz="0" w:space="0" w:color="auto"/>
            <w:right w:val="none" w:sz="0" w:space="0" w:color="auto"/>
          </w:divBdr>
        </w:div>
        <w:div w:id="1250651727">
          <w:marLeft w:val="1080"/>
          <w:marRight w:val="0"/>
          <w:marTop w:val="100"/>
          <w:marBottom w:val="0"/>
          <w:divBdr>
            <w:top w:val="none" w:sz="0" w:space="0" w:color="auto"/>
            <w:left w:val="none" w:sz="0" w:space="0" w:color="auto"/>
            <w:bottom w:val="none" w:sz="0" w:space="0" w:color="auto"/>
            <w:right w:val="none" w:sz="0" w:space="0" w:color="auto"/>
          </w:divBdr>
        </w:div>
        <w:div w:id="1354500184">
          <w:marLeft w:val="1080"/>
          <w:marRight w:val="0"/>
          <w:marTop w:val="100"/>
          <w:marBottom w:val="0"/>
          <w:divBdr>
            <w:top w:val="none" w:sz="0" w:space="0" w:color="auto"/>
            <w:left w:val="none" w:sz="0" w:space="0" w:color="auto"/>
            <w:bottom w:val="none" w:sz="0" w:space="0" w:color="auto"/>
            <w:right w:val="none" w:sz="0" w:space="0" w:color="auto"/>
          </w:divBdr>
        </w:div>
        <w:div w:id="237595416">
          <w:marLeft w:val="1080"/>
          <w:marRight w:val="0"/>
          <w:marTop w:val="100"/>
          <w:marBottom w:val="0"/>
          <w:divBdr>
            <w:top w:val="none" w:sz="0" w:space="0" w:color="auto"/>
            <w:left w:val="none" w:sz="0" w:space="0" w:color="auto"/>
            <w:bottom w:val="none" w:sz="0" w:space="0" w:color="auto"/>
            <w:right w:val="none" w:sz="0" w:space="0" w:color="auto"/>
          </w:divBdr>
        </w:div>
      </w:divsChild>
    </w:div>
    <w:div w:id="438069056">
      <w:bodyDiv w:val="1"/>
      <w:marLeft w:val="0"/>
      <w:marRight w:val="0"/>
      <w:marTop w:val="0"/>
      <w:marBottom w:val="0"/>
      <w:divBdr>
        <w:top w:val="none" w:sz="0" w:space="0" w:color="auto"/>
        <w:left w:val="none" w:sz="0" w:space="0" w:color="auto"/>
        <w:bottom w:val="none" w:sz="0" w:space="0" w:color="auto"/>
        <w:right w:val="none" w:sz="0" w:space="0" w:color="auto"/>
      </w:divBdr>
    </w:div>
    <w:div w:id="469056155">
      <w:bodyDiv w:val="1"/>
      <w:marLeft w:val="0"/>
      <w:marRight w:val="0"/>
      <w:marTop w:val="0"/>
      <w:marBottom w:val="0"/>
      <w:divBdr>
        <w:top w:val="none" w:sz="0" w:space="0" w:color="auto"/>
        <w:left w:val="none" w:sz="0" w:space="0" w:color="auto"/>
        <w:bottom w:val="none" w:sz="0" w:space="0" w:color="auto"/>
        <w:right w:val="none" w:sz="0" w:space="0" w:color="auto"/>
      </w:divBdr>
    </w:div>
    <w:div w:id="487743758">
      <w:bodyDiv w:val="1"/>
      <w:marLeft w:val="0"/>
      <w:marRight w:val="0"/>
      <w:marTop w:val="0"/>
      <w:marBottom w:val="0"/>
      <w:divBdr>
        <w:top w:val="none" w:sz="0" w:space="0" w:color="auto"/>
        <w:left w:val="none" w:sz="0" w:space="0" w:color="auto"/>
        <w:bottom w:val="none" w:sz="0" w:space="0" w:color="auto"/>
        <w:right w:val="none" w:sz="0" w:space="0" w:color="auto"/>
      </w:divBdr>
    </w:div>
    <w:div w:id="615407960">
      <w:bodyDiv w:val="1"/>
      <w:marLeft w:val="0"/>
      <w:marRight w:val="0"/>
      <w:marTop w:val="0"/>
      <w:marBottom w:val="0"/>
      <w:divBdr>
        <w:top w:val="none" w:sz="0" w:space="0" w:color="auto"/>
        <w:left w:val="none" w:sz="0" w:space="0" w:color="auto"/>
        <w:bottom w:val="none" w:sz="0" w:space="0" w:color="auto"/>
        <w:right w:val="none" w:sz="0" w:space="0" w:color="auto"/>
      </w:divBdr>
    </w:div>
    <w:div w:id="640352854">
      <w:bodyDiv w:val="1"/>
      <w:marLeft w:val="0"/>
      <w:marRight w:val="0"/>
      <w:marTop w:val="0"/>
      <w:marBottom w:val="0"/>
      <w:divBdr>
        <w:top w:val="none" w:sz="0" w:space="0" w:color="auto"/>
        <w:left w:val="none" w:sz="0" w:space="0" w:color="auto"/>
        <w:bottom w:val="none" w:sz="0" w:space="0" w:color="auto"/>
        <w:right w:val="none" w:sz="0" w:space="0" w:color="auto"/>
      </w:divBdr>
    </w:div>
    <w:div w:id="643513141">
      <w:bodyDiv w:val="1"/>
      <w:marLeft w:val="0"/>
      <w:marRight w:val="0"/>
      <w:marTop w:val="0"/>
      <w:marBottom w:val="0"/>
      <w:divBdr>
        <w:top w:val="none" w:sz="0" w:space="0" w:color="auto"/>
        <w:left w:val="none" w:sz="0" w:space="0" w:color="auto"/>
        <w:bottom w:val="none" w:sz="0" w:space="0" w:color="auto"/>
        <w:right w:val="none" w:sz="0" w:space="0" w:color="auto"/>
      </w:divBdr>
    </w:div>
    <w:div w:id="656033437">
      <w:bodyDiv w:val="1"/>
      <w:marLeft w:val="0"/>
      <w:marRight w:val="0"/>
      <w:marTop w:val="0"/>
      <w:marBottom w:val="0"/>
      <w:divBdr>
        <w:top w:val="none" w:sz="0" w:space="0" w:color="auto"/>
        <w:left w:val="none" w:sz="0" w:space="0" w:color="auto"/>
        <w:bottom w:val="none" w:sz="0" w:space="0" w:color="auto"/>
        <w:right w:val="none" w:sz="0" w:space="0" w:color="auto"/>
      </w:divBdr>
    </w:div>
    <w:div w:id="672297390">
      <w:bodyDiv w:val="1"/>
      <w:marLeft w:val="0"/>
      <w:marRight w:val="0"/>
      <w:marTop w:val="0"/>
      <w:marBottom w:val="0"/>
      <w:divBdr>
        <w:top w:val="none" w:sz="0" w:space="0" w:color="auto"/>
        <w:left w:val="none" w:sz="0" w:space="0" w:color="auto"/>
        <w:bottom w:val="none" w:sz="0" w:space="0" w:color="auto"/>
        <w:right w:val="none" w:sz="0" w:space="0" w:color="auto"/>
      </w:divBdr>
    </w:div>
    <w:div w:id="690882342">
      <w:bodyDiv w:val="1"/>
      <w:marLeft w:val="0"/>
      <w:marRight w:val="0"/>
      <w:marTop w:val="0"/>
      <w:marBottom w:val="0"/>
      <w:divBdr>
        <w:top w:val="none" w:sz="0" w:space="0" w:color="auto"/>
        <w:left w:val="none" w:sz="0" w:space="0" w:color="auto"/>
        <w:bottom w:val="none" w:sz="0" w:space="0" w:color="auto"/>
        <w:right w:val="none" w:sz="0" w:space="0" w:color="auto"/>
      </w:divBdr>
    </w:div>
    <w:div w:id="706489868">
      <w:bodyDiv w:val="1"/>
      <w:marLeft w:val="0"/>
      <w:marRight w:val="0"/>
      <w:marTop w:val="0"/>
      <w:marBottom w:val="0"/>
      <w:divBdr>
        <w:top w:val="none" w:sz="0" w:space="0" w:color="auto"/>
        <w:left w:val="none" w:sz="0" w:space="0" w:color="auto"/>
        <w:bottom w:val="none" w:sz="0" w:space="0" w:color="auto"/>
        <w:right w:val="none" w:sz="0" w:space="0" w:color="auto"/>
      </w:divBdr>
    </w:div>
    <w:div w:id="731541596">
      <w:bodyDiv w:val="1"/>
      <w:marLeft w:val="0"/>
      <w:marRight w:val="0"/>
      <w:marTop w:val="0"/>
      <w:marBottom w:val="0"/>
      <w:divBdr>
        <w:top w:val="none" w:sz="0" w:space="0" w:color="auto"/>
        <w:left w:val="none" w:sz="0" w:space="0" w:color="auto"/>
        <w:bottom w:val="none" w:sz="0" w:space="0" w:color="auto"/>
        <w:right w:val="none" w:sz="0" w:space="0" w:color="auto"/>
      </w:divBdr>
    </w:div>
    <w:div w:id="745148311">
      <w:bodyDiv w:val="1"/>
      <w:marLeft w:val="0"/>
      <w:marRight w:val="0"/>
      <w:marTop w:val="0"/>
      <w:marBottom w:val="0"/>
      <w:divBdr>
        <w:top w:val="none" w:sz="0" w:space="0" w:color="auto"/>
        <w:left w:val="none" w:sz="0" w:space="0" w:color="auto"/>
        <w:bottom w:val="none" w:sz="0" w:space="0" w:color="auto"/>
        <w:right w:val="none" w:sz="0" w:space="0" w:color="auto"/>
      </w:divBdr>
    </w:div>
    <w:div w:id="826937824">
      <w:bodyDiv w:val="1"/>
      <w:marLeft w:val="0"/>
      <w:marRight w:val="0"/>
      <w:marTop w:val="0"/>
      <w:marBottom w:val="0"/>
      <w:divBdr>
        <w:top w:val="none" w:sz="0" w:space="0" w:color="auto"/>
        <w:left w:val="none" w:sz="0" w:space="0" w:color="auto"/>
        <w:bottom w:val="none" w:sz="0" w:space="0" w:color="auto"/>
        <w:right w:val="none" w:sz="0" w:space="0" w:color="auto"/>
      </w:divBdr>
    </w:div>
    <w:div w:id="867303506">
      <w:bodyDiv w:val="1"/>
      <w:marLeft w:val="0"/>
      <w:marRight w:val="0"/>
      <w:marTop w:val="0"/>
      <w:marBottom w:val="0"/>
      <w:divBdr>
        <w:top w:val="none" w:sz="0" w:space="0" w:color="auto"/>
        <w:left w:val="none" w:sz="0" w:space="0" w:color="auto"/>
        <w:bottom w:val="none" w:sz="0" w:space="0" w:color="auto"/>
        <w:right w:val="none" w:sz="0" w:space="0" w:color="auto"/>
      </w:divBdr>
    </w:div>
    <w:div w:id="913899728">
      <w:bodyDiv w:val="1"/>
      <w:marLeft w:val="0"/>
      <w:marRight w:val="0"/>
      <w:marTop w:val="0"/>
      <w:marBottom w:val="0"/>
      <w:divBdr>
        <w:top w:val="none" w:sz="0" w:space="0" w:color="auto"/>
        <w:left w:val="none" w:sz="0" w:space="0" w:color="auto"/>
        <w:bottom w:val="none" w:sz="0" w:space="0" w:color="auto"/>
        <w:right w:val="none" w:sz="0" w:space="0" w:color="auto"/>
      </w:divBdr>
    </w:div>
    <w:div w:id="985281737">
      <w:bodyDiv w:val="1"/>
      <w:marLeft w:val="0"/>
      <w:marRight w:val="0"/>
      <w:marTop w:val="0"/>
      <w:marBottom w:val="0"/>
      <w:divBdr>
        <w:top w:val="none" w:sz="0" w:space="0" w:color="auto"/>
        <w:left w:val="none" w:sz="0" w:space="0" w:color="auto"/>
        <w:bottom w:val="none" w:sz="0" w:space="0" w:color="auto"/>
        <w:right w:val="none" w:sz="0" w:space="0" w:color="auto"/>
      </w:divBdr>
    </w:div>
    <w:div w:id="994606639">
      <w:bodyDiv w:val="1"/>
      <w:marLeft w:val="0"/>
      <w:marRight w:val="0"/>
      <w:marTop w:val="0"/>
      <w:marBottom w:val="0"/>
      <w:divBdr>
        <w:top w:val="none" w:sz="0" w:space="0" w:color="auto"/>
        <w:left w:val="none" w:sz="0" w:space="0" w:color="auto"/>
        <w:bottom w:val="none" w:sz="0" w:space="0" w:color="auto"/>
        <w:right w:val="none" w:sz="0" w:space="0" w:color="auto"/>
      </w:divBdr>
    </w:div>
    <w:div w:id="1024945839">
      <w:bodyDiv w:val="1"/>
      <w:marLeft w:val="0"/>
      <w:marRight w:val="0"/>
      <w:marTop w:val="0"/>
      <w:marBottom w:val="0"/>
      <w:divBdr>
        <w:top w:val="none" w:sz="0" w:space="0" w:color="auto"/>
        <w:left w:val="none" w:sz="0" w:space="0" w:color="auto"/>
        <w:bottom w:val="none" w:sz="0" w:space="0" w:color="auto"/>
        <w:right w:val="none" w:sz="0" w:space="0" w:color="auto"/>
      </w:divBdr>
    </w:div>
    <w:div w:id="1082484127">
      <w:bodyDiv w:val="1"/>
      <w:marLeft w:val="0"/>
      <w:marRight w:val="0"/>
      <w:marTop w:val="0"/>
      <w:marBottom w:val="0"/>
      <w:divBdr>
        <w:top w:val="none" w:sz="0" w:space="0" w:color="auto"/>
        <w:left w:val="none" w:sz="0" w:space="0" w:color="auto"/>
        <w:bottom w:val="none" w:sz="0" w:space="0" w:color="auto"/>
        <w:right w:val="none" w:sz="0" w:space="0" w:color="auto"/>
      </w:divBdr>
    </w:div>
    <w:div w:id="1137453783">
      <w:bodyDiv w:val="1"/>
      <w:marLeft w:val="0"/>
      <w:marRight w:val="0"/>
      <w:marTop w:val="0"/>
      <w:marBottom w:val="0"/>
      <w:divBdr>
        <w:top w:val="none" w:sz="0" w:space="0" w:color="auto"/>
        <w:left w:val="none" w:sz="0" w:space="0" w:color="auto"/>
        <w:bottom w:val="none" w:sz="0" w:space="0" w:color="auto"/>
        <w:right w:val="none" w:sz="0" w:space="0" w:color="auto"/>
      </w:divBdr>
    </w:div>
    <w:div w:id="1174689717">
      <w:bodyDiv w:val="1"/>
      <w:marLeft w:val="0"/>
      <w:marRight w:val="0"/>
      <w:marTop w:val="0"/>
      <w:marBottom w:val="0"/>
      <w:divBdr>
        <w:top w:val="none" w:sz="0" w:space="0" w:color="auto"/>
        <w:left w:val="none" w:sz="0" w:space="0" w:color="auto"/>
        <w:bottom w:val="none" w:sz="0" w:space="0" w:color="auto"/>
        <w:right w:val="none" w:sz="0" w:space="0" w:color="auto"/>
      </w:divBdr>
    </w:div>
    <w:div w:id="1178618214">
      <w:bodyDiv w:val="1"/>
      <w:marLeft w:val="0"/>
      <w:marRight w:val="0"/>
      <w:marTop w:val="0"/>
      <w:marBottom w:val="0"/>
      <w:divBdr>
        <w:top w:val="none" w:sz="0" w:space="0" w:color="auto"/>
        <w:left w:val="none" w:sz="0" w:space="0" w:color="auto"/>
        <w:bottom w:val="none" w:sz="0" w:space="0" w:color="auto"/>
        <w:right w:val="none" w:sz="0" w:space="0" w:color="auto"/>
      </w:divBdr>
    </w:div>
    <w:div w:id="1217621818">
      <w:bodyDiv w:val="1"/>
      <w:marLeft w:val="0"/>
      <w:marRight w:val="0"/>
      <w:marTop w:val="0"/>
      <w:marBottom w:val="0"/>
      <w:divBdr>
        <w:top w:val="none" w:sz="0" w:space="0" w:color="auto"/>
        <w:left w:val="none" w:sz="0" w:space="0" w:color="auto"/>
        <w:bottom w:val="none" w:sz="0" w:space="0" w:color="auto"/>
        <w:right w:val="none" w:sz="0" w:space="0" w:color="auto"/>
      </w:divBdr>
    </w:div>
    <w:div w:id="1227373120">
      <w:bodyDiv w:val="1"/>
      <w:marLeft w:val="0"/>
      <w:marRight w:val="0"/>
      <w:marTop w:val="0"/>
      <w:marBottom w:val="0"/>
      <w:divBdr>
        <w:top w:val="none" w:sz="0" w:space="0" w:color="auto"/>
        <w:left w:val="none" w:sz="0" w:space="0" w:color="auto"/>
        <w:bottom w:val="none" w:sz="0" w:space="0" w:color="auto"/>
        <w:right w:val="none" w:sz="0" w:space="0" w:color="auto"/>
      </w:divBdr>
    </w:div>
    <w:div w:id="1238132926">
      <w:bodyDiv w:val="1"/>
      <w:marLeft w:val="0"/>
      <w:marRight w:val="0"/>
      <w:marTop w:val="0"/>
      <w:marBottom w:val="0"/>
      <w:divBdr>
        <w:top w:val="none" w:sz="0" w:space="0" w:color="auto"/>
        <w:left w:val="none" w:sz="0" w:space="0" w:color="auto"/>
        <w:bottom w:val="none" w:sz="0" w:space="0" w:color="auto"/>
        <w:right w:val="none" w:sz="0" w:space="0" w:color="auto"/>
      </w:divBdr>
    </w:div>
    <w:div w:id="1246960408">
      <w:bodyDiv w:val="1"/>
      <w:marLeft w:val="0"/>
      <w:marRight w:val="0"/>
      <w:marTop w:val="0"/>
      <w:marBottom w:val="0"/>
      <w:divBdr>
        <w:top w:val="none" w:sz="0" w:space="0" w:color="auto"/>
        <w:left w:val="none" w:sz="0" w:space="0" w:color="auto"/>
        <w:bottom w:val="none" w:sz="0" w:space="0" w:color="auto"/>
        <w:right w:val="none" w:sz="0" w:space="0" w:color="auto"/>
      </w:divBdr>
    </w:div>
    <w:div w:id="1268541301">
      <w:bodyDiv w:val="1"/>
      <w:marLeft w:val="0"/>
      <w:marRight w:val="0"/>
      <w:marTop w:val="0"/>
      <w:marBottom w:val="0"/>
      <w:divBdr>
        <w:top w:val="none" w:sz="0" w:space="0" w:color="auto"/>
        <w:left w:val="none" w:sz="0" w:space="0" w:color="auto"/>
        <w:bottom w:val="none" w:sz="0" w:space="0" w:color="auto"/>
        <w:right w:val="none" w:sz="0" w:space="0" w:color="auto"/>
      </w:divBdr>
    </w:div>
    <w:div w:id="1283533988">
      <w:bodyDiv w:val="1"/>
      <w:marLeft w:val="0"/>
      <w:marRight w:val="0"/>
      <w:marTop w:val="0"/>
      <w:marBottom w:val="0"/>
      <w:divBdr>
        <w:top w:val="none" w:sz="0" w:space="0" w:color="auto"/>
        <w:left w:val="none" w:sz="0" w:space="0" w:color="auto"/>
        <w:bottom w:val="none" w:sz="0" w:space="0" w:color="auto"/>
        <w:right w:val="none" w:sz="0" w:space="0" w:color="auto"/>
      </w:divBdr>
    </w:div>
    <w:div w:id="1357730813">
      <w:bodyDiv w:val="1"/>
      <w:marLeft w:val="0"/>
      <w:marRight w:val="0"/>
      <w:marTop w:val="0"/>
      <w:marBottom w:val="0"/>
      <w:divBdr>
        <w:top w:val="none" w:sz="0" w:space="0" w:color="auto"/>
        <w:left w:val="none" w:sz="0" w:space="0" w:color="auto"/>
        <w:bottom w:val="none" w:sz="0" w:space="0" w:color="auto"/>
        <w:right w:val="none" w:sz="0" w:space="0" w:color="auto"/>
      </w:divBdr>
    </w:div>
    <w:div w:id="1384019527">
      <w:bodyDiv w:val="1"/>
      <w:marLeft w:val="0"/>
      <w:marRight w:val="0"/>
      <w:marTop w:val="0"/>
      <w:marBottom w:val="0"/>
      <w:divBdr>
        <w:top w:val="none" w:sz="0" w:space="0" w:color="auto"/>
        <w:left w:val="none" w:sz="0" w:space="0" w:color="auto"/>
        <w:bottom w:val="none" w:sz="0" w:space="0" w:color="auto"/>
        <w:right w:val="none" w:sz="0" w:space="0" w:color="auto"/>
      </w:divBdr>
    </w:div>
    <w:div w:id="1414663561">
      <w:bodyDiv w:val="1"/>
      <w:marLeft w:val="0"/>
      <w:marRight w:val="0"/>
      <w:marTop w:val="0"/>
      <w:marBottom w:val="0"/>
      <w:divBdr>
        <w:top w:val="none" w:sz="0" w:space="0" w:color="auto"/>
        <w:left w:val="none" w:sz="0" w:space="0" w:color="auto"/>
        <w:bottom w:val="none" w:sz="0" w:space="0" w:color="auto"/>
        <w:right w:val="none" w:sz="0" w:space="0" w:color="auto"/>
      </w:divBdr>
    </w:div>
    <w:div w:id="1422919441">
      <w:bodyDiv w:val="1"/>
      <w:marLeft w:val="0"/>
      <w:marRight w:val="0"/>
      <w:marTop w:val="0"/>
      <w:marBottom w:val="0"/>
      <w:divBdr>
        <w:top w:val="none" w:sz="0" w:space="0" w:color="auto"/>
        <w:left w:val="none" w:sz="0" w:space="0" w:color="auto"/>
        <w:bottom w:val="none" w:sz="0" w:space="0" w:color="auto"/>
        <w:right w:val="none" w:sz="0" w:space="0" w:color="auto"/>
      </w:divBdr>
    </w:div>
    <w:div w:id="1542008947">
      <w:bodyDiv w:val="1"/>
      <w:marLeft w:val="0"/>
      <w:marRight w:val="0"/>
      <w:marTop w:val="0"/>
      <w:marBottom w:val="0"/>
      <w:divBdr>
        <w:top w:val="none" w:sz="0" w:space="0" w:color="auto"/>
        <w:left w:val="none" w:sz="0" w:space="0" w:color="auto"/>
        <w:bottom w:val="none" w:sz="0" w:space="0" w:color="auto"/>
        <w:right w:val="none" w:sz="0" w:space="0" w:color="auto"/>
      </w:divBdr>
    </w:div>
    <w:div w:id="1596786826">
      <w:bodyDiv w:val="1"/>
      <w:marLeft w:val="0"/>
      <w:marRight w:val="0"/>
      <w:marTop w:val="0"/>
      <w:marBottom w:val="0"/>
      <w:divBdr>
        <w:top w:val="none" w:sz="0" w:space="0" w:color="auto"/>
        <w:left w:val="none" w:sz="0" w:space="0" w:color="auto"/>
        <w:bottom w:val="none" w:sz="0" w:space="0" w:color="auto"/>
        <w:right w:val="none" w:sz="0" w:space="0" w:color="auto"/>
      </w:divBdr>
    </w:div>
    <w:div w:id="1604337264">
      <w:bodyDiv w:val="1"/>
      <w:marLeft w:val="0"/>
      <w:marRight w:val="0"/>
      <w:marTop w:val="0"/>
      <w:marBottom w:val="0"/>
      <w:divBdr>
        <w:top w:val="none" w:sz="0" w:space="0" w:color="auto"/>
        <w:left w:val="none" w:sz="0" w:space="0" w:color="auto"/>
        <w:bottom w:val="none" w:sz="0" w:space="0" w:color="auto"/>
        <w:right w:val="none" w:sz="0" w:space="0" w:color="auto"/>
      </w:divBdr>
    </w:div>
    <w:div w:id="1654530531">
      <w:bodyDiv w:val="1"/>
      <w:marLeft w:val="0"/>
      <w:marRight w:val="0"/>
      <w:marTop w:val="0"/>
      <w:marBottom w:val="0"/>
      <w:divBdr>
        <w:top w:val="none" w:sz="0" w:space="0" w:color="auto"/>
        <w:left w:val="none" w:sz="0" w:space="0" w:color="auto"/>
        <w:bottom w:val="none" w:sz="0" w:space="0" w:color="auto"/>
        <w:right w:val="none" w:sz="0" w:space="0" w:color="auto"/>
      </w:divBdr>
    </w:div>
    <w:div w:id="1695960927">
      <w:bodyDiv w:val="1"/>
      <w:marLeft w:val="0"/>
      <w:marRight w:val="0"/>
      <w:marTop w:val="0"/>
      <w:marBottom w:val="0"/>
      <w:divBdr>
        <w:top w:val="none" w:sz="0" w:space="0" w:color="auto"/>
        <w:left w:val="none" w:sz="0" w:space="0" w:color="auto"/>
        <w:bottom w:val="none" w:sz="0" w:space="0" w:color="auto"/>
        <w:right w:val="none" w:sz="0" w:space="0" w:color="auto"/>
      </w:divBdr>
      <w:divsChild>
        <w:div w:id="343020468">
          <w:marLeft w:val="360"/>
          <w:marRight w:val="0"/>
          <w:marTop w:val="200"/>
          <w:marBottom w:val="0"/>
          <w:divBdr>
            <w:top w:val="none" w:sz="0" w:space="0" w:color="auto"/>
            <w:left w:val="none" w:sz="0" w:space="0" w:color="auto"/>
            <w:bottom w:val="none" w:sz="0" w:space="0" w:color="auto"/>
            <w:right w:val="none" w:sz="0" w:space="0" w:color="auto"/>
          </w:divBdr>
        </w:div>
        <w:div w:id="902905848">
          <w:marLeft w:val="360"/>
          <w:marRight w:val="0"/>
          <w:marTop w:val="200"/>
          <w:marBottom w:val="0"/>
          <w:divBdr>
            <w:top w:val="none" w:sz="0" w:space="0" w:color="auto"/>
            <w:left w:val="none" w:sz="0" w:space="0" w:color="auto"/>
            <w:bottom w:val="none" w:sz="0" w:space="0" w:color="auto"/>
            <w:right w:val="none" w:sz="0" w:space="0" w:color="auto"/>
          </w:divBdr>
        </w:div>
        <w:div w:id="1445734774">
          <w:marLeft w:val="360"/>
          <w:marRight w:val="0"/>
          <w:marTop w:val="200"/>
          <w:marBottom w:val="0"/>
          <w:divBdr>
            <w:top w:val="none" w:sz="0" w:space="0" w:color="auto"/>
            <w:left w:val="none" w:sz="0" w:space="0" w:color="auto"/>
            <w:bottom w:val="none" w:sz="0" w:space="0" w:color="auto"/>
            <w:right w:val="none" w:sz="0" w:space="0" w:color="auto"/>
          </w:divBdr>
        </w:div>
        <w:div w:id="130834643">
          <w:marLeft w:val="360"/>
          <w:marRight w:val="0"/>
          <w:marTop w:val="200"/>
          <w:marBottom w:val="0"/>
          <w:divBdr>
            <w:top w:val="none" w:sz="0" w:space="0" w:color="auto"/>
            <w:left w:val="none" w:sz="0" w:space="0" w:color="auto"/>
            <w:bottom w:val="none" w:sz="0" w:space="0" w:color="auto"/>
            <w:right w:val="none" w:sz="0" w:space="0" w:color="auto"/>
          </w:divBdr>
        </w:div>
        <w:div w:id="193154639">
          <w:marLeft w:val="360"/>
          <w:marRight w:val="0"/>
          <w:marTop w:val="200"/>
          <w:marBottom w:val="0"/>
          <w:divBdr>
            <w:top w:val="none" w:sz="0" w:space="0" w:color="auto"/>
            <w:left w:val="none" w:sz="0" w:space="0" w:color="auto"/>
            <w:bottom w:val="none" w:sz="0" w:space="0" w:color="auto"/>
            <w:right w:val="none" w:sz="0" w:space="0" w:color="auto"/>
          </w:divBdr>
        </w:div>
        <w:div w:id="242498643">
          <w:marLeft w:val="360"/>
          <w:marRight w:val="0"/>
          <w:marTop w:val="200"/>
          <w:marBottom w:val="0"/>
          <w:divBdr>
            <w:top w:val="none" w:sz="0" w:space="0" w:color="auto"/>
            <w:left w:val="none" w:sz="0" w:space="0" w:color="auto"/>
            <w:bottom w:val="none" w:sz="0" w:space="0" w:color="auto"/>
            <w:right w:val="none" w:sz="0" w:space="0" w:color="auto"/>
          </w:divBdr>
        </w:div>
        <w:div w:id="2084134467">
          <w:marLeft w:val="360"/>
          <w:marRight w:val="0"/>
          <w:marTop w:val="200"/>
          <w:marBottom w:val="0"/>
          <w:divBdr>
            <w:top w:val="none" w:sz="0" w:space="0" w:color="auto"/>
            <w:left w:val="none" w:sz="0" w:space="0" w:color="auto"/>
            <w:bottom w:val="none" w:sz="0" w:space="0" w:color="auto"/>
            <w:right w:val="none" w:sz="0" w:space="0" w:color="auto"/>
          </w:divBdr>
        </w:div>
      </w:divsChild>
    </w:div>
    <w:div w:id="1734935665">
      <w:bodyDiv w:val="1"/>
      <w:marLeft w:val="0"/>
      <w:marRight w:val="0"/>
      <w:marTop w:val="0"/>
      <w:marBottom w:val="0"/>
      <w:divBdr>
        <w:top w:val="none" w:sz="0" w:space="0" w:color="auto"/>
        <w:left w:val="none" w:sz="0" w:space="0" w:color="auto"/>
        <w:bottom w:val="none" w:sz="0" w:space="0" w:color="auto"/>
        <w:right w:val="none" w:sz="0" w:space="0" w:color="auto"/>
      </w:divBdr>
    </w:div>
    <w:div w:id="1749965034">
      <w:bodyDiv w:val="1"/>
      <w:marLeft w:val="0"/>
      <w:marRight w:val="0"/>
      <w:marTop w:val="0"/>
      <w:marBottom w:val="0"/>
      <w:divBdr>
        <w:top w:val="none" w:sz="0" w:space="0" w:color="auto"/>
        <w:left w:val="none" w:sz="0" w:space="0" w:color="auto"/>
        <w:bottom w:val="none" w:sz="0" w:space="0" w:color="auto"/>
        <w:right w:val="none" w:sz="0" w:space="0" w:color="auto"/>
      </w:divBdr>
    </w:div>
    <w:div w:id="1765152309">
      <w:bodyDiv w:val="1"/>
      <w:marLeft w:val="0"/>
      <w:marRight w:val="0"/>
      <w:marTop w:val="0"/>
      <w:marBottom w:val="0"/>
      <w:divBdr>
        <w:top w:val="none" w:sz="0" w:space="0" w:color="auto"/>
        <w:left w:val="none" w:sz="0" w:space="0" w:color="auto"/>
        <w:bottom w:val="none" w:sz="0" w:space="0" w:color="auto"/>
        <w:right w:val="none" w:sz="0" w:space="0" w:color="auto"/>
      </w:divBdr>
    </w:div>
    <w:div w:id="1767843216">
      <w:bodyDiv w:val="1"/>
      <w:marLeft w:val="0"/>
      <w:marRight w:val="0"/>
      <w:marTop w:val="0"/>
      <w:marBottom w:val="0"/>
      <w:divBdr>
        <w:top w:val="none" w:sz="0" w:space="0" w:color="auto"/>
        <w:left w:val="none" w:sz="0" w:space="0" w:color="auto"/>
        <w:bottom w:val="none" w:sz="0" w:space="0" w:color="auto"/>
        <w:right w:val="none" w:sz="0" w:space="0" w:color="auto"/>
      </w:divBdr>
    </w:div>
    <w:div w:id="1814904078">
      <w:bodyDiv w:val="1"/>
      <w:marLeft w:val="0"/>
      <w:marRight w:val="0"/>
      <w:marTop w:val="0"/>
      <w:marBottom w:val="0"/>
      <w:divBdr>
        <w:top w:val="none" w:sz="0" w:space="0" w:color="auto"/>
        <w:left w:val="none" w:sz="0" w:space="0" w:color="auto"/>
        <w:bottom w:val="none" w:sz="0" w:space="0" w:color="auto"/>
        <w:right w:val="none" w:sz="0" w:space="0" w:color="auto"/>
      </w:divBdr>
    </w:div>
    <w:div w:id="1835879466">
      <w:bodyDiv w:val="1"/>
      <w:marLeft w:val="0"/>
      <w:marRight w:val="0"/>
      <w:marTop w:val="0"/>
      <w:marBottom w:val="0"/>
      <w:divBdr>
        <w:top w:val="none" w:sz="0" w:space="0" w:color="auto"/>
        <w:left w:val="none" w:sz="0" w:space="0" w:color="auto"/>
        <w:bottom w:val="none" w:sz="0" w:space="0" w:color="auto"/>
        <w:right w:val="none" w:sz="0" w:space="0" w:color="auto"/>
      </w:divBdr>
    </w:div>
    <w:div w:id="1893036649">
      <w:bodyDiv w:val="1"/>
      <w:marLeft w:val="0"/>
      <w:marRight w:val="0"/>
      <w:marTop w:val="0"/>
      <w:marBottom w:val="0"/>
      <w:divBdr>
        <w:top w:val="none" w:sz="0" w:space="0" w:color="auto"/>
        <w:left w:val="none" w:sz="0" w:space="0" w:color="auto"/>
        <w:bottom w:val="none" w:sz="0" w:space="0" w:color="auto"/>
        <w:right w:val="none" w:sz="0" w:space="0" w:color="auto"/>
      </w:divBdr>
    </w:div>
    <w:div w:id="1921015660">
      <w:bodyDiv w:val="1"/>
      <w:marLeft w:val="0"/>
      <w:marRight w:val="0"/>
      <w:marTop w:val="0"/>
      <w:marBottom w:val="0"/>
      <w:divBdr>
        <w:top w:val="none" w:sz="0" w:space="0" w:color="auto"/>
        <w:left w:val="none" w:sz="0" w:space="0" w:color="auto"/>
        <w:bottom w:val="none" w:sz="0" w:space="0" w:color="auto"/>
        <w:right w:val="none" w:sz="0" w:space="0" w:color="auto"/>
      </w:divBdr>
    </w:div>
    <w:div w:id="197776074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9282819">
      <w:bodyDiv w:val="1"/>
      <w:marLeft w:val="0"/>
      <w:marRight w:val="0"/>
      <w:marTop w:val="0"/>
      <w:marBottom w:val="0"/>
      <w:divBdr>
        <w:top w:val="none" w:sz="0" w:space="0" w:color="auto"/>
        <w:left w:val="none" w:sz="0" w:space="0" w:color="auto"/>
        <w:bottom w:val="none" w:sz="0" w:space="0" w:color="auto"/>
        <w:right w:val="none" w:sz="0" w:space="0" w:color="auto"/>
      </w:divBdr>
    </w:div>
    <w:div w:id="1994599607">
      <w:bodyDiv w:val="1"/>
      <w:marLeft w:val="0"/>
      <w:marRight w:val="0"/>
      <w:marTop w:val="0"/>
      <w:marBottom w:val="0"/>
      <w:divBdr>
        <w:top w:val="none" w:sz="0" w:space="0" w:color="auto"/>
        <w:left w:val="none" w:sz="0" w:space="0" w:color="auto"/>
        <w:bottom w:val="none" w:sz="0" w:space="0" w:color="auto"/>
        <w:right w:val="none" w:sz="0" w:space="0" w:color="auto"/>
      </w:divBdr>
    </w:div>
    <w:div w:id="2004163737">
      <w:bodyDiv w:val="1"/>
      <w:marLeft w:val="0"/>
      <w:marRight w:val="0"/>
      <w:marTop w:val="0"/>
      <w:marBottom w:val="0"/>
      <w:divBdr>
        <w:top w:val="none" w:sz="0" w:space="0" w:color="auto"/>
        <w:left w:val="none" w:sz="0" w:space="0" w:color="auto"/>
        <w:bottom w:val="none" w:sz="0" w:space="0" w:color="auto"/>
        <w:right w:val="none" w:sz="0" w:space="0" w:color="auto"/>
      </w:divBdr>
    </w:div>
    <w:div w:id="2007630454">
      <w:bodyDiv w:val="1"/>
      <w:marLeft w:val="0"/>
      <w:marRight w:val="0"/>
      <w:marTop w:val="0"/>
      <w:marBottom w:val="0"/>
      <w:divBdr>
        <w:top w:val="none" w:sz="0" w:space="0" w:color="auto"/>
        <w:left w:val="none" w:sz="0" w:space="0" w:color="auto"/>
        <w:bottom w:val="none" w:sz="0" w:space="0" w:color="auto"/>
        <w:right w:val="none" w:sz="0" w:space="0" w:color="auto"/>
      </w:divBdr>
    </w:div>
    <w:div w:id="2028677413">
      <w:bodyDiv w:val="1"/>
      <w:marLeft w:val="0"/>
      <w:marRight w:val="0"/>
      <w:marTop w:val="0"/>
      <w:marBottom w:val="0"/>
      <w:divBdr>
        <w:top w:val="none" w:sz="0" w:space="0" w:color="auto"/>
        <w:left w:val="none" w:sz="0" w:space="0" w:color="auto"/>
        <w:bottom w:val="none" w:sz="0" w:space="0" w:color="auto"/>
        <w:right w:val="none" w:sz="0" w:space="0" w:color="auto"/>
      </w:divBdr>
    </w:div>
    <w:div w:id="2037273362">
      <w:bodyDiv w:val="1"/>
      <w:marLeft w:val="0"/>
      <w:marRight w:val="0"/>
      <w:marTop w:val="0"/>
      <w:marBottom w:val="0"/>
      <w:divBdr>
        <w:top w:val="none" w:sz="0" w:space="0" w:color="auto"/>
        <w:left w:val="none" w:sz="0" w:space="0" w:color="auto"/>
        <w:bottom w:val="none" w:sz="0" w:space="0" w:color="auto"/>
        <w:right w:val="none" w:sz="0" w:space="0" w:color="auto"/>
      </w:divBdr>
    </w:div>
    <w:div w:id="206583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4.emf"/><Relationship Id="rId27" Type="http://schemas.openxmlformats.org/officeDocument/2006/relationships/header" Target="head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idrrn.net/wp-content/uploads/2018/07/GFDRR-World-Bank_Disability-inclusion-in-DRM-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C378-F66F-464F-ADAA-9EF07A05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31606</Words>
  <Characters>187743</Characters>
  <Application>Microsoft Office Word</Application>
  <DocSecurity>0</DocSecurity>
  <Lines>3754</Lines>
  <Paragraphs>1566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Design Update: Australian Humanitarian Partnership Phase II</dc:title>
  <dc:creator/>
  <cp:keywords/>
  <cp:lastModifiedBy/>
  <cp:revision>1</cp:revision>
  <dcterms:created xsi:type="dcterms:W3CDTF">2022-05-24T06:08:00Z</dcterms:created>
  <dcterms:modified xsi:type="dcterms:W3CDTF">2022-05-24T06:09:00Z</dcterms:modified>
  <cp:category/>
</cp:coreProperties>
</file>