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F60C" w14:textId="5DD027F6" w:rsidR="000B0272" w:rsidRPr="000B0272" w:rsidRDefault="000B0272" w:rsidP="000B0272">
      <w:pPr>
        <w:spacing w:after="480"/>
        <w:rPr>
          <w:rFonts w:cstheme="minorHAnsi"/>
          <w:b/>
          <w:bCs/>
          <w:noProof/>
          <w:color w:val="1F3864" w:themeColor="accent1" w:themeShade="80"/>
          <w:sz w:val="50"/>
          <w:szCs w:val="50"/>
        </w:rPr>
      </w:pPr>
      <w:r w:rsidRPr="000B0272">
        <w:rPr>
          <w:rFonts w:cstheme="minorHAnsi"/>
          <w:b/>
          <w:bCs/>
          <w:color w:val="1F3864" w:themeColor="accent1" w:themeShade="80"/>
          <w:sz w:val="50"/>
          <w:szCs w:val="5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End of Program Evaluation of Australia Assists</w:t>
      </w:r>
    </w:p>
    <w:p w14:paraId="7C1E81A4" w14:textId="5FB92BBF" w:rsidR="000B0272" w:rsidRPr="000B0272" w:rsidRDefault="000B0272" w:rsidP="000B0272">
      <w:pPr>
        <w:pStyle w:val="Bodylarge"/>
        <w:ind w:left="1134"/>
        <w:rPr>
          <w:rFonts w:cstheme="minorHAnsi"/>
          <w:b/>
          <w:bCs/>
          <w:color w:val="C00000"/>
        </w:rPr>
      </w:pPr>
      <w:r w:rsidRPr="000B0272">
        <w:rPr>
          <w:rFonts w:asciiTheme="minorHAnsi" w:hAnsiTheme="minorHAnsi" w:cstheme="minorHAnsi"/>
          <w:b/>
          <w:bCs/>
          <w:color w:val="C00000"/>
        </w:rPr>
        <w:t xml:space="preserve">Purpose: To understand the effectiveness, relevance, and value for money of the Australia Assists Program, with a view to building on successes and informing the next iteration of Australia’s humanitarian deployment mechanism. </w:t>
      </w:r>
    </w:p>
    <w:p w14:paraId="311B5CFB" w14:textId="77777777" w:rsidR="00E13B5D" w:rsidRDefault="00E13B5D">
      <w:pPr>
        <w:pStyle w:val="Bodylarge"/>
        <w:rPr>
          <w:color w:val="2F5496" w:themeColor="accent1" w:themeShade="BF"/>
        </w:rPr>
      </w:pPr>
    </w:p>
    <w:p w14:paraId="09BFD327" w14:textId="5687C19C" w:rsidR="000B0272" w:rsidRDefault="000B0272">
      <w:pPr>
        <w:pStyle w:val="Bodylarge"/>
        <w:rPr>
          <w:color w:val="2F5496" w:themeColor="accent1" w:themeShade="BF"/>
        </w:rPr>
        <w:sectPr w:rsidR="000B0272">
          <w:pgSz w:w="16838" w:h="11906"/>
          <w:pgMar w:top="567" w:right="567" w:bottom="567" w:left="567" w:header="720" w:footer="720" w:gutter="0"/>
          <w:cols w:space="720"/>
          <w:noEndnote/>
        </w:sectPr>
      </w:pPr>
    </w:p>
    <w:p w14:paraId="2E7F5F27" w14:textId="595BC04A" w:rsidR="00E13B5D" w:rsidRDefault="000B0272" w:rsidP="000B0272">
      <w:pPr>
        <w:pStyle w:val="Bodylarge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ECCB53" wp14:editId="556C14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4800" cy="7560000"/>
            <wp:effectExtent l="0" t="0" r="0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5D" w:rsidRPr="00D30DD7"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  <w:t xml:space="preserve">The Evaluation found many successes. </w:t>
      </w:r>
      <w:r w:rsidR="007B58FC">
        <w:rPr>
          <w:rFonts w:cstheme="minorHAnsi"/>
          <w:b/>
          <w:bCs/>
          <w:color w:val="1F3864" w:themeColor="accent1" w:themeShade="80"/>
          <w:sz w:val="32"/>
          <w:szCs w:val="32"/>
        </w:rPr>
        <w:br/>
      </w:r>
      <w:r w:rsidR="00E13B5D" w:rsidRPr="00D30DD7"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  <w:t>Australia Assists is…</w:t>
      </w:r>
    </w:p>
    <w:p w14:paraId="12703D42" w14:textId="6C7A0AEB" w:rsidR="00E13B5D" w:rsidRPr="007B58FC" w:rsidRDefault="00E13B5D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A highly valued and important component of Australia’s humanitarian toolkit</w:t>
      </w:r>
    </w:p>
    <w:p w14:paraId="2BAC2F57" w14:textId="44FB2FCD" w:rsidR="00E13B5D" w:rsidRPr="007B58FC" w:rsidRDefault="00E13B5D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Reducing disaster risks and building resilience across the Indo-Pacific region</w:t>
      </w:r>
    </w:p>
    <w:p w14:paraId="1AD9E716" w14:textId="085D1E1C" w:rsidR="00E13B5D" w:rsidRPr="007B58FC" w:rsidRDefault="00E13B5D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Effectively managing the deployment life cycle</w:t>
      </w:r>
    </w:p>
    <w:p w14:paraId="12CD9A9A" w14:textId="2CD010A2" w:rsidR="00E13B5D" w:rsidRPr="007B58FC" w:rsidRDefault="00E13B5D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A trusted partner to the UN in some of the most challenging places in the world</w:t>
      </w:r>
    </w:p>
    <w:p w14:paraId="339C5E7A" w14:textId="0E9BCC38" w:rsidR="007B58FC" w:rsidRPr="007B58FC" w:rsidRDefault="007B58FC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Positively influencing the global humanitarian architecture</w:t>
      </w:r>
    </w:p>
    <w:p w14:paraId="75AE87DB" w14:textId="155B70D5" w:rsidR="00E13B5D" w:rsidRPr="007B58FC" w:rsidRDefault="00E13B5D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Paying attention to gender equality and disability inclusion</w:t>
      </w:r>
    </w:p>
    <w:p w14:paraId="404EE933" w14:textId="1160542A" w:rsidR="00E13B5D" w:rsidRPr="007B58FC" w:rsidRDefault="00E13B5D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Helping countries prepare for and respond to disasters</w:t>
      </w:r>
    </w:p>
    <w:p w14:paraId="2FC2AAFB" w14:textId="2D9F0C3A" w:rsidR="00E13B5D" w:rsidRPr="007B58FC" w:rsidRDefault="00E13B5D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Building a cadre of local humanitarian officers in partner countries</w:t>
      </w:r>
    </w:p>
    <w:p w14:paraId="2E976A8C" w14:textId="2A9E6ECA" w:rsidR="007B58FC" w:rsidRPr="007B58FC" w:rsidRDefault="007B58FC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>Training hundreds of Australians to be effective in conflict, disasters, and other humanitarian settings</w:t>
      </w:r>
    </w:p>
    <w:p w14:paraId="1F2DA576" w14:textId="26AF0821" w:rsidR="007B58FC" w:rsidRDefault="007B58FC" w:rsidP="007B58FC">
      <w:pPr>
        <w:pStyle w:val="Bodylarge"/>
        <w:numPr>
          <w:ilvl w:val="0"/>
          <w:numId w:val="1"/>
        </w:numPr>
        <w:spacing w:after="120"/>
        <w:ind w:left="714" w:hanging="357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  <w:r w:rsidRPr="007B58FC">
        <w:rPr>
          <w:rFonts w:asciiTheme="minorHAnsi" w:hAnsiTheme="minorHAnsi" w:cstheme="minorHAnsi"/>
          <w:color w:val="2F5496" w:themeColor="accent1" w:themeShade="BF"/>
          <w:sz w:val="21"/>
          <w:szCs w:val="21"/>
        </w:rPr>
        <w:t xml:space="preserve">Supplying a value for money deployment model to the Australian Government development program </w:t>
      </w:r>
    </w:p>
    <w:p w14:paraId="5D8AB916" w14:textId="10340489" w:rsidR="007B58FC" w:rsidRDefault="007B58FC" w:rsidP="007B58FC">
      <w:pPr>
        <w:pStyle w:val="Bodylarge"/>
        <w:spacing w:after="120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</w:p>
    <w:p w14:paraId="2DEB61E0" w14:textId="369EC127" w:rsidR="007B58FC" w:rsidRPr="00A843FE" w:rsidRDefault="000B0272" w:rsidP="007B58FC">
      <w:pPr>
        <w:pStyle w:val="Heading2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  <w:br w:type="column"/>
      </w:r>
      <w:r w:rsidR="007B58FC" w:rsidRPr="00A843FE"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  <w:t xml:space="preserve">We recommend… </w:t>
      </w:r>
    </w:p>
    <w:p w14:paraId="34DBFD87" w14:textId="77777777" w:rsidR="007B58FC" w:rsidRPr="007B58FC" w:rsidRDefault="007B58FC" w:rsidP="007B58FC">
      <w:pPr>
        <w:pStyle w:val="Heading2"/>
        <w:spacing w:before="600"/>
        <w:ind w:left="737"/>
        <w:jc w:val="left"/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</w:pPr>
      <w:r w:rsidRPr="007B58FC"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  <w:t>New deployment types and more rapid response options</w:t>
      </w:r>
    </w:p>
    <w:p w14:paraId="7699FB1B" w14:textId="77777777" w:rsidR="007B58FC" w:rsidRPr="007B58FC" w:rsidRDefault="007B58FC" w:rsidP="007B58FC">
      <w:pPr>
        <w:pStyle w:val="Heading2"/>
        <w:spacing w:before="600"/>
        <w:ind w:left="737"/>
        <w:jc w:val="left"/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</w:pPr>
      <w:r w:rsidRPr="007B58FC"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  <w:t>Enhanced bandwidth within DFAT to strategically engage</w:t>
      </w:r>
    </w:p>
    <w:p w14:paraId="0C433D90" w14:textId="77777777" w:rsidR="007B58FC" w:rsidRPr="007B58FC" w:rsidRDefault="007B58FC" w:rsidP="007B58FC">
      <w:pPr>
        <w:pStyle w:val="Heading2"/>
        <w:spacing w:before="600"/>
        <w:ind w:left="737"/>
        <w:jc w:val="left"/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</w:pPr>
      <w:r w:rsidRPr="007B58FC"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  <w:t>More visibility of the Australia Assists brand</w:t>
      </w:r>
    </w:p>
    <w:p w14:paraId="0A9D6F71" w14:textId="77777777" w:rsidR="007B58FC" w:rsidRPr="007B58FC" w:rsidRDefault="007B58FC" w:rsidP="007B58FC">
      <w:pPr>
        <w:pStyle w:val="Heading2"/>
        <w:spacing w:before="600"/>
        <w:ind w:left="737"/>
        <w:jc w:val="left"/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</w:pPr>
      <w:r w:rsidRPr="007B58FC"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  <w:t>A new Theory of Change and MEAL system</w:t>
      </w:r>
    </w:p>
    <w:p w14:paraId="54C90962" w14:textId="77777777" w:rsidR="007B58FC" w:rsidRPr="007B58FC" w:rsidRDefault="007B58FC" w:rsidP="007B58FC">
      <w:pPr>
        <w:pStyle w:val="Heading2"/>
        <w:spacing w:before="600"/>
        <w:ind w:left="737"/>
        <w:jc w:val="left"/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</w:pPr>
      <w:r w:rsidRPr="007B58FC"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  <w:t>Strengthening clarity in the contract</w:t>
      </w:r>
    </w:p>
    <w:p w14:paraId="3F79CB72" w14:textId="77777777" w:rsidR="007B58FC" w:rsidRPr="007B58FC" w:rsidRDefault="007B58FC" w:rsidP="007B58FC">
      <w:pPr>
        <w:pStyle w:val="Heading2"/>
        <w:spacing w:before="600"/>
        <w:ind w:left="737"/>
        <w:jc w:val="left"/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</w:pPr>
      <w:r w:rsidRPr="007B58FC"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  <w:t>Increasing outcome data</w:t>
      </w:r>
    </w:p>
    <w:p w14:paraId="3E7E9BE5" w14:textId="77777777" w:rsidR="007B58FC" w:rsidRPr="007B58FC" w:rsidRDefault="007B58FC" w:rsidP="007B58FC">
      <w:pPr>
        <w:pStyle w:val="Heading2"/>
        <w:spacing w:before="600"/>
        <w:ind w:left="737"/>
        <w:jc w:val="left"/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</w:pPr>
      <w:r w:rsidRPr="007B58FC">
        <w:rPr>
          <w:rFonts w:asciiTheme="minorHAnsi" w:hAnsiTheme="minorHAnsi" w:cstheme="minorHAnsi"/>
          <w:b/>
          <w:bCs/>
          <w:color w:val="1F3864" w:themeColor="accent1" w:themeShade="80"/>
          <w:sz w:val="21"/>
          <w:szCs w:val="21"/>
        </w:rPr>
        <w:t>Strengthened complaints handling</w:t>
      </w:r>
    </w:p>
    <w:p w14:paraId="0E57983B" w14:textId="5DE91A4D" w:rsidR="005373D3" w:rsidRPr="007B58FC" w:rsidRDefault="005373D3" w:rsidP="007B58FC">
      <w:pPr>
        <w:pStyle w:val="Bodylarge"/>
        <w:spacing w:after="120"/>
        <w:rPr>
          <w:rFonts w:asciiTheme="minorHAnsi" w:hAnsiTheme="minorHAnsi" w:cstheme="minorHAnsi"/>
          <w:color w:val="2F5496" w:themeColor="accent1" w:themeShade="BF"/>
          <w:sz w:val="21"/>
          <w:szCs w:val="21"/>
        </w:rPr>
      </w:pPr>
    </w:p>
    <w:sectPr w:rsidR="005373D3" w:rsidRPr="007B58FC" w:rsidSect="00E13B5D">
      <w:type w:val="continuous"/>
      <w:pgSz w:w="16838" w:h="11906"/>
      <w:pgMar w:top="567" w:right="567" w:bottom="567" w:left="567" w:header="720" w:footer="720" w:gutter="0"/>
      <w:cols w:num="2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B7618" w14:textId="77777777" w:rsidR="00774113" w:rsidRDefault="00774113" w:rsidP="00D30DD7">
      <w:r>
        <w:separator/>
      </w:r>
    </w:p>
  </w:endnote>
  <w:endnote w:type="continuationSeparator" w:id="0">
    <w:p w14:paraId="30485F41" w14:textId="77777777" w:rsidR="00774113" w:rsidRDefault="00774113" w:rsidP="00D3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Condensed Semibold"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cumin Pro Condensed">
    <w:altName w:val="Calibri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8838E" w14:textId="77777777" w:rsidR="00774113" w:rsidRDefault="00774113" w:rsidP="00D30DD7">
      <w:r>
        <w:separator/>
      </w:r>
    </w:p>
  </w:footnote>
  <w:footnote w:type="continuationSeparator" w:id="0">
    <w:p w14:paraId="3F4B2CCB" w14:textId="77777777" w:rsidR="00774113" w:rsidRDefault="00774113" w:rsidP="00D3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56B33"/>
    <w:multiLevelType w:val="hybridMultilevel"/>
    <w:tmpl w:val="A4F2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7"/>
    <w:rsid w:val="000B0272"/>
    <w:rsid w:val="002F55F8"/>
    <w:rsid w:val="005373D3"/>
    <w:rsid w:val="00774113"/>
    <w:rsid w:val="007B58FC"/>
    <w:rsid w:val="00815269"/>
    <w:rsid w:val="008D4BA7"/>
    <w:rsid w:val="00A2420F"/>
    <w:rsid w:val="00A843FE"/>
    <w:rsid w:val="00B862B4"/>
    <w:rsid w:val="00BA570E"/>
    <w:rsid w:val="00C61AA8"/>
    <w:rsid w:val="00D30DD7"/>
    <w:rsid w:val="00E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466D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ParagraphStyle"/>
    <w:link w:val="Heading2Char"/>
    <w:uiPriority w:val="99"/>
    <w:qFormat/>
    <w:pPr>
      <w:suppressAutoHyphens/>
      <w:jc w:val="center"/>
      <w:outlineLvl w:val="1"/>
    </w:pPr>
    <w:rPr>
      <w:rFonts w:ascii="Acumin Pro Condensed Semibold" w:hAnsi="Acumin Pro Condensed Semibold" w:cs="Acumin Pro Condensed Semibold"/>
      <w:color w:val="00009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Bodylarge">
    <w:name w:val="Body large"/>
    <w:basedOn w:val="NoParagraphStyle"/>
    <w:uiPriority w:val="99"/>
    <w:pPr>
      <w:suppressAutoHyphens/>
    </w:pPr>
    <w:rPr>
      <w:rFonts w:ascii="Acumin Pro Condensed" w:hAnsi="Acumin Pro Condensed" w:cs="Acumin Pro Condensed"/>
      <w:color w:val="FFFFF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30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D7"/>
  </w:style>
  <w:style w:type="paragraph" w:styleId="Footer">
    <w:name w:val="footer"/>
    <w:basedOn w:val="Normal"/>
    <w:link w:val="FooterChar"/>
    <w:uiPriority w:val="99"/>
    <w:unhideWhenUsed/>
    <w:rsid w:val="00D30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1181</Characters>
  <Application>Microsoft Office Word</Application>
  <DocSecurity>0</DocSecurity>
  <Lines>30</Lines>
  <Paragraphs>21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2023-01-30T01:45:00Z</dcterms:created>
  <dcterms:modified xsi:type="dcterms:W3CDTF">2023-01-30T01:45:00Z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A41ED453199E4208836195090AE99A36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899E4EA469A04FB023F4432B63374BB33589BF8A</vt:lpwstr>
  </property>
  <property fmtid="{D5CDD505-2E9C-101B-9397-08002B2CF9AE}" pid="11" name="PM_OriginationTimeStamp">
    <vt:lpwstr>2023-01-30T01:45:08Z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000021F4D3C197D5B82253C0007D9BBB</vt:lpwstr>
  </property>
  <property fmtid="{D5CDD505-2E9C-101B-9397-08002B2CF9AE}" pid="23" name="PM_Hash_Salt">
    <vt:lpwstr>E627519FFD3DA555A46F27FD5B052758</vt:lpwstr>
  </property>
  <property fmtid="{D5CDD505-2E9C-101B-9397-08002B2CF9AE}" pid="24" name="PM_Hash_SHA1">
    <vt:lpwstr>813E7F0E6C5F310543B75936F158F227682998DC</vt:lpwstr>
  </property>
  <property fmtid="{D5CDD505-2E9C-101B-9397-08002B2CF9AE}" pid="25" name="PM_OriginatorUserAccountName_SHA256">
    <vt:lpwstr>290C9CFCFE70E139C4500567FB5830ACF9049F26A1998DDACA65669D45D5D2AD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</Properties>
</file>