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A6C5C9" w14:textId="203F6402" w:rsidR="00A274ED" w:rsidRPr="007C157A" w:rsidRDefault="00A274ED" w:rsidP="007C157A">
      <w:pPr>
        <w:suppressAutoHyphens w:val="0"/>
        <w:spacing w:before="0" w:after="120" w:line="440" w:lineRule="atLeast"/>
        <w:rPr>
          <w:rStyle w:val="Heading1Char"/>
          <w:rFonts w:asciiTheme="majorHAnsi" w:hAnsiTheme="majorHAnsi" w:cs="Arial"/>
          <w:bCs w:val="0"/>
          <w:color w:val="FF0000"/>
          <w:sz w:val="22"/>
          <w:szCs w:val="21"/>
        </w:rPr>
      </w:pPr>
      <w:r w:rsidRPr="008A51A6">
        <w:rPr>
          <w:b/>
          <w:noProof/>
          <w:lang w:val="en-AU" w:eastAsia="en-AU"/>
        </w:rPr>
        <w:drawing>
          <wp:inline distT="0" distB="0" distL="0" distR="0" wp14:anchorId="206C0A30" wp14:editId="6BCF900D">
            <wp:extent cx="3166110" cy="553720"/>
            <wp:effectExtent l="0" t="0" r="0" b="0"/>
            <wp:docPr id="42" name="Picture 42" descr="Australian Government Department of Foreign Affairs and Trade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descr="Australian Government Department of Foreign Affairs and Trade crest"/>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66110" cy="553720"/>
                    </a:xfrm>
                    <a:prstGeom prst="rect">
                      <a:avLst/>
                    </a:prstGeom>
                  </pic:spPr>
                </pic:pic>
              </a:graphicData>
            </a:graphic>
          </wp:inline>
        </w:drawing>
      </w:r>
    </w:p>
    <w:p w14:paraId="173EE260" w14:textId="77777777" w:rsidR="007C157A" w:rsidRPr="00574344" w:rsidRDefault="007C157A" w:rsidP="00A274ED">
      <w:pPr>
        <w:pStyle w:val="SpacebeforeTitle"/>
        <w:tabs>
          <w:tab w:val="left" w:pos="1114"/>
          <w:tab w:val="left" w:pos="2205"/>
        </w:tabs>
        <w:spacing w:after="0"/>
        <w:rPr>
          <w:rStyle w:val="Heading1Char"/>
          <w:sz w:val="22"/>
          <w:szCs w:val="22"/>
        </w:rPr>
      </w:pPr>
    </w:p>
    <w:p w14:paraId="4EFE84D6" w14:textId="3AEC5327" w:rsidR="00A274ED" w:rsidRPr="00CA7BEF" w:rsidRDefault="00A274ED" w:rsidP="00A274ED">
      <w:pPr>
        <w:pStyle w:val="SpacebeforeTitle"/>
        <w:tabs>
          <w:tab w:val="left" w:pos="1114"/>
          <w:tab w:val="left" w:pos="2205"/>
        </w:tabs>
        <w:spacing w:after="0"/>
        <w:rPr>
          <w:b/>
          <w:sz w:val="36"/>
          <w:szCs w:val="36"/>
        </w:rPr>
      </w:pPr>
      <w:r>
        <w:rPr>
          <w:rStyle w:val="Heading1Char"/>
        </w:rPr>
        <w:t xml:space="preserve">End of Program Evaluation of </w:t>
      </w:r>
      <w:r w:rsidRPr="00A110EC">
        <w:rPr>
          <w:rStyle w:val="Heading1Char"/>
        </w:rPr>
        <w:t>Australia Assists</w:t>
      </w:r>
      <w:r w:rsidRPr="000F3962">
        <w:rPr>
          <w:rStyle w:val="Heading1Char"/>
          <w:i/>
          <w:iCs/>
        </w:rPr>
        <w:t xml:space="preserve"> </w:t>
      </w:r>
      <w:r w:rsidRPr="000F3962">
        <w:rPr>
          <w:rStyle w:val="Heading1Char"/>
          <w:b/>
          <w:bCs w:val="0"/>
        </w:rPr>
        <w:t>| MANAGEMENT RESPONSE</w:t>
      </w:r>
    </w:p>
    <w:p w14:paraId="153AF743" w14:textId="5F6548AC" w:rsidR="00A274ED" w:rsidRDefault="00A274ED" w:rsidP="00A274ED">
      <w:pPr>
        <w:tabs>
          <w:tab w:val="left" w:pos="284"/>
        </w:tabs>
        <w:suppressAutoHyphens w:val="0"/>
        <w:spacing w:line="280" w:lineRule="exact"/>
      </w:pPr>
      <w:r>
        <w:t>In June 2022, DFAT commissioned an</w:t>
      </w:r>
      <w:r w:rsidRPr="00CB2D43">
        <w:t xml:space="preserve"> independent evaluation</w:t>
      </w:r>
      <w:r>
        <w:t xml:space="preserve"> of the Australia Assists program</w:t>
      </w:r>
      <w:r w:rsidRPr="00CB2D43">
        <w:t xml:space="preserve"> to </w:t>
      </w:r>
      <w:r>
        <w:t>examine</w:t>
      </w:r>
      <w:r w:rsidRPr="00CB2D43">
        <w:t xml:space="preserve"> the effectiveness of the investment and achievement of outcomes; its efficiency and value for money; and its relevance.</w:t>
      </w:r>
      <w:r>
        <w:t xml:space="preserve"> The evaluation report was completed in December 2022 and includes </w:t>
      </w:r>
      <w:proofErr w:type="gramStart"/>
      <w:r>
        <w:t>a number of</w:t>
      </w:r>
      <w:proofErr w:type="gramEnd"/>
      <w:r>
        <w:t xml:space="preserve"> useful findings and practical recommendations to help inform the remaining months of implementation, as well as </w:t>
      </w:r>
      <w:r w:rsidR="00BC520D">
        <w:t>any</w:t>
      </w:r>
      <w:r>
        <w:t xml:space="preserve"> potential new phase of investment. </w:t>
      </w:r>
    </w:p>
    <w:p w14:paraId="122C7FF0" w14:textId="4D1E0213" w:rsidR="00A274ED" w:rsidRDefault="00A274ED" w:rsidP="00A274ED">
      <w:pPr>
        <w:tabs>
          <w:tab w:val="left" w:pos="284"/>
        </w:tabs>
        <w:suppressAutoHyphens w:val="0"/>
        <w:spacing w:line="280" w:lineRule="exact"/>
      </w:pPr>
      <w:r>
        <w:t xml:space="preserve">DFAT agrees or partially agrees with all </w:t>
      </w:r>
      <w:r w:rsidR="00287659">
        <w:t>eight</w:t>
      </w:r>
      <w:r>
        <w:t xml:space="preserve"> of the recommendations</w:t>
      </w:r>
      <w:r w:rsidR="00E05E94">
        <w:t xml:space="preserve">, noting that no decision has </w:t>
      </w:r>
      <w:r w:rsidR="00326407">
        <w:t xml:space="preserve">yet </w:t>
      </w:r>
      <w:r w:rsidR="00E05E94">
        <w:t xml:space="preserve">been made </w:t>
      </w:r>
      <w:r w:rsidR="00343642">
        <w:t xml:space="preserve">on </w:t>
      </w:r>
      <w:r w:rsidR="00B36DE0">
        <w:t xml:space="preserve">the </w:t>
      </w:r>
      <w:r w:rsidR="00C77E43">
        <w:t>design</w:t>
      </w:r>
      <w:r w:rsidR="003625C6">
        <w:t xml:space="preserve"> or scope</w:t>
      </w:r>
      <w:r w:rsidR="00C77E43">
        <w:t xml:space="preserve"> of a future program</w:t>
      </w:r>
      <w:r>
        <w:t>.</w:t>
      </w:r>
    </w:p>
    <w:p w14:paraId="5034CF50" w14:textId="6511AF87" w:rsidR="00A274ED" w:rsidRDefault="00A274ED" w:rsidP="002E775C">
      <w:pPr>
        <w:pStyle w:val="Heading2"/>
        <w:spacing w:after="0"/>
      </w:pPr>
      <w:r>
        <w:t xml:space="preserve">End of Program Evaluation </w:t>
      </w:r>
      <w:r w:rsidRPr="00F641F0">
        <w:t>Recommendations</w:t>
      </w:r>
      <w:r>
        <w:t xml:space="preserve"> and Management Response</w:t>
      </w:r>
    </w:p>
    <w:p w14:paraId="7287AF72" w14:textId="5E924360" w:rsidR="002E775C" w:rsidRPr="002E775C" w:rsidRDefault="002E775C" w:rsidP="002E775C">
      <w:pPr>
        <w:pStyle w:val="Heading3"/>
        <w:spacing w:after="120"/>
      </w:pPr>
      <w:r w:rsidRPr="002E775C">
        <w:t>Recommendations for DFAT</w:t>
      </w:r>
    </w:p>
    <w:tbl>
      <w:tblPr>
        <w:tblStyle w:val="TableGrid"/>
        <w:tblW w:w="13183" w:type="dxa"/>
        <w:tblInd w:w="-147" w:type="dxa"/>
        <w:tblLook w:val="04A0" w:firstRow="1" w:lastRow="0" w:firstColumn="1" w:lastColumn="0" w:noHBand="0" w:noVBand="1"/>
      </w:tblPr>
      <w:tblGrid>
        <w:gridCol w:w="4843"/>
        <w:gridCol w:w="1130"/>
        <w:gridCol w:w="3055"/>
        <w:gridCol w:w="2940"/>
        <w:gridCol w:w="1215"/>
      </w:tblGrid>
      <w:tr w:rsidR="003B3A2E" w:rsidRPr="00CA7BEF" w14:paraId="4D32A11E" w14:textId="77777777" w:rsidTr="002E775C">
        <w:tc>
          <w:tcPr>
            <w:tcW w:w="4843" w:type="dxa"/>
          </w:tcPr>
          <w:p w14:paraId="15020196" w14:textId="77777777" w:rsidR="00A274ED" w:rsidRPr="009A3080" w:rsidRDefault="00A274ED" w:rsidP="006F09D0">
            <w:pPr>
              <w:spacing w:line="240" w:lineRule="auto"/>
              <w:jc w:val="center"/>
              <w:rPr>
                <w:rFonts w:cstheme="minorHAnsi"/>
                <w:b/>
                <w:bCs/>
                <w:iCs/>
                <w:color w:val="auto"/>
              </w:rPr>
            </w:pPr>
            <w:bookmarkStart w:id="0" w:name="_Hlk122611377"/>
            <w:r w:rsidRPr="009A3080">
              <w:rPr>
                <w:rFonts w:cstheme="minorHAnsi"/>
                <w:b/>
                <w:bCs/>
                <w:iCs/>
                <w:color w:val="auto"/>
              </w:rPr>
              <w:t>Recommendation</w:t>
            </w:r>
          </w:p>
        </w:tc>
        <w:tc>
          <w:tcPr>
            <w:tcW w:w="1130" w:type="dxa"/>
          </w:tcPr>
          <w:p w14:paraId="0903A2F3" w14:textId="77777777" w:rsidR="00A274ED" w:rsidRPr="009A3080" w:rsidRDefault="00A274ED" w:rsidP="006F09D0">
            <w:pPr>
              <w:spacing w:line="240" w:lineRule="auto"/>
              <w:jc w:val="center"/>
              <w:rPr>
                <w:rFonts w:cstheme="minorHAnsi"/>
                <w:b/>
                <w:bCs/>
                <w:iCs/>
                <w:color w:val="auto"/>
              </w:rPr>
            </w:pPr>
            <w:r w:rsidRPr="009A3080">
              <w:rPr>
                <w:rFonts w:cstheme="minorHAnsi"/>
                <w:b/>
                <w:bCs/>
                <w:iCs/>
                <w:color w:val="auto"/>
              </w:rPr>
              <w:t>Response</w:t>
            </w:r>
          </w:p>
        </w:tc>
        <w:tc>
          <w:tcPr>
            <w:tcW w:w="3055" w:type="dxa"/>
          </w:tcPr>
          <w:p w14:paraId="6B8EF461" w14:textId="77777777" w:rsidR="00A274ED" w:rsidRPr="009A3080" w:rsidRDefault="00A274ED" w:rsidP="006F09D0">
            <w:pPr>
              <w:spacing w:line="240" w:lineRule="auto"/>
              <w:jc w:val="center"/>
              <w:rPr>
                <w:rFonts w:cstheme="minorHAnsi"/>
                <w:b/>
                <w:bCs/>
                <w:iCs/>
                <w:color w:val="auto"/>
              </w:rPr>
            </w:pPr>
            <w:r w:rsidRPr="009A3080">
              <w:rPr>
                <w:rFonts w:cstheme="minorHAnsi"/>
                <w:b/>
                <w:bCs/>
                <w:iCs/>
                <w:color w:val="auto"/>
              </w:rPr>
              <w:t>Explanation</w:t>
            </w:r>
          </w:p>
        </w:tc>
        <w:tc>
          <w:tcPr>
            <w:tcW w:w="2940" w:type="dxa"/>
          </w:tcPr>
          <w:p w14:paraId="66421E9A" w14:textId="77777777" w:rsidR="00A274ED" w:rsidRPr="009A3080" w:rsidRDefault="00A274ED" w:rsidP="006F09D0">
            <w:pPr>
              <w:spacing w:line="240" w:lineRule="auto"/>
              <w:jc w:val="center"/>
              <w:rPr>
                <w:rFonts w:cstheme="minorHAnsi"/>
                <w:b/>
                <w:bCs/>
                <w:iCs/>
                <w:color w:val="auto"/>
              </w:rPr>
            </w:pPr>
            <w:r w:rsidRPr="009A3080">
              <w:rPr>
                <w:rFonts w:cstheme="minorHAnsi"/>
                <w:b/>
                <w:bCs/>
                <w:iCs/>
                <w:color w:val="auto"/>
              </w:rPr>
              <w:t>Action Plan</w:t>
            </w:r>
          </w:p>
        </w:tc>
        <w:tc>
          <w:tcPr>
            <w:tcW w:w="1215" w:type="dxa"/>
          </w:tcPr>
          <w:p w14:paraId="119CF368" w14:textId="77777777" w:rsidR="00A274ED" w:rsidRPr="009A3080" w:rsidRDefault="00A274ED" w:rsidP="006F09D0">
            <w:pPr>
              <w:spacing w:line="240" w:lineRule="auto"/>
              <w:jc w:val="center"/>
              <w:rPr>
                <w:rFonts w:cstheme="minorHAnsi"/>
                <w:b/>
                <w:bCs/>
                <w:iCs/>
                <w:color w:val="auto"/>
              </w:rPr>
            </w:pPr>
            <w:r w:rsidRPr="009A3080">
              <w:rPr>
                <w:rFonts w:cstheme="minorHAnsi"/>
                <w:b/>
                <w:bCs/>
                <w:iCs/>
                <w:color w:val="auto"/>
              </w:rPr>
              <w:t>Timeframe</w:t>
            </w:r>
          </w:p>
        </w:tc>
      </w:tr>
      <w:bookmarkEnd w:id="0"/>
      <w:tr w:rsidR="003B3A2E" w:rsidRPr="00CA7BEF" w14:paraId="3D2E4506" w14:textId="77777777" w:rsidTr="002E775C">
        <w:tc>
          <w:tcPr>
            <w:tcW w:w="4843" w:type="dxa"/>
          </w:tcPr>
          <w:p w14:paraId="2B43EC9B" w14:textId="42B5A359" w:rsidR="00A274ED" w:rsidRPr="00C94865" w:rsidRDefault="00A274ED" w:rsidP="00A274ED">
            <w:pPr>
              <w:pStyle w:val="ListParagraph"/>
              <w:numPr>
                <w:ilvl w:val="1"/>
                <w:numId w:val="1"/>
              </w:numPr>
            </w:pPr>
            <w:r w:rsidRPr="00946EDA">
              <w:rPr>
                <w:b/>
                <w:bCs/>
              </w:rPr>
              <w:t xml:space="preserve">The new design should progress the Australia Assists Deployment Framework towards a more sophisticated, multi-tiered approach that enables greater variability in deployment </w:t>
            </w:r>
            <w:r w:rsidR="00C81A15">
              <w:rPr>
                <w:b/>
                <w:bCs/>
              </w:rPr>
              <w:t>mechanism</w:t>
            </w:r>
            <w:r w:rsidR="00B17848">
              <w:rPr>
                <w:b/>
                <w:bCs/>
              </w:rPr>
              <w:t xml:space="preserve">s </w:t>
            </w:r>
            <w:r w:rsidRPr="00946EDA">
              <w:rPr>
                <w:b/>
                <w:bCs/>
              </w:rPr>
              <w:t>including enhanced rapid response (24–48 hours following signing of a mission directive from DFAT), increased in-country surge capability (including through an enhanced localisation approach), and non-host organisation placements.</w:t>
            </w:r>
          </w:p>
        </w:tc>
        <w:tc>
          <w:tcPr>
            <w:tcW w:w="1130" w:type="dxa"/>
            <w:shd w:val="clear" w:color="auto" w:fill="92D050"/>
          </w:tcPr>
          <w:p w14:paraId="67D8C80E" w14:textId="77777777" w:rsidR="00A274ED" w:rsidRPr="003726E4" w:rsidRDefault="00A274ED" w:rsidP="006F09D0">
            <w:pPr>
              <w:spacing w:line="240" w:lineRule="auto"/>
              <w:jc w:val="center"/>
              <w:rPr>
                <w:rFonts w:cstheme="minorHAnsi"/>
                <w:b/>
                <w:bCs/>
                <w:iCs/>
                <w:color w:val="auto"/>
                <w:sz w:val="20"/>
                <w:szCs w:val="20"/>
              </w:rPr>
            </w:pPr>
            <w:r w:rsidRPr="003726E4">
              <w:rPr>
                <w:rFonts w:cstheme="minorHAnsi"/>
                <w:b/>
                <w:bCs/>
                <w:iCs/>
                <w:color w:val="auto"/>
                <w:sz w:val="20"/>
                <w:szCs w:val="20"/>
              </w:rPr>
              <w:t>Agree</w:t>
            </w:r>
          </w:p>
          <w:p w14:paraId="027FA173" w14:textId="77777777" w:rsidR="00A274ED" w:rsidRPr="003726E4" w:rsidRDefault="00A274ED" w:rsidP="006F09D0">
            <w:pPr>
              <w:spacing w:line="240" w:lineRule="auto"/>
              <w:jc w:val="center"/>
              <w:rPr>
                <w:rFonts w:cstheme="minorHAnsi"/>
                <w:b/>
                <w:bCs/>
                <w:iCs/>
                <w:color w:val="auto"/>
                <w:sz w:val="20"/>
                <w:szCs w:val="20"/>
              </w:rPr>
            </w:pPr>
          </w:p>
        </w:tc>
        <w:tc>
          <w:tcPr>
            <w:tcW w:w="3055" w:type="dxa"/>
          </w:tcPr>
          <w:p w14:paraId="33272672" w14:textId="236B6A31" w:rsidR="00A274ED" w:rsidRPr="00201429" w:rsidRDefault="00404832">
            <w:pPr>
              <w:spacing w:line="240" w:lineRule="auto"/>
              <w:rPr>
                <w:rFonts w:cstheme="minorHAnsi"/>
                <w:iCs/>
                <w:color w:val="auto"/>
                <w:sz w:val="20"/>
                <w:szCs w:val="20"/>
              </w:rPr>
            </w:pPr>
            <w:r>
              <w:rPr>
                <w:rFonts w:cstheme="minorHAnsi"/>
                <w:iCs/>
                <w:color w:val="auto"/>
                <w:sz w:val="20"/>
                <w:szCs w:val="20"/>
              </w:rPr>
              <w:t xml:space="preserve">DFAT recognises the high-quality deployments delivered through this program. </w:t>
            </w:r>
            <w:r w:rsidR="00062EA0">
              <w:rPr>
                <w:rFonts w:cstheme="minorHAnsi"/>
                <w:iCs/>
                <w:color w:val="auto"/>
                <w:sz w:val="20"/>
                <w:szCs w:val="20"/>
              </w:rPr>
              <w:t xml:space="preserve">DFAT </w:t>
            </w:r>
            <w:r w:rsidR="00826DC5">
              <w:rPr>
                <w:rFonts w:cstheme="minorHAnsi"/>
                <w:iCs/>
                <w:color w:val="auto"/>
                <w:sz w:val="20"/>
                <w:szCs w:val="20"/>
              </w:rPr>
              <w:t>agrees that</w:t>
            </w:r>
            <w:r w:rsidR="00062EA0">
              <w:rPr>
                <w:rFonts w:cstheme="minorHAnsi"/>
                <w:iCs/>
                <w:color w:val="auto"/>
                <w:sz w:val="20"/>
                <w:szCs w:val="20"/>
              </w:rPr>
              <w:t xml:space="preserve"> </w:t>
            </w:r>
            <w:r w:rsidR="00826DC5">
              <w:rPr>
                <w:rFonts w:cstheme="minorHAnsi"/>
                <w:iCs/>
                <w:color w:val="auto"/>
                <w:sz w:val="20"/>
                <w:szCs w:val="20"/>
              </w:rPr>
              <w:t>increased flexibility in</w:t>
            </w:r>
            <w:r w:rsidR="00316281">
              <w:rPr>
                <w:rFonts w:cstheme="minorHAnsi"/>
                <w:iCs/>
                <w:color w:val="auto"/>
                <w:sz w:val="20"/>
                <w:szCs w:val="20"/>
              </w:rPr>
              <w:t xml:space="preserve"> deployment </w:t>
            </w:r>
            <w:r w:rsidR="00826DC5">
              <w:rPr>
                <w:rFonts w:cstheme="minorHAnsi"/>
                <w:iCs/>
                <w:color w:val="auto"/>
                <w:sz w:val="20"/>
                <w:szCs w:val="20"/>
              </w:rPr>
              <w:t>approaches will</w:t>
            </w:r>
            <w:r w:rsidR="00737B1D">
              <w:rPr>
                <w:rFonts w:cstheme="minorHAnsi"/>
                <w:iCs/>
                <w:color w:val="auto"/>
                <w:sz w:val="20"/>
                <w:szCs w:val="20"/>
              </w:rPr>
              <w:t xml:space="preserve"> </w:t>
            </w:r>
            <w:r w:rsidR="00E845CE">
              <w:rPr>
                <w:rFonts w:cstheme="minorHAnsi"/>
                <w:iCs/>
                <w:color w:val="auto"/>
                <w:sz w:val="20"/>
                <w:szCs w:val="20"/>
              </w:rPr>
              <w:t xml:space="preserve">provide </w:t>
            </w:r>
            <w:r>
              <w:rPr>
                <w:rFonts w:cstheme="minorHAnsi"/>
                <w:iCs/>
                <w:color w:val="auto"/>
                <w:sz w:val="20"/>
                <w:szCs w:val="20"/>
              </w:rPr>
              <w:t xml:space="preserve">even </w:t>
            </w:r>
            <w:r w:rsidR="00A274ED">
              <w:rPr>
                <w:rFonts w:cstheme="minorHAnsi"/>
                <w:iCs/>
                <w:color w:val="auto"/>
                <w:sz w:val="20"/>
                <w:szCs w:val="20"/>
              </w:rPr>
              <w:t>greater responsiveness</w:t>
            </w:r>
            <w:r w:rsidR="00FD447F">
              <w:rPr>
                <w:rFonts w:cstheme="minorHAnsi"/>
                <w:iCs/>
                <w:color w:val="auto"/>
                <w:sz w:val="20"/>
                <w:szCs w:val="20"/>
              </w:rPr>
              <w:t>,</w:t>
            </w:r>
            <w:r w:rsidR="00A274ED">
              <w:rPr>
                <w:rFonts w:cstheme="minorHAnsi"/>
                <w:iCs/>
                <w:color w:val="auto"/>
                <w:sz w:val="20"/>
                <w:szCs w:val="20"/>
              </w:rPr>
              <w:t xml:space="preserve"> </w:t>
            </w:r>
            <w:proofErr w:type="gramStart"/>
            <w:r w:rsidR="00826DC5">
              <w:rPr>
                <w:rFonts w:cstheme="minorHAnsi"/>
                <w:iCs/>
                <w:color w:val="auto"/>
                <w:sz w:val="20"/>
                <w:szCs w:val="20"/>
              </w:rPr>
              <w:t>effectiveness</w:t>
            </w:r>
            <w:proofErr w:type="gramEnd"/>
            <w:r w:rsidR="00826DC5">
              <w:rPr>
                <w:rFonts w:cstheme="minorHAnsi"/>
                <w:iCs/>
                <w:color w:val="auto"/>
                <w:sz w:val="20"/>
                <w:szCs w:val="20"/>
              </w:rPr>
              <w:t xml:space="preserve"> </w:t>
            </w:r>
            <w:r w:rsidR="00A274ED">
              <w:rPr>
                <w:rFonts w:cstheme="minorHAnsi"/>
                <w:iCs/>
                <w:color w:val="auto"/>
                <w:sz w:val="20"/>
                <w:szCs w:val="20"/>
              </w:rPr>
              <w:t>and innovation</w:t>
            </w:r>
            <w:r w:rsidR="003C01E0">
              <w:rPr>
                <w:rFonts w:cstheme="minorHAnsi"/>
                <w:iCs/>
                <w:color w:val="auto"/>
                <w:sz w:val="20"/>
                <w:szCs w:val="20"/>
              </w:rPr>
              <w:t>.</w:t>
            </w:r>
            <w:r w:rsidR="00C12C25">
              <w:rPr>
                <w:rFonts w:cstheme="minorHAnsi"/>
                <w:iCs/>
                <w:color w:val="auto"/>
                <w:sz w:val="20"/>
                <w:szCs w:val="20"/>
              </w:rPr>
              <w:t xml:space="preserve"> </w:t>
            </w:r>
          </w:p>
        </w:tc>
        <w:tc>
          <w:tcPr>
            <w:tcW w:w="2940" w:type="dxa"/>
          </w:tcPr>
          <w:p w14:paraId="7FFAC2F2" w14:textId="274EA0EA" w:rsidR="00A274ED" w:rsidRDefault="00826DC5" w:rsidP="006F09D0">
            <w:pPr>
              <w:spacing w:line="240" w:lineRule="auto"/>
              <w:rPr>
                <w:rFonts w:cstheme="minorHAnsi"/>
                <w:iCs/>
                <w:color w:val="auto"/>
                <w:sz w:val="20"/>
                <w:szCs w:val="20"/>
              </w:rPr>
            </w:pPr>
            <w:r>
              <w:rPr>
                <w:rFonts w:cstheme="minorHAnsi"/>
                <w:iCs/>
                <w:color w:val="auto"/>
                <w:sz w:val="20"/>
                <w:szCs w:val="20"/>
              </w:rPr>
              <w:t xml:space="preserve">This recommendation will be </w:t>
            </w:r>
            <w:r w:rsidR="00EF337D">
              <w:rPr>
                <w:rFonts w:cstheme="minorHAnsi"/>
                <w:iCs/>
                <w:color w:val="auto"/>
                <w:sz w:val="20"/>
                <w:szCs w:val="20"/>
              </w:rPr>
              <w:t xml:space="preserve">considered </w:t>
            </w:r>
            <w:r>
              <w:rPr>
                <w:rFonts w:cstheme="minorHAnsi"/>
                <w:iCs/>
                <w:color w:val="auto"/>
                <w:sz w:val="20"/>
                <w:szCs w:val="20"/>
              </w:rPr>
              <w:t>as part of DFAT’s design</w:t>
            </w:r>
            <w:r w:rsidR="00A274ED">
              <w:rPr>
                <w:rFonts w:cstheme="minorHAnsi"/>
                <w:iCs/>
                <w:color w:val="auto"/>
                <w:sz w:val="20"/>
                <w:szCs w:val="20"/>
              </w:rPr>
              <w:t xml:space="preserve"> </w:t>
            </w:r>
            <w:r>
              <w:rPr>
                <w:rFonts w:cstheme="minorHAnsi"/>
                <w:iCs/>
                <w:color w:val="auto"/>
                <w:sz w:val="20"/>
                <w:szCs w:val="20"/>
              </w:rPr>
              <w:t>for a future</w:t>
            </w:r>
            <w:r w:rsidR="00A274ED">
              <w:rPr>
                <w:rFonts w:cstheme="minorHAnsi"/>
                <w:iCs/>
                <w:color w:val="auto"/>
                <w:sz w:val="20"/>
                <w:szCs w:val="20"/>
              </w:rPr>
              <w:t xml:space="preserve"> phase of investment</w:t>
            </w:r>
            <w:r>
              <w:rPr>
                <w:rFonts w:cstheme="minorHAnsi"/>
                <w:iCs/>
                <w:color w:val="auto"/>
                <w:sz w:val="20"/>
                <w:szCs w:val="20"/>
              </w:rPr>
              <w:t xml:space="preserve">, </w:t>
            </w:r>
            <w:r w:rsidR="00701366">
              <w:rPr>
                <w:rFonts w:cstheme="minorHAnsi"/>
                <w:iCs/>
                <w:color w:val="auto"/>
                <w:sz w:val="20"/>
                <w:szCs w:val="20"/>
              </w:rPr>
              <w:t>should it proceed</w:t>
            </w:r>
            <w:r w:rsidR="00A274ED">
              <w:rPr>
                <w:rFonts w:cstheme="minorHAnsi"/>
                <w:iCs/>
                <w:color w:val="auto"/>
                <w:sz w:val="20"/>
                <w:szCs w:val="20"/>
              </w:rPr>
              <w:t xml:space="preserve">. </w:t>
            </w:r>
          </w:p>
          <w:p w14:paraId="5215AE75" w14:textId="77777777" w:rsidR="00A274ED" w:rsidRPr="00CA7BEF" w:rsidRDefault="00A274ED" w:rsidP="006F09D0">
            <w:pPr>
              <w:spacing w:line="240" w:lineRule="auto"/>
              <w:rPr>
                <w:rFonts w:cstheme="minorHAnsi"/>
                <w:iCs/>
                <w:color w:val="auto"/>
                <w:sz w:val="20"/>
                <w:szCs w:val="20"/>
              </w:rPr>
            </w:pPr>
          </w:p>
        </w:tc>
        <w:tc>
          <w:tcPr>
            <w:tcW w:w="1215" w:type="dxa"/>
          </w:tcPr>
          <w:p w14:paraId="24D291C0" w14:textId="77777777" w:rsidR="00A274ED" w:rsidRDefault="00A274ED" w:rsidP="006F09D0">
            <w:pPr>
              <w:spacing w:line="240" w:lineRule="auto"/>
              <w:jc w:val="center"/>
              <w:rPr>
                <w:rFonts w:cstheme="minorHAnsi"/>
                <w:iCs/>
                <w:color w:val="auto"/>
                <w:sz w:val="20"/>
                <w:szCs w:val="20"/>
              </w:rPr>
            </w:pPr>
            <w:r>
              <w:rPr>
                <w:rFonts w:cstheme="minorHAnsi"/>
                <w:iCs/>
                <w:color w:val="auto"/>
                <w:sz w:val="20"/>
                <w:szCs w:val="20"/>
              </w:rPr>
              <w:t>2023</w:t>
            </w:r>
          </w:p>
        </w:tc>
      </w:tr>
      <w:tr w:rsidR="003B3A2E" w:rsidRPr="00CA7BEF" w14:paraId="05AFD590" w14:textId="77777777" w:rsidTr="002E775C">
        <w:tc>
          <w:tcPr>
            <w:tcW w:w="4843" w:type="dxa"/>
          </w:tcPr>
          <w:p w14:paraId="331ABB97" w14:textId="77777777" w:rsidR="00A274ED" w:rsidRPr="00B57421" w:rsidRDefault="00A274ED" w:rsidP="00A274ED">
            <w:pPr>
              <w:pStyle w:val="ListParagraph"/>
              <w:numPr>
                <w:ilvl w:val="1"/>
                <w:numId w:val="1"/>
              </w:numPr>
              <w:rPr>
                <w:b/>
                <w:bCs/>
              </w:rPr>
            </w:pPr>
            <w:r w:rsidRPr="00B57421">
              <w:rPr>
                <w:b/>
                <w:bCs/>
              </w:rPr>
              <w:t xml:space="preserve">The new design for Australia Assists should include management models that provide DFAT with an enhanced bandwidth to engage with the implementing partner in contractual, technical, and strategic matters related to the </w:t>
            </w:r>
            <w:r w:rsidRPr="00B57421">
              <w:rPr>
                <w:b/>
                <w:bCs/>
              </w:rPr>
              <w:lastRenderedPageBreak/>
              <w:t xml:space="preserve">program, and engage with international fora, regional organisations and with Posts (for example, by in-sourcing management support). </w:t>
            </w:r>
          </w:p>
        </w:tc>
        <w:tc>
          <w:tcPr>
            <w:tcW w:w="1130" w:type="dxa"/>
            <w:shd w:val="clear" w:color="auto" w:fill="92D050"/>
          </w:tcPr>
          <w:p w14:paraId="239B637A" w14:textId="77777777" w:rsidR="00A274ED" w:rsidRPr="003726E4" w:rsidRDefault="00A274ED" w:rsidP="006F09D0">
            <w:pPr>
              <w:spacing w:line="240" w:lineRule="auto"/>
              <w:jc w:val="center"/>
              <w:rPr>
                <w:rFonts w:cstheme="minorHAnsi"/>
                <w:b/>
                <w:bCs/>
                <w:iCs/>
                <w:color w:val="auto"/>
                <w:sz w:val="20"/>
                <w:szCs w:val="20"/>
              </w:rPr>
            </w:pPr>
            <w:r w:rsidRPr="003726E4">
              <w:rPr>
                <w:rFonts w:cstheme="minorHAnsi"/>
                <w:b/>
                <w:bCs/>
                <w:iCs/>
                <w:color w:val="auto"/>
                <w:sz w:val="20"/>
                <w:szCs w:val="20"/>
              </w:rPr>
              <w:lastRenderedPageBreak/>
              <w:t>Agree</w:t>
            </w:r>
          </w:p>
        </w:tc>
        <w:tc>
          <w:tcPr>
            <w:tcW w:w="3055" w:type="dxa"/>
          </w:tcPr>
          <w:p w14:paraId="1B440E13" w14:textId="7BC200B3" w:rsidR="00A274ED" w:rsidRPr="00201429" w:rsidRDefault="00826DC5" w:rsidP="006F09D0">
            <w:pPr>
              <w:spacing w:line="240" w:lineRule="auto"/>
              <w:rPr>
                <w:rFonts w:cstheme="minorHAnsi"/>
                <w:iCs/>
                <w:color w:val="auto"/>
                <w:sz w:val="20"/>
                <w:szCs w:val="20"/>
              </w:rPr>
            </w:pPr>
            <w:r>
              <w:rPr>
                <w:rFonts w:cstheme="minorHAnsi"/>
                <w:iCs/>
                <w:color w:val="auto"/>
                <w:sz w:val="20"/>
                <w:szCs w:val="20"/>
              </w:rPr>
              <w:t>DFAT agrees t</w:t>
            </w:r>
            <w:r w:rsidR="00A274ED">
              <w:rPr>
                <w:rFonts w:cstheme="minorHAnsi"/>
                <w:iCs/>
                <w:color w:val="auto"/>
                <w:sz w:val="20"/>
                <w:szCs w:val="20"/>
              </w:rPr>
              <w:t xml:space="preserve">here are benefits </w:t>
            </w:r>
            <w:r>
              <w:rPr>
                <w:rFonts w:cstheme="minorHAnsi"/>
                <w:iCs/>
                <w:color w:val="auto"/>
                <w:sz w:val="20"/>
                <w:szCs w:val="20"/>
              </w:rPr>
              <w:t xml:space="preserve">to </w:t>
            </w:r>
            <w:r w:rsidR="00A274ED">
              <w:rPr>
                <w:rFonts w:cstheme="minorHAnsi"/>
                <w:iCs/>
                <w:color w:val="auto"/>
                <w:sz w:val="20"/>
                <w:szCs w:val="20"/>
              </w:rPr>
              <w:t xml:space="preserve">introducing a more enhanced role for DFAT staff in the management of deployments. </w:t>
            </w:r>
            <w:r>
              <w:rPr>
                <w:rFonts w:cstheme="minorHAnsi"/>
                <w:iCs/>
                <w:color w:val="auto"/>
                <w:sz w:val="20"/>
                <w:szCs w:val="20"/>
              </w:rPr>
              <w:t xml:space="preserve">Appropriate DFAT resourcing is also essential for </w:t>
            </w:r>
            <w:r>
              <w:rPr>
                <w:rFonts w:cstheme="minorHAnsi"/>
                <w:iCs/>
                <w:color w:val="auto"/>
                <w:sz w:val="20"/>
                <w:szCs w:val="20"/>
              </w:rPr>
              <w:lastRenderedPageBreak/>
              <w:t>effective program and partnership management.</w:t>
            </w:r>
          </w:p>
        </w:tc>
        <w:tc>
          <w:tcPr>
            <w:tcW w:w="2940" w:type="dxa"/>
          </w:tcPr>
          <w:p w14:paraId="2157C107" w14:textId="5CC34B54" w:rsidR="00701366" w:rsidRDefault="00701366" w:rsidP="00701366">
            <w:pPr>
              <w:spacing w:line="240" w:lineRule="auto"/>
              <w:rPr>
                <w:rFonts w:cstheme="minorHAnsi"/>
                <w:iCs/>
                <w:color w:val="auto"/>
                <w:sz w:val="20"/>
                <w:szCs w:val="20"/>
              </w:rPr>
            </w:pPr>
            <w:r>
              <w:rPr>
                <w:rFonts w:cstheme="minorHAnsi"/>
                <w:iCs/>
                <w:color w:val="auto"/>
                <w:sz w:val="20"/>
                <w:szCs w:val="20"/>
              </w:rPr>
              <w:lastRenderedPageBreak/>
              <w:t>This recommendation will be</w:t>
            </w:r>
            <w:r w:rsidR="00AE2BA5">
              <w:rPr>
                <w:rFonts w:cstheme="minorHAnsi"/>
                <w:iCs/>
                <w:color w:val="auto"/>
                <w:sz w:val="20"/>
                <w:szCs w:val="20"/>
              </w:rPr>
              <w:t xml:space="preserve"> considered</w:t>
            </w:r>
            <w:r>
              <w:rPr>
                <w:rFonts w:cstheme="minorHAnsi"/>
                <w:iCs/>
                <w:color w:val="auto"/>
                <w:sz w:val="20"/>
                <w:szCs w:val="20"/>
              </w:rPr>
              <w:t xml:space="preserve"> as part of DFAT’s design for a future phase of investment, should it proceed. </w:t>
            </w:r>
          </w:p>
          <w:p w14:paraId="233247A6" w14:textId="3E94EE8D" w:rsidR="00701366" w:rsidRDefault="00701366" w:rsidP="00701366">
            <w:pPr>
              <w:spacing w:line="240" w:lineRule="auto"/>
              <w:rPr>
                <w:rFonts w:cstheme="minorHAnsi"/>
                <w:iCs/>
                <w:color w:val="auto"/>
                <w:sz w:val="20"/>
                <w:szCs w:val="20"/>
              </w:rPr>
            </w:pPr>
            <w:r>
              <w:rPr>
                <w:rFonts w:cstheme="minorHAnsi"/>
                <w:iCs/>
                <w:color w:val="auto"/>
                <w:sz w:val="20"/>
                <w:szCs w:val="20"/>
              </w:rPr>
              <w:lastRenderedPageBreak/>
              <w:t xml:space="preserve"> </w:t>
            </w:r>
          </w:p>
          <w:p w14:paraId="56C15B3F" w14:textId="0669699F" w:rsidR="00A274ED" w:rsidRPr="00CA7BEF" w:rsidRDefault="00A274ED" w:rsidP="00F05705">
            <w:pPr>
              <w:spacing w:line="240" w:lineRule="auto"/>
              <w:rPr>
                <w:rFonts w:cstheme="minorHAnsi"/>
                <w:iCs/>
                <w:color w:val="auto"/>
                <w:sz w:val="20"/>
                <w:szCs w:val="20"/>
              </w:rPr>
            </w:pPr>
          </w:p>
        </w:tc>
        <w:tc>
          <w:tcPr>
            <w:tcW w:w="1215" w:type="dxa"/>
          </w:tcPr>
          <w:p w14:paraId="52D66364" w14:textId="77777777" w:rsidR="00A274ED" w:rsidRPr="00CA7BEF" w:rsidRDefault="00A274ED" w:rsidP="006F09D0">
            <w:pPr>
              <w:spacing w:line="240" w:lineRule="auto"/>
              <w:jc w:val="center"/>
              <w:rPr>
                <w:rFonts w:cstheme="minorHAnsi"/>
                <w:iCs/>
                <w:color w:val="auto"/>
                <w:sz w:val="20"/>
                <w:szCs w:val="20"/>
              </w:rPr>
            </w:pPr>
            <w:r>
              <w:rPr>
                <w:rFonts w:cstheme="minorHAnsi"/>
                <w:iCs/>
                <w:color w:val="auto"/>
                <w:sz w:val="20"/>
                <w:szCs w:val="20"/>
              </w:rPr>
              <w:lastRenderedPageBreak/>
              <w:t>2023</w:t>
            </w:r>
          </w:p>
        </w:tc>
      </w:tr>
      <w:tr w:rsidR="003B3A2E" w:rsidRPr="00CA7BEF" w14:paraId="084E9DD4" w14:textId="77777777" w:rsidTr="002E775C">
        <w:tc>
          <w:tcPr>
            <w:tcW w:w="4843" w:type="dxa"/>
          </w:tcPr>
          <w:p w14:paraId="45A0ADCF" w14:textId="77777777" w:rsidR="00A274ED" w:rsidRPr="00B13052" w:rsidRDefault="00A274ED" w:rsidP="00A274ED">
            <w:pPr>
              <w:pStyle w:val="ListParagraph"/>
              <w:numPr>
                <w:ilvl w:val="1"/>
                <w:numId w:val="1"/>
              </w:numPr>
              <w:rPr>
                <w:b/>
                <w:bCs/>
              </w:rPr>
            </w:pPr>
            <w:r w:rsidRPr="00B13052">
              <w:rPr>
                <w:b/>
                <w:bCs/>
              </w:rPr>
              <w:t xml:space="preserve">Utilise the opportunity afforded by the upcoming design process to develop a new Theory of Change and MEAL system (including a structured approach to adaptive management and continuous improvement) and conduct a baseline study. This will provide the new phase with a robust MEAL system, data sets and tools to begin implementation.  </w:t>
            </w:r>
          </w:p>
        </w:tc>
        <w:tc>
          <w:tcPr>
            <w:tcW w:w="1130" w:type="dxa"/>
            <w:shd w:val="clear" w:color="auto" w:fill="92D050"/>
          </w:tcPr>
          <w:p w14:paraId="4038B664" w14:textId="77777777" w:rsidR="00A274ED" w:rsidRPr="003726E4" w:rsidRDefault="00A274ED" w:rsidP="006F09D0">
            <w:pPr>
              <w:spacing w:line="240" w:lineRule="auto"/>
              <w:jc w:val="center"/>
              <w:rPr>
                <w:rFonts w:cstheme="minorHAnsi"/>
                <w:b/>
                <w:bCs/>
                <w:iCs/>
                <w:color w:val="auto"/>
                <w:sz w:val="20"/>
                <w:szCs w:val="20"/>
              </w:rPr>
            </w:pPr>
            <w:r w:rsidRPr="003726E4">
              <w:rPr>
                <w:rFonts w:cstheme="minorHAnsi"/>
                <w:b/>
                <w:bCs/>
                <w:iCs/>
                <w:color w:val="auto"/>
                <w:sz w:val="20"/>
                <w:szCs w:val="20"/>
              </w:rPr>
              <w:t>Agree</w:t>
            </w:r>
          </w:p>
          <w:p w14:paraId="5AB9EC26" w14:textId="77777777" w:rsidR="00A274ED" w:rsidRPr="003726E4" w:rsidRDefault="00A274ED" w:rsidP="006F09D0">
            <w:pPr>
              <w:spacing w:line="240" w:lineRule="auto"/>
              <w:jc w:val="center"/>
              <w:rPr>
                <w:rFonts w:cstheme="minorHAnsi"/>
                <w:b/>
                <w:bCs/>
                <w:iCs/>
                <w:color w:val="auto"/>
                <w:sz w:val="20"/>
                <w:szCs w:val="20"/>
              </w:rPr>
            </w:pPr>
          </w:p>
        </w:tc>
        <w:tc>
          <w:tcPr>
            <w:tcW w:w="3055" w:type="dxa"/>
          </w:tcPr>
          <w:p w14:paraId="29A55522" w14:textId="33DADA27" w:rsidR="00A274ED" w:rsidRPr="00201429" w:rsidRDefault="00826DC5" w:rsidP="006F09D0">
            <w:pPr>
              <w:spacing w:line="240" w:lineRule="auto"/>
              <w:rPr>
                <w:rFonts w:cstheme="minorHAnsi"/>
                <w:iCs/>
                <w:color w:val="auto"/>
                <w:sz w:val="20"/>
                <w:szCs w:val="20"/>
              </w:rPr>
            </w:pPr>
            <w:r>
              <w:rPr>
                <w:rFonts w:cstheme="minorHAnsi"/>
                <w:iCs/>
                <w:color w:val="auto"/>
                <w:sz w:val="20"/>
                <w:szCs w:val="20"/>
              </w:rPr>
              <w:t>DFAT agrees any</w:t>
            </w:r>
            <w:r w:rsidR="0033176E">
              <w:rPr>
                <w:rFonts w:cstheme="minorHAnsi"/>
                <w:iCs/>
                <w:color w:val="auto"/>
                <w:sz w:val="20"/>
                <w:szCs w:val="20"/>
              </w:rPr>
              <w:t xml:space="preserve"> new</w:t>
            </w:r>
            <w:r w:rsidR="00A274ED">
              <w:rPr>
                <w:rFonts w:cstheme="minorHAnsi"/>
                <w:iCs/>
                <w:color w:val="auto"/>
                <w:sz w:val="20"/>
                <w:szCs w:val="20"/>
              </w:rPr>
              <w:t xml:space="preserve"> design </w:t>
            </w:r>
            <w:r>
              <w:rPr>
                <w:rFonts w:cstheme="minorHAnsi"/>
                <w:iCs/>
                <w:color w:val="auto"/>
                <w:sz w:val="20"/>
                <w:szCs w:val="20"/>
              </w:rPr>
              <w:t xml:space="preserve">should </w:t>
            </w:r>
            <w:r w:rsidR="00A274ED">
              <w:rPr>
                <w:rFonts w:cstheme="minorHAnsi"/>
                <w:iCs/>
                <w:color w:val="auto"/>
                <w:sz w:val="20"/>
                <w:szCs w:val="20"/>
              </w:rPr>
              <w:t>examine</w:t>
            </w:r>
            <w:r>
              <w:rPr>
                <w:rFonts w:cstheme="minorHAnsi"/>
                <w:iCs/>
                <w:color w:val="auto"/>
                <w:sz w:val="20"/>
                <w:szCs w:val="20"/>
              </w:rPr>
              <w:t xml:space="preserve"> and update</w:t>
            </w:r>
            <w:r w:rsidR="00A274ED">
              <w:rPr>
                <w:rFonts w:cstheme="minorHAnsi"/>
                <w:iCs/>
                <w:color w:val="auto"/>
                <w:sz w:val="20"/>
                <w:szCs w:val="20"/>
              </w:rPr>
              <w:t xml:space="preserve"> the current Theory of Change and Monitoring, Evaluation and Learning Framework. </w:t>
            </w:r>
          </w:p>
        </w:tc>
        <w:tc>
          <w:tcPr>
            <w:tcW w:w="2940" w:type="dxa"/>
          </w:tcPr>
          <w:p w14:paraId="451C12BE" w14:textId="04CF0CF6" w:rsidR="00A274ED" w:rsidRPr="00CA7BEF" w:rsidRDefault="00701366" w:rsidP="002A5696">
            <w:pPr>
              <w:spacing w:line="240" w:lineRule="auto"/>
              <w:rPr>
                <w:rFonts w:cstheme="minorHAnsi"/>
                <w:iCs/>
                <w:color w:val="auto"/>
                <w:sz w:val="20"/>
                <w:szCs w:val="20"/>
              </w:rPr>
            </w:pPr>
            <w:r>
              <w:rPr>
                <w:rFonts w:cstheme="minorHAnsi"/>
                <w:iCs/>
                <w:color w:val="auto"/>
                <w:sz w:val="20"/>
                <w:szCs w:val="20"/>
              </w:rPr>
              <w:t xml:space="preserve">This recommendation will be addressed as part of DFAT’s design for a future phase of investment, should it proceed. </w:t>
            </w:r>
          </w:p>
        </w:tc>
        <w:tc>
          <w:tcPr>
            <w:tcW w:w="1215" w:type="dxa"/>
          </w:tcPr>
          <w:p w14:paraId="6107EE52" w14:textId="77777777" w:rsidR="00A274ED" w:rsidRDefault="00A274ED" w:rsidP="006F09D0">
            <w:pPr>
              <w:spacing w:line="240" w:lineRule="auto"/>
              <w:jc w:val="center"/>
              <w:rPr>
                <w:rFonts w:cstheme="minorHAnsi"/>
                <w:iCs/>
                <w:color w:val="auto"/>
                <w:sz w:val="20"/>
                <w:szCs w:val="20"/>
              </w:rPr>
            </w:pPr>
            <w:r>
              <w:rPr>
                <w:rFonts w:cstheme="minorHAnsi"/>
                <w:iCs/>
                <w:color w:val="auto"/>
                <w:sz w:val="20"/>
                <w:szCs w:val="20"/>
              </w:rPr>
              <w:t>2023</w:t>
            </w:r>
          </w:p>
        </w:tc>
      </w:tr>
      <w:tr w:rsidR="003B3A2E" w:rsidRPr="00CA7BEF" w14:paraId="6B76AAE9" w14:textId="77777777" w:rsidTr="002E775C">
        <w:tc>
          <w:tcPr>
            <w:tcW w:w="4843" w:type="dxa"/>
          </w:tcPr>
          <w:p w14:paraId="4B097FEB" w14:textId="232353B4" w:rsidR="00A274ED" w:rsidRPr="005058B1" w:rsidRDefault="00A274ED" w:rsidP="00A274ED">
            <w:pPr>
              <w:pStyle w:val="ListParagraph"/>
              <w:numPr>
                <w:ilvl w:val="1"/>
                <w:numId w:val="1"/>
              </w:numPr>
              <w:rPr>
                <w:b/>
                <w:bCs/>
              </w:rPr>
            </w:pPr>
            <w:r w:rsidRPr="005058B1">
              <w:rPr>
                <w:b/>
                <w:bCs/>
              </w:rPr>
              <w:t xml:space="preserve">Conduct a review of DFAT’s approach to branding humanitarian assistance across </w:t>
            </w:r>
            <w:r w:rsidR="0034394C">
              <w:rPr>
                <w:b/>
                <w:bCs/>
              </w:rPr>
              <w:t xml:space="preserve">all </w:t>
            </w:r>
            <w:r w:rsidR="00DF38BF">
              <w:rPr>
                <w:b/>
                <w:bCs/>
              </w:rPr>
              <w:t xml:space="preserve">humanitarian </w:t>
            </w:r>
            <w:r w:rsidR="0034394C">
              <w:rPr>
                <w:b/>
                <w:bCs/>
              </w:rPr>
              <w:t>investments</w:t>
            </w:r>
            <w:r w:rsidRPr="005058B1">
              <w:rPr>
                <w:b/>
                <w:bCs/>
              </w:rPr>
              <w:t xml:space="preserve">, with a view to the development of a strong and consistent brand going forward and consider drawing upon external communications expertise to facilitate the process.  </w:t>
            </w:r>
          </w:p>
        </w:tc>
        <w:tc>
          <w:tcPr>
            <w:tcW w:w="1130" w:type="dxa"/>
            <w:shd w:val="clear" w:color="auto" w:fill="FFC000"/>
          </w:tcPr>
          <w:p w14:paraId="467D3329" w14:textId="77777777" w:rsidR="00A274ED" w:rsidRPr="003726E4" w:rsidRDefault="00A274ED" w:rsidP="006F09D0">
            <w:pPr>
              <w:spacing w:line="240" w:lineRule="auto"/>
              <w:jc w:val="center"/>
              <w:rPr>
                <w:rFonts w:cstheme="minorHAnsi"/>
                <w:b/>
                <w:bCs/>
                <w:iCs/>
                <w:color w:val="auto"/>
                <w:sz w:val="20"/>
                <w:szCs w:val="20"/>
              </w:rPr>
            </w:pPr>
            <w:r w:rsidRPr="003726E4">
              <w:rPr>
                <w:rFonts w:cstheme="minorHAnsi"/>
                <w:b/>
                <w:bCs/>
                <w:iCs/>
                <w:color w:val="auto"/>
                <w:sz w:val="20"/>
                <w:szCs w:val="20"/>
              </w:rPr>
              <w:t>Partially Agree</w:t>
            </w:r>
          </w:p>
          <w:p w14:paraId="4C208F19" w14:textId="77777777" w:rsidR="00A274ED" w:rsidRPr="003726E4" w:rsidRDefault="00A274ED" w:rsidP="006F09D0">
            <w:pPr>
              <w:spacing w:line="240" w:lineRule="auto"/>
              <w:jc w:val="center"/>
              <w:rPr>
                <w:rFonts w:cstheme="minorHAnsi"/>
                <w:b/>
                <w:bCs/>
                <w:iCs/>
                <w:color w:val="auto"/>
                <w:sz w:val="20"/>
                <w:szCs w:val="20"/>
              </w:rPr>
            </w:pPr>
          </w:p>
        </w:tc>
        <w:tc>
          <w:tcPr>
            <w:tcW w:w="3055" w:type="dxa"/>
          </w:tcPr>
          <w:p w14:paraId="727D52A3" w14:textId="4F93E622" w:rsidR="008E6236" w:rsidRDefault="00A5026C" w:rsidP="00701366">
            <w:pPr>
              <w:spacing w:line="240" w:lineRule="auto"/>
              <w:rPr>
                <w:rFonts w:cs="Source Sans Pro"/>
                <w:color w:val="000000"/>
                <w:sz w:val="20"/>
                <w:szCs w:val="20"/>
              </w:rPr>
            </w:pPr>
            <w:r>
              <w:rPr>
                <w:rFonts w:cs="Source Sans Pro"/>
                <w:color w:val="000000"/>
                <w:sz w:val="20"/>
                <w:szCs w:val="20"/>
              </w:rPr>
              <w:t>B</w:t>
            </w:r>
            <w:r w:rsidR="00A274ED" w:rsidRPr="006F09D0">
              <w:rPr>
                <w:rFonts w:cs="Source Sans Pro"/>
                <w:color w:val="000000"/>
                <w:sz w:val="20"/>
                <w:szCs w:val="20"/>
              </w:rPr>
              <w:t xml:space="preserve">randing is a key mechanism for enhancing the visibility of the Australian Government’s international </w:t>
            </w:r>
            <w:r w:rsidR="00D37702">
              <w:rPr>
                <w:rFonts w:cs="Source Sans Pro"/>
                <w:color w:val="000000"/>
                <w:sz w:val="20"/>
                <w:szCs w:val="20"/>
              </w:rPr>
              <w:t xml:space="preserve">assistance </w:t>
            </w:r>
            <w:r w:rsidR="00A274ED" w:rsidRPr="006F09D0">
              <w:rPr>
                <w:rFonts w:cs="Source Sans Pro"/>
                <w:color w:val="000000"/>
                <w:sz w:val="20"/>
                <w:szCs w:val="20"/>
              </w:rPr>
              <w:t xml:space="preserve">to both overseas audiences and to the Australian public. </w:t>
            </w:r>
            <w:r w:rsidR="00452C8C" w:rsidRPr="00452C8C">
              <w:rPr>
                <w:rFonts w:cs="Source Sans Pro"/>
                <w:color w:val="000000"/>
                <w:sz w:val="20"/>
                <w:szCs w:val="20"/>
              </w:rPr>
              <w:t xml:space="preserve">DFAT agrees that consideration should be given as to the feasibility of introducing a single humanitarian brand for DFAT’s suite of humanitarian programs. </w:t>
            </w:r>
            <w:r w:rsidR="00CD4C6D">
              <w:rPr>
                <w:rFonts w:cs="Source Sans Pro"/>
                <w:color w:val="000000"/>
                <w:sz w:val="20"/>
                <w:szCs w:val="20"/>
              </w:rPr>
              <w:t xml:space="preserve">DFAT agrees </w:t>
            </w:r>
            <w:r w:rsidR="00D37702">
              <w:rPr>
                <w:rFonts w:cs="Source Sans Pro"/>
                <w:color w:val="000000"/>
                <w:sz w:val="20"/>
                <w:szCs w:val="20"/>
              </w:rPr>
              <w:t>program</w:t>
            </w:r>
            <w:r w:rsidR="008F0E34">
              <w:rPr>
                <w:rFonts w:cs="Source Sans Pro"/>
                <w:color w:val="000000"/>
                <w:sz w:val="20"/>
                <w:szCs w:val="20"/>
              </w:rPr>
              <w:t xml:space="preserve"> </w:t>
            </w:r>
            <w:r w:rsidR="008E3791">
              <w:rPr>
                <w:rFonts w:cs="Source Sans Pro"/>
                <w:color w:val="000000"/>
                <w:sz w:val="20"/>
                <w:szCs w:val="20"/>
              </w:rPr>
              <w:t>branding should be</w:t>
            </w:r>
            <w:r w:rsidR="00A274ED" w:rsidRPr="006F09D0">
              <w:rPr>
                <w:rFonts w:cs="Source Sans Pro"/>
                <w:color w:val="000000"/>
                <w:sz w:val="20"/>
                <w:szCs w:val="20"/>
              </w:rPr>
              <w:t xml:space="preserve"> strengthen</w:t>
            </w:r>
            <w:r w:rsidR="008E3791">
              <w:rPr>
                <w:rFonts w:cs="Source Sans Pro"/>
                <w:color w:val="000000"/>
                <w:sz w:val="20"/>
                <w:szCs w:val="20"/>
              </w:rPr>
              <w:t>ed</w:t>
            </w:r>
            <w:r w:rsidR="00A274ED" w:rsidRPr="006F09D0">
              <w:rPr>
                <w:rFonts w:cs="Source Sans Pro"/>
                <w:color w:val="000000"/>
                <w:sz w:val="20"/>
                <w:szCs w:val="20"/>
              </w:rPr>
              <w:t xml:space="preserve"> </w:t>
            </w:r>
            <w:r w:rsidR="00D37702">
              <w:rPr>
                <w:rFonts w:cs="Source Sans Pro"/>
                <w:color w:val="000000"/>
                <w:sz w:val="20"/>
                <w:szCs w:val="20"/>
              </w:rPr>
              <w:t>including in</w:t>
            </w:r>
            <w:r w:rsidR="00701366">
              <w:rPr>
                <w:rFonts w:cs="Source Sans Pro"/>
                <w:color w:val="000000"/>
                <w:sz w:val="20"/>
                <w:szCs w:val="20"/>
              </w:rPr>
              <w:t xml:space="preserve"> any future design. </w:t>
            </w:r>
          </w:p>
          <w:p w14:paraId="69BF0DD0" w14:textId="6F1394C1" w:rsidR="00A274ED" w:rsidRPr="005A2DD9" w:rsidRDefault="00A274ED">
            <w:pPr>
              <w:spacing w:line="240" w:lineRule="auto"/>
              <w:rPr>
                <w:rFonts w:cstheme="minorHAnsi"/>
                <w:iCs/>
                <w:color w:val="auto"/>
                <w:sz w:val="20"/>
                <w:szCs w:val="20"/>
              </w:rPr>
            </w:pPr>
          </w:p>
        </w:tc>
        <w:tc>
          <w:tcPr>
            <w:tcW w:w="2940" w:type="dxa"/>
          </w:tcPr>
          <w:p w14:paraId="4EB94A4E" w14:textId="5B230E0B" w:rsidR="00A274ED" w:rsidRPr="00CA7BEF" w:rsidRDefault="00A274ED" w:rsidP="006F09D0">
            <w:pPr>
              <w:spacing w:line="240" w:lineRule="auto"/>
              <w:rPr>
                <w:rFonts w:cstheme="minorHAnsi"/>
                <w:iCs/>
                <w:color w:val="auto"/>
                <w:sz w:val="20"/>
                <w:szCs w:val="20"/>
              </w:rPr>
            </w:pPr>
            <w:r w:rsidRPr="00620234">
              <w:rPr>
                <w:rFonts w:cstheme="minorHAnsi"/>
                <w:iCs/>
                <w:color w:val="auto"/>
                <w:sz w:val="20"/>
                <w:szCs w:val="20"/>
              </w:rPr>
              <w:t xml:space="preserve">DFAT will consider a review of current humanitarian assistance branding informed by DFAT’s overarching branding and communication strategies and policies. </w:t>
            </w:r>
            <w:r>
              <w:rPr>
                <w:rFonts w:cstheme="minorHAnsi"/>
                <w:iCs/>
                <w:color w:val="auto"/>
                <w:sz w:val="20"/>
                <w:szCs w:val="20"/>
              </w:rPr>
              <w:t>As</w:t>
            </w:r>
            <w:r w:rsidR="00B02DA2">
              <w:rPr>
                <w:rFonts w:cstheme="minorHAnsi"/>
                <w:iCs/>
                <w:color w:val="auto"/>
                <w:sz w:val="20"/>
                <w:szCs w:val="20"/>
              </w:rPr>
              <w:t> </w:t>
            </w:r>
            <w:r>
              <w:rPr>
                <w:rFonts w:cstheme="minorHAnsi"/>
                <w:iCs/>
                <w:color w:val="auto"/>
                <w:sz w:val="20"/>
                <w:szCs w:val="20"/>
              </w:rPr>
              <w:t>per</w:t>
            </w:r>
            <w:r w:rsidR="00277FA0">
              <w:rPr>
                <w:rFonts w:cstheme="minorHAnsi"/>
                <w:iCs/>
                <w:color w:val="auto"/>
                <w:sz w:val="20"/>
                <w:szCs w:val="20"/>
              </w:rPr>
              <w:t> </w:t>
            </w:r>
            <w:r w:rsidRPr="00620234">
              <w:rPr>
                <w:rFonts w:cstheme="minorHAnsi"/>
                <w:iCs/>
                <w:color w:val="auto"/>
                <w:sz w:val="20"/>
                <w:szCs w:val="20"/>
              </w:rPr>
              <w:t>Recommendation</w:t>
            </w:r>
            <w:r w:rsidR="00B02DA2">
              <w:rPr>
                <w:rFonts w:cstheme="minorHAnsi"/>
                <w:iCs/>
                <w:color w:val="auto"/>
                <w:sz w:val="20"/>
                <w:szCs w:val="20"/>
              </w:rPr>
              <w:t> </w:t>
            </w:r>
            <w:r w:rsidRPr="00620234">
              <w:rPr>
                <w:rFonts w:cstheme="minorHAnsi"/>
                <w:iCs/>
                <w:color w:val="auto"/>
                <w:sz w:val="20"/>
                <w:szCs w:val="20"/>
              </w:rPr>
              <w:t xml:space="preserve">6, DFAT will consult with RedR on </w:t>
            </w:r>
            <w:r>
              <w:rPr>
                <w:rFonts w:cstheme="minorHAnsi"/>
                <w:iCs/>
                <w:color w:val="auto"/>
                <w:sz w:val="20"/>
                <w:szCs w:val="20"/>
              </w:rPr>
              <w:t>ways</w:t>
            </w:r>
            <w:r w:rsidRPr="00620234">
              <w:rPr>
                <w:rFonts w:cstheme="minorHAnsi"/>
                <w:iCs/>
                <w:color w:val="auto"/>
                <w:sz w:val="20"/>
                <w:szCs w:val="20"/>
              </w:rPr>
              <w:t xml:space="preserve"> to strengthen</w:t>
            </w:r>
            <w:r>
              <w:rPr>
                <w:rFonts w:cstheme="minorHAnsi"/>
                <w:iCs/>
                <w:color w:val="auto"/>
                <w:sz w:val="20"/>
                <w:szCs w:val="20"/>
              </w:rPr>
              <w:t xml:space="preserve"> the</w:t>
            </w:r>
            <w:r w:rsidRPr="00620234">
              <w:rPr>
                <w:rFonts w:cstheme="minorHAnsi"/>
                <w:iCs/>
                <w:color w:val="auto"/>
                <w:sz w:val="20"/>
                <w:szCs w:val="20"/>
              </w:rPr>
              <w:t xml:space="preserve"> Australia Assists branding for the remainder of the program.</w:t>
            </w:r>
            <w:r w:rsidR="00BA5AC7">
              <w:rPr>
                <w:rFonts w:cstheme="minorHAnsi"/>
                <w:iCs/>
                <w:color w:val="auto"/>
                <w:sz w:val="20"/>
                <w:szCs w:val="20"/>
              </w:rPr>
              <w:t xml:space="preserve"> Strengthened branding</w:t>
            </w:r>
            <w:r w:rsidR="00AE2BA5">
              <w:rPr>
                <w:rFonts w:cstheme="minorHAnsi"/>
                <w:iCs/>
                <w:color w:val="auto"/>
                <w:sz w:val="20"/>
                <w:szCs w:val="20"/>
              </w:rPr>
              <w:t xml:space="preserve"> will also be </w:t>
            </w:r>
            <w:r w:rsidR="00A04BE6">
              <w:rPr>
                <w:rFonts w:cstheme="minorHAnsi"/>
                <w:iCs/>
                <w:color w:val="auto"/>
                <w:sz w:val="20"/>
                <w:szCs w:val="20"/>
              </w:rPr>
              <w:t xml:space="preserve">prioritised </w:t>
            </w:r>
            <w:r w:rsidR="00AE2BA5">
              <w:rPr>
                <w:rFonts w:cstheme="minorHAnsi"/>
                <w:iCs/>
                <w:color w:val="auto"/>
                <w:sz w:val="20"/>
                <w:szCs w:val="20"/>
              </w:rPr>
              <w:t>as part of DFAT’s design for a future phase of investment, should it proceed.</w:t>
            </w:r>
          </w:p>
        </w:tc>
        <w:tc>
          <w:tcPr>
            <w:tcW w:w="1215" w:type="dxa"/>
          </w:tcPr>
          <w:p w14:paraId="35647F5C" w14:textId="77777777" w:rsidR="00A274ED" w:rsidRPr="00CA7BEF" w:rsidRDefault="00A274ED" w:rsidP="006F09D0">
            <w:pPr>
              <w:spacing w:line="240" w:lineRule="auto"/>
              <w:rPr>
                <w:rFonts w:cstheme="minorHAnsi"/>
                <w:iCs/>
                <w:color w:val="auto"/>
                <w:sz w:val="20"/>
                <w:szCs w:val="20"/>
              </w:rPr>
            </w:pPr>
            <w:r>
              <w:rPr>
                <w:rFonts w:cstheme="minorHAnsi"/>
                <w:iCs/>
                <w:color w:val="auto"/>
                <w:sz w:val="20"/>
                <w:szCs w:val="20"/>
              </w:rPr>
              <w:t>2023/2024</w:t>
            </w:r>
          </w:p>
        </w:tc>
      </w:tr>
      <w:tr w:rsidR="003B3A2E" w:rsidRPr="00CA7BEF" w14:paraId="1A5CB3C9" w14:textId="77777777" w:rsidTr="002E775C">
        <w:tc>
          <w:tcPr>
            <w:tcW w:w="4843" w:type="dxa"/>
          </w:tcPr>
          <w:p w14:paraId="42879937" w14:textId="77777777" w:rsidR="00A274ED" w:rsidRPr="00DA6CC7" w:rsidRDefault="00A274ED" w:rsidP="00A274ED">
            <w:pPr>
              <w:pStyle w:val="ListParagraph"/>
              <w:numPr>
                <w:ilvl w:val="1"/>
                <w:numId w:val="1"/>
              </w:numPr>
              <w:rPr>
                <w:rFonts w:cstheme="minorHAnsi"/>
                <w:b/>
                <w:bCs/>
                <w:color w:val="auto"/>
                <w:sz w:val="20"/>
                <w:szCs w:val="20"/>
                <w:lang w:val="en-AU"/>
              </w:rPr>
            </w:pPr>
            <w:r w:rsidRPr="001641F1">
              <w:rPr>
                <w:b/>
                <w:bCs/>
              </w:rPr>
              <w:t>Ensure sufficient DFAT resourcing (time and human resources) of the design, tender, contract negotiations and implementation, to ensure the next phase has the right foundations to implement an enhanced deployment framework and management approach</w:t>
            </w:r>
            <w:r>
              <w:rPr>
                <w:b/>
                <w:bCs/>
              </w:rPr>
              <w:t>.</w:t>
            </w:r>
          </w:p>
        </w:tc>
        <w:tc>
          <w:tcPr>
            <w:tcW w:w="1130" w:type="dxa"/>
            <w:shd w:val="clear" w:color="auto" w:fill="92D050"/>
          </w:tcPr>
          <w:p w14:paraId="670DB476" w14:textId="77777777" w:rsidR="00A274ED" w:rsidRPr="003726E4" w:rsidRDefault="00A274ED" w:rsidP="006F09D0">
            <w:pPr>
              <w:spacing w:line="240" w:lineRule="auto"/>
              <w:jc w:val="center"/>
              <w:rPr>
                <w:rFonts w:cstheme="minorHAnsi"/>
                <w:b/>
                <w:bCs/>
                <w:iCs/>
                <w:color w:val="auto"/>
                <w:sz w:val="20"/>
                <w:szCs w:val="20"/>
              </w:rPr>
            </w:pPr>
            <w:r w:rsidRPr="003726E4">
              <w:rPr>
                <w:rFonts w:cstheme="minorHAnsi"/>
                <w:b/>
                <w:bCs/>
                <w:iCs/>
                <w:color w:val="auto"/>
                <w:sz w:val="20"/>
                <w:szCs w:val="20"/>
              </w:rPr>
              <w:t>Agree</w:t>
            </w:r>
          </w:p>
        </w:tc>
        <w:tc>
          <w:tcPr>
            <w:tcW w:w="3055" w:type="dxa"/>
          </w:tcPr>
          <w:p w14:paraId="13D0F8C6" w14:textId="45A64BB6" w:rsidR="00A274ED" w:rsidRPr="00CA7BEF" w:rsidRDefault="00701366" w:rsidP="006F09D0">
            <w:pPr>
              <w:spacing w:line="240" w:lineRule="auto"/>
              <w:rPr>
                <w:rFonts w:cstheme="minorHAnsi"/>
                <w:iCs/>
                <w:color w:val="auto"/>
                <w:sz w:val="20"/>
                <w:szCs w:val="20"/>
              </w:rPr>
            </w:pPr>
            <w:r>
              <w:rPr>
                <w:rFonts w:cstheme="minorHAnsi"/>
                <w:iCs/>
                <w:color w:val="auto"/>
                <w:sz w:val="20"/>
                <w:szCs w:val="20"/>
              </w:rPr>
              <w:t>DFAT agrees sufficient resourcing is critical to ensure the success of any future design and procurement process</w:t>
            </w:r>
            <w:r w:rsidR="00A274ED">
              <w:rPr>
                <w:rFonts w:cstheme="minorHAnsi"/>
                <w:iCs/>
                <w:color w:val="auto"/>
                <w:sz w:val="20"/>
                <w:szCs w:val="20"/>
              </w:rPr>
              <w:t xml:space="preserve">. </w:t>
            </w:r>
          </w:p>
        </w:tc>
        <w:tc>
          <w:tcPr>
            <w:tcW w:w="2940" w:type="dxa"/>
          </w:tcPr>
          <w:p w14:paraId="52E4789A" w14:textId="0B580096" w:rsidR="00A274ED" w:rsidRPr="00CA7BEF" w:rsidRDefault="00A274ED" w:rsidP="006F09D0">
            <w:pPr>
              <w:spacing w:line="240" w:lineRule="auto"/>
              <w:rPr>
                <w:rFonts w:cstheme="minorHAnsi"/>
                <w:iCs/>
                <w:color w:val="auto"/>
                <w:sz w:val="20"/>
                <w:szCs w:val="20"/>
              </w:rPr>
            </w:pPr>
            <w:r>
              <w:rPr>
                <w:rFonts w:cstheme="minorHAnsi"/>
                <w:iCs/>
                <w:color w:val="auto"/>
                <w:sz w:val="20"/>
                <w:szCs w:val="20"/>
              </w:rPr>
              <w:t>DFAT will continue to allocate necessary resources for ongoing management of this program, and any future phases</w:t>
            </w:r>
            <w:r w:rsidR="00F85C2B">
              <w:rPr>
                <w:rFonts w:cstheme="minorHAnsi"/>
                <w:iCs/>
                <w:color w:val="auto"/>
                <w:sz w:val="20"/>
                <w:szCs w:val="20"/>
              </w:rPr>
              <w:t>.</w:t>
            </w:r>
          </w:p>
        </w:tc>
        <w:tc>
          <w:tcPr>
            <w:tcW w:w="1215" w:type="dxa"/>
          </w:tcPr>
          <w:p w14:paraId="21F3A063" w14:textId="77777777" w:rsidR="00A274ED" w:rsidRPr="00CA7BEF" w:rsidRDefault="00A274ED" w:rsidP="006F09D0">
            <w:pPr>
              <w:spacing w:line="240" w:lineRule="auto"/>
              <w:rPr>
                <w:rFonts w:cstheme="minorHAnsi"/>
                <w:iCs/>
                <w:color w:val="auto"/>
                <w:sz w:val="20"/>
                <w:szCs w:val="20"/>
              </w:rPr>
            </w:pPr>
            <w:r>
              <w:rPr>
                <w:rFonts w:cstheme="minorHAnsi"/>
                <w:iCs/>
                <w:color w:val="auto"/>
                <w:sz w:val="20"/>
                <w:szCs w:val="20"/>
              </w:rPr>
              <w:t>2023/2024</w:t>
            </w:r>
          </w:p>
        </w:tc>
      </w:tr>
    </w:tbl>
    <w:p w14:paraId="31E30377" w14:textId="194727F8" w:rsidR="002E775C" w:rsidRDefault="002E775C" w:rsidP="002E775C">
      <w:pPr>
        <w:pStyle w:val="Heading3"/>
        <w:spacing w:before="240" w:after="120"/>
      </w:pPr>
      <w:r w:rsidRPr="003726E4">
        <w:lastRenderedPageBreak/>
        <w:t xml:space="preserve">Recommendations for DFAT and </w:t>
      </w:r>
      <w:proofErr w:type="spellStart"/>
      <w:r w:rsidRPr="003726E4">
        <w:t>RedR</w:t>
      </w:r>
      <w:proofErr w:type="spellEnd"/>
      <w:r w:rsidRPr="003726E4">
        <w:t xml:space="preserve"> Australia</w:t>
      </w:r>
    </w:p>
    <w:tbl>
      <w:tblPr>
        <w:tblStyle w:val="TableGrid"/>
        <w:tblW w:w="13183" w:type="dxa"/>
        <w:tblInd w:w="-147" w:type="dxa"/>
        <w:tblLook w:val="04A0" w:firstRow="1" w:lastRow="0" w:firstColumn="1" w:lastColumn="0" w:noHBand="0" w:noVBand="1"/>
      </w:tblPr>
      <w:tblGrid>
        <w:gridCol w:w="4843"/>
        <w:gridCol w:w="1130"/>
        <w:gridCol w:w="3055"/>
        <w:gridCol w:w="2940"/>
        <w:gridCol w:w="1215"/>
      </w:tblGrid>
      <w:tr w:rsidR="003B3A2E" w:rsidRPr="00CA7BEF" w14:paraId="77B7E14B" w14:textId="77777777" w:rsidTr="002E775C">
        <w:tc>
          <w:tcPr>
            <w:tcW w:w="4843" w:type="dxa"/>
          </w:tcPr>
          <w:p w14:paraId="7F7E13BE" w14:textId="77777777" w:rsidR="00A274ED" w:rsidRPr="005D4A2F" w:rsidRDefault="00A274ED" w:rsidP="00A274ED">
            <w:pPr>
              <w:pStyle w:val="ListParagraph"/>
              <w:numPr>
                <w:ilvl w:val="1"/>
                <w:numId w:val="1"/>
              </w:numPr>
              <w:rPr>
                <w:b/>
                <w:bCs/>
              </w:rPr>
            </w:pPr>
            <w:r w:rsidRPr="00847262">
              <w:rPr>
                <w:b/>
                <w:bCs/>
              </w:rPr>
              <w:t>Current Contract: Strengthen the distinction between the Australia Assists program and RedR, and address issues that emerged through this evaluation (intellectual property, branding and MEAL) with a view to enhancing clarity, accountability, and transparency, and agree expectations through to contract end. This could be achieved through a series of facilitated discussions to negotiate a contract amendment between DFAT and RedR, with a contracts specialist to provide advice.</w:t>
            </w:r>
          </w:p>
        </w:tc>
        <w:tc>
          <w:tcPr>
            <w:tcW w:w="1130" w:type="dxa"/>
            <w:shd w:val="clear" w:color="auto" w:fill="92D050"/>
          </w:tcPr>
          <w:p w14:paraId="22C849C0" w14:textId="77777777" w:rsidR="00A274ED" w:rsidRPr="003726E4" w:rsidRDefault="00A274ED" w:rsidP="006F09D0">
            <w:pPr>
              <w:spacing w:line="240" w:lineRule="auto"/>
              <w:jc w:val="center"/>
              <w:rPr>
                <w:rFonts w:cstheme="minorHAnsi"/>
                <w:b/>
                <w:bCs/>
                <w:iCs/>
                <w:color w:val="auto"/>
                <w:sz w:val="20"/>
                <w:szCs w:val="20"/>
              </w:rPr>
            </w:pPr>
            <w:r w:rsidRPr="003726E4">
              <w:rPr>
                <w:rFonts w:cstheme="minorHAnsi"/>
                <w:b/>
                <w:bCs/>
                <w:iCs/>
                <w:color w:val="auto"/>
                <w:sz w:val="20"/>
                <w:szCs w:val="20"/>
              </w:rPr>
              <w:t>Agree</w:t>
            </w:r>
          </w:p>
        </w:tc>
        <w:tc>
          <w:tcPr>
            <w:tcW w:w="3055" w:type="dxa"/>
          </w:tcPr>
          <w:p w14:paraId="78C2099D" w14:textId="17B365ED" w:rsidR="00A274ED" w:rsidRPr="00CA7BEF" w:rsidRDefault="00701366" w:rsidP="006F09D0">
            <w:pPr>
              <w:spacing w:line="240" w:lineRule="auto"/>
              <w:rPr>
                <w:rFonts w:cstheme="minorHAnsi"/>
                <w:iCs/>
                <w:color w:val="auto"/>
                <w:sz w:val="20"/>
                <w:szCs w:val="20"/>
              </w:rPr>
            </w:pPr>
            <w:r>
              <w:rPr>
                <w:rFonts w:cstheme="minorHAnsi"/>
                <w:iCs/>
                <w:color w:val="auto"/>
                <w:sz w:val="20"/>
                <w:szCs w:val="20"/>
              </w:rPr>
              <w:t xml:space="preserve">DFAT agrees that </w:t>
            </w:r>
            <w:r w:rsidR="00A274ED">
              <w:rPr>
                <w:rFonts w:cstheme="minorHAnsi"/>
                <w:iCs/>
                <w:color w:val="auto"/>
                <w:sz w:val="20"/>
                <w:szCs w:val="20"/>
              </w:rPr>
              <w:t>it is appropriate to re</w:t>
            </w:r>
            <w:r w:rsidR="00A04BE6">
              <w:rPr>
                <w:rFonts w:cstheme="minorHAnsi"/>
                <w:iCs/>
                <w:color w:val="auto"/>
                <w:sz w:val="20"/>
                <w:szCs w:val="20"/>
              </w:rPr>
              <w:t>confirm</w:t>
            </w:r>
            <w:r w:rsidR="00A274ED">
              <w:rPr>
                <w:rFonts w:cstheme="minorHAnsi"/>
                <w:iCs/>
                <w:color w:val="auto"/>
                <w:sz w:val="20"/>
                <w:szCs w:val="20"/>
              </w:rPr>
              <w:t xml:space="preserve"> expectations regarding issues such as intellectual property, branding, revenue streams and </w:t>
            </w:r>
            <w:r w:rsidR="000A255E">
              <w:rPr>
                <w:rFonts w:cstheme="minorHAnsi"/>
                <w:iCs/>
                <w:color w:val="auto"/>
                <w:sz w:val="20"/>
                <w:szCs w:val="20"/>
              </w:rPr>
              <w:t>m</w:t>
            </w:r>
            <w:r w:rsidR="00A274ED">
              <w:rPr>
                <w:rFonts w:cstheme="minorHAnsi"/>
                <w:iCs/>
                <w:color w:val="auto"/>
                <w:sz w:val="20"/>
                <w:szCs w:val="20"/>
              </w:rPr>
              <w:t>onitoring</w:t>
            </w:r>
            <w:r w:rsidR="000A255E">
              <w:rPr>
                <w:rFonts w:cstheme="minorHAnsi"/>
                <w:iCs/>
                <w:color w:val="auto"/>
                <w:sz w:val="20"/>
                <w:szCs w:val="20"/>
              </w:rPr>
              <w:t xml:space="preserve"> and e</w:t>
            </w:r>
            <w:r w:rsidR="00A274ED">
              <w:rPr>
                <w:rFonts w:cstheme="minorHAnsi"/>
                <w:iCs/>
                <w:color w:val="auto"/>
                <w:sz w:val="20"/>
                <w:szCs w:val="20"/>
              </w:rPr>
              <w:t>valuation, and ensure the current contract reflects these accurately.</w:t>
            </w:r>
          </w:p>
        </w:tc>
        <w:tc>
          <w:tcPr>
            <w:tcW w:w="2940" w:type="dxa"/>
          </w:tcPr>
          <w:p w14:paraId="46F7B516" w14:textId="585A02A6" w:rsidR="00A274ED" w:rsidRPr="00CA7BEF" w:rsidRDefault="000A255E" w:rsidP="006F09D0">
            <w:pPr>
              <w:spacing w:line="240" w:lineRule="auto"/>
              <w:rPr>
                <w:rFonts w:cstheme="minorHAnsi"/>
                <w:iCs/>
                <w:color w:val="auto"/>
                <w:sz w:val="20"/>
                <w:szCs w:val="20"/>
              </w:rPr>
            </w:pPr>
            <w:r>
              <w:rPr>
                <w:rFonts w:cstheme="minorHAnsi"/>
                <w:iCs/>
                <w:color w:val="auto"/>
                <w:sz w:val="20"/>
                <w:szCs w:val="20"/>
              </w:rPr>
              <w:t xml:space="preserve">DFAT </w:t>
            </w:r>
            <w:r w:rsidR="00A04BE6">
              <w:rPr>
                <w:rFonts w:cstheme="minorHAnsi"/>
                <w:iCs/>
                <w:color w:val="auto"/>
                <w:sz w:val="20"/>
                <w:szCs w:val="20"/>
              </w:rPr>
              <w:t xml:space="preserve">and RedR </w:t>
            </w:r>
            <w:r>
              <w:rPr>
                <w:rFonts w:cstheme="minorHAnsi"/>
                <w:iCs/>
                <w:color w:val="auto"/>
                <w:sz w:val="20"/>
                <w:szCs w:val="20"/>
              </w:rPr>
              <w:t xml:space="preserve">will work </w:t>
            </w:r>
            <w:r w:rsidR="00A04BE6">
              <w:rPr>
                <w:rFonts w:cstheme="minorHAnsi"/>
                <w:iCs/>
                <w:color w:val="auto"/>
                <w:sz w:val="20"/>
                <w:szCs w:val="20"/>
              </w:rPr>
              <w:t xml:space="preserve">together </w:t>
            </w:r>
            <w:r>
              <w:rPr>
                <w:rFonts w:cstheme="minorHAnsi"/>
                <w:iCs/>
                <w:color w:val="auto"/>
                <w:sz w:val="20"/>
                <w:szCs w:val="20"/>
              </w:rPr>
              <w:t xml:space="preserve">to clarify </w:t>
            </w:r>
            <w:r w:rsidR="00701366">
              <w:rPr>
                <w:rFonts w:cstheme="minorHAnsi"/>
                <w:iCs/>
                <w:color w:val="auto"/>
                <w:sz w:val="20"/>
                <w:szCs w:val="20"/>
              </w:rPr>
              <w:t xml:space="preserve">the </w:t>
            </w:r>
            <w:r>
              <w:rPr>
                <w:rFonts w:cstheme="minorHAnsi"/>
                <w:iCs/>
                <w:color w:val="auto"/>
                <w:sz w:val="20"/>
                <w:szCs w:val="20"/>
              </w:rPr>
              <w:t xml:space="preserve">programmatic and operational matters raised in this </w:t>
            </w:r>
            <w:r w:rsidR="00F8199E">
              <w:rPr>
                <w:rFonts w:cstheme="minorHAnsi"/>
                <w:iCs/>
                <w:color w:val="auto"/>
                <w:sz w:val="20"/>
                <w:szCs w:val="20"/>
              </w:rPr>
              <w:t xml:space="preserve">evaluation </w:t>
            </w:r>
            <w:r>
              <w:rPr>
                <w:rFonts w:cstheme="minorHAnsi"/>
                <w:iCs/>
                <w:color w:val="auto"/>
                <w:sz w:val="20"/>
                <w:szCs w:val="20"/>
              </w:rPr>
              <w:t xml:space="preserve">and </w:t>
            </w:r>
            <w:r w:rsidR="00A274ED">
              <w:rPr>
                <w:rFonts w:cstheme="minorHAnsi"/>
                <w:iCs/>
                <w:color w:val="auto"/>
                <w:sz w:val="20"/>
                <w:szCs w:val="20"/>
              </w:rPr>
              <w:t>ensure the current contract accurately reflects the expectations of both partners.</w:t>
            </w:r>
            <w:r w:rsidR="00A274ED" w:rsidRPr="00620234">
              <w:rPr>
                <w:rFonts w:cstheme="minorHAnsi"/>
                <w:iCs/>
                <w:color w:val="auto"/>
                <w:sz w:val="20"/>
                <w:szCs w:val="20"/>
              </w:rPr>
              <w:t xml:space="preserve"> </w:t>
            </w:r>
          </w:p>
        </w:tc>
        <w:tc>
          <w:tcPr>
            <w:tcW w:w="1215" w:type="dxa"/>
          </w:tcPr>
          <w:p w14:paraId="27EAD9F2" w14:textId="77777777" w:rsidR="00A274ED" w:rsidRPr="00CA7BEF" w:rsidRDefault="00A274ED" w:rsidP="006F09D0">
            <w:pPr>
              <w:spacing w:line="240" w:lineRule="auto"/>
              <w:jc w:val="center"/>
              <w:rPr>
                <w:rFonts w:cstheme="minorHAnsi"/>
                <w:iCs/>
                <w:color w:val="auto"/>
                <w:sz w:val="20"/>
                <w:szCs w:val="20"/>
              </w:rPr>
            </w:pPr>
            <w:r>
              <w:rPr>
                <w:rFonts w:cstheme="minorHAnsi"/>
                <w:iCs/>
                <w:color w:val="auto"/>
                <w:sz w:val="20"/>
                <w:szCs w:val="20"/>
              </w:rPr>
              <w:t>2023</w:t>
            </w:r>
          </w:p>
        </w:tc>
      </w:tr>
      <w:tr w:rsidR="003B3A2E" w:rsidRPr="00CA7BEF" w14:paraId="3D09977A" w14:textId="77777777" w:rsidTr="002E775C">
        <w:tc>
          <w:tcPr>
            <w:tcW w:w="4843" w:type="dxa"/>
          </w:tcPr>
          <w:p w14:paraId="644AE5EB" w14:textId="77777777" w:rsidR="00A274ED" w:rsidRPr="005D4DDD" w:rsidRDefault="00A274ED" w:rsidP="00A274ED">
            <w:pPr>
              <w:pStyle w:val="ListParagraph"/>
              <w:numPr>
                <w:ilvl w:val="1"/>
                <w:numId w:val="1"/>
              </w:numPr>
              <w:rPr>
                <w:b/>
                <w:bCs/>
              </w:rPr>
            </w:pPr>
            <w:r w:rsidRPr="00562778">
              <w:rPr>
                <w:b/>
                <w:bCs/>
              </w:rPr>
              <w:t>Focus the current Australia Assists MEAL resourcing (and increase if needed), on collecting outcome data that will contribute to the End of Program Completion Report in 2023.</w:t>
            </w:r>
          </w:p>
        </w:tc>
        <w:tc>
          <w:tcPr>
            <w:tcW w:w="1130" w:type="dxa"/>
            <w:shd w:val="clear" w:color="auto" w:fill="92D050"/>
          </w:tcPr>
          <w:p w14:paraId="286342F6" w14:textId="77777777" w:rsidR="00A274ED" w:rsidRPr="003726E4" w:rsidRDefault="00A274ED" w:rsidP="006F09D0">
            <w:pPr>
              <w:spacing w:line="240" w:lineRule="auto"/>
              <w:jc w:val="center"/>
              <w:rPr>
                <w:rFonts w:cstheme="minorHAnsi"/>
                <w:b/>
                <w:bCs/>
                <w:iCs/>
                <w:color w:val="auto"/>
                <w:sz w:val="20"/>
                <w:szCs w:val="20"/>
              </w:rPr>
            </w:pPr>
            <w:r w:rsidRPr="003726E4">
              <w:rPr>
                <w:rFonts w:cstheme="minorHAnsi"/>
                <w:b/>
                <w:bCs/>
                <w:iCs/>
                <w:color w:val="auto"/>
                <w:sz w:val="20"/>
                <w:szCs w:val="20"/>
              </w:rPr>
              <w:t>Agree</w:t>
            </w:r>
          </w:p>
        </w:tc>
        <w:tc>
          <w:tcPr>
            <w:tcW w:w="3055" w:type="dxa"/>
          </w:tcPr>
          <w:p w14:paraId="030CA200" w14:textId="3D53534A" w:rsidR="00A274ED" w:rsidRPr="00CA7BEF" w:rsidRDefault="00701366" w:rsidP="006F09D0">
            <w:pPr>
              <w:spacing w:line="240" w:lineRule="auto"/>
              <w:rPr>
                <w:rFonts w:cstheme="minorHAnsi"/>
                <w:iCs/>
                <w:color w:val="auto"/>
                <w:sz w:val="20"/>
                <w:szCs w:val="20"/>
              </w:rPr>
            </w:pPr>
            <w:r>
              <w:rPr>
                <w:rFonts w:cstheme="minorHAnsi"/>
                <w:iCs/>
                <w:color w:val="auto"/>
                <w:sz w:val="20"/>
                <w:szCs w:val="20"/>
              </w:rPr>
              <w:t>DFAT agrees that the collection and analysis of outcome-level data covering the lifespan of this investment will be critical for t</w:t>
            </w:r>
            <w:r w:rsidR="00A274ED">
              <w:rPr>
                <w:rFonts w:cstheme="minorHAnsi"/>
                <w:iCs/>
                <w:color w:val="auto"/>
                <w:sz w:val="20"/>
                <w:szCs w:val="20"/>
              </w:rPr>
              <w:t xml:space="preserve">he End of Program Completion Report and the Final Investment Monitoring Report. </w:t>
            </w:r>
          </w:p>
        </w:tc>
        <w:tc>
          <w:tcPr>
            <w:tcW w:w="2940" w:type="dxa"/>
          </w:tcPr>
          <w:p w14:paraId="17557A54" w14:textId="05ED3F73" w:rsidR="002A5696" w:rsidRDefault="00897199" w:rsidP="006F09D0">
            <w:pPr>
              <w:spacing w:line="240" w:lineRule="auto"/>
              <w:rPr>
                <w:rFonts w:cstheme="minorHAnsi"/>
                <w:iCs/>
                <w:color w:val="auto"/>
                <w:sz w:val="20"/>
                <w:szCs w:val="20"/>
              </w:rPr>
            </w:pPr>
            <w:r>
              <w:rPr>
                <w:rFonts w:cstheme="minorHAnsi"/>
                <w:iCs/>
                <w:color w:val="auto"/>
                <w:sz w:val="20"/>
                <w:szCs w:val="20"/>
              </w:rPr>
              <w:t xml:space="preserve">RedR has </w:t>
            </w:r>
            <w:r w:rsidR="006C62A8">
              <w:rPr>
                <w:rFonts w:cstheme="minorHAnsi"/>
                <w:iCs/>
                <w:color w:val="auto"/>
                <w:sz w:val="20"/>
                <w:szCs w:val="20"/>
              </w:rPr>
              <w:t xml:space="preserve">recently </w:t>
            </w:r>
            <w:r w:rsidR="002A5696">
              <w:rPr>
                <w:rFonts w:cstheme="minorHAnsi"/>
                <w:iCs/>
                <w:color w:val="auto"/>
                <w:sz w:val="20"/>
                <w:szCs w:val="20"/>
              </w:rPr>
              <w:t xml:space="preserve">restructured the management oversight of </w:t>
            </w:r>
            <w:r w:rsidR="00701366">
              <w:rPr>
                <w:rFonts w:cstheme="minorHAnsi"/>
                <w:iCs/>
                <w:color w:val="auto"/>
                <w:sz w:val="20"/>
                <w:szCs w:val="20"/>
              </w:rPr>
              <w:t xml:space="preserve">its </w:t>
            </w:r>
            <w:r w:rsidR="00525EE9">
              <w:rPr>
                <w:rFonts w:cstheme="minorHAnsi"/>
                <w:iCs/>
                <w:color w:val="auto"/>
                <w:sz w:val="20"/>
                <w:szCs w:val="20"/>
              </w:rPr>
              <w:t>monitoring and evaluation</w:t>
            </w:r>
            <w:r w:rsidR="002A5696">
              <w:rPr>
                <w:rFonts w:cstheme="minorHAnsi"/>
                <w:iCs/>
                <w:color w:val="auto"/>
                <w:sz w:val="20"/>
                <w:szCs w:val="20"/>
              </w:rPr>
              <w:t xml:space="preserve">. </w:t>
            </w:r>
          </w:p>
          <w:p w14:paraId="16AF8A2F" w14:textId="4EBD248B" w:rsidR="00A274ED" w:rsidRPr="00CA7BEF" w:rsidRDefault="00A274ED" w:rsidP="006F09D0">
            <w:pPr>
              <w:spacing w:line="240" w:lineRule="auto"/>
              <w:rPr>
                <w:rFonts w:cstheme="minorHAnsi"/>
                <w:iCs/>
                <w:color w:val="auto"/>
                <w:sz w:val="20"/>
                <w:szCs w:val="20"/>
              </w:rPr>
            </w:pPr>
            <w:r>
              <w:rPr>
                <w:rFonts w:cstheme="minorHAnsi"/>
                <w:iCs/>
                <w:color w:val="auto"/>
                <w:sz w:val="20"/>
                <w:szCs w:val="20"/>
              </w:rPr>
              <w:t xml:space="preserve">DFAT will </w:t>
            </w:r>
            <w:r w:rsidR="00ED054D">
              <w:rPr>
                <w:rFonts w:cstheme="minorHAnsi"/>
                <w:iCs/>
                <w:color w:val="auto"/>
                <w:sz w:val="20"/>
                <w:szCs w:val="20"/>
              </w:rPr>
              <w:t xml:space="preserve">continue to </w:t>
            </w:r>
            <w:r>
              <w:rPr>
                <w:rFonts w:cstheme="minorHAnsi"/>
                <w:iCs/>
                <w:color w:val="auto"/>
                <w:sz w:val="20"/>
                <w:szCs w:val="20"/>
              </w:rPr>
              <w:t xml:space="preserve">work with RedR to </w:t>
            </w:r>
            <w:r w:rsidR="00ED054D">
              <w:rPr>
                <w:rFonts w:cstheme="minorHAnsi"/>
                <w:iCs/>
                <w:color w:val="auto"/>
                <w:sz w:val="20"/>
                <w:szCs w:val="20"/>
              </w:rPr>
              <w:t>allocate</w:t>
            </w:r>
            <w:r>
              <w:rPr>
                <w:rFonts w:cstheme="minorHAnsi"/>
                <w:iCs/>
                <w:color w:val="auto"/>
                <w:sz w:val="20"/>
                <w:szCs w:val="20"/>
              </w:rPr>
              <w:t xml:space="preserve"> adequate resourc</w:t>
            </w:r>
            <w:r w:rsidR="00ED054D">
              <w:rPr>
                <w:rFonts w:cstheme="minorHAnsi"/>
                <w:iCs/>
                <w:color w:val="auto"/>
                <w:sz w:val="20"/>
                <w:szCs w:val="20"/>
              </w:rPr>
              <w:t>ing</w:t>
            </w:r>
            <w:r>
              <w:rPr>
                <w:rFonts w:cstheme="minorHAnsi"/>
                <w:iCs/>
                <w:color w:val="auto"/>
                <w:sz w:val="20"/>
                <w:szCs w:val="20"/>
              </w:rPr>
              <w:t xml:space="preserve"> to collect </w:t>
            </w:r>
            <w:r w:rsidR="008E6236">
              <w:rPr>
                <w:rFonts w:cstheme="minorHAnsi"/>
                <w:iCs/>
                <w:color w:val="auto"/>
                <w:sz w:val="20"/>
                <w:szCs w:val="20"/>
              </w:rPr>
              <w:t xml:space="preserve">and analyse </w:t>
            </w:r>
            <w:r>
              <w:rPr>
                <w:rFonts w:cstheme="minorHAnsi"/>
                <w:iCs/>
                <w:color w:val="auto"/>
                <w:sz w:val="20"/>
                <w:szCs w:val="20"/>
              </w:rPr>
              <w:t>outcome data for this investment.</w:t>
            </w:r>
          </w:p>
        </w:tc>
        <w:tc>
          <w:tcPr>
            <w:tcW w:w="1215" w:type="dxa"/>
          </w:tcPr>
          <w:p w14:paraId="6754D8AF" w14:textId="77777777" w:rsidR="00A274ED" w:rsidRPr="00CA7BEF" w:rsidRDefault="00A274ED" w:rsidP="006F09D0">
            <w:pPr>
              <w:spacing w:line="240" w:lineRule="auto"/>
              <w:jc w:val="center"/>
              <w:rPr>
                <w:rFonts w:cstheme="minorHAnsi"/>
                <w:iCs/>
                <w:color w:val="auto"/>
                <w:sz w:val="20"/>
                <w:szCs w:val="20"/>
              </w:rPr>
            </w:pPr>
            <w:r>
              <w:rPr>
                <w:rFonts w:cstheme="minorHAnsi"/>
                <w:iCs/>
                <w:color w:val="auto"/>
                <w:sz w:val="20"/>
                <w:szCs w:val="20"/>
              </w:rPr>
              <w:t>2023</w:t>
            </w:r>
          </w:p>
        </w:tc>
      </w:tr>
      <w:tr w:rsidR="003B3A2E" w:rsidRPr="00CA7BEF" w14:paraId="319A13B9" w14:textId="77777777" w:rsidTr="002E775C">
        <w:tc>
          <w:tcPr>
            <w:tcW w:w="4843" w:type="dxa"/>
          </w:tcPr>
          <w:p w14:paraId="3404FE5C" w14:textId="041DAC85" w:rsidR="00A274ED" w:rsidRPr="005D4A2F" w:rsidRDefault="00A274ED" w:rsidP="00A274ED">
            <w:pPr>
              <w:pStyle w:val="ListParagraph"/>
              <w:numPr>
                <w:ilvl w:val="1"/>
                <w:numId w:val="1"/>
              </w:numPr>
              <w:rPr>
                <w:b/>
                <w:bCs/>
              </w:rPr>
            </w:pPr>
            <w:bookmarkStart w:id="1" w:name="_Hlk122611360"/>
            <w:r w:rsidRPr="00505B3A">
              <w:rPr>
                <w:b/>
                <w:bCs/>
              </w:rPr>
              <w:t>Strengthen complaints handling in line with emerging best practice through the introduction of an independent complaints handling mechanism and consider introducing one for DFAT’s humanitarian assistance more broadly</w:t>
            </w:r>
            <w:r>
              <w:rPr>
                <w:b/>
                <w:bCs/>
              </w:rPr>
              <w:t>.</w:t>
            </w:r>
          </w:p>
        </w:tc>
        <w:tc>
          <w:tcPr>
            <w:tcW w:w="1130" w:type="dxa"/>
            <w:shd w:val="clear" w:color="auto" w:fill="FFC000"/>
          </w:tcPr>
          <w:p w14:paraId="3E9EDD7F" w14:textId="77777777" w:rsidR="00A274ED" w:rsidRPr="003726E4" w:rsidRDefault="00A274ED" w:rsidP="006F09D0">
            <w:pPr>
              <w:spacing w:line="240" w:lineRule="auto"/>
              <w:jc w:val="center"/>
              <w:rPr>
                <w:rFonts w:cstheme="minorHAnsi"/>
                <w:b/>
                <w:bCs/>
                <w:iCs/>
                <w:color w:val="auto"/>
                <w:sz w:val="20"/>
                <w:szCs w:val="20"/>
              </w:rPr>
            </w:pPr>
            <w:r w:rsidRPr="003726E4">
              <w:rPr>
                <w:rFonts w:cstheme="minorHAnsi"/>
                <w:b/>
                <w:bCs/>
                <w:iCs/>
                <w:color w:val="auto"/>
                <w:sz w:val="20"/>
                <w:szCs w:val="20"/>
              </w:rPr>
              <w:t>Partially Agree</w:t>
            </w:r>
          </w:p>
        </w:tc>
        <w:tc>
          <w:tcPr>
            <w:tcW w:w="3055" w:type="dxa"/>
          </w:tcPr>
          <w:p w14:paraId="6BDA09A9" w14:textId="0265F7A5" w:rsidR="00461E5E" w:rsidRDefault="00EE2AF0" w:rsidP="006F09D0">
            <w:pPr>
              <w:spacing w:line="240" w:lineRule="auto"/>
              <w:rPr>
                <w:rFonts w:cstheme="minorHAnsi"/>
                <w:iCs/>
                <w:color w:val="auto"/>
                <w:sz w:val="20"/>
                <w:szCs w:val="20"/>
              </w:rPr>
            </w:pPr>
            <w:r>
              <w:rPr>
                <w:rFonts w:cstheme="minorHAnsi"/>
                <w:iCs/>
                <w:color w:val="auto"/>
                <w:sz w:val="20"/>
                <w:szCs w:val="20"/>
              </w:rPr>
              <w:t>Easily accessible</w:t>
            </w:r>
            <w:r w:rsidR="0005250D" w:rsidRPr="00E768E7">
              <w:rPr>
                <w:rFonts w:cstheme="minorHAnsi"/>
                <w:iCs/>
                <w:color w:val="auto"/>
                <w:sz w:val="20"/>
                <w:szCs w:val="20"/>
              </w:rPr>
              <w:t xml:space="preserve"> and</w:t>
            </w:r>
            <w:r w:rsidR="003C2B17" w:rsidRPr="00E768E7">
              <w:rPr>
                <w:rFonts w:cstheme="minorHAnsi"/>
                <w:iCs/>
                <w:color w:val="auto"/>
                <w:sz w:val="20"/>
                <w:szCs w:val="20"/>
              </w:rPr>
              <w:t xml:space="preserve"> </w:t>
            </w:r>
            <w:r w:rsidR="00E768E7">
              <w:rPr>
                <w:rFonts w:cstheme="minorHAnsi"/>
                <w:iCs/>
                <w:color w:val="auto"/>
                <w:sz w:val="20"/>
                <w:szCs w:val="20"/>
              </w:rPr>
              <w:t>reliable</w:t>
            </w:r>
            <w:r w:rsidR="003C2B17" w:rsidRPr="00E768E7">
              <w:rPr>
                <w:rFonts w:cstheme="minorHAnsi"/>
                <w:iCs/>
                <w:color w:val="auto"/>
                <w:sz w:val="20"/>
                <w:szCs w:val="20"/>
              </w:rPr>
              <w:t xml:space="preserve"> </w:t>
            </w:r>
            <w:r w:rsidR="00E768E7" w:rsidRPr="00E768E7">
              <w:rPr>
                <w:rFonts w:cstheme="minorHAnsi"/>
                <w:iCs/>
                <w:color w:val="auto"/>
                <w:sz w:val="20"/>
                <w:szCs w:val="20"/>
              </w:rPr>
              <w:t xml:space="preserve">mechanisms for </w:t>
            </w:r>
            <w:r w:rsidR="003C2B17" w:rsidRPr="00E768E7">
              <w:rPr>
                <w:rFonts w:cstheme="minorHAnsi"/>
                <w:iCs/>
                <w:color w:val="auto"/>
                <w:sz w:val="20"/>
                <w:szCs w:val="20"/>
              </w:rPr>
              <w:t>incident reporting</w:t>
            </w:r>
            <w:r w:rsidR="00186946">
              <w:rPr>
                <w:rFonts w:cstheme="minorHAnsi"/>
                <w:iCs/>
                <w:color w:val="auto"/>
                <w:sz w:val="20"/>
                <w:szCs w:val="20"/>
              </w:rPr>
              <w:t xml:space="preserve"> </w:t>
            </w:r>
            <w:r w:rsidR="003C2B17" w:rsidRPr="00E768E7">
              <w:rPr>
                <w:rFonts w:cstheme="minorHAnsi"/>
                <w:iCs/>
                <w:color w:val="auto"/>
                <w:sz w:val="20"/>
                <w:szCs w:val="20"/>
              </w:rPr>
              <w:t>and accountability are critical to managing safeguard risks, preventing harm</w:t>
            </w:r>
            <w:r w:rsidR="009C1607">
              <w:rPr>
                <w:rFonts w:cstheme="minorHAnsi"/>
                <w:iCs/>
                <w:color w:val="auto"/>
                <w:sz w:val="20"/>
                <w:szCs w:val="20"/>
              </w:rPr>
              <w:t>,</w:t>
            </w:r>
            <w:r w:rsidR="003C2B17" w:rsidRPr="00E768E7">
              <w:rPr>
                <w:rFonts w:cstheme="minorHAnsi"/>
                <w:iCs/>
                <w:color w:val="auto"/>
                <w:sz w:val="20"/>
                <w:szCs w:val="20"/>
              </w:rPr>
              <w:t xml:space="preserve"> and strengthening learning and improvement. </w:t>
            </w:r>
          </w:p>
          <w:p w14:paraId="6D8C8C3A" w14:textId="30F4DFA5" w:rsidR="00F02241" w:rsidRDefault="00461E5E" w:rsidP="001B427B">
            <w:pPr>
              <w:spacing w:line="240" w:lineRule="auto"/>
              <w:rPr>
                <w:rFonts w:cstheme="minorHAnsi"/>
                <w:iCs/>
                <w:color w:val="auto"/>
                <w:sz w:val="20"/>
                <w:szCs w:val="20"/>
              </w:rPr>
            </w:pPr>
            <w:r w:rsidRPr="00F02241">
              <w:rPr>
                <w:rFonts w:cstheme="minorHAnsi"/>
                <w:iCs/>
                <w:color w:val="auto"/>
                <w:sz w:val="20"/>
                <w:szCs w:val="20"/>
              </w:rPr>
              <w:t>The findings of this evaluation</w:t>
            </w:r>
            <w:r w:rsidR="003F7C21">
              <w:rPr>
                <w:rFonts w:cstheme="minorHAnsi"/>
                <w:iCs/>
                <w:color w:val="auto"/>
                <w:sz w:val="20"/>
                <w:szCs w:val="20"/>
              </w:rPr>
              <w:t xml:space="preserve"> </w:t>
            </w:r>
            <w:r w:rsidRPr="00F02241">
              <w:rPr>
                <w:rFonts w:cstheme="minorHAnsi"/>
                <w:iCs/>
                <w:color w:val="auto"/>
                <w:sz w:val="20"/>
                <w:szCs w:val="20"/>
              </w:rPr>
              <w:t xml:space="preserve">provide valuable insights </w:t>
            </w:r>
            <w:r w:rsidR="004F0D16" w:rsidRPr="00F02241">
              <w:rPr>
                <w:rFonts w:cstheme="minorHAnsi"/>
                <w:iCs/>
                <w:color w:val="auto"/>
                <w:sz w:val="20"/>
                <w:szCs w:val="20"/>
              </w:rPr>
              <w:t>to help</w:t>
            </w:r>
            <w:r w:rsidRPr="00F02241">
              <w:rPr>
                <w:rFonts w:cstheme="minorHAnsi"/>
                <w:iCs/>
                <w:color w:val="auto"/>
                <w:sz w:val="20"/>
                <w:szCs w:val="20"/>
              </w:rPr>
              <w:t xml:space="preserve"> strengthen the mechanisms used by Australia Assists to manage safeguard risks. This is a matter for RedR to consider</w:t>
            </w:r>
            <w:r w:rsidR="003F7C21">
              <w:rPr>
                <w:rFonts w:cstheme="minorHAnsi"/>
                <w:iCs/>
                <w:color w:val="auto"/>
                <w:sz w:val="20"/>
                <w:szCs w:val="20"/>
              </w:rPr>
              <w:t>,</w:t>
            </w:r>
            <w:r w:rsidRPr="00F02241">
              <w:rPr>
                <w:rFonts w:cstheme="minorHAnsi"/>
                <w:iCs/>
                <w:color w:val="auto"/>
                <w:sz w:val="20"/>
                <w:szCs w:val="20"/>
              </w:rPr>
              <w:t xml:space="preserve"> consistent with </w:t>
            </w:r>
            <w:r w:rsidRPr="00F02241">
              <w:rPr>
                <w:rFonts w:cstheme="minorHAnsi"/>
                <w:iCs/>
                <w:color w:val="auto"/>
                <w:sz w:val="20"/>
                <w:szCs w:val="20"/>
              </w:rPr>
              <w:lastRenderedPageBreak/>
              <w:t>its own policies</w:t>
            </w:r>
            <w:r w:rsidR="00071A34">
              <w:rPr>
                <w:rFonts w:cstheme="minorHAnsi"/>
                <w:iCs/>
                <w:color w:val="auto"/>
                <w:sz w:val="20"/>
                <w:szCs w:val="20"/>
              </w:rPr>
              <w:t>,</w:t>
            </w:r>
            <w:r w:rsidRPr="00F02241">
              <w:rPr>
                <w:rFonts w:cstheme="minorHAnsi"/>
                <w:iCs/>
                <w:color w:val="auto"/>
                <w:sz w:val="20"/>
                <w:szCs w:val="20"/>
              </w:rPr>
              <w:t xml:space="preserve"> and in line with DFAT’s safeguard policies (Child Protection, </w:t>
            </w:r>
            <w:r w:rsidR="00191BA2">
              <w:rPr>
                <w:rFonts w:cstheme="minorHAnsi"/>
                <w:iCs/>
                <w:color w:val="auto"/>
                <w:sz w:val="20"/>
                <w:szCs w:val="20"/>
              </w:rPr>
              <w:t xml:space="preserve">Preventing Sexual Exploitation, Abuse </w:t>
            </w:r>
            <w:r w:rsidR="00485BF6">
              <w:rPr>
                <w:rFonts w:cstheme="minorHAnsi"/>
                <w:iCs/>
                <w:color w:val="auto"/>
                <w:sz w:val="20"/>
                <w:szCs w:val="20"/>
              </w:rPr>
              <w:t>and</w:t>
            </w:r>
            <w:r w:rsidR="00191BA2">
              <w:rPr>
                <w:rFonts w:cstheme="minorHAnsi"/>
                <w:iCs/>
                <w:color w:val="auto"/>
                <w:sz w:val="20"/>
                <w:szCs w:val="20"/>
              </w:rPr>
              <w:t xml:space="preserve"> Harassment (</w:t>
            </w:r>
            <w:r w:rsidRPr="00F02241">
              <w:rPr>
                <w:rFonts w:cstheme="minorHAnsi"/>
                <w:iCs/>
                <w:color w:val="auto"/>
                <w:sz w:val="20"/>
                <w:szCs w:val="20"/>
              </w:rPr>
              <w:t>PSEAH</w:t>
            </w:r>
            <w:r w:rsidR="00191BA2">
              <w:rPr>
                <w:rFonts w:cstheme="minorHAnsi"/>
                <w:iCs/>
                <w:color w:val="auto"/>
                <w:sz w:val="20"/>
                <w:szCs w:val="20"/>
              </w:rPr>
              <w:t>)</w:t>
            </w:r>
            <w:r w:rsidRPr="00F02241">
              <w:rPr>
                <w:rFonts w:cstheme="minorHAnsi"/>
                <w:iCs/>
                <w:color w:val="auto"/>
                <w:sz w:val="20"/>
                <w:szCs w:val="20"/>
              </w:rPr>
              <w:t>, Environmental and Social Safeguards)</w:t>
            </w:r>
            <w:r w:rsidR="004F0D16" w:rsidRPr="00F02241">
              <w:rPr>
                <w:rFonts w:cstheme="minorHAnsi"/>
                <w:iCs/>
                <w:color w:val="auto"/>
                <w:sz w:val="20"/>
                <w:szCs w:val="20"/>
              </w:rPr>
              <w:t>,</w:t>
            </w:r>
            <w:r w:rsidRPr="00F02241">
              <w:rPr>
                <w:rFonts w:cstheme="minorHAnsi"/>
                <w:iCs/>
                <w:color w:val="auto"/>
                <w:sz w:val="20"/>
                <w:szCs w:val="20"/>
              </w:rPr>
              <w:t xml:space="preserve"> and the mandatory reporting requirements and reporting timeframes</w:t>
            </w:r>
            <w:r w:rsidR="00F02241" w:rsidRPr="00F02241">
              <w:rPr>
                <w:rFonts w:cstheme="minorHAnsi"/>
                <w:iCs/>
                <w:color w:val="auto"/>
                <w:sz w:val="20"/>
                <w:szCs w:val="20"/>
              </w:rPr>
              <w:t xml:space="preserve"> of </w:t>
            </w:r>
            <w:r w:rsidR="0005340A">
              <w:rPr>
                <w:rFonts w:cstheme="minorHAnsi"/>
                <w:iCs/>
                <w:color w:val="auto"/>
                <w:sz w:val="20"/>
                <w:szCs w:val="20"/>
              </w:rPr>
              <w:t>those</w:t>
            </w:r>
            <w:r w:rsidR="00F02241" w:rsidRPr="00F02241">
              <w:rPr>
                <w:rFonts w:cstheme="minorHAnsi"/>
                <w:iCs/>
                <w:color w:val="auto"/>
                <w:sz w:val="20"/>
                <w:szCs w:val="20"/>
              </w:rPr>
              <w:t xml:space="preserve"> policies</w:t>
            </w:r>
            <w:r w:rsidRPr="00F02241">
              <w:rPr>
                <w:rFonts w:cstheme="minorHAnsi"/>
                <w:iCs/>
                <w:color w:val="auto"/>
                <w:sz w:val="20"/>
                <w:szCs w:val="20"/>
              </w:rPr>
              <w:t>.</w:t>
            </w:r>
          </w:p>
          <w:p w14:paraId="29C6C223" w14:textId="1A8797D7" w:rsidR="009A5EEA" w:rsidRPr="001367D4" w:rsidRDefault="009A5EEA" w:rsidP="009A5EEA">
            <w:pPr>
              <w:spacing w:line="240" w:lineRule="auto"/>
              <w:rPr>
                <w:rFonts w:cstheme="minorHAnsi"/>
                <w:iCs/>
                <w:color w:val="auto"/>
                <w:sz w:val="20"/>
                <w:szCs w:val="20"/>
              </w:rPr>
            </w:pPr>
            <w:r w:rsidRPr="001367D4">
              <w:rPr>
                <w:rFonts w:cstheme="minorHAnsi"/>
                <w:iCs/>
                <w:color w:val="auto"/>
                <w:sz w:val="20"/>
                <w:szCs w:val="20"/>
              </w:rPr>
              <w:t xml:space="preserve">DFAT does not tolerate sexual exploitation, abuse or harassment, or child exploitation, </w:t>
            </w:r>
            <w:proofErr w:type="gramStart"/>
            <w:r w:rsidRPr="001367D4">
              <w:rPr>
                <w:rFonts w:cstheme="minorHAnsi"/>
                <w:iCs/>
                <w:color w:val="auto"/>
                <w:sz w:val="20"/>
                <w:szCs w:val="20"/>
              </w:rPr>
              <w:t>abuse</w:t>
            </w:r>
            <w:proofErr w:type="gramEnd"/>
            <w:r w:rsidRPr="001367D4">
              <w:rPr>
                <w:rFonts w:cstheme="minorHAnsi"/>
                <w:iCs/>
                <w:color w:val="auto"/>
                <w:sz w:val="20"/>
                <w:szCs w:val="20"/>
              </w:rPr>
              <w:t xml:space="preserve"> or harm of any kind. This applies within DFAT and extends to those we work with. </w:t>
            </w:r>
          </w:p>
          <w:p w14:paraId="77F5BFAA" w14:textId="229D0EDD" w:rsidR="009A5EEA" w:rsidRDefault="009A5EEA" w:rsidP="001B427B">
            <w:pPr>
              <w:spacing w:line="240" w:lineRule="auto"/>
              <w:rPr>
                <w:rFonts w:cstheme="minorHAnsi"/>
                <w:iCs/>
                <w:color w:val="auto"/>
                <w:sz w:val="20"/>
                <w:szCs w:val="20"/>
              </w:rPr>
            </w:pPr>
            <w:r w:rsidRPr="001367D4">
              <w:rPr>
                <w:rFonts w:cstheme="minorHAnsi"/>
                <w:iCs/>
                <w:color w:val="auto"/>
                <w:sz w:val="20"/>
                <w:szCs w:val="20"/>
              </w:rPr>
              <w:t>DFAT takes all allegations and reported incidents seriously and has zero tolerance of inaction. Anyone can report an incident to DFAT – employees of partner organisations, beneficiaries of DFAT programs, contractors, or members of the public. Reporting can be anonymous.</w:t>
            </w:r>
          </w:p>
          <w:p w14:paraId="6FA43550" w14:textId="453C5BDD" w:rsidR="005A1D15" w:rsidRPr="00CA7BEF" w:rsidRDefault="00F02241" w:rsidP="006F09D0">
            <w:pPr>
              <w:spacing w:line="240" w:lineRule="auto"/>
              <w:rPr>
                <w:rFonts w:cstheme="minorHAnsi"/>
                <w:iCs/>
                <w:color w:val="auto"/>
                <w:sz w:val="20"/>
                <w:szCs w:val="20"/>
              </w:rPr>
            </w:pPr>
            <w:r w:rsidRPr="001B427B">
              <w:rPr>
                <w:rFonts w:cstheme="minorHAnsi"/>
                <w:iCs/>
                <w:color w:val="auto"/>
                <w:sz w:val="20"/>
                <w:szCs w:val="20"/>
              </w:rPr>
              <w:t xml:space="preserve">DFAT’s safeguard policies and processes apply to our humanitarian assistance programs and partners. The introduction of an additional internal independent complaints handling mechanism for humanitarian assistance would be duplicative and would not be </w:t>
            </w:r>
            <w:r w:rsidR="009914D7">
              <w:rPr>
                <w:rFonts w:cstheme="minorHAnsi"/>
                <w:iCs/>
                <w:color w:val="auto"/>
                <w:sz w:val="20"/>
                <w:szCs w:val="20"/>
              </w:rPr>
              <w:t>practical</w:t>
            </w:r>
            <w:r w:rsidRPr="001B427B">
              <w:rPr>
                <w:rFonts w:cstheme="minorHAnsi"/>
                <w:iCs/>
                <w:color w:val="auto"/>
                <w:sz w:val="20"/>
                <w:szCs w:val="20"/>
              </w:rPr>
              <w:t>.  </w:t>
            </w:r>
          </w:p>
        </w:tc>
        <w:tc>
          <w:tcPr>
            <w:tcW w:w="2940" w:type="dxa"/>
          </w:tcPr>
          <w:p w14:paraId="51897BE8" w14:textId="77777777" w:rsidR="00D24E49" w:rsidRDefault="004C757D" w:rsidP="006F09D0">
            <w:pPr>
              <w:spacing w:line="240" w:lineRule="auto"/>
              <w:rPr>
                <w:rFonts w:cstheme="minorHAnsi"/>
                <w:iCs/>
                <w:color w:val="auto"/>
                <w:sz w:val="20"/>
                <w:szCs w:val="20"/>
              </w:rPr>
            </w:pPr>
            <w:r>
              <w:rPr>
                <w:rFonts w:cstheme="minorHAnsi"/>
                <w:iCs/>
                <w:color w:val="auto"/>
                <w:sz w:val="20"/>
                <w:szCs w:val="20"/>
              </w:rPr>
              <w:lastRenderedPageBreak/>
              <w:t xml:space="preserve">Review and strengthening of complaints handling will continue to be a focus of both </w:t>
            </w:r>
            <w:r w:rsidR="008E6236">
              <w:rPr>
                <w:rFonts w:cstheme="minorHAnsi"/>
                <w:iCs/>
                <w:color w:val="auto"/>
                <w:sz w:val="20"/>
                <w:szCs w:val="20"/>
              </w:rPr>
              <w:t>RedR and DFAT for the remainder of the program, drawing on the findings of the evaluation</w:t>
            </w:r>
            <w:r>
              <w:rPr>
                <w:rFonts w:cstheme="minorHAnsi"/>
                <w:iCs/>
                <w:color w:val="auto"/>
                <w:sz w:val="20"/>
                <w:szCs w:val="20"/>
              </w:rPr>
              <w:t>.</w:t>
            </w:r>
            <w:r w:rsidR="009F323A">
              <w:rPr>
                <w:rFonts w:cstheme="minorHAnsi"/>
                <w:iCs/>
                <w:color w:val="auto"/>
                <w:sz w:val="20"/>
                <w:szCs w:val="20"/>
              </w:rPr>
              <w:t xml:space="preserve"> </w:t>
            </w:r>
          </w:p>
          <w:p w14:paraId="15EFF214" w14:textId="2C97C15B" w:rsidR="00A274ED" w:rsidRPr="00CA7BEF" w:rsidRDefault="008F0E34" w:rsidP="006F09D0">
            <w:pPr>
              <w:spacing w:line="240" w:lineRule="auto"/>
              <w:rPr>
                <w:rFonts w:cstheme="minorHAnsi"/>
                <w:iCs/>
                <w:color w:val="auto"/>
                <w:sz w:val="20"/>
                <w:szCs w:val="20"/>
              </w:rPr>
            </w:pPr>
            <w:r>
              <w:rPr>
                <w:rFonts w:cstheme="minorHAnsi"/>
                <w:iCs/>
                <w:color w:val="auto"/>
                <w:sz w:val="20"/>
                <w:szCs w:val="20"/>
              </w:rPr>
              <w:t>Effective c</w:t>
            </w:r>
            <w:r w:rsidR="009F323A">
              <w:rPr>
                <w:rFonts w:cstheme="minorHAnsi"/>
                <w:iCs/>
                <w:color w:val="auto"/>
                <w:sz w:val="20"/>
                <w:szCs w:val="20"/>
              </w:rPr>
              <w:t>omplaints handling will also be considered as part of DFAT’s design for a future phase of investment, should it proceed.</w:t>
            </w:r>
          </w:p>
        </w:tc>
        <w:tc>
          <w:tcPr>
            <w:tcW w:w="1215" w:type="dxa"/>
          </w:tcPr>
          <w:p w14:paraId="31269E77" w14:textId="77777777" w:rsidR="00A274ED" w:rsidRPr="00CA7BEF" w:rsidRDefault="00A274ED" w:rsidP="006F09D0">
            <w:pPr>
              <w:spacing w:line="240" w:lineRule="auto"/>
              <w:jc w:val="center"/>
              <w:rPr>
                <w:rFonts w:cstheme="minorHAnsi"/>
                <w:iCs/>
                <w:color w:val="auto"/>
                <w:sz w:val="20"/>
                <w:szCs w:val="20"/>
              </w:rPr>
            </w:pPr>
            <w:r>
              <w:rPr>
                <w:rFonts w:cstheme="minorHAnsi"/>
                <w:iCs/>
                <w:color w:val="auto"/>
                <w:sz w:val="20"/>
                <w:szCs w:val="20"/>
              </w:rPr>
              <w:t>2023/2024</w:t>
            </w:r>
          </w:p>
        </w:tc>
      </w:tr>
      <w:bookmarkEnd w:id="1"/>
    </w:tbl>
    <w:p w14:paraId="43CE4B7B" w14:textId="77777777" w:rsidR="00E50E15" w:rsidRDefault="00E50E15"/>
    <w:sectPr w:rsidR="00E50E15" w:rsidSect="00A274ED">
      <w:headerReference w:type="even" r:id="rId8"/>
      <w:headerReference w:type="default" r:id="rId9"/>
      <w:footerReference w:type="default" r:id="rId10"/>
      <w:headerReference w:type="first" r:id="rId11"/>
      <w:pgSz w:w="15840" w:h="12240" w:orient="landscape"/>
      <w:pgMar w:top="1134"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4F62B5" w14:textId="77777777" w:rsidR="00175C1B" w:rsidRDefault="00175C1B">
      <w:pPr>
        <w:spacing w:before="0" w:after="0" w:line="240" w:lineRule="auto"/>
      </w:pPr>
      <w:r>
        <w:separator/>
      </w:r>
    </w:p>
  </w:endnote>
  <w:endnote w:type="continuationSeparator" w:id="0">
    <w:p w14:paraId="66CEDC99" w14:textId="77777777" w:rsidR="00175C1B" w:rsidRDefault="00175C1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FD9C37" w14:textId="77777777" w:rsidR="00453888" w:rsidRDefault="002E775C">
    <w:pPr>
      <w:pStyle w:val="Footer"/>
      <w:jc w:val="right"/>
    </w:pPr>
  </w:p>
  <w:p w14:paraId="525EBC1A" w14:textId="77777777" w:rsidR="00FC322F" w:rsidRPr="00FC322F" w:rsidRDefault="002E775C" w:rsidP="00FC322F">
    <w:pPr>
      <w:pStyle w:val="Footer"/>
      <w:rPr>
        <w:b/>
      </w:rPr>
    </w:pPr>
  </w:p>
  <w:p w14:paraId="17630E49" w14:textId="77777777" w:rsidR="0050695E" w:rsidRDefault="002E775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0F9E17" w14:textId="77777777" w:rsidR="00175C1B" w:rsidRDefault="00175C1B">
      <w:pPr>
        <w:spacing w:before="0" w:after="0" w:line="240" w:lineRule="auto"/>
      </w:pPr>
      <w:r>
        <w:separator/>
      </w:r>
    </w:p>
  </w:footnote>
  <w:footnote w:type="continuationSeparator" w:id="0">
    <w:p w14:paraId="23C367BB" w14:textId="77777777" w:rsidR="00175C1B" w:rsidRDefault="00175C1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D7EFF9" w14:textId="77777777" w:rsidR="00EE5F36" w:rsidRDefault="002E775C">
    <w:pPr>
      <w:pStyle w:val="Header"/>
    </w:pPr>
  </w:p>
  <w:p w14:paraId="291E1161" w14:textId="77777777" w:rsidR="002810DD" w:rsidRDefault="002E775C"/>
  <w:p w14:paraId="018D7BA0" w14:textId="77777777" w:rsidR="002D5B25" w:rsidRPr="000854FD" w:rsidRDefault="00A274ED" w:rsidP="002D5B25">
    <w:pPr>
      <w:pStyle w:val="Header"/>
    </w:pPr>
    <w:r w:rsidRPr="00943730">
      <w:rPr>
        <w:noProof/>
        <w:lang w:val="en-AU" w:eastAsia="en-AU"/>
      </w:rPr>
      <w:drawing>
        <wp:inline distT="0" distB="0" distL="0" distR="0" wp14:anchorId="44EF77D8" wp14:editId="31D5788E">
          <wp:extent cx="10658475" cy="10692765"/>
          <wp:effectExtent l="0" t="0" r="9525" b="0"/>
          <wp:docPr id="22" name="Picture 22"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10658475" cy="10692765"/>
                  </a:xfrm>
                  <a:prstGeom prst="rect">
                    <a:avLst/>
                  </a:prstGeom>
                </pic:spPr>
              </pic:pic>
            </a:graphicData>
          </a:graphic>
        </wp:inline>
      </w:drawing>
    </w:r>
  </w:p>
  <w:p w14:paraId="2BCC643F" w14:textId="77777777" w:rsidR="0050695E" w:rsidRDefault="002E775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9B3024" w14:textId="77777777" w:rsidR="0020551D" w:rsidRDefault="00A274ED" w:rsidP="00CA7BEF">
    <w:pPr>
      <w:pStyle w:val="Header"/>
      <w:tabs>
        <w:tab w:val="clear" w:pos="4513"/>
        <w:tab w:val="clear" w:pos="9026"/>
        <w:tab w:val="left" w:pos="5430"/>
      </w:tabs>
      <w:ind w:left="0"/>
    </w:pPr>
    <w:r w:rsidRPr="00943730">
      <w:rPr>
        <w:noProof/>
        <w:lang w:val="en-AU" w:eastAsia="en-AU"/>
      </w:rPr>
      <w:drawing>
        <wp:anchor distT="0" distB="0" distL="114300" distR="114300" simplePos="0" relativeHeight="251659264" behindDoc="1" locked="1" layoutInCell="1" allowOverlap="1" wp14:anchorId="657EB1C8" wp14:editId="48772976">
          <wp:simplePos x="0" y="0"/>
          <wp:positionH relativeFrom="page">
            <wp:align>right</wp:align>
          </wp:positionH>
          <wp:positionV relativeFrom="page">
            <wp:align>top</wp:align>
          </wp:positionV>
          <wp:extent cx="10048875" cy="7753350"/>
          <wp:effectExtent l="0" t="0" r="9525" b="0"/>
          <wp:wrapNone/>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48875" cy="775335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64D9D1" w14:textId="77777777" w:rsidR="00D37B04" w:rsidRPr="00943730" w:rsidRDefault="00A274ED" w:rsidP="00943730">
    <w:pPr>
      <w:pStyle w:val="Header"/>
    </w:pPr>
    <w:r w:rsidRPr="00943730">
      <w:rPr>
        <w:noProof/>
        <w:lang w:val="en-AU" w:eastAsia="en-AU"/>
      </w:rPr>
      <w:drawing>
        <wp:inline distT="0" distB="0" distL="0" distR="0" wp14:anchorId="1E7E6B9C" wp14:editId="72F30E0B">
          <wp:extent cx="10668000" cy="10692130"/>
          <wp:effectExtent l="0" t="0" r="0" b="0"/>
          <wp:docPr id="24" name="Picture 24"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10668000" cy="10692130"/>
                  </a:xfrm>
                  <a:prstGeom prst="rect">
                    <a:avLst/>
                  </a:prstGeom>
                </pic:spPr>
              </pic:pic>
            </a:graphicData>
          </a:graphic>
        </wp:inline>
      </w:drawing>
    </w:r>
    <w:r>
      <w:t xml:space="preserve">  </w:t>
    </w:r>
  </w:p>
  <w:p w14:paraId="69050422" w14:textId="77777777" w:rsidR="0050695E" w:rsidRDefault="002E775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D75013C"/>
    <w:multiLevelType w:val="multilevel"/>
    <w:tmpl w:val="4FACF484"/>
    <w:lvl w:ilvl="0">
      <w:start w:val="1"/>
      <w:numFmt w:val="decimal"/>
      <w:lvlText w:val="%1."/>
      <w:lvlJc w:val="left"/>
      <w:pPr>
        <w:ind w:left="360" w:hanging="360"/>
      </w:pPr>
      <w:rPr>
        <w:rFonts w:hint="default"/>
      </w:rPr>
    </w:lvl>
    <w:lvl w:ilvl="1">
      <w:start w:val="1"/>
      <w:numFmt w:val="decimal"/>
      <w:isLgl/>
      <w:lvlText w:val="%2."/>
      <w:lvlJc w:val="left"/>
      <w:pPr>
        <w:ind w:left="360" w:hanging="360"/>
      </w:pPr>
      <w:rPr>
        <w:rFonts w:asciiTheme="minorHAnsi" w:eastAsiaTheme="minorHAnsi" w:hAnsiTheme="minorHAnsi" w:cstheme="minorBidi"/>
        <w:b/>
        <w:bCs/>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4ED"/>
    <w:rsid w:val="0001066C"/>
    <w:rsid w:val="000252E2"/>
    <w:rsid w:val="0005250D"/>
    <w:rsid w:val="0005340A"/>
    <w:rsid w:val="00062EA0"/>
    <w:rsid w:val="00071A34"/>
    <w:rsid w:val="00080176"/>
    <w:rsid w:val="00080B06"/>
    <w:rsid w:val="00085352"/>
    <w:rsid w:val="00094CDF"/>
    <w:rsid w:val="00095976"/>
    <w:rsid w:val="000A255E"/>
    <w:rsid w:val="000C7329"/>
    <w:rsid w:val="00130C61"/>
    <w:rsid w:val="001367D4"/>
    <w:rsid w:val="001643C8"/>
    <w:rsid w:val="00175C1B"/>
    <w:rsid w:val="00186946"/>
    <w:rsid w:val="00191BA2"/>
    <w:rsid w:val="001B25A4"/>
    <w:rsid w:val="001B427B"/>
    <w:rsid w:val="001D3343"/>
    <w:rsid w:val="001F1262"/>
    <w:rsid w:val="002312F5"/>
    <w:rsid w:val="00242430"/>
    <w:rsid w:val="00246184"/>
    <w:rsid w:val="0025365B"/>
    <w:rsid w:val="00260619"/>
    <w:rsid w:val="00261D6B"/>
    <w:rsid w:val="0026285F"/>
    <w:rsid w:val="00277FA0"/>
    <w:rsid w:val="00287659"/>
    <w:rsid w:val="002A5696"/>
    <w:rsid w:val="002B5550"/>
    <w:rsid w:val="002C5A4D"/>
    <w:rsid w:val="002C62BD"/>
    <w:rsid w:val="002D3B52"/>
    <w:rsid w:val="002E56A8"/>
    <w:rsid w:val="002E775C"/>
    <w:rsid w:val="002F0F30"/>
    <w:rsid w:val="00316281"/>
    <w:rsid w:val="00324166"/>
    <w:rsid w:val="00326407"/>
    <w:rsid w:val="0033176E"/>
    <w:rsid w:val="00343642"/>
    <w:rsid w:val="0034394C"/>
    <w:rsid w:val="00344519"/>
    <w:rsid w:val="003523E3"/>
    <w:rsid w:val="00355E6B"/>
    <w:rsid w:val="003625C6"/>
    <w:rsid w:val="00365EE7"/>
    <w:rsid w:val="003B3A2E"/>
    <w:rsid w:val="003B5B32"/>
    <w:rsid w:val="003C01E0"/>
    <w:rsid w:val="003C2B17"/>
    <w:rsid w:val="003F1C21"/>
    <w:rsid w:val="003F56D7"/>
    <w:rsid w:val="003F7C21"/>
    <w:rsid w:val="00404832"/>
    <w:rsid w:val="00406753"/>
    <w:rsid w:val="00452C8C"/>
    <w:rsid w:val="00461E5E"/>
    <w:rsid w:val="00485BF6"/>
    <w:rsid w:val="00492FD0"/>
    <w:rsid w:val="004A2C33"/>
    <w:rsid w:val="004C0CF2"/>
    <w:rsid w:val="004C757D"/>
    <w:rsid w:val="004D22F5"/>
    <w:rsid w:val="004E4CD0"/>
    <w:rsid w:val="004F0D16"/>
    <w:rsid w:val="0050696D"/>
    <w:rsid w:val="00525EE9"/>
    <w:rsid w:val="00532A8F"/>
    <w:rsid w:val="00550168"/>
    <w:rsid w:val="00567889"/>
    <w:rsid w:val="00570C01"/>
    <w:rsid w:val="00574344"/>
    <w:rsid w:val="005A1D15"/>
    <w:rsid w:val="005A608B"/>
    <w:rsid w:val="005F66EC"/>
    <w:rsid w:val="005F732E"/>
    <w:rsid w:val="00624C12"/>
    <w:rsid w:val="00625A13"/>
    <w:rsid w:val="00644BF7"/>
    <w:rsid w:val="006638B6"/>
    <w:rsid w:val="0067095F"/>
    <w:rsid w:val="00673957"/>
    <w:rsid w:val="00676DC9"/>
    <w:rsid w:val="006B193A"/>
    <w:rsid w:val="006C62A8"/>
    <w:rsid w:val="006C7F9A"/>
    <w:rsid w:val="00701366"/>
    <w:rsid w:val="00735D29"/>
    <w:rsid w:val="00737B1D"/>
    <w:rsid w:val="00742010"/>
    <w:rsid w:val="00795FF5"/>
    <w:rsid w:val="007C157A"/>
    <w:rsid w:val="00813007"/>
    <w:rsid w:val="0081356B"/>
    <w:rsid w:val="00816068"/>
    <w:rsid w:val="00817F54"/>
    <w:rsid w:val="00826DC5"/>
    <w:rsid w:val="00857832"/>
    <w:rsid w:val="00890DC1"/>
    <w:rsid w:val="00897199"/>
    <w:rsid w:val="008E3791"/>
    <w:rsid w:val="008E6236"/>
    <w:rsid w:val="008F0E34"/>
    <w:rsid w:val="00912AE6"/>
    <w:rsid w:val="00926D4D"/>
    <w:rsid w:val="00934E72"/>
    <w:rsid w:val="00935AB4"/>
    <w:rsid w:val="00946437"/>
    <w:rsid w:val="009908B2"/>
    <w:rsid w:val="009914D7"/>
    <w:rsid w:val="009930F3"/>
    <w:rsid w:val="009A3080"/>
    <w:rsid w:val="009A5EEA"/>
    <w:rsid w:val="009C1607"/>
    <w:rsid w:val="009F323A"/>
    <w:rsid w:val="009F6333"/>
    <w:rsid w:val="00A04BE6"/>
    <w:rsid w:val="00A274ED"/>
    <w:rsid w:val="00A366C2"/>
    <w:rsid w:val="00A43482"/>
    <w:rsid w:val="00A43CC8"/>
    <w:rsid w:val="00A5026C"/>
    <w:rsid w:val="00A832E7"/>
    <w:rsid w:val="00A85758"/>
    <w:rsid w:val="00AB2A76"/>
    <w:rsid w:val="00AB42BF"/>
    <w:rsid w:val="00AB5927"/>
    <w:rsid w:val="00AC5EAC"/>
    <w:rsid w:val="00AD6564"/>
    <w:rsid w:val="00AE06AC"/>
    <w:rsid w:val="00AE2BA5"/>
    <w:rsid w:val="00B02DA2"/>
    <w:rsid w:val="00B11911"/>
    <w:rsid w:val="00B151A3"/>
    <w:rsid w:val="00B15D32"/>
    <w:rsid w:val="00B1741B"/>
    <w:rsid w:val="00B17848"/>
    <w:rsid w:val="00B32938"/>
    <w:rsid w:val="00B36DE0"/>
    <w:rsid w:val="00B46C33"/>
    <w:rsid w:val="00B54DBC"/>
    <w:rsid w:val="00B87ABE"/>
    <w:rsid w:val="00B94D4B"/>
    <w:rsid w:val="00BA3810"/>
    <w:rsid w:val="00BA5144"/>
    <w:rsid w:val="00BA5AC7"/>
    <w:rsid w:val="00BA78A6"/>
    <w:rsid w:val="00BC520D"/>
    <w:rsid w:val="00BF7BB2"/>
    <w:rsid w:val="00C0379C"/>
    <w:rsid w:val="00C12C25"/>
    <w:rsid w:val="00C140CA"/>
    <w:rsid w:val="00C14328"/>
    <w:rsid w:val="00C26A3F"/>
    <w:rsid w:val="00C40E9C"/>
    <w:rsid w:val="00C77026"/>
    <w:rsid w:val="00C77E43"/>
    <w:rsid w:val="00C81A15"/>
    <w:rsid w:val="00C8582A"/>
    <w:rsid w:val="00CD4C6D"/>
    <w:rsid w:val="00D24E49"/>
    <w:rsid w:val="00D37702"/>
    <w:rsid w:val="00D75AC1"/>
    <w:rsid w:val="00D8124C"/>
    <w:rsid w:val="00DA49A6"/>
    <w:rsid w:val="00DB4DB3"/>
    <w:rsid w:val="00DC7437"/>
    <w:rsid w:val="00DD256A"/>
    <w:rsid w:val="00DF063C"/>
    <w:rsid w:val="00DF38BF"/>
    <w:rsid w:val="00DF7892"/>
    <w:rsid w:val="00E05E94"/>
    <w:rsid w:val="00E50E15"/>
    <w:rsid w:val="00E56C94"/>
    <w:rsid w:val="00E57400"/>
    <w:rsid w:val="00E768E7"/>
    <w:rsid w:val="00E845CE"/>
    <w:rsid w:val="00E90B25"/>
    <w:rsid w:val="00E979D3"/>
    <w:rsid w:val="00EA6057"/>
    <w:rsid w:val="00EB0B31"/>
    <w:rsid w:val="00EB1CB5"/>
    <w:rsid w:val="00EC0920"/>
    <w:rsid w:val="00ED054D"/>
    <w:rsid w:val="00EE2AF0"/>
    <w:rsid w:val="00EE5726"/>
    <w:rsid w:val="00EF0D62"/>
    <w:rsid w:val="00EF337D"/>
    <w:rsid w:val="00F02241"/>
    <w:rsid w:val="00F0563D"/>
    <w:rsid w:val="00F05705"/>
    <w:rsid w:val="00F214F6"/>
    <w:rsid w:val="00F8199E"/>
    <w:rsid w:val="00F852B7"/>
    <w:rsid w:val="00F85C2B"/>
    <w:rsid w:val="00F95779"/>
    <w:rsid w:val="00FA38C7"/>
    <w:rsid w:val="00FD447F"/>
    <w:rsid w:val="00FE33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C1B139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74ED"/>
    <w:pPr>
      <w:suppressAutoHyphens/>
      <w:spacing w:before="120" w:after="60" w:line="260" w:lineRule="atLeast"/>
    </w:pPr>
    <w:rPr>
      <w:color w:val="44546A" w:themeColor="text2"/>
      <w:lang w:val="en-GB"/>
    </w:rPr>
  </w:style>
  <w:style w:type="paragraph" w:styleId="Heading1">
    <w:name w:val="heading 1"/>
    <w:basedOn w:val="SpacebeforeTitle"/>
    <w:next w:val="Normal"/>
    <w:link w:val="Heading1Char"/>
    <w:uiPriority w:val="9"/>
    <w:qFormat/>
    <w:rsid w:val="00A274ED"/>
    <w:pPr>
      <w:tabs>
        <w:tab w:val="left" w:pos="1114"/>
        <w:tab w:val="left" w:pos="2205"/>
      </w:tabs>
      <w:spacing w:after="0"/>
      <w:outlineLvl w:val="0"/>
    </w:pPr>
    <w:rPr>
      <w:bCs/>
      <w:sz w:val="36"/>
      <w:szCs w:val="36"/>
    </w:rPr>
  </w:style>
  <w:style w:type="paragraph" w:styleId="Heading2">
    <w:name w:val="heading 2"/>
    <w:basedOn w:val="SpacebeforeTitle"/>
    <w:next w:val="Normal"/>
    <w:link w:val="Heading2Char"/>
    <w:uiPriority w:val="9"/>
    <w:unhideWhenUsed/>
    <w:qFormat/>
    <w:rsid w:val="00A274ED"/>
    <w:pPr>
      <w:tabs>
        <w:tab w:val="left" w:pos="1114"/>
        <w:tab w:val="left" w:pos="2205"/>
      </w:tabs>
      <w:spacing w:after="240"/>
      <w:outlineLvl w:val="1"/>
    </w:pPr>
    <w:rPr>
      <w:rFonts w:cstheme="minorHAnsi"/>
      <w:b/>
      <w:bCs/>
      <w:iCs/>
      <w:sz w:val="24"/>
      <w:szCs w:val="24"/>
    </w:rPr>
  </w:style>
  <w:style w:type="paragraph" w:styleId="Heading3">
    <w:name w:val="heading 3"/>
    <w:basedOn w:val="Normal"/>
    <w:next w:val="Normal"/>
    <w:link w:val="Heading3Char"/>
    <w:uiPriority w:val="9"/>
    <w:unhideWhenUsed/>
    <w:qFormat/>
    <w:rsid w:val="002E775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74ED"/>
    <w:rPr>
      <w:bCs/>
      <w:color w:val="44546A" w:themeColor="text2"/>
      <w:sz w:val="36"/>
      <w:szCs w:val="36"/>
      <w:lang w:val="en-GB"/>
    </w:rPr>
  </w:style>
  <w:style w:type="character" w:customStyle="1" w:styleId="Heading2Char">
    <w:name w:val="Heading 2 Char"/>
    <w:basedOn w:val="DefaultParagraphFont"/>
    <w:link w:val="Heading2"/>
    <w:uiPriority w:val="9"/>
    <w:rsid w:val="00A274ED"/>
    <w:rPr>
      <w:rFonts w:cstheme="minorHAnsi"/>
      <w:b/>
      <w:bCs/>
      <w:iCs/>
      <w:color w:val="44546A" w:themeColor="text2"/>
      <w:sz w:val="24"/>
      <w:szCs w:val="24"/>
      <w:lang w:val="en-GB"/>
    </w:rPr>
  </w:style>
  <w:style w:type="paragraph" w:styleId="Header">
    <w:name w:val="header"/>
    <w:basedOn w:val="Normal"/>
    <w:link w:val="HeaderChar"/>
    <w:uiPriority w:val="99"/>
    <w:unhideWhenUsed/>
    <w:rsid w:val="00A274ED"/>
    <w:pPr>
      <w:tabs>
        <w:tab w:val="center" w:pos="4513"/>
        <w:tab w:val="right" w:pos="9026"/>
      </w:tabs>
      <w:spacing w:before="0" w:after="0"/>
      <w:ind w:left="227"/>
    </w:pPr>
    <w:rPr>
      <w:b/>
      <w:caps/>
      <w:color w:val="FFFFFF" w:themeColor="background1"/>
      <w:sz w:val="20"/>
    </w:rPr>
  </w:style>
  <w:style w:type="character" w:customStyle="1" w:styleId="HeaderChar">
    <w:name w:val="Header Char"/>
    <w:basedOn w:val="DefaultParagraphFont"/>
    <w:link w:val="Header"/>
    <w:uiPriority w:val="99"/>
    <w:rsid w:val="00A274ED"/>
    <w:rPr>
      <w:b/>
      <w:caps/>
      <w:color w:val="FFFFFF" w:themeColor="background1"/>
      <w:sz w:val="20"/>
      <w:lang w:val="en-GB"/>
    </w:rPr>
  </w:style>
  <w:style w:type="table" w:styleId="TableGrid">
    <w:name w:val="Table Grid"/>
    <w:basedOn w:val="TableNormal"/>
    <w:uiPriority w:val="59"/>
    <w:rsid w:val="00A274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A274ED"/>
    <w:pPr>
      <w:spacing w:before="0" w:after="0" w:line="240" w:lineRule="exact"/>
      <w:ind w:left="284" w:right="284"/>
    </w:pPr>
    <w:rPr>
      <w:color w:val="FFFFFF" w:themeColor="background1"/>
    </w:rPr>
  </w:style>
  <w:style w:type="character" w:customStyle="1" w:styleId="FooterChar">
    <w:name w:val="Footer Char"/>
    <w:basedOn w:val="DefaultParagraphFont"/>
    <w:link w:val="Footer"/>
    <w:uiPriority w:val="99"/>
    <w:rsid w:val="00A274ED"/>
    <w:rPr>
      <w:color w:val="FFFFFF" w:themeColor="background1"/>
      <w:lang w:val="en-GB"/>
    </w:rPr>
  </w:style>
  <w:style w:type="paragraph" w:customStyle="1" w:styleId="SpacebeforeTitle">
    <w:name w:val="Space before Title"/>
    <w:basedOn w:val="Normal"/>
    <w:qFormat/>
    <w:rsid w:val="00A274ED"/>
    <w:pPr>
      <w:spacing w:after="900"/>
    </w:pPr>
  </w:style>
  <w:style w:type="paragraph" w:styleId="ListParagraph">
    <w:name w:val="List Paragraph"/>
    <w:basedOn w:val="Normal"/>
    <w:uiPriority w:val="34"/>
    <w:qFormat/>
    <w:rsid w:val="00A274ED"/>
    <w:pPr>
      <w:ind w:left="720"/>
      <w:contextualSpacing/>
    </w:pPr>
  </w:style>
  <w:style w:type="character" w:styleId="CommentReference">
    <w:name w:val="annotation reference"/>
    <w:basedOn w:val="DefaultParagraphFont"/>
    <w:uiPriority w:val="99"/>
    <w:semiHidden/>
    <w:unhideWhenUsed/>
    <w:rsid w:val="00FE33B9"/>
    <w:rPr>
      <w:sz w:val="16"/>
      <w:szCs w:val="16"/>
    </w:rPr>
  </w:style>
  <w:style w:type="paragraph" w:styleId="CommentText">
    <w:name w:val="annotation text"/>
    <w:basedOn w:val="Normal"/>
    <w:link w:val="CommentTextChar"/>
    <w:uiPriority w:val="99"/>
    <w:semiHidden/>
    <w:unhideWhenUsed/>
    <w:rsid w:val="00FE33B9"/>
    <w:pPr>
      <w:spacing w:line="240" w:lineRule="auto"/>
    </w:pPr>
    <w:rPr>
      <w:sz w:val="20"/>
      <w:szCs w:val="20"/>
    </w:rPr>
  </w:style>
  <w:style w:type="character" w:customStyle="1" w:styleId="CommentTextChar">
    <w:name w:val="Comment Text Char"/>
    <w:basedOn w:val="DefaultParagraphFont"/>
    <w:link w:val="CommentText"/>
    <w:uiPriority w:val="99"/>
    <w:semiHidden/>
    <w:rsid w:val="00FE33B9"/>
    <w:rPr>
      <w:color w:val="44546A" w:themeColor="text2"/>
      <w:sz w:val="20"/>
      <w:szCs w:val="20"/>
      <w:lang w:val="en-GB"/>
    </w:rPr>
  </w:style>
  <w:style w:type="paragraph" w:styleId="CommentSubject">
    <w:name w:val="annotation subject"/>
    <w:basedOn w:val="CommentText"/>
    <w:next w:val="CommentText"/>
    <w:link w:val="CommentSubjectChar"/>
    <w:uiPriority w:val="99"/>
    <w:semiHidden/>
    <w:unhideWhenUsed/>
    <w:rsid w:val="00FE33B9"/>
    <w:rPr>
      <w:b/>
      <w:bCs/>
    </w:rPr>
  </w:style>
  <w:style w:type="character" w:customStyle="1" w:styleId="CommentSubjectChar">
    <w:name w:val="Comment Subject Char"/>
    <w:basedOn w:val="CommentTextChar"/>
    <w:link w:val="CommentSubject"/>
    <w:uiPriority w:val="99"/>
    <w:semiHidden/>
    <w:rsid w:val="00FE33B9"/>
    <w:rPr>
      <w:b/>
      <w:bCs/>
      <w:color w:val="44546A" w:themeColor="text2"/>
      <w:sz w:val="20"/>
      <w:szCs w:val="20"/>
      <w:lang w:val="en-GB"/>
    </w:rPr>
  </w:style>
  <w:style w:type="character" w:customStyle="1" w:styleId="Heading3Char">
    <w:name w:val="Heading 3 Char"/>
    <w:basedOn w:val="DefaultParagraphFont"/>
    <w:link w:val="Heading3"/>
    <w:uiPriority w:val="9"/>
    <w:rsid w:val="002E775C"/>
    <w:rPr>
      <w:rFonts w:asciiTheme="majorHAnsi" w:eastAsiaTheme="majorEastAsia" w:hAnsiTheme="majorHAnsi" w:cstheme="majorBidi"/>
      <w:color w:val="1F3763" w:themeColor="accent1" w:themeShade="7F"/>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4079503">
      <w:bodyDiv w:val="1"/>
      <w:marLeft w:val="0"/>
      <w:marRight w:val="0"/>
      <w:marTop w:val="0"/>
      <w:marBottom w:val="0"/>
      <w:divBdr>
        <w:top w:val="none" w:sz="0" w:space="0" w:color="auto"/>
        <w:left w:val="none" w:sz="0" w:space="0" w:color="auto"/>
        <w:bottom w:val="none" w:sz="0" w:space="0" w:color="auto"/>
        <w:right w:val="none" w:sz="0" w:space="0" w:color="auto"/>
      </w:divBdr>
    </w:div>
    <w:div w:id="810946665">
      <w:bodyDiv w:val="1"/>
      <w:marLeft w:val="0"/>
      <w:marRight w:val="0"/>
      <w:marTop w:val="0"/>
      <w:marBottom w:val="0"/>
      <w:divBdr>
        <w:top w:val="none" w:sz="0" w:space="0" w:color="auto"/>
        <w:left w:val="none" w:sz="0" w:space="0" w:color="auto"/>
        <w:bottom w:val="none" w:sz="0" w:space="0" w:color="auto"/>
        <w:right w:val="none" w:sz="0" w:space="0" w:color="auto"/>
      </w:divBdr>
    </w:div>
    <w:div w:id="1622608150">
      <w:bodyDiv w:val="1"/>
      <w:marLeft w:val="0"/>
      <w:marRight w:val="0"/>
      <w:marTop w:val="0"/>
      <w:marBottom w:val="0"/>
      <w:divBdr>
        <w:top w:val="none" w:sz="0" w:space="0" w:color="auto"/>
        <w:left w:val="none" w:sz="0" w:space="0" w:color="auto"/>
        <w:bottom w:val="none" w:sz="0" w:space="0" w:color="auto"/>
        <w:right w:val="none" w:sz="0" w:space="0" w:color="auto"/>
      </w:divBdr>
    </w:div>
    <w:div w:id="1833594570">
      <w:bodyDiv w:val="1"/>
      <w:marLeft w:val="0"/>
      <w:marRight w:val="0"/>
      <w:marTop w:val="0"/>
      <w:marBottom w:val="0"/>
      <w:divBdr>
        <w:top w:val="none" w:sz="0" w:space="0" w:color="auto"/>
        <w:left w:val="none" w:sz="0" w:space="0" w:color="auto"/>
        <w:bottom w:val="none" w:sz="0" w:space="0" w:color="auto"/>
        <w:right w:val="none" w:sz="0" w:space="0" w:color="auto"/>
      </w:divBdr>
    </w:div>
    <w:div w:id="2138254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1156</Words>
  <Characters>6835</Characters>
  <Application>Microsoft Office Word</Application>
  <DocSecurity>0</DocSecurity>
  <Lines>260</Lines>
  <Paragraphs>57</Paragraphs>
  <ScaleCrop>false</ScaleCrop>
  <Company/>
  <LinksUpToDate>false</LinksUpToDate>
  <CharactersWithSpaces>7956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2023-01-23T01:53:00Z</dcterms:created>
  <dcterms:modified xsi:type="dcterms:W3CDTF">2023-01-23T01:57:00Z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Caveats_Count">
    <vt:lpwstr>0</vt:lpwstr>
  </property>
</Properties>
</file>