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5AE6" w14:textId="2289AC51" w:rsidR="00EC3E82" w:rsidRDefault="006F63A0" w:rsidP="002E75B9">
      <w:pPr>
        <w:pStyle w:val="Heading1"/>
        <w:rPr>
          <w:szCs w:val="56"/>
        </w:rPr>
      </w:pPr>
      <w:r>
        <w:rPr>
          <w:szCs w:val="56"/>
        </w:rPr>
        <w:t>Niue</w:t>
      </w:r>
    </w:p>
    <w:p w14:paraId="6AE2DCBF" w14:textId="77777777" w:rsidR="002E75B9" w:rsidRDefault="002E75B9" w:rsidP="002E75B9">
      <w:pPr>
        <w:pStyle w:val="BodyText"/>
      </w:pPr>
    </w:p>
    <w:p w14:paraId="16D7374F" w14:textId="77777777" w:rsidR="00D15631" w:rsidRDefault="00D15631" w:rsidP="00D15631">
      <w:pPr>
        <w:pStyle w:val="Heading2"/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0DAF818D" w14:textId="275B0BDD" w:rsidR="002E75B9" w:rsidRPr="002E75B9" w:rsidRDefault="002E75B9" w:rsidP="002E75B9">
      <w:pPr>
        <w:pStyle w:val="BodyText"/>
        <w:sectPr w:rsidR="002E75B9" w:rsidRPr="002E75B9" w:rsidSect="00EC3E82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567" w:bottom="567" w:left="567" w:header="567" w:footer="567" w:gutter="0"/>
          <w:cols w:space="227"/>
          <w:titlePg/>
          <w:docGrid w:linePitch="360"/>
        </w:sectPr>
      </w:pPr>
    </w:p>
    <w:p w14:paraId="2109AA22" w14:textId="40E82D52" w:rsidR="00EE3B50" w:rsidRPr="00DD7A27" w:rsidRDefault="00EE3B50" w:rsidP="00C02C5D">
      <w:pPr>
        <w:pStyle w:val="Heading3"/>
        <w:spacing w:before="0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>Australia Awards</w:t>
      </w:r>
      <w:r w:rsidR="00D77DD6" w:rsidRPr="00DD7A27">
        <w:rPr>
          <w:color w:val="002060"/>
          <w:sz w:val="21"/>
          <w:szCs w:val="21"/>
        </w:rPr>
        <w:t xml:space="preserve"> </w:t>
      </w:r>
      <w:r w:rsidR="006F7A86">
        <w:rPr>
          <w:color w:val="002060"/>
          <w:sz w:val="21"/>
          <w:szCs w:val="21"/>
        </w:rPr>
        <w:t>s</w:t>
      </w:r>
      <w:r w:rsidR="00D77DD6" w:rsidRPr="00DD7A27">
        <w:rPr>
          <w:color w:val="002060"/>
          <w:sz w:val="21"/>
          <w:szCs w:val="21"/>
        </w:rPr>
        <w:t xml:space="preserve">cholarships </w:t>
      </w:r>
      <w:r w:rsidRPr="00DD7A27">
        <w:rPr>
          <w:color w:val="002060"/>
          <w:sz w:val="21"/>
          <w:szCs w:val="21"/>
        </w:rPr>
        <w:t xml:space="preserve">in </w:t>
      </w:r>
      <w:r w:rsidR="006F63A0">
        <w:rPr>
          <w:color w:val="002060"/>
          <w:sz w:val="21"/>
          <w:szCs w:val="21"/>
        </w:rPr>
        <w:t>Niue</w:t>
      </w:r>
    </w:p>
    <w:p w14:paraId="4F3E9EF3" w14:textId="28B65A36" w:rsidR="00864F2F" w:rsidRPr="00DA2C34" w:rsidRDefault="000A48E5" w:rsidP="00864F2F">
      <w:pPr>
        <w:pStyle w:val="Heading3"/>
        <w:spacing w:before="120" w:after="120"/>
        <w:rPr>
          <w:b w:val="0"/>
          <w:bCs w:val="0"/>
          <w:color w:val="000000" w:themeColor="text1"/>
          <w:kern w:val="28"/>
          <w:szCs w:val="52"/>
          <w:lang w:eastAsia="en-AU"/>
        </w:rPr>
      </w:pPr>
      <w:r w:rsidRPr="000A48E5">
        <w:rPr>
          <w:lang w:eastAsia="en-AU"/>
        </w:rPr>
        <w:t xml:space="preserve">Australia’s international development assistance in </w:t>
      </w:r>
      <w:r w:rsidR="006F63A0">
        <w:rPr>
          <w:lang w:eastAsia="en-AU"/>
        </w:rPr>
        <w:t xml:space="preserve">Niue </w:t>
      </w:r>
      <w:r w:rsidR="00864F2F" w:rsidRPr="00DA2C34">
        <w:rPr>
          <w:b w:val="0"/>
          <w:bCs w:val="0"/>
          <w:color w:val="000000" w:themeColor="text1"/>
          <w:kern w:val="28"/>
          <w:szCs w:val="52"/>
          <w:lang w:eastAsia="en-AU"/>
        </w:rPr>
        <w:t xml:space="preserve">helps promote prosperity, reduce poverty, and enhance political stability. </w:t>
      </w:r>
    </w:p>
    <w:p w14:paraId="00677277" w14:textId="521909A6" w:rsidR="00D77DD6" w:rsidRPr="00DA2C34" w:rsidRDefault="00C508CF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scholarships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 xml:space="preserve">Australia. </w:t>
      </w:r>
    </w:p>
    <w:p w14:paraId="1B9EE79F" w14:textId="5C50B4F2" w:rsidR="005924C5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>
        <w:rPr>
          <w:lang w:eastAsia="en-AU"/>
        </w:rPr>
        <w:t>eligible countries</w:t>
      </w:r>
      <w:r w:rsidR="00AF1603" w:rsidRPr="00DA2C34">
        <w:rPr>
          <w:lang w:eastAsia="en-AU"/>
        </w:rPr>
        <w:t>.</w:t>
      </w:r>
    </w:p>
    <w:p w14:paraId="3A286E91" w14:textId="138B5762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4B5C4559" w:rsidR="00C83D13" w:rsidRPr="00DA2C34" w:rsidRDefault="00C83D13" w:rsidP="00174CF2">
      <w:pPr>
        <w:pStyle w:val="BodyCopy"/>
        <w:spacing w:before="120" w:after="120"/>
        <w:rPr>
          <w:lang w:eastAsia="en-AU"/>
        </w:rPr>
      </w:pPr>
      <w:r w:rsidRPr="00DA2C34">
        <w:rPr>
          <w:lang w:eastAsia="en-AU"/>
        </w:rPr>
        <w:t>The priority areas of study for</w:t>
      </w:r>
      <w:r w:rsidR="00595C7E" w:rsidRPr="00DA2C34">
        <w:rPr>
          <w:lang w:eastAsia="en-AU"/>
        </w:rPr>
        <w:t xml:space="preserve"> </w:t>
      </w:r>
      <w:r w:rsidR="00D23829">
        <w:rPr>
          <w:lang w:eastAsia="en-AU"/>
        </w:rPr>
        <w:t>Niue</w:t>
      </w:r>
      <w:r w:rsidR="00406203">
        <w:rPr>
          <w:lang w:eastAsia="en-AU"/>
        </w:rPr>
        <w:t xml:space="preserve"> </w:t>
      </w:r>
      <w:r w:rsidRPr="00DA2C34">
        <w:rPr>
          <w:lang w:eastAsia="en-AU"/>
        </w:rPr>
        <w:t xml:space="preserve">are: </w:t>
      </w:r>
    </w:p>
    <w:p w14:paraId="75CD9CDF" w14:textId="50821EEF" w:rsidR="00B21676" w:rsidRPr="00B21676" w:rsidRDefault="00B21676" w:rsidP="00B21676">
      <w:pPr>
        <w:pStyle w:val="Bullet"/>
        <w:rPr>
          <w:lang w:eastAsia="en-AU"/>
        </w:rPr>
      </w:pPr>
      <w:r>
        <w:rPr>
          <w:lang w:eastAsia="en-AU"/>
        </w:rPr>
        <w:t>Education [including but not limited to]: education assessment; education</w:t>
      </w:r>
      <w:r w:rsidRPr="00B21676">
        <w:rPr>
          <w:rFonts w:eastAsia="Times New Roman"/>
          <w:lang w:eastAsia="en-AU"/>
        </w:rPr>
        <w:t>; education training and development (early childhood, primary, secondary, non-formal, and special and inclusive education); linguistics or multilingual studies; and vernacular studies</w:t>
      </w:r>
      <w:r w:rsidR="005111E9">
        <w:rPr>
          <w:rFonts w:eastAsia="Times New Roman"/>
          <w:lang w:eastAsia="en-AU"/>
        </w:rPr>
        <w:t>.</w:t>
      </w:r>
    </w:p>
    <w:p w14:paraId="6C081051" w14:textId="2AE99BAE" w:rsidR="00B21676" w:rsidRPr="00B21676" w:rsidRDefault="00B21676" w:rsidP="00B21676">
      <w:pPr>
        <w:pStyle w:val="Bullet"/>
        <w:rPr>
          <w:rFonts w:eastAsia="Times New Roman"/>
          <w:lang w:eastAsia="en-AU"/>
        </w:rPr>
      </w:pPr>
      <w:r w:rsidRPr="00B21676">
        <w:rPr>
          <w:rFonts w:eastAsia="Times New Roman"/>
          <w:lang w:eastAsia="en-AU"/>
        </w:rPr>
        <w:t>Governance (including but not limited to): justice; law; policing; public administration; and social and community work</w:t>
      </w:r>
      <w:r w:rsidR="005111E9">
        <w:rPr>
          <w:rFonts w:eastAsia="Times New Roman"/>
          <w:lang w:eastAsia="en-AU"/>
        </w:rPr>
        <w:t>.</w:t>
      </w:r>
    </w:p>
    <w:p w14:paraId="0C66F6A1" w14:textId="77777777" w:rsidR="00B21676" w:rsidRPr="00B21676" w:rsidRDefault="00B21676" w:rsidP="00B21676">
      <w:pPr>
        <w:pStyle w:val="Bullet"/>
        <w:rPr>
          <w:rFonts w:eastAsia="Times New Roman"/>
          <w:lang w:eastAsia="en-AU"/>
        </w:rPr>
      </w:pPr>
      <w:r w:rsidRPr="00B21676">
        <w:rPr>
          <w:rFonts w:eastAsia="Times New Roman"/>
          <w:lang w:eastAsia="en-AU"/>
        </w:rPr>
        <w:t>Sustainable economic development (including but not limited to): agriculture; computer science; engineering (civil, electrical, environmental, geospatial; marine, mechanical, physics, renewable energy); economics; financial management and administration; health and medical (nursing, nursing practitioners, pharmacy, physiotherapy, public health); hospitality and tourism services; information and technology systems; management; marketing; skilled trades (carpentry, construction, electrical); transport systems and management; and water, sanitation, and hygiene.</w:t>
      </w:r>
    </w:p>
    <w:p w14:paraId="59CA7B85" w14:textId="77777777" w:rsidR="00B21676" w:rsidRDefault="00B21676" w:rsidP="00B21676">
      <w:pPr>
        <w:pStyle w:val="Bullet"/>
        <w:numPr>
          <w:ilvl w:val="0"/>
          <w:numId w:val="0"/>
        </w:numPr>
        <w:ind w:left="284" w:hanging="284"/>
        <w:rPr>
          <w:lang w:eastAsia="en-AU"/>
        </w:rPr>
      </w:pPr>
    </w:p>
    <w:p w14:paraId="17C3EAA3" w14:textId="131D8F0A" w:rsidR="00F865E6" w:rsidRPr="003C15F0" w:rsidRDefault="00F865E6" w:rsidP="00F865E6">
      <w:pPr>
        <w:pStyle w:val="Bullet"/>
        <w:numPr>
          <w:ilvl w:val="0"/>
          <w:numId w:val="0"/>
        </w:numPr>
        <w:spacing w:before="0" w:after="0"/>
        <w:rPr>
          <w:rFonts w:eastAsiaTheme="minorHAnsi"/>
          <w:color w:val="002060"/>
        </w:rPr>
      </w:pPr>
      <w:r w:rsidRPr="00DA2C34">
        <w:rPr>
          <w:rFonts w:eastAsiaTheme="minorHAnsi"/>
        </w:rPr>
        <w:t>The governmen</w:t>
      </w:r>
      <w:r>
        <w:rPr>
          <w:rFonts w:eastAsiaTheme="minorHAnsi"/>
        </w:rPr>
        <w:t>ts</w:t>
      </w:r>
      <w:r w:rsidRPr="00DA2C34">
        <w:rPr>
          <w:rFonts w:eastAsiaTheme="minorHAnsi"/>
        </w:rPr>
        <w:t xml:space="preserve"> of Australia and</w:t>
      </w:r>
      <w:r w:rsidR="006F63A0">
        <w:rPr>
          <w:rFonts w:eastAsiaTheme="minorHAnsi"/>
        </w:rPr>
        <w:t xml:space="preserve"> Niue </w:t>
      </w:r>
      <w:r w:rsidRPr="00DA2C34">
        <w:rPr>
          <w:rFonts w:eastAsiaTheme="minorHAnsi"/>
        </w:rPr>
        <w:t xml:space="preserve">regularly review these areas of study together and adjust the emphasis of the program. </w:t>
      </w:r>
    </w:p>
    <w:p w14:paraId="668E2A40" w14:textId="3BF04F0F" w:rsidR="00406203" w:rsidRPr="00DA2C34" w:rsidRDefault="00406203" w:rsidP="00F865E6">
      <w:pPr>
        <w:pStyle w:val="Bullet"/>
        <w:numPr>
          <w:ilvl w:val="0"/>
          <w:numId w:val="0"/>
        </w:numPr>
        <w:spacing w:before="0" w:after="0"/>
        <w:rPr>
          <w:lang w:eastAsia="en-AU"/>
        </w:rPr>
      </w:pPr>
      <w:r>
        <w:rPr>
          <w:lang w:eastAsia="en-AU"/>
        </w:rPr>
        <w:t xml:space="preserve"> </w:t>
      </w:r>
    </w:p>
    <w:p w14:paraId="28373BE9" w14:textId="77777777" w:rsidR="00EE3B50" w:rsidRPr="00DD7A27" w:rsidRDefault="0024777B" w:rsidP="00F865E6">
      <w:pPr>
        <w:pStyle w:val="Heading3"/>
        <w:spacing w:before="0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2ECC31C9" w:rsidR="00C83D13" w:rsidRPr="00DA2C34" w:rsidRDefault="009E1749" w:rsidP="00F865E6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6F63A0">
        <w:t>Niue</w:t>
      </w:r>
      <w:r w:rsidR="00B62600">
        <w:t xml:space="preserve">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6F9263D5" w14:textId="587C1309" w:rsidR="00AF1603" w:rsidRDefault="00AF1603" w:rsidP="00CC7FC0">
      <w:pPr>
        <w:pStyle w:val="BodyText"/>
      </w:pPr>
      <w:r w:rsidRPr="00DA2C34">
        <w:t xml:space="preserve">Awards will be offered for commencement in </w:t>
      </w:r>
      <w:r w:rsidR="006F63A0">
        <w:t>2025</w:t>
      </w:r>
      <w:r w:rsidR="00137C02">
        <w:t xml:space="preserve"> within the following allocations:</w:t>
      </w:r>
    </w:p>
    <w:p w14:paraId="1368421E" w14:textId="1D493217" w:rsidR="007A3935" w:rsidRPr="00DA2C34" w:rsidRDefault="1D382C67" w:rsidP="0064678B">
      <w:pPr>
        <w:pStyle w:val="Bullet"/>
      </w:pPr>
      <w:r w:rsidRPr="0FC89844">
        <w:rPr>
          <w:lang w:eastAsia="en-AU"/>
        </w:rPr>
        <w:t>Master's</w:t>
      </w:r>
      <w:r w:rsidR="006F63A0" w:rsidRPr="0FC89844">
        <w:rPr>
          <w:lang w:eastAsia="en-AU"/>
        </w:rPr>
        <w:t xml:space="preserve"> level</w:t>
      </w:r>
      <w:r w:rsidR="007A3935" w:rsidRPr="0FC89844">
        <w:rPr>
          <w:lang w:eastAsia="en-AU"/>
        </w:rPr>
        <w:t xml:space="preserve"> 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0DBDB9F0" w14:textId="77777777" w:rsidR="00E2796B" w:rsidRDefault="00E2796B" w:rsidP="001E2779">
      <w:pPr>
        <w:pStyle w:val="BodyText"/>
        <w:spacing w:before="120"/>
        <w:jc w:val="both"/>
        <w:rPr>
          <w:lang w:eastAsia="en-AU"/>
        </w:rPr>
      </w:pPr>
    </w:p>
    <w:p w14:paraId="19BAD196" w14:textId="54FD1FE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lastRenderedPageBreak/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DA2C34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 xml:space="preserve">return air </w:t>
      </w:r>
      <w:proofErr w:type="gramStart"/>
      <w:r>
        <w:rPr>
          <w:lang w:eastAsia="en-AU"/>
        </w:rPr>
        <w:t>travel</w:t>
      </w:r>
      <w:proofErr w:type="gramEnd"/>
    </w:p>
    <w:p w14:paraId="3DCDB756" w14:textId="77777777" w:rsidR="00634441" w:rsidRDefault="00896156" w:rsidP="002E75B9">
      <w:pPr>
        <w:pStyle w:val="Bullet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 xml:space="preserve">off establishment allowance on arrival </w:t>
      </w:r>
    </w:p>
    <w:p w14:paraId="17FF35B0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full tuition fees</w:t>
      </w:r>
    </w:p>
    <w:p w14:paraId="34BB5371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 xml:space="preserve">contribution to living </w:t>
      </w:r>
      <w:proofErr w:type="gramStart"/>
      <w:r>
        <w:rPr>
          <w:lang w:eastAsia="en-AU"/>
        </w:rPr>
        <w:t>expenses</w:t>
      </w:r>
      <w:proofErr w:type="gramEnd"/>
    </w:p>
    <w:p w14:paraId="117CD9DD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introductory academic program</w:t>
      </w:r>
    </w:p>
    <w:p w14:paraId="7DBEB585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supplementary academic support</w:t>
      </w:r>
      <w:r w:rsidR="006F7A86">
        <w:rPr>
          <w:lang w:eastAsia="en-AU"/>
        </w:rPr>
        <w:t>,</w:t>
      </w:r>
      <w:r>
        <w:rPr>
          <w:lang w:eastAsia="en-AU"/>
        </w:rPr>
        <w:t xml:space="preserve"> </w:t>
      </w:r>
    </w:p>
    <w:p w14:paraId="684FEF83" w14:textId="3016B141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 xml:space="preserve">fieldwork allowance for research students and </w:t>
      </w:r>
      <w:r w:rsidR="002910C5">
        <w:rPr>
          <w:lang w:eastAsia="en-AU"/>
        </w:rPr>
        <w:t>M</w:t>
      </w:r>
      <w:r>
        <w:rPr>
          <w:lang w:eastAsia="en-AU"/>
        </w:rPr>
        <w:t>aster by coursework which has a compulsory fieldwork component.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77777777" w:rsidR="008C39FD" w:rsidRPr="00826A28" w:rsidRDefault="00D77DD6" w:rsidP="00826A28">
      <w:pPr>
        <w:pStyle w:val="Bullet"/>
        <w:numPr>
          <w:ilvl w:val="0"/>
          <w:numId w:val="0"/>
        </w:numPr>
        <w:spacing w:before="120" w:after="120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meet all eligibility requirements detailed in the </w:t>
      </w:r>
      <w:r w:rsidR="00F362B6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Australia Awards </w:t>
      </w:r>
      <w:r w:rsidR="00C4402E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>Scholarships</w:t>
      </w:r>
      <w:r w:rsidR="00DF6FD5" w:rsidRPr="009C38C5">
        <w:rPr>
          <w:rFonts w:asciiTheme="minorHAnsi" w:eastAsiaTheme="minorHAnsi" w:hAnsiTheme="minorHAnsi" w:cs="Times New Roman"/>
          <w:i/>
          <w:color w:val="auto"/>
          <w:spacing w:val="0"/>
          <w:kern w:val="0"/>
          <w:szCs w:val="20"/>
          <w:lang w:eastAsia="en-AU"/>
        </w:rPr>
        <w:t xml:space="preserve"> Policy Handbook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 available at:</w:t>
      </w:r>
      <w:r w:rsidR="00DF6FD5" w:rsidRPr="00DA2C34">
        <w:rPr>
          <w:lang w:eastAsia="en-AU"/>
        </w:rPr>
        <w:t xml:space="preserve"> </w:t>
      </w:r>
      <w:hyperlink r:id="rId15" w:history="1">
        <w:r w:rsidR="006722AF" w:rsidRPr="002E75B9">
          <w:rPr>
            <w:rStyle w:val="Hyperlink"/>
            <w:b w:val="0"/>
            <w:bCs/>
            <w:color w:val="00759A"/>
            <w:lang w:eastAsia="en-AU"/>
          </w:rPr>
          <w:t>dfat.gov.au/about-us/publications/Pages/australia-awards-scholarships-policy-handbook.aspx</w:t>
        </w:r>
      </w:hyperlink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38D5F6DA" w:rsidR="003456E1" w:rsidRDefault="003456E1" w:rsidP="003456E1">
      <w:pPr>
        <w:pStyle w:val="Bullet"/>
        <w:numPr>
          <w:ilvl w:val="0"/>
          <w:numId w:val="0"/>
        </w:numPr>
        <w:rPr>
          <w:lang w:eastAsia="en-AU"/>
        </w:rPr>
      </w:pPr>
      <w:r w:rsidRPr="002A3018">
        <w:rPr>
          <w:lang w:eastAsia="en-AU"/>
        </w:rPr>
        <w:t xml:space="preserve">In addition to the eligibility requirements, candidates from </w:t>
      </w:r>
      <w:r w:rsidR="006F63A0">
        <w:rPr>
          <w:lang w:eastAsia="en-AU"/>
        </w:rPr>
        <w:t xml:space="preserve">Niue </w:t>
      </w:r>
      <w:r w:rsidRPr="002A3018">
        <w:rPr>
          <w:lang w:eastAsia="en-AU"/>
        </w:rPr>
        <w:t>must also meet the following conditions:</w:t>
      </w:r>
    </w:p>
    <w:p w14:paraId="6B133A76" w14:textId="5F06286B" w:rsidR="00B21676" w:rsidRPr="00B21676" w:rsidRDefault="00B21676" w:rsidP="00B21676">
      <w:pPr>
        <w:pStyle w:val="Bullet"/>
        <w:rPr>
          <w:rFonts w:eastAsia="Times New Roman"/>
          <w:lang w:eastAsia="en-AU"/>
        </w:rPr>
      </w:pPr>
      <w:r w:rsidRPr="00B21676">
        <w:rPr>
          <w:rFonts w:eastAsia="Times New Roman"/>
          <w:lang w:eastAsia="en-AU"/>
        </w:rPr>
        <w:t xml:space="preserve">must be residing in Niue at the time of </w:t>
      </w:r>
      <w:proofErr w:type="gramStart"/>
      <w:r w:rsidRPr="00B21676">
        <w:rPr>
          <w:rFonts w:eastAsia="Times New Roman"/>
          <w:lang w:eastAsia="en-AU"/>
        </w:rPr>
        <w:t>application</w:t>
      </w:r>
      <w:proofErr w:type="gramEnd"/>
    </w:p>
    <w:p w14:paraId="195E8D7A" w14:textId="77777777" w:rsidR="007B585F" w:rsidRDefault="007B585F" w:rsidP="007B585F">
      <w:pPr>
        <w:pStyle w:val="Bullet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must be a minimum of 18 years as </w:t>
      </w:r>
      <w:bookmarkStart w:id="0" w:name="_Int_4LRiaWIj"/>
      <w:proofErr w:type="gramStart"/>
      <w:r>
        <w:rPr>
          <w:rFonts w:eastAsia="Times New Roman"/>
          <w:lang w:eastAsia="en-AU"/>
        </w:rPr>
        <w:t>at</w:t>
      </w:r>
      <w:bookmarkEnd w:id="0"/>
      <w:proofErr w:type="gramEnd"/>
      <w:r>
        <w:rPr>
          <w:rFonts w:eastAsia="Times New Roman"/>
          <w:lang w:eastAsia="en-AU"/>
        </w:rPr>
        <w:t xml:space="preserve"> 1 February in the year commencing the award</w:t>
      </w:r>
    </w:p>
    <w:p w14:paraId="0BC6708D" w14:textId="3EB1ECBA" w:rsidR="00B21676" w:rsidRPr="00B21676" w:rsidRDefault="00B21676" w:rsidP="00B21676">
      <w:pPr>
        <w:pStyle w:val="Bullet"/>
        <w:rPr>
          <w:rFonts w:eastAsia="Times New Roman"/>
          <w:lang w:eastAsia="en-AU"/>
        </w:rPr>
      </w:pPr>
      <w:r w:rsidRPr="00B21676">
        <w:rPr>
          <w:rFonts w:eastAsia="Times New Roman"/>
          <w:lang w:eastAsia="en-AU"/>
        </w:rPr>
        <w:t xml:space="preserve">must not be serving an existing scholarship </w:t>
      </w:r>
      <w:proofErr w:type="gramStart"/>
      <w:r w:rsidRPr="00B21676">
        <w:rPr>
          <w:rFonts w:eastAsia="Times New Roman"/>
          <w:lang w:eastAsia="en-AU"/>
        </w:rPr>
        <w:t>bond</w:t>
      </w:r>
      <w:proofErr w:type="gramEnd"/>
    </w:p>
    <w:p w14:paraId="56D87EC7" w14:textId="4AD37ABB" w:rsidR="00B21676" w:rsidRPr="00B21676" w:rsidRDefault="00B21676" w:rsidP="00B21676">
      <w:pPr>
        <w:pStyle w:val="Bullet"/>
        <w:rPr>
          <w:rFonts w:eastAsia="Times New Roman"/>
          <w:lang w:eastAsia="en-AU"/>
        </w:rPr>
      </w:pPr>
      <w:r w:rsidRPr="00B21676">
        <w:rPr>
          <w:rFonts w:eastAsia="Times New Roman"/>
          <w:lang w:eastAsia="en-AU"/>
        </w:rPr>
        <w:t xml:space="preserve">must be able to meet the institutional entry requirements for their proposed </w:t>
      </w:r>
      <w:proofErr w:type="gramStart"/>
      <w:r w:rsidRPr="00B21676">
        <w:rPr>
          <w:rFonts w:eastAsia="Times New Roman"/>
          <w:lang w:eastAsia="en-AU"/>
        </w:rPr>
        <w:t>course</w:t>
      </w:r>
      <w:proofErr w:type="gramEnd"/>
    </w:p>
    <w:p w14:paraId="4A8482EA" w14:textId="68FA637F" w:rsidR="00B21676" w:rsidRPr="00B21676" w:rsidRDefault="00B21676" w:rsidP="00B21676">
      <w:pPr>
        <w:pStyle w:val="Bullet"/>
        <w:rPr>
          <w:rFonts w:eastAsia="Times New Roman"/>
          <w:lang w:eastAsia="en-AU"/>
        </w:rPr>
      </w:pPr>
      <w:r w:rsidRPr="00B21676">
        <w:rPr>
          <w:rFonts w:eastAsia="Times New Roman"/>
          <w:lang w:eastAsia="en-AU"/>
        </w:rPr>
        <w:t xml:space="preserve">have at least 3 </w:t>
      </w:r>
      <w:r w:rsidR="005111E9" w:rsidRPr="00B21676">
        <w:rPr>
          <w:rFonts w:eastAsia="Times New Roman"/>
          <w:lang w:eastAsia="en-AU"/>
        </w:rPr>
        <w:t>years</w:t>
      </w:r>
      <w:r w:rsidRPr="00B21676">
        <w:rPr>
          <w:rFonts w:eastAsia="Times New Roman"/>
          <w:lang w:eastAsia="en-AU"/>
        </w:rPr>
        <w:t xml:space="preserve"> of relevant work experience</w:t>
      </w:r>
      <w:r w:rsidR="005111E9">
        <w:rPr>
          <w:rFonts w:eastAsia="Times New Roman"/>
          <w:lang w:eastAsia="en-AU"/>
        </w:rPr>
        <w:t>,</w:t>
      </w:r>
    </w:p>
    <w:p w14:paraId="0A8870A7" w14:textId="18A97BD7" w:rsidR="003456E1" w:rsidRPr="00B21676" w:rsidRDefault="00B21676" w:rsidP="00B21676">
      <w:pPr>
        <w:pStyle w:val="Bullet"/>
        <w:rPr>
          <w:rFonts w:eastAsia="Times New Roman"/>
          <w:lang w:eastAsia="en-AU"/>
        </w:rPr>
      </w:pPr>
      <w:r w:rsidRPr="00B21676">
        <w:rPr>
          <w:rFonts w:eastAsia="Times New Roman"/>
          <w:lang w:eastAsia="en-AU"/>
        </w:rPr>
        <w:t>civil servants are strongly encouraged to seek prior approval from their supervisor</w:t>
      </w:r>
      <w:r w:rsidR="005111E9">
        <w:rPr>
          <w:rFonts w:eastAsia="Times New Roman"/>
          <w:lang w:eastAsia="en-AU"/>
        </w:rPr>
        <w:t>.</w:t>
      </w:r>
    </w:p>
    <w:p w14:paraId="3102C364" w14:textId="77777777" w:rsidR="00870EC9" w:rsidRPr="00DD7A27" w:rsidRDefault="0024777B" w:rsidP="00D55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 xml:space="preserve">ates </w:t>
      </w:r>
    </w:p>
    <w:p w14:paraId="520E9078" w14:textId="4C35C162" w:rsidR="00EE3B50" w:rsidRPr="008C5E5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054A53">
        <w:rPr>
          <w:rFonts w:eastAsiaTheme="minorHAnsi" w:cs="Arial"/>
          <w:color w:val="000000"/>
          <w:spacing w:val="0"/>
        </w:rPr>
        <w:t>5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5EAACDCB" w:rsidR="00EE3B50" w:rsidRPr="00292267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054A53">
        <w:rPr>
          <w:color w:val="auto"/>
        </w:rPr>
        <w:t>4</w:t>
      </w:r>
      <w:r w:rsidRPr="00292267">
        <w:rPr>
          <w:color w:val="auto"/>
        </w:rPr>
        <w:tab/>
      </w:r>
    </w:p>
    <w:p w14:paraId="27EFD683" w14:textId="025D9EAE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054A53">
        <w:rPr>
          <w:color w:val="auto"/>
        </w:rPr>
        <w:t>4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370537C8" w14:textId="77777777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 xml:space="preserve">date will not be considered. </w:t>
      </w:r>
    </w:p>
    <w:p w14:paraId="5E39C57A" w14:textId="77777777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 w:rsidRPr="0FC89844">
        <w:rPr>
          <w:color w:val="002060"/>
          <w:sz w:val="21"/>
          <w:szCs w:val="21"/>
        </w:rPr>
        <w:t xml:space="preserve">The </w:t>
      </w:r>
      <w:r w:rsidR="006F7A86" w:rsidRPr="0FC89844">
        <w:rPr>
          <w:color w:val="002060"/>
          <w:sz w:val="21"/>
          <w:szCs w:val="21"/>
        </w:rPr>
        <w:t>a</w:t>
      </w:r>
      <w:r w:rsidRPr="0FC89844">
        <w:rPr>
          <w:color w:val="002060"/>
          <w:sz w:val="21"/>
          <w:szCs w:val="21"/>
        </w:rPr>
        <w:t xml:space="preserve">pplication </w:t>
      </w:r>
      <w:bookmarkStart w:id="1" w:name="_Int_9Ws37vOJ"/>
      <w:proofErr w:type="gramStart"/>
      <w:r w:rsidR="006F7A86" w:rsidRPr="0FC89844">
        <w:rPr>
          <w:color w:val="002060"/>
          <w:sz w:val="21"/>
          <w:szCs w:val="21"/>
        </w:rPr>
        <w:t>p</w:t>
      </w:r>
      <w:r w:rsidR="00EE3B50" w:rsidRPr="0FC89844">
        <w:rPr>
          <w:color w:val="002060"/>
          <w:sz w:val="21"/>
          <w:szCs w:val="21"/>
        </w:rPr>
        <w:t>rocess</w:t>
      </w:r>
      <w:bookmarkEnd w:id="1"/>
      <w:proofErr w:type="gramEnd"/>
      <w:r w:rsidR="00EE3B50" w:rsidRPr="0FC89844">
        <w:rPr>
          <w:color w:val="002060"/>
          <w:sz w:val="21"/>
          <w:szCs w:val="21"/>
        </w:rPr>
        <w:t xml:space="preserve"> </w:t>
      </w:r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372DFC16" w:rsidR="003C3B5C" w:rsidRPr="008C5E56" w:rsidRDefault="00870EC9" w:rsidP="00457822">
      <w:pPr>
        <w:pStyle w:val="BodyCopy"/>
        <w:spacing w:before="120" w:after="120"/>
        <w:rPr>
          <w:rFonts w:eastAsiaTheme="minorHAnsi" w:cs="Arial"/>
          <w:color w:val="000000"/>
          <w:spacing w:val="0"/>
          <w:kern w:val="0"/>
          <w:szCs w:val="20"/>
        </w:rPr>
      </w:pPr>
      <w:r w:rsidRPr="00DA2C34">
        <w:rPr>
          <w:color w:val="000000"/>
          <w:lang w:eastAsia="en-AU"/>
        </w:rPr>
        <w:t>A</w:t>
      </w:r>
      <w:r w:rsidR="00A10841" w:rsidRPr="00DA2C34">
        <w:rPr>
          <w:color w:val="000000"/>
          <w:lang w:eastAsia="en-AU"/>
        </w:rPr>
        <w:t xml:space="preserve">ll applications </w:t>
      </w:r>
      <w:r w:rsidR="009259F8">
        <w:rPr>
          <w:color w:val="000000"/>
          <w:lang w:eastAsia="en-AU"/>
        </w:rPr>
        <w:t>must</w:t>
      </w:r>
      <w:r w:rsidR="009259F8" w:rsidRPr="00DA2C34">
        <w:rPr>
          <w:color w:val="000000"/>
          <w:lang w:eastAsia="en-AU"/>
        </w:rPr>
        <w:t xml:space="preserve"> </w:t>
      </w:r>
      <w:r w:rsidR="00A10841" w:rsidRPr="00DA2C34">
        <w:rPr>
          <w:color w:val="000000"/>
          <w:lang w:eastAsia="en-AU"/>
        </w:rPr>
        <w:t xml:space="preserve">be lodged </w:t>
      </w:r>
      <w:r w:rsidR="00DF6B79">
        <w:rPr>
          <w:color w:val="000000"/>
          <w:lang w:eastAsia="en-AU"/>
        </w:rPr>
        <w:t xml:space="preserve">online </w:t>
      </w:r>
      <w:r w:rsidR="00A10841" w:rsidRPr="00DA2C34">
        <w:rPr>
          <w:color w:val="000000"/>
          <w:lang w:eastAsia="en-AU"/>
        </w:rPr>
        <w:t xml:space="preserve">through </w:t>
      </w:r>
      <w:r w:rsidR="003456E1">
        <w:t>OASIS</w:t>
      </w:r>
      <w:r w:rsidR="00080A52">
        <w:t xml:space="preserve"> at </w:t>
      </w:r>
      <w:hyperlink r:id="rId16" w:history="1">
        <w:r w:rsidR="005111E9" w:rsidRPr="00900DC8">
          <w:rPr>
            <w:rStyle w:val="Hyperlink"/>
            <w:lang w:eastAsia="en-AU"/>
          </w:rPr>
          <w:t>https://</w:t>
        </w:r>
        <w:r w:rsidR="005111E9" w:rsidRPr="00900DC8">
          <w:rPr>
            <w:rStyle w:val="Hyperlink"/>
          </w:rPr>
          <w:t>oasis.dfat.gov.au/</w:t>
        </w:r>
      </w:hyperlink>
      <w:r w:rsidR="003456E1">
        <w:t>.</w:t>
      </w:r>
      <w:r w:rsidR="005111E9">
        <w:t xml:space="preserve"> </w:t>
      </w:r>
    </w:p>
    <w:p w14:paraId="48A0F162" w14:textId="77777777" w:rsidR="00EE3B50" w:rsidRPr="00DA2C34" w:rsidRDefault="0024777B" w:rsidP="0005326E">
      <w:pPr>
        <w:pStyle w:val="Heading4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615927E6" w14:textId="732A498F" w:rsidR="00796623" w:rsidRDefault="00796623" w:rsidP="002E75B9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r w:rsidRPr="009C38C5">
        <w:rPr>
          <w:i/>
          <w:lang w:eastAsia="en-AU"/>
        </w:rPr>
        <w:t>Australia Awards Scholarships Policy Handbook</w:t>
      </w:r>
      <w:r w:rsidRPr="00796623">
        <w:rPr>
          <w:lang w:eastAsia="en-AU"/>
        </w:rPr>
        <w:t xml:space="preserve">. </w:t>
      </w:r>
    </w:p>
    <w:p w14:paraId="4335D0D0" w14:textId="05DDA407" w:rsidR="00EB7EF3" w:rsidRPr="00796623" w:rsidRDefault="00B21676" w:rsidP="00EB7EF3">
      <w:pPr>
        <w:pStyle w:val="Heading3"/>
        <w:spacing w:before="120" w:after="120"/>
        <w:rPr>
          <w:b w:val="0"/>
          <w:color w:val="000000" w:themeColor="text1"/>
          <w:kern w:val="28"/>
          <w:szCs w:val="52"/>
          <w:lang w:eastAsia="en-AU"/>
        </w:rPr>
      </w:pPr>
      <w:r w:rsidRPr="00B21676">
        <w:rPr>
          <w:b w:val="0"/>
          <w:color w:val="000000" w:themeColor="text1"/>
          <w:kern w:val="28"/>
          <w:szCs w:val="52"/>
          <w:lang w:eastAsia="en-AU"/>
        </w:rPr>
        <w:t xml:space="preserve">Applicants are not required to submit evidence of country- specific conditions, but evidence may be requested </w:t>
      </w:r>
      <w:r w:rsidR="0033140C" w:rsidRPr="00B21676">
        <w:rPr>
          <w:b w:val="0"/>
          <w:color w:val="000000" w:themeColor="text1"/>
          <w:kern w:val="28"/>
          <w:szCs w:val="52"/>
          <w:lang w:eastAsia="en-AU"/>
        </w:rPr>
        <w:t>later</w:t>
      </w:r>
      <w:r w:rsidRPr="00B21676">
        <w:rPr>
          <w:b w:val="0"/>
          <w:color w:val="000000" w:themeColor="text1"/>
          <w:kern w:val="28"/>
          <w:szCs w:val="52"/>
          <w:lang w:eastAsia="en-AU"/>
        </w:rPr>
        <w:t xml:space="preserve"> during selection process.</w:t>
      </w:r>
      <w:r w:rsidR="00EB7EF3" w:rsidRPr="00796623">
        <w:rPr>
          <w:b w:val="0"/>
          <w:color w:val="000000" w:themeColor="text1"/>
          <w:kern w:val="28"/>
          <w:szCs w:val="52"/>
          <w:lang w:eastAsia="en-AU"/>
        </w:rPr>
        <w:t xml:space="preserve"> </w:t>
      </w:r>
    </w:p>
    <w:p w14:paraId="51BBE5A8" w14:textId="77777777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bookmarkStart w:id="2" w:name="_Int_S72klFvi"/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bookmarkEnd w:id="2"/>
      <w:r w:rsidR="00EE3B50" w:rsidRPr="00457822">
        <w:rPr>
          <w:color w:val="002060"/>
          <w:sz w:val="21"/>
          <w:szCs w:val="21"/>
        </w:rPr>
        <w:softHyphen/>
      </w:r>
    </w:p>
    <w:p w14:paraId="3066485B" w14:textId="13FC261A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</w:t>
      </w:r>
      <w:r w:rsidR="0033140C">
        <w:rPr>
          <w:rFonts w:eastAsiaTheme="minorHAnsi"/>
          <w:lang w:eastAsia="en-AU"/>
        </w:rPr>
        <w:t>.</w:t>
      </w:r>
    </w:p>
    <w:p w14:paraId="5EF29B3B" w14:textId="52379F30" w:rsidR="006E27CD" w:rsidRPr="006E27CD" w:rsidRDefault="00896156" w:rsidP="002E75B9">
      <w:pPr>
        <w:pStyle w:val="Bullet"/>
      </w:pPr>
      <w:r>
        <w:rPr>
          <w:rFonts w:eastAsiaTheme="minorHAnsi"/>
          <w:lang w:eastAsia="en-AU"/>
        </w:rPr>
        <w:t>Only short</w:t>
      </w:r>
      <w:r w:rsidR="00B9091B" w:rsidRPr="006E27CD">
        <w:rPr>
          <w:rFonts w:eastAsiaTheme="minorHAnsi"/>
          <w:lang w:eastAsia="en-AU"/>
        </w:rPr>
        <w:t>listed candidates will be contacted</w:t>
      </w:r>
      <w:r w:rsidR="0033140C">
        <w:rPr>
          <w:rFonts w:eastAsiaTheme="minorHAnsi"/>
          <w:lang w:eastAsia="en-AU"/>
        </w:rPr>
        <w:t>.</w:t>
      </w:r>
      <w:r w:rsidR="00B9091B" w:rsidRPr="006E27CD">
        <w:rPr>
          <w:rFonts w:eastAsiaTheme="minorHAnsi"/>
          <w:lang w:eastAsia="en-AU"/>
        </w:rPr>
        <w:t xml:space="preserve"> </w:t>
      </w:r>
    </w:p>
    <w:p w14:paraId="3555AAAC" w14:textId="4DEE8380" w:rsidR="002E75B9" w:rsidRDefault="002E75B9" w:rsidP="002E75B9">
      <w:pPr>
        <w:pStyle w:val="Bullet"/>
        <w:rPr>
          <w:rFonts w:eastAsiaTheme="minorHAnsi"/>
          <w:lang w:eastAsia="en-AU"/>
        </w:rPr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</w:p>
    <w:p w14:paraId="1C3A0DE9" w14:textId="77777777" w:rsidR="00271775" w:rsidRPr="00DA2C34" w:rsidRDefault="00C4402E" w:rsidP="002E75B9">
      <w:pPr>
        <w:pStyle w:val="Bullet"/>
      </w:pPr>
      <w:r w:rsidRPr="006E27CD">
        <w:rPr>
          <w:rFonts w:eastAsiaTheme="minorHAnsi"/>
          <w:lang w:eastAsia="en-AU"/>
        </w:rPr>
        <w:t xml:space="preserve">The selection process </w:t>
      </w:r>
      <w:r w:rsidR="009455DB" w:rsidRPr="006E27CD">
        <w:rPr>
          <w:rFonts w:eastAsiaTheme="minorHAnsi"/>
          <w:lang w:eastAsia="en-AU"/>
        </w:rPr>
        <w:t xml:space="preserve">includes </w:t>
      </w:r>
      <w:r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 xml:space="preserve">.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7A347790" w14:textId="77777777" w:rsidR="00271775" w:rsidRPr="00DA2C34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a</w:t>
      </w:r>
      <w:r w:rsidR="00271775" w:rsidRPr="00DA2C34">
        <w:rPr>
          <w:rFonts w:eastAsiaTheme="minorHAnsi"/>
          <w:lang w:eastAsia="en-AU"/>
        </w:rPr>
        <w:t>cademic competence</w:t>
      </w:r>
    </w:p>
    <w:p w14:paraId="18A06C83" w14:textId="77777777" w:rsidR="002E75B9" w:rsidRDefault="002E75B9" w:rsidP="00080A52">
      <w:pPr>
        <w:pStyle w:val="Bullet"/>
        <w:numPr>
          <w:ilvl w:val="0"/>
          <w:numId w:val="25"/>
        </w:numPr>
        <w:rPr>
          <w:rFonts w:eastAsiaTheme="minorHAnsi"/>
          <w:lang w:eastAsia="en-AU"/>
        </w:rPr>
        <w:sectPr w:rsidR="002E75B9" w:rsidSect="002E75B9">
          <w:type w:val="continuous"/>
          <w:pgSz w:w="11906" w:h="16838" w:code="9"/>
          <w:pgMar w:top="737" w:right="567" w:bottom="737" w:left="567" w:header="567" w:footer="567" w:gutter="0"/>
          <w:cols w:space="227"/>
          <w:titlePg/>
          <w:docGrid w:linePitch="360"/>
        </w:sectPr>
      </w:pPr>
    </w:p>
    <w:p w14:paraId="49DBB9EF" w14:textId="0F6069C4" w:rsidR="00271775" w:rsidRPr="00DA2C34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 xml:space="preserve">otential outcome, </w:t>
      </w:r>
      <w:r w:rsidR="00D41FCC">
        <w:rPr>
          <w:rFonts w:eastAsiaTheme="minorHAnsi"/>
          <w:lang w:eastAsia="en-AU"/>
        </w:rPr>
        <w:t>specifically the</w:t>
      </w:r>
      <w:r w:rsidR="00271775" w:rsidRPr="00DA2C34">
        <w:rPr>
          <w:rFonts w:eastAsiaTheme="minorHAnsi"/>
          <w:lang w:eastAsia="en-AU"/>
        </w:rPr>
        <w:t xml:space="preserve"> contribution to development outcomes in </w:t>
      </w:r>
      <w:r w:rsidR="00B21676">
        <w:rPr>
          <w:rFonts w:eastAsiaTheme="minorHAnsi"/>
          <w:lang w:eastAsia="en-AU"/>
        </w:rPr>
        <w:t>Niue</w:t>
      </w:r>
      <w:r w:rsidR="002D2343">
        <w:rPr>
          <w:rFonts w:eastAsiaTheme="minorHAnsi"/>
          <w:lang w:eastAsia="en-AU"/>
        </w:rPr>
        <w:t>.</w:t>
      </w:r>
    </w:p>
    <w:p w14:paraId="0D78F1F3" w14:textId="77777777" w:rsidR="00EE3B50" w:rsidRPr="003F4B33" w:rsidRDefault="009455DB" w:rsidP="00080A52">
      <w:pPr>
        <w:pStyle w:val="Bullet"/>
        <w:numPr>
          <w:ilvl w:val="0"/>
          <w:numId w:val="25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9F70CD" w:rsidRPr="00DA2C34">
        <w:rPr>
          <w:rFonts w:eastAsiaTheme="minorHAnsi"/>
          <w:lang w:eastAsia="en-AU"/>
        </w:rPr>
        <w:t>.</w:t>
      </w:r>
    </w:p>
    <w:p w14:paraId="73E6AEDF" w14:textId="3FDBF60B" w:rsidR="003F4B33" w:rsidRPr="00333FE6" w:rsidRDefault="003F4B33" w:rsidP="002E75B9">
      <w:pPr>
        <w:pStyle w:val="Bullet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415D5F">
        <w:rPr>
          <w:rFonts w:eastAsiaTheme="minorHAnsi"/>
          <w:lang w:eastAsia="en-AU"/>
        </w:rPr>
        <w:t>4</w:t>
      </w:r>
      <w:r w:rsidR="0025381C">
        <w:rPr>
          <w:rFonts w:eastAsiaTheme="minorHAnsi"/>
          <w:lang w:eastAsia="en-AU"/>
        </w:rPr>
        <w:t>.</w:t>
      </w:r>
    </w:p>
    <w:p w14:paraId="1424E233" w14:textId="6EFD81DB" w:rsidR="009D66DA" w:rsidRPr="003F4B33" w:rsidRDefault="009D66DA" w:rsidP="009D66DA">
      <w:pPr>
        <w:pStyle w:val="Bullet"/>
      </w:pPr>
      <w:r>
        <w:t>Awardee</w:t>
      </w:r>
      <w:r w:rsidRPr="00990D00">
        <w:t xml:space="preserve"> </w:t>
      </w:r>
      <w:r>
        <w:t xml:space="preserve">travel is subject to meeting the requirements of the Australian Government, as determined by the </w:t>
      </w:r>
      <w:r w:rsidRPr="002D2343">
        <w:t xml:space="preserve">Department of </w:t>
      </w:r>
      <w:r>
        <w:t xml:space="preserve">Home Affairs, Department of </w:t>
      </w:r>
      <w:r w:rsidRPr="002D2343">
        <w:t>Education and</w:t>
      </w:r>
      <w:r>
        <w:t xml:space="preserve"> by the relevant Australian State or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lastRenderedPageBreak/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77777777" w:rsidR="006F7A86" w:rsidRPr="009C38C5" w:rsidRDefault="006F7A86">
      <w:pPr>
        <w:pStyle w:val="Bullet"/>
        <w:spacing w:before="60" w:after="0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 xml:space="preserve">oductory Academic Program </w:t>
      </w:r>
    </w:p>
    <w:p w14:paraId="139F4A53" w14:textId="117EF498" w:rsidR="00F2037E" w:rsidRDefault="006F7A86" w:rsidP="002936F0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77777777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 xml:space="preserve">More general information about the Australia Awards, Australia’s aid program, and studying in Australia can be found at the following links: </w:t>
      </w:r>
    </w:p>
    <w:p w14:paraId="74A93DF1" w14:textId="4E4695BD" w:rsidR="002E75B9" w:rsidRPr="002E75B9" w:rsidRDefault="005A0F93" w:rsidP="002E75B9">
      <w:pPr>
        <w:pStyle w:val="Bullet"/>
        <w:rPr>
          <w:rStyle w:val="Hyperlink"/>
          <w:b w:val="0"/>
          <w:color w:val="00759A"/>
          <w:szCs w:val="20"/>
        </w:rPr>
      </w:pPr>
      <w:hyperlink r:id="rId17" w:history="1">
        <w:r w:rsidR="002E75B9" w:rsidRPr="002E75B9">
          <w:rPr>
            <w:rStyle w:val="Hyperlink"/>
            <w:b w:val="0"/>
            <w:color w:val="00759A"/>
            <w:szCs w:val="20"/>
          </w:rPr>
          <w:t>dfat.gov.au/people-to-people/australia-awards/pages/australia-awards-scholarships</w:t>
        </w:r>
      </w:hyperlink>
      <w:r w:rsidR="002E75B9" w:rsidRPr="002E75B9">
        <w:rPr>
          <w:szCs w:val="20"/>
        </w:rPr>
        <w:t xml:space="preserve"> </w:t>
      </w:r>
    </w:p>
    <w:p w14:paraId="1BBA4B40" w14:textId="338F0F56" w:rsidR="002E75B9" w:rsidRPr="005A0F93" w:rsidRDefault="005A0F93" w:rsidP="002E75B9">
      <w:pPr>
        <w:pStyle w:val="Bullet"/>
        <w:rPr>
          <w:rStyle w:val="Hyperlink"/>
          <w:color w:val="00759A"/>
        </w:rPr>
      </w:pPr>
      <w:hyperlink r:id="rId18" w:history="1">
        <w:r w:rsidR="009F79B2" w:rsidRPr="005A0F93">
          <w:rPr>
            <w:rStyle w:val="Hyperlink"/>
            <w:b w:val="0"/>
            <w:color w:val="00759A"/>
            <w:szCs w:val="20"/>
          </w:rPr>
          <w:t>https://www.studyaustralia.gov.au/</w:t>
        </w:r>
      </w:hyperlink>
      <w:r w:rsidR="009F79B2" w:rsidRPr="005A0F93">
        <w:rPr>
          <w:rStyle w:val="Hyperlink"/>
          <w:color w:val="00759A"/>
          <w:szCs w:val="20"/>
        </w:rPr>
        <w:t xml:space="preserve"> </w:t>
      </w:r>
      <w:r w:rsidR="002E75B9" w:rsidRPr="005A0F93">
        <w:rPr>
          <w:rStyle w:val="Hyperlink"/>
          <w:color w:val="00759A"/>
        </w:rPr>
        <w:t xml:space="preserve"> </w:t>
      </w:r>
    </w:p>
    <w:p w14:paraId="54E5A419" w14:textId="77777777" w:rsidR="002E75B9" w:rsidRPr="002E75B9" w:rsidRDefault="002E75B9" w:rsidP="002E75B9">
      <w:pPr>
        <w:pStyle w:val="Default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 xml:space="preserve">Information about visas and Australia Awards scholarship entitlements and conditions can be found in the Scholarships Policy Handbook: </w:t>
      </w:r>
      <w:hyperlink r:id="rId19" w:history="1">
        <w:r w:rsidRPr="002E75B9">
          <w:rPr>
            <w:rStyle w:val="Hyperlink"/>
            <w:b w:val="0"/>
            <w:bCs/>
            <w:color w:val="00759A"/>
            <w:sz w:val="20"/>
            <w:szCs w:val="20"/>
            <w:lang w:eastAsia="en-AU"/>
          </w:rPr>
          <w:t>dfat.gov.au/about-us/publications/Pages/australia-awards-scholarships-policy-handbook.aspx</w:t>
        </w:r>
      </w:hyperlink>
    </w:p>
    <w:p w14:paraId="08D548B9" w14:textId="77777777" w:rsidR="002E75B9" w:rsidRPr="002E75B9" w:rsidRDefault="002E75B9" w:rsidP="002E75B9">
      <w:pPr>
        <w:pStyle w:val="Default"/>
        <w:rPr>
          <w:b/>
          <w:color w:val="auto"/>
          <w:spacing w:val="-2"/>
          <w:sz w:val="20"/>
          <w:szCs w:val="20"/>
        </w:rPr>
      </w:pPr>
    </w:p>
    <w:p w14:paraId="79539B6C" w14:textId="77777777" w:rsidR="002E75B9" w:rsidRPr="002E75B9" w:rsidRDefault="002E75B9" w:rsidP="002E75B9">
      <w:pPr>
        <w:pStyle w:val="Heading4"/>
        <w:spacing w:after="120"/>
      </w:pPr>
      <w:r w:rsidRPr="002E75B9">
        <w:t xml:space="preserve">Contact </w:t>
      </w:r>
      <w:proofErr w:type="gramStart"/>
      <w:r w:rsidRPr="002E75B9">
        <w:t>details</w:t>
      </w:r>
      <w:proofErr w:type="gramEnd"/>
    </w:p>
    <w:p w14:paraId="177E839C" w14:textId="73E2269D" w:rsidR="002E75B9" w:rsidRP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Australia Awards </w:t>
      </w:r>
      <w:r w:rsidR="00B21676">
        <w:rPr>
          <w:lang w:eastAsia="en-AU"/>
        </w:rPr>
        <w:t>Niue</w:t>
      </w:r>
      <w:r w:rsidRPr="002E75B9">
        <w:rPr>
          <w:lang w:eastAsia="en-AU"/>
        </w:rPr>
        <w:t xml:space="preserve"> </w:t>
      </w:r>
    </w:p>
    <w:p w14:paraId="6010D7E7" w14:textId="6BF936C7" w:rsidR="009278A4" w:rsidRDefault="009278A4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Address:</w:t>
      </w:r>
      <w:r w:rsidR="00B21676">
        <w:rPr>
          <w:lang w:eastAsia="en-AU"/>
        </w:rPr>
        <w:t xml:space="preserve"> </w:t>
      </w:r>
      <w:proofErr w:type="spellStart"/>
      <w:r w:rsidR="00B21676">
        <w:rPr>
          <w:lang w:eastAsia="en-AU"/>
        </w:rPr>
        <w:t>Tapeu</w:t>
      </w:r>
      <w:proofErr w:type="spellEnd"/>
      <w:r w:rsidR="00B21676">
        <w:rPr>
          <w:lang w:eastAsia="en-AU"/>
        </w:rPr>
        <w:t>-Porritt Rd, Alofi</w:t>
      </w:r>
    </w:p>
    <w:p w14:paraId="067ECDC8" w14:textId="15140146" w:rsidR="009278A4" w:rsidRDefault="009278A4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Telephone:</w:t>
      </w:r>
      <w:r w:rsidR="00B21676">
        <w:rPr>
          <w:lang w:eastAsia="en-AU"/>
        </w:rPr>
        <w:t xml:space="preserve"> +683 4173</w:t>
      </w:r>
    </w:p>
    <w:p w14:paraId="53DBBD18" w14:textId="161C802C" w:rsid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Email: </w:t>
      </w:r>
      <w:r w:rsidR="00B21676">
        <w:rPr>
          <w:lang w:eastAsia="en-AU"/>
        </w:rPr>
        <w:t>ahcniue@dfat.gov.au</w:t>
      </w:r>
    </w:p>
    <w:p w14:paraId="2CC61023" w14:textId="77777777" w:rsidR="001D2399" w:rsidRPr="002E75B9" w:rsidRDefault="001D2399" w:rsidP="002E75B9">
      <w:pPr>
        <w:pStyle w:val="BodyCopy"/>
        <w:rPr>
          <w:rFonts w:asciiTheme="minorHAnsi" w:eastAsiaTheme="minorHAnsi" w:hAnsiTheme="minorHAnsi" w:cs="Times New Roman"/>
          <w:spacing w:val="0"/>
          <w:kern w:val="0"/>
          <w:szCs w:val="20"/>
          <w:lang w:eastAsia="en-AU"/>
        </w:rPr>
      </w:pPr>
    </w:p>
    <w:p w14:paraId="469DCC24" w14:textId="2EAD6D33" w:rsidR="00375B3D" w:rsidRPr="002E75B9" w:rsidRDefault="00375B3D" w:rsidP="004763F8">
      <w:pPr>
        <w:pStyle w:val="Bullet"/>
        <w:numPr>
          <w:ilvl w:val="0"/>
          <w:numId w:val="0"/>
        </w:numPr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p w14:paraId="4E431B7D" w14:textId="77777777" w:rsidR="00375B3D" w:rsidRDefault="00375B3D" w:rsidP="004763F8">
      <w:pPr>
        <w:pStyle w:val="Bullet"/>
        <w:numPr>
          <w:ilvl w:val="0"/>
          <w:numId w:val="0"/>
        </w:numPr>
        <w:spacing w:before="60" w:after="0"/>
        <w:ind w:left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sectPr w:rsidR="00375B3D" w:rsidSect="002E75B9"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AC5B" w14:textId="77777777" w:rsidR="00054587" w:rsidRDefault="00054587" w:rsidP="00070A89">
      <w:r>
        <w:separator/>
      </w:r>
    </w:p>
  </w:endnote>
  <w:endnote w:type="continuationSeparator" w:id="0">
    <w:p w14:paraId="5545BB8A" w14:textId="77777777" w:rsidR="00054587" w:rsidRDefault="00054587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67C1B859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 xml:space="preserve">cholarships information for study commencing in </w:t>
    </w:r>
    <w:proofErr w:type="gramStart"/>
    <w:r>
      <w:t>20</w:t>
    </w:r>
    <w:r w:rsidR="004A3DFD">
      <w:t>2</w:t>
    </w:r>
    <w:r w:rsidR="009278A4">
      <w:t>5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2E1FAD2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</w:t>
    </w:r>
    <w:proofErr w:type="gramStart"/>
    <w:r>
      <w:t>20</w:t>
    </w:r>
    <w:r w:rsidR="004A3DFD">
      <w:t>2</w:t>
    </w:r>
    <w:r w:rsidR="00A20513">
      <w:t>5</w:t>
    </w:r>
    <w:proofErr w:type="gramEnd"/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AC4D" w14:textId="77777777" w:rsidR="00054587" w:rsidRDefault="00054587" w:rsidP="00070A89">
      <w:r>
        <w:separator/>
      </w:r>
    </w:p>
  </w:footnote>
  <w:footnote w:type="continuationSeparator" w:id="0">
    <w:p w14:paraId="3F674697" w14:textId="77777777" w:rsidR="00054587" w:rsidRDefault="00054587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300B"/>
    <w:multiLevelType w:val="multilevel"/>
    <w:tmpl w:val="41163454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eastAsiaTheme="minorHAnsi" w:hAnsi="Arial" w:cs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07D11491"/>
    <w:multiLevelType w:val="multilevel"/>
    <w:tmpl w:val="6A1A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1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7C70"/>
    <w:multiLevelType w:val="multilevel"/>
    <w:tmpl w:val="573E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10"/>
  </w:num>
  <w:num w:numId="2" w16cid:durableId="1741444980">
    <w:abstractNumId w:val="7"/>
  </w:num>
  <w:num w:numId="3" w16cid:durableId="2111049393">
    <w:abstractNumId w:val="16"/>
  </w:num>
  <w:num w:numId="4" w16cid:durableId="224688543">
    <w:abstractNumId w:val="8"/>
  </w:num>
  <w:num w:numId="5" w16cid:durableId="224729004">
    <w:abstractNumId w:val="12"/>
  </w:num>
  <w:num w:numId="6" w16cid:durableId="1561674040">
    <w:abstractNumId w:val="14"/>
  </w:num>
  <w:num w:numId="7" w16cid:durableId="887884288">
    <w:abstractNumId w:val="11"/>
  </w:num>
  <w:num w:numId="8" w16cid:durableId="1075708715">
    <w:abstractNumId w:val="19"/>
  </w:num>
  <w:num w:numId="9" w16cid:durableId="195049480">
    <w:abstractNumId w:val="16"/>
  </w:num>
  <w:num w:numId="10" w16cid:durableId="1215314669">
    <w:abstractNumId w:val="16"/>
  </w:num>
  <w:num w:numId="11" w16cid:durableId="935942059">
    <w:abstractNumId w:val="9"/>
  </w:num>
  <w:num w:numId="12" w16cid:durableId="127168581">
    <w:abstractNumId w:val="1"/>
  </w:num>
  <w:num w:numId="13" w16cid:durableId="1417049061">
    <w:abstractNumId w:val="17"/>
  </w:num>
  <w:num w:numId="14" w16cid:durableId="525484131">
    <w:abstractNumId w:val="22"/>
  </w:num>
  <w:num w:numId="15" w16cid:durableId="1448427088">
    <w:abstractNumId w:val="5"/>
  </w:num>
  <w:num w:numId="16" w16cid:durableId="523907550">
    <w:abstractNumId w:val="20"/>
  </w:num>
  <w:num w:numId="17" w16cid:durableId="586841471">
    <w:abstractNumId w:val="0"/>
  </w:num>
  <w:num w:numId="18" w16cid:durableId="958923966">
    <w:abstractNumId w:val="13"/>
  </w:num>
  <w:num w:numId="19" w16cid:durableId="37826548">
    <w:abstractNumId w:val="18"/>
  </w:num>
  <w:num w:numId="20" w16cid:durableId="657536486">
    <w:abstractNumId w:val="4"/>
  </w:num>
  <w:num w:numId="21" w16cid:durableId="1500073924">
    <w:abstractNumId w:val="23"/>
  </w:num>
  <w:num w:numId="22" w16cid:durableId="60175384">
    <w:abstractNumId w:val="6"/>
  </w:num>
  <w:num w:numId="23" w16cid:durableId="1698922250">
    <w:abstractNumId w:val="15"/>
  </w:num>
  <w:num w:numId="24" w16cid:durableId="1580558926">
    <w:abstractNumId w:val="16"/>
  </w:num>
  <w:num w:numId="25" w16cid:durableId="1417901601">
    <w:abstractNumId w:val="2"/>
  </w:num>
  <w:num w:numId="26" w16cid:durableId="2123529013">
    <w:abstractNumId w:val="3"/>
  </w:num>
  <w:num w:numId="27" w16cid:durableId="494613900">
    <w:abstractNumId w:val="21"/>
  </w:num>
  <w:num w:numId="28" w16cid:durableId="1469013064">
    <w:abstractNumId w:val="16"/>
  </w:num>
  <w:num w:numId="29" w16cid:durableId="209775126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45248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10E72"/>
    <w:rsid w:val="000148E4"/>
    <w:rsid w:val="00014E68"/>
    <w:rsid w:val="00015AE4"/>
    <w:rsid w:val="000168B9"/>
    <w:rsid w:val="000236E6"/>
    <w:rsid w:val="00026763"/>
    <w:rsid w:val="00034121"/>
    <w:rsid w:val="00035FBB"/>
    <w:rsid w:val="00040452"/>
    <w:rsid w:val="00050107"/>
    <w:rsid w:val="0005326E"/>
    <w:rsid w:val="00054587"/>
    <w:rsid w:val="00054A53"/>
    <w:rsid w:val="00070A89"/>
    <w:rsid w:val="00070F49"/>
    <w:rsid w:val="00080A52"/>
    <w:rsid w:val="00081BAC"/>
    <w:rsid w:val="000A44ED"/>
    <w:rsid w:val="000A48E5"/>
    <w:rsid w:val="000B0902"/>
    <w:rsid w:val="000B14EE"/>
    <w:rsid w:val="000B628C"/>
    <w:rsid w:val="000B6C00"/>
    <w:rsid w:val="000C32C7"/>
    <w:rsid w:val="000C7552"/>
    <w:rsid w:val="000D7A16"/>
    <w:rsid w:val="000F28B8"/>
    <w:rsid w:val="000F3766"/>
    <w:rsid w:val="00102A04"/>
    <w:rsid w:val="0010550B"/>
    <w:rsid w:val="00111F0C"/>
    <w:rsid w:val="00113ECC"/>
    <w:rsid w:val="001267C3"/>
    <w:rsid w:val="00132A4E"/>
    <w:rsid w:val="00133309"/>
    <w:rsid w:val="001378F9"/>
    <w:rsid w:val="00137C02"/>
    <w:rsid w:val="00145E2D"/>
    <w:rsid w:val="0015620C"/>
    <w:rsid w:val="00160514"/>
    <w:rsid w:val="00171C1E"/>
    <w:rsid w:val="00174CF2"/>
    <w:rsid w:val="001763D4"/>
    <w:rsid w:val="001771B9"/>
    <w:rsid w:val="00186C7A"/>
    <w:rsid w:val="001955C6"/>
    <w:rsid w:val="00196E67"/>
    <w:rsid w:val="001A715B"/>
    <w:rsid w:val="001C1E45"/>
    <w:rsid w:val="001C2659"/>
    <w:rsid w:val="001C3FB3"/>
    <w:rsid w:val="001C53CE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4270"/>
    <w:rsid w:val="00215F3D"/>
    <w:rsid w:val="00221DC2"/>
    <w:rsid w:val="0022225D"/>
    <w:rsid w:val="002303F3"/>
    <w:rsid w:val="002314B4"/>
    <w:rsid w:val="002321B5"/>
    <w:rsid w:val="0024777B"/>
    <w:rsid w:val="0025381C"/>
    <w:rsid w:val="00253C84"/>
    <w:rsid w:val="00254244"/>
    <w:rsid w:val="002573D5"/>
    <w:rsid w:val="00271775"/>
    <w:rsid w:val="00271862"/>
    <w:rsid w:val="002747FD"/>
    <w:rsid w:val="002910C5"/>
    <w:rsid w:val="00292267"/>
    <w:rsid w:val="00292E6D"/>
    <w:rsid w:val="002936F0"/>
    <w:rsid w:val="002A05CE"/>
    <w:rsid w:val="002A41E1"/>
    <w:rsid w:val="002B0724"/>
    <w:rsid w:val="002B0853"/>
    <w:rsid w:val="002B527F"/>
    <w:rsid w:val="002B6574"/>
    <w:rsid w:val="002B7A44"/>
    <w:rsid w:val="002D1D3C"/>
    <w:rsid w:val="002D2343"/>
    <w:rsid w:val="002E003A"/>
    <w:rsid w:val="002E40E0"/>
    <w:rsid w:val="002E75B9"/>
    <w:rsid w:val="00302F58"/>
    <w:rsid w:val="00311807"/>
    <w:rsid w:val="003119C4"/>
    <w:rsid w:val="00311BD7"/>
    <w:rsid w:val="003131AB"/>
    <w:rsid w:val="0031355C"/>
    <w:rsid w:val="003217BE"/>
    <w:rsid w:val="00325D43"/>
    <w:rsid w:val="00326D50"/>
    <w:rsid w:val="0033140C"/>
    <w:rsid w:val="00332164"/>
    <w:rsid w:val="00333FE6"/>
    <w:rsid w:val="00334E0E"/>
    <w:rsid w:val="00342244"/>
    <w:rsid w:val="00345569"/>
    <w:rsid w:val="003456E1"/>
    <w:rsid w:val="003538CF"/>
    <w:rsid w:val="00354599"/>
    <w:rsid w:val="00363864"/>
    <w:rsid w:val="00370554"/>
    <w:rsid w:val="00370C09"/>
    <w:rsid w:val="00375B3D"/>
    <w:rsid w:val="00381D5D"/>
    <w:rsid w:val="00391726"/>
    <w:rsid w:val="0039470D"/>
    <w:rsid w:val="00397A14"/>
    <w:rsid w:val="003A2C0A"/>
    <w:rsid w:val="003A3C40"/>
    <w:rsid w:val="003C15F0"/>
    <w:rsid w:val="003C3B5C"/>
    <w:rsid w:val="003D1CAB"/>
    <w:rsid w:val="003D3B1D"/>
    <w:rsid w:val="003D3CFE"/>
    <w:rsid w:val="003D5DBE"/>
    <w:rsid w:val="003E1D87"/>
    <w:rsid w:val="003F4B33"/>
    <w:rsid w:val="003F7448"/>
    <w:rsid w:val="004011A9"/>
    <w:rsid w:val="00404841"/>
    <w:rsid w:val="00406203"/>
    <w:rsid w:val="004114A2"/>
    <w:rsid w:val="00412059"/>
    <w:rsid w:val="00415D5F"/>
    <w:rsid w:val="004354C4"/>
    <w:rsid w:val="00441E79"/>
    <w:rsid w:val="004442FC"/>
    <w:rsid w:val="00456EA2"/>
    <w:rsid w:val="00457822"/>
    <w:rsid w:val="00462A60"/>
    <w:rsid w:val="004763F8"/>
    <w:rsid w:val="00483A58"/>
    <w:rsid w:val="00483B9C"/>
    <w:rsid w:val="00494EF0"/>
    <w:rsid w:val="004A3DFD"/>
    <w:rsid w:val="004C1AFE"/>
    <w:rsid w:val="004D7F17"/>
    <w:rsid w:val="004E7F37"/>
    <w:rsid w:val="004F193D"/>
    <w:rsid w:val="004F7F50"/>
    <w:rsid w:val="005011BA"/>
    <w:rsid w:val="00502FC0"/>
    <w:rsid w:val="005111E9"/>
    <w:rsid w:val="00511E43"/>
    <w:rsid w:val="00512726"/>
    <w:rsid w:val="00512B77"/>
    <w:rsid w:val="005217CF"/>
    <w:rsid w:val="00521ED1"/>
    <w:rsid w:val="0052476A"/>
    <w:rsid w:val="00533F2E"/>
    <w:rsid w:val="0053597E"/>
    <w:rsid w:val="005424DD"/>
    <w:rsid w:val="005446ED"/>
    <w:rsid w:val="00546C9B"/>
    <w:rsid w:val="00551748"/>
    <w:rsid w:val="00555250"/>
    <w:rsid w:val="00560DE8"/>
    <w:rsid w:val="005647A0"/>
    <w:rsid w:val="0057078D"/>
    <w:rsid w:val="00573AFB"/>
    <w:rsid w:val="00580DEF"/>
    <w:rsid w:val="00586554"/>
    <w:rsid w:val="005924C5"/>
    <w:rsid w:val="005932E2"/>
    <w:rsid w:val="00595C7E"/>
    <w:rsid w:val="005A0F93"/>
    <w:rsid w:val="005A3645"/>
    <w:rsid w:val="005A41B4"/>
    <w:rsid w:val="005A4D3A"/>
    <w:rsid w:val="005B3C50"/>
    <w:rsid w:val="005C2EB1"/>
    <w:rsid w:val="005C37DE"/>
    <w:rsid w:val="005D27B3"/>
    <w:rsid w:val="005E2D41"/>
    <w:rsid w:val="005F569F"/>
    <w:rsid w:val="00600A40"/>
    <w:rsid w:val="00604568"/>
    <w:rsid w:val="00604CC9"/>
    <w:rsid w:val="00605C6B"/>
    <w:rsid w:val="00607C5C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4678B"/>
    <w:rsid w:val="00655B0F"/>
    <w:rsid w:val="00660B61"/>
    <w:rsid w:val="0067074A"/>
    <w:rsid w:val="006722AF"/>
    <w:rsid w:val="00672994"/>
    <w:rsid w:val="00682D8A"/>
    <w:rsid w:val="006A53BA"/>
    <w:rsid w:val="006B1D74"/>
    <w:rsid w:val="006B4332"/>
    <w:rsid w:val="006B7ABC"/>
    <w:rsid w:val="006E27CD"/>
    <w:rsid w:val="006F2427"/>
    <w:rsid w:val="006F3E50"/>
    <w:rsid w:val="006F42CE"/>
    <w:rsid w:val="006F63A0"/>
    <w:rsid w:val="006F63D4"/>
    <w:rsid w:val="006F7A86"/>
    <w:rsid w:val="00700C30"/>
    <w:rsid w:val="00701F7A"/>
    <w:rsid w:val="00704723"/>
    <w:rsid w:val="0072110F"/>
    <w:rsid w:val="007231BC"/>
    <w:rsid w:val="00726AB2"/>
    <w:rsid w:val="00727FC6"/>
    <w:rsid w:val="0073292C"/>
    <w:rsid w:val="00734F9A"/>
    <w:rsid w:val="007358E5"/>
    <w:rsid w:val="00746037"/>
    <w:rsid w:val="00752C6B"/>
    <w:rsid w:val="00753BED"/>
    <w:rsid w:val="00772424"/>
    <w:rsid w:val="007770B2"/>
    <w:rsid w:val="00780126"/>
    <w:rsid w:val="00781776"/>
    <w:rsid w:val="00781FD3"/>
    <w:rsid w:val="00796623"/>
    <w:rsid w:val="007A3935"/>
    <w:rsid w:val="007B585F"/>
    <w:rsid w:val="007B5C8E"/>
    <w:rsid w:val="007C40EC"/>
    <w:rsid w:val="007C7995"/>
    <w:rsid w:val="007D024C"/>
    <w:rsid w:val="008168B3"/>
    <w:rsid w:val="00820321"/>
    <w:rsid w:val="00820F20"/>
    <w:rsid w:val="00821706"/>
    <w:rsid w:val="00825754"/>
    <w:rsid w:val="00826A28"/>
    <w:rsid w:val="008369E0"/>
    <w:rsid w:val="00842D76"/>
    <w:rsid w:val="00844C2D"/>
    <w:rsid w:val="00844CF4"/>
    <w:rsid w:val="00846686"/>
    <w:rsid w:val="008555A0"/>
    <w:rsid w:val="00864F2F"/>
    <w:rsid w:val="00865A33"/>
    <w:rsid w:val="00870EC9"/>
    <w:rsid w:val="008726A7"/>
    <w:rsid w:val="00877FCB"/>
    <w:rsid w:val="00882DE4"/>
    <w:rsid w:val="00896156"/>
    <w:rsid w:val="008B09AD"/>
    <w:rsid w:val="008B4EA0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90746A"/>
    <w:rsid w:val="009259F8"/>
    <w:rsid w:val="009278A4"/>
    <w:rsid w:val="009345F1"/>
    <w:rsid w:val="009455DB"/>
    <w:rsid w:val="009546BB"/>
    <w:rsid w:val="00961072"/>
    <w:rsid w:val="0096452A"/>
    <w:rsid w:val="00966272"/>
    <w:rsid w:val="00966789"/>
    <w:rsid w:val="009746AE"/>
    <w:rsid w:val="00987B3E"/>
    <w:rsid w:val="00991B7C"/>
    <w:rsid w:val="009B0548"/>
    <w:rsid w:val="009B10CA"/>
    <w:rsid w:val="009B2C39"/>
    <w:rsid w:val="009B4B68"/>
    <w:rsid w:val="009B7A75"/>
    <w:rsid w:val="009C38C5"/>
    <w:rsid w:val="009C54C0"/>
    <w:rsid w:val="009D66DA"/>
    <w:rsid w:val="009E1749"/>
    <w:rsid w:val="009E5EA3"/>
    <w:rsid w:val="009E7080"/>
    <w:rsid w:val="009E750F"/>
    <w:rsid w:val="009F70CD"/>
    <w:rsid w:val="009F79B2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0513"/>
    <w:rsid w:val="00A21CB2"/>
    <w:rsid w:val="00A22256"/>
    <w:rsid w:val="00A46033"/>
    <w:rsid w:val="00A60D2B"/>
    <w:rsid w:val="00A74D4A"/>
    <w:rsid w:val="00A77896"/>
    <w:rsid w:val="00A8296A"/>
    <w:rsid w:val="00A83C09"/>
    <w:rsid w:val="00A90D1B"/>
    <w:rsid w:val="00A91ABC"/>
    <w:rsid w:val="00A9484A"/>
    <w:rsid w:val="00A9726A"/>
    <w:rsid w:val="00AA537C"/>
    <w:rsid w:val="00AB453E"/>
    <w:rsid w:val="00AD04BC"/>
    <w:rsid w:val="00AD37C5"/>
    <w:rsid w:val="00AD4A52"/>
    <w:rsid w:val="00AD5166"/>
    <w:rsid w:val="00AE379A"/>
    <w:rsid w:val="00AE3AD8"/>
    <w:rsid w:val="00AE5662"/>
    <w:rsid w:val="00AF1603"/>
    <w:rsid w:val="00B012A5"/>
    <w:rsid w:val="00B16C0C"/>
    <w:rsid w:val="00B21676"/>
    <w:rsid w:val="00B26372"/>
    <w:rsid w:val="00B443A0"/>
    <w:rsid w:val="00B578FA"/>
    <w:rsid w:val="00B620EA"/>
    <w:rsid w:val="00B62600"/>
    <w:rsid w:val="00B66DB0"/>
    <w:rsid w:val="00B749FD"/>
    <w:rsid w:val="00B835BD"/>
    <w:rsid w:val="00B9091B"/>
    <w:rsid w:val="00BA2444"/>
    <w:rsid w:val="00BA55B5"/>
    <w:rsid w:val="00BC093A"/>
    <w:rsid w:val="00BC168A"/>
    <w:rsid w:val="00BC282C"/>
    <w:rsid w:val="00BC4ACC"/>
    <w:rsid w:val="00BC7483"/>
    <w:rsid w:val="00BD1110"/>
    <w:rsid w:val="00BD2B7A"/>
    <w:rsid w:val="00BD670B"/>
    <w:rsid w:val="00BF0913"/>
    <w:rsid w:val="00BF4482"/>
    <w:rsid w:val="00C02C5D"/>
    <w:rsid w:val="00C035E3"/>
    <w:rsid w:val="00C04254"/>
    <w:rsid w:val="00C1436F"/>
    <w:rsid w:val="00C14F87"/>
    <w:rsid w:val="00C217A8"/>
    <w:rsid w:val="00C22AD7"/>
    <w:rsid w:val="00C247A2"/>
    <w:rsid w:val="00C25C1A"/>
    <w:rsid w:val="00C265C9"/>
    <w:rsid w:val="00C4357C"/>
    <w:rsid w:val="00C4402E"/>
    <w:rsid w:val="00C501D0"/>
    <w:rsid w:val="00C508CF"/>
    <w:rsid w:val="00C553A7"/>
    <w:rsid w:val="00C67791"/>
    <w:rsid w:val="00C83D13"/>
    <w:rsid w:val="00C94E2A"/>
    <w:rsid w:val="00CA352A"/>
    <w:rsid w:val="00CB2CCC"/>
    <w:rsid w:val="00CB544C"/>
    <w:rsid w:val="00CC3EBE"/>
    <w:rsid w:val="00CC7FC0"/>
    <w:rsid w:val="00CD2621"/>
    <w:rsid w:val="00CD50F8"/>
    <w:rsid w:val="00CD5925"/>
    <w:rsid w:val="00CD5E59"/>
    <w:rsid w:val="00CE208F"/>
    <w:rsid w:val="00CE557A"/>
    <w:rsid w:val="00D01ECA"/>
    <w:rsid w:val="00D01F9C"/>
    <w:rsid w:val="00D028A2"/>
    <w:rsid w:val="00D06DED"/>
    <w:rsid w:val="00D10644"/>
    <w:rsid w:val="00D1410C"/>
    <w:rsid w:val="00D15631"/>
    <w:rsid w:val="00D23829"/>
    <w:rsid w:val="00D26331"/>
    <w:rsid w:val="00D416E0"/>
    <w:rsid w:val="00D41FCC"/>
    <w:rsid w:val="00D46E68"/>
    <w:rsid w:val="00D55FB9"/>
    <w:rsid w:val="00D57F79"/>
    <w:rsid w:val="00D616C6"/>
    <w:rsid w:val="00D71AB9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D1408"/>
    <w:rsid w:val="00DD17A1"/>
    <w:rsid w:val="00DD356D"/>
    <w:rsid w:val="00DD7A27"/>
    <w:rsid w:val="00DD7E4E"/>
    <w:rsid w:val="00DE7B3E"/>
    <w:rsid w:val="00DF6B79"/>
    <w:rsid w:val="00DF6FD5"/>
    <w:rsid w:val="00DF7BB2"/>
    <w:rsid w:val="00E01B42"/>
    <w:rsid w:val="00E16D5A"/>
    <w:rsid w:val="00E23451"/>
    <w:rsid w:val="00E2796B"/>
    <w:rsid w:val="00E34198"/>
    <w:rsid w:val="00E37240"/>
    <w:rsid w:val="00E45250"/>
    <w:rsid w:val="00E471D1"/>
    <w:rsid w:val="00E515F9"/>
    <w:rsid w:val="00E579E3"/>
    <w:rsid w:val="00E7526D"/>
    <w:rsid w:val="00E808D2"/>
    <w:rsid w:val="00E836C1"/>
    <w:rsid w:val="00E84012"/>
    <w:rsid w:val="00E85A6B"/>
    <w:rsid w:val="00E91875"/>
    <w:rsid w:val="00E972E5"/>
    <w:rsid w:val="00EA0724"/>
    <w:rsid w:val="00EA52FF"/>
    <w:rsid w:val="00EB17F5"/>
    <w:rsid w:val="00EB6414"/>
    <w:rsid w:val="00EB7EF3"/>
    <w:rsid w:val="00EC05CF"/>
    <w:rsid w:val="00EC3E82"/>
    <w:rsid w:val="00EC526C"/>
    <w:rsid w:val="00ED28EF"/>
    <w:rsid w:val="00ED2D66"/>
    <w:rsid w:val="00ED3544"/>
    <w:rsid w:val="00EE1E78"/>
    <w:rsid w:val="00EE3B50"/>
    <w:rsid w:val="00F2037E"/>
    <w:rsid w:val="00F24444"/>
    <w:rsid w:val="00F30C6F"/>
    <w:rsid w:val="00F3100F"/>
    <w:rsid w:val="00F3237E"/>
    <w:rsid w:val="00F362B6"/>
    <w:rsid w:val="00F37CA3"/>
    <w:rsid w:val="00F5341C"/>
    <w:rsid w:val="00F65139"/>
    <w:rsid w:val="00F809EA"/>
    <w:rsid w:val="00F827A6"/>
    <w:rsid w:val="00F865E6"/>
    <w:rsid w:val="00F8723D"/>
    <w:rsid w:val="00FA5A7B"/>
    <w:rsid w:val="00FB1747"/>
    <w:rsid w:val="00FB1BC9"/>
    <w:rsid w:val="00FD57E2"/>
    <w:rsid w:val="00FD627D"/>
    <w:rsid w:val="0FC89844"/>
    <w:rsid w:val="17B4C050"/>
    <w:rsid w:val="1D382C67"/>
    <w:rsid w:val="489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174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studyaustralia.gov.a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dfat.gov.au/people-to-people/australia-awards/pages/australia-awards-scholarshi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asis.dfat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dfat.gov.au/about-us/publications/Pages/australia-awards-scholarships-policy-handbook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dfat.gov.au/about-us/publications/Pages/australia-awards-scholarships-policy-handbook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5822D1-F245-45FA-ADD3-A6DF5C68227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5888672-72d3-4d16-ae61-2ccbf9dc8972"/>
    <ds:schemaRef ds:uri="http://schemas.microsoft.com/office/2006/metadata/properties"/>
    <ds:schemaRef ds:uri="http://schemas.microsoft.com/office/infopath/2007/PartnerControls"/>
    <ds:schemaRef ds:uri="http://purl.org/dc/terms/"/>
    <ds:schemaRef ds:uri="89281de0-5868-40a4-aaa5-64ccdd5ef8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D0277C-5852-4545-B898-D80C808B6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F6E5D-8071-4212-A544-518F7E7266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5131</Characters>
  <Application>Microsoft Office Word</Application>
  <DocSecurity>0</DocSecurity>
  <Lines>102</Lines>
  <Paragraphs>74</Paragraphs>
  <ScaleCrop>false</ScaleCrop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Africa</dc:title>
  <dc:creator/>
  <cp:keywords>[SEC=OFFICIAL]</cp:keywords>
  <cp:lastModifiedBy/>
  <cp:revision>1</cp:revision>
  <dcterms:created xsi:type="dcterms:W3CDTF">2024-01-10T00:59:00Z</dcterms:created>
  <dcterms:modified xsi:type="dcterms:W3CDTF">2024-01-11T05:45:00Z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DA087482D255662B1A9D221515295DD2</vt:lpwstr>
  </property>
  <property fmtid="{D5CDD505-2E9C-101B-9397-08002B2CF9AE}" pid="20" name="PM_Hash_Salt">
    <vt:lpwstr>40165DB552D53F89391B905B933E2C4A</vt:lpwstr>
  </property>
  <property fmtid="{D5CDD505-2E9C-101B-9397-08002B2CF9AE}" pid="21" name="PM_Hash_SHA1">
    <vt:lpwstr>1D2F9DC9913AB9E9F57543FB9EA1424676A02377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v=2022.1;a=SHA256;h=8D1FA43EECCD1438D1280315DAF0A954846A5BC4B931FECA0E6984A84BFAA03B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