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1A1D" w14:textId="3C6BABD4" w:rsidR="0090587F" w:rsidRDefault="00607FA6" w:rsidP="0090587F">
      <w:pPr>
        <w:pStyle w:val="Heading1"/>
        <w:rPr>
          <w:szCs w:val="56"/>
        </w:rPr>
      </w:pPr>
      <w:r>
        <w:rPr>
          <w:szCs w:val="56"/>
        </w:rPr>
        <w:t>Singapore</w:t>
      </w:r>
    </w:p>
    <w:p w14:paraId="3A6E652B" w14:textId="77777777" w:rsidR="0090587F" w:rsidRDefault="0090587F" w:rsidP="0090587F">
      <w:pPr>
        <w:pStyle w:val="Heading1"/>
        <w:rPr>
          <w:szCs w:val="56"/>
        </w:rPr>
      </w:pPr>
    </w:p>
    <w:p w14:paraId="16D7374F" w14:textId="35C68939" w:rsidR="00D15631" w:rsidRPr="007A2E13" w:rsidRDefault="00D15631" w:rsidP="0090587F">
      <w:pPr>
        <w:pStyle w:val="Heading1"/>
        <w:rPr>
          <w:color w:val="005773" w:themeColor="accent1" w:themeShade="BF"/>
          <w:sz w:val="48"/>
          <w:szCs w:val="48"/>
        </w:rPr>
      </w:pPr>
      <w:r w:rsidRPr="007A2E13">
        <w:rPr>
          <w:color w:val="005773" w:themeColor="accent1" w:themeShade="BF"/>
          <w:sz w:val="48"/>
          <w:szCs w:val="48"/>
        </w:rPr>
        <w:t xml:space="preserve">Applying for an </w:t>
      </w:r>
      <w:r w:rsidR="004F39EC" w:rsidRPr="007A2E13">
        <w:rPr>
          <w:color w:val="005773" w:themeColor="accent1" w:themeShade="BF"/>
          <w:sz w:val="48"/>
          <w:szCs w:val="48"/>
        </w:rPr>
        <w:t xml:space="preserve">Australia for ASEAN </w:t>
      </w:r>
      <w:r w:rsidRPr="007A2E13">
        <w:rPr>
          <w:color w:val="005773" w:themeColor="accent1" w:themeShade="BF"/>
          <w:sz w:val="48"/>
          <w:szCs w:val="48"/>
        </w:rPr>
        <w:t>scholarship</w:t>
      </w:r>
    </w:p>
    <w:p w14:paraId="0DAF818D" w14:textId="275B0BDD" w:rsidR="002E75B9" w:rsidRPr="002E75B9" w:rsidRDefault="002E75B9" w:rsidP="002E75B9">
      <w:pPr>
        <w:pStyle w:val="BodyText"/>
        <w:sectPr w:rsidR="002E75B9" w:rsidRPr="002E75B9" w:rsidSect="004409F4">
          <w:footerReference w:type="default" r:id="rId12"/>
          <w:headerReference w:type="first" r:id="rId13"/>
          <w:footerReference w:type="first" r:id="rId14"/>
          <w:type w:val="continuous"/>
          <w:pgSz w:w="11906" w:h="16838" w:code="9"/>
          <w:pgMar w:top="567" w:right="567" w:bottom="567" w:left="567" w:header="567" w:footer="567" w:gutter="0"/>
          <w:cols w:space="227"/>
          <w:titlePg/>
          <w:docGrid w:linePitch="360"/>
        </w:sectPr>
      </w:pPr>
    </w:p>
    <w:p w14:paraId="402470E6" w14:textId="77777777" w:rsidR="006B0EC8" w:rsidRDefault="006B0EC8" w:rsidP="006B0EC8">
      <w:pPr>
        <w:pStyle w:val="Heading3"/>
        <w:spacing w:before="0"/>
        <w:rPr>
          <w:color w:val="002060"/>
          <w:sz w:val="21"/>
          <w:szCs w:val="21"/>
        </w:rPr>
      </w:pPr>
    </w:p>
    <w:p w14:paraId="5D95B341" w14:textId="77777777" w:rsidR="00E73361" w:rsidRDefault="00E73361" w:rsidP="00E73361">
      <w:pPr>
        <w:pStyle w:val="Heading3"/>
        <w:spacing w:before="0"/>
        <w:rPr>
          <w:color w:val="002060"/>
          <w:sz w:val="21"/>
          <w:szCs w:val="21"/>
        </w:rPr>
      </w:pPr>
      <w:r>
        <w:rPr>
          <w:color w:val="002060"/>
          <w:sz w:val="21"/>
          <w:szCs w:val="21"/>
        </w:rPr>
        <w:t>Australia for ASEAN scholarships in Singapore</w:t>
      </w:r>
    </w:p>
    <w:p w14:paraId="530AA7D1" w14:textId="12CC733A" w:rsidR="00E73361" w:rsidRDefault="00E73361" w:rsidP="00E73361">
      <w:pPr>
        <w:pStyle w:val="Heading3"/>
        <w:spacing w:before="120" w:after="120"/>
        <w:rPr>
          <w:b w:val="0"/>
          <w:bCs w:val="0"/>
          <w:color w:val="000000" w:themeColor="text1"/>
          <w:kern w:val="28"/>
          <w:szCs w:val="52"/>
          <w:lang w:eastAsia="en-AU"/>
        </w:rPr>
      </w:pPr>
      <w:r>
        <w:rPr>
          <w:b w:val="0"/>
          <w:bCs w:val="0"/>
          <w:color w:val="auto"/>
        </w:rPr>
        <w:t xml:space="preserve">At the ASEAN-Australia Special Summit held in March 2024, Australia’s Prime Minister </w:t>
      </w:r>
      <w:r w:rsidR="00647CAC">
        <w:rPr>
          <w:b w:val="0"/>
          <w:bCs w:val="0"/>
          <w:color w:val="auto"/>
        </w:rPr>
        <w:t>announced 75</w:t>
      </w:r>
      <w:r>
        <w:rPr>
          <w:b w:val="0"/>
          <w:bCs w:val="0"/>
          <w:color w:val="auto"/>
        </w:rPr>
        <w:t xml:space="preserve"> Australia for ASEAN Scholarships to support emerging ASEAN leaders to study in Australia and advance the ASEAN Outlook on the Indo-Pacific (AOIP).</w:t>
      </w:r>
    </w:p>
    <w:p w14:paraId="5AD4E9A5" w14:textId="77777777" w:rsidR="00E73361" w:rsidRDefault="00E73361" w:rsidP="00E73361">
      <w:pPr>
        <w:pStyle w:val="Heading3"/>
        <w:spacing w:before="120" w:after="120"/>
        <w:rPr>
          <w:b w:val="0"/>
          <w:bCs w:val="0"/>
          <w:color w:val="000000" w:themeColor="text1"/>
          <w:kern w:val="28"/>
          <w:szCs w:val="52"/>
          <w:lang w:eastAsia="en-AU"/>
        </w:rPr>
      </w:pPr>
      <w:r>
        <w:rPr>
          <w:b w:val="0"/>
          <w:bCs w:val="0"/>
          <w:color w:val="000000" w:themeColor="text1"/>
          <w:kern w:val="28"/>
          <w:szCs w:val="52"/>
          <w:lang w:eastAsia="en-AU"/>
        </w:rPr>
        <w:t xml:space="preserve">Australia for ASEAN scholarships are prestigious international awards offered by the Australian Government to the next generation of leaders from ASEAN member states. Through study and research, recipients develop the skills and knowledge to drive change and help build enduring people-to-people links with Australia. </w:t>
      </w:r>
    </w:p>
    <w:p w14:paraId="35144E49" w14:textId="77777777" w:rsidR="00E73361" w:rsidRDefault="00E73361" w:rsidP="00E73361">
      <w:pPr>
        <w:pStyle w:val="BodyText"/>
        <w:rPr>
          <w:rFonts w:ascii="Arial" w:hAnsi="Arial" w:cs="Arial"/>
          <w:sz w:val="24"/>
          <w:szCs w:val="24"/>
          <w:lang w:eastAsia="ja-JP"/>
        </w:rPr>
      </w:pPr>
      <w:r>
        <w:rPr>
          <w:color w:val="000000" w:themeColor="text1"/>
          <w:kern w:val="28"/>
          <w:szCs w:val="52"/>
          <w:lang w:eastAsia="en-AU"/>
        </w:rPr>
        <w:t>The Australian Government and Australia’s world class university sector are jointly contributing to these scholarships, demonstrating Australia’s whole-of-nation commitment to the region. The following universities are partnering with this program:</w:t>
      </w:r>
      <w:r>
        <w:rPr>
          <w:rFonts w:ascii="Arial" w:hAnsi="Arial" w:cs="Arial"/>
          <w:sz w:val="24"/>
          <w:szCs w:val="24"/>
          <w:lang w:eastAsia="ja-JP"/>
        </w:rPr>
        <w:t xml:space="preserve"> </w:t>
      </w:r>
    </w:p>
    <w:p w14:paraId="670C1D36" w14:textId="77777777" w:rsidR="00E73361" w:rsidRDefault="00E73361" w:rsidP="00E73361">
      <w:pPr>
        <w:pStyle w:val="BodyText"/>
        <w:numPr>
          <w:ilvl w:val="0"/>
          <w:numId w:val="26"/>
        </w:numPr>
        <w:rPr>
          <w:color w:val="000000" w:themeColor="text1"/>
          <w:kern w:val="28"/>
          <w:szCs w:val="52"/>
          <w:lang w:val="en-US" w:eastAsia="en-AU"/>
        </w:rPr>
      </w:pPr>
      <w:r>
        <w:rPr>
          <w:color w:val="000000" w:themeColor="text1"/>
          <w:kern w:val="28"/>
          <w:szCs w:val="52"/>
          <w:lang w:val="en-US" w:eastAsia="en-AU"/>
        </w:rPr>
        <w:t>Australian National University</w:t>
      </w:r>
    </w:p>
    <w:p w14:paraId="56C98086" w14:textId="77777777" w:rsidR="00E73361" w:rsidRDefault="00E73361" w:rsidP="00E73361">
      <w:pPr>
        <w:pStyle w:val="BodyText"/>
        <w:numPr>
          <w:ilvl w:val="0"/>
          <w:numId w:val="26"/>
        </w:numPr>
        <w:rPr>
          <w:color w:val="000000" w:themeColor="text1"/>
          <w:kern w:val="28"/>
          <w:szCs w:val="52"/>
          <w:lang w:val="en-US" w:eastAsia="en-AU"/>
        </w:rPr>
      </w:pPr>
      <w:r>
        <w:rPr>
          <w:color w:val="000000" w:themeColor="text1"/>
          <w:kern w:val="28"/>
          <w:szCs w:val="52"/>
          <w:lang w:val="en-US" w:eastAsia="en-AU"/>
        </w:rPr>
        <w:t>Bond University</w:t>
      </w:r>
    </w:p>
    <w:p w14:paraId="0B5481B4" w14:textId="77777777" w:rsidR="00E73361" w:rsidRDefault="00E73361" w:rsidP="00E73361">
      <w:pPr>
        <w:pStyle w:val="BodyText"/>
        <w:numPr>
          <w:ilvl w:val="0"/>
          <w:numId w:val="26"/>
        </w:numPr>
        <w:rPr>
          <w:color w:val="000000" w:themeColor="text1"/>
          <w:kern w:val="28"/>
          <w:szCs w:val="52"/>
          <w:lang w:val="en-US" w:eastAsia="en-AU"/>
        </w:rPr>
      </w:pPr>
      <w:r>
        <w:rPr>
          <w:color w:val="000000" w:themeColor="text1"/>
          <w:kern w:val="28"/>
          <w:szCs w:val="52"/>
          <w:lang w:val="en-US" w:eastAsia="en-AU"/>
        </w:rPr>
        <w:t>Deakin University</w:t>
      </w:r>
    </w:p>
    <w:p w14:paraId="440094E2" w14:textId="77777777" w:rsidR="00E73361" w:rsidRDefault="00E73361" w:rsidP="00E73361">
      <w:pPr>
        <w:pStyle w:val="BodyText"/>
        <w:numPr>
          <w:ilvl w:val="0"/>
          <w:numId w:val="26"/>
        </w:numPr>
        <w:rPr>
          <w:color w:val="000000" w:themeColor="text1"/>
          <w:kern w:val="28"/>
          <w:szCs w:val="52"/>
          <w:lang w:val="en-US" w:eastAsia="en-AU"/>
        </w:rPr>
      </w:pPr>
      <w:r>
        <w:rPr>
          <w:color w:val="000000" w:themeColor="text1"/>
          <w:kern w:val="28"/>
          <w:szCs w:val="52"/>
          <w:lang w:val="en-US" w:eastAsia="en-AU"/>
        </w:rPr>
        <w:t>Griffith University</w:t>
      </w:r>
    </w:p>
    <w:p w14:paraId="655C684F" w14:textId="77777777" w:rsidR="00E73361" w:rsidRDefault="00E73361" w:rsidP="00E73361">
      <w:pPr>
        <w:pStyle w:val="BodyText"/>
        <w:numPr>
          <w:ilvl w:val="0"/>
          <w:numId w:val="26"/>
        </w:numPr>
        <w:rPr>
          <w:color w:val="000000" w:themeColor="text1"/>
          <w:kern w:val="28"/>
          <w:szCs w:val="52"/>
          <w:lang w:val="en-US" w:eastAsia="en-AU"/>
        </w:rPr>
      </w:pPr>
      <w:r>
        <w:rPr>
          <w:color w:val="000000" w:themeColor="text1"/>
          <w:kern w:val="28"/>
          <w:szCs w:val="52"/>
          <w:lang w:val="en-US" w:eastAsia="en-AU"/>
        </w:rPr>
        <w:t>Monash University</w:t>
      </w:r>
    </w:p>
    <w:p w14:paraId="251A801C" w14:textId="77777777" w:rsidR="00E73361" w:rsidRDefault="00E73361" w:rsidP="00E73361">
      <w:pPr>
        <w:pStyle w:val="BodyText"/>
        <w:numPr>
          <w:ilvl w:val="0"/>
          <w:numId w:val="26"/>
        </w:numPr>
        <w:rPr>
          <w:color w:val="000000" w:themeColor="text1"/>
          <w:kern w:val="28"/>
          <w:szCs w:val="52"/>
          <w:lang w:val="en-US" w:eastAsia="en-AU"/>
        </w:rPr>
      </w:pPr>
      <w:r>
        <w:rPr>
          <w:color w:val="000000" w:themeColor="text1"/>
          <w:kern w:val="28"/>
          <w:szCs w:val="52"/>
          <w:lang w:val="en-US" w:eastAsia="en-AU"/>
        </w:rPr>
        <w:t>Queensland University of Technology</w:t>
      </w:r>
    </w:p>
    <w:p w14:paraId="04B16ABF" w14:textId="77777777" w:rsidR="00E73361" w:rsidRDefault="00E73361" w:rsidP="00E73361">
      <w:pPr>
        <w:pStyle w:val="BodyText"/>
        <w:numPr>
          <w:ilvl w:val="0"/>
          <w:numId w:val="26"/>
        </w:numPr>
        <w:rPr>
          <w:color w:val="000000" w:themeColor="text1"/>
          <w:kern w:val="28"/>
          <w:szCs w:val="52"/>
          <w:lang w:val="en-US" w:eastAsia="en-AU"/>
        </w:rPr>
      </w:pPr>
      <w:r>
        <w:rPr>
          <w:color w:val="000000" w:themeColor="text1"/>
          <w:kern w:val="28"/>
          <w:szCs w:val="52"/>
          <w:lang w:val="en-US" w:eastAsia="en-AU"/>
        </w:rPr>
        <w:t>RMIT University</w:t>
      </w:r>
    </w:p>
    <w:p w14:paraId="2558DA2F" w14:textId="77777777" w:rsidR="00E73361" w:rsidRDefault="00E73361" w:rsidP="00E73361">
      <w:pPr>
        <w:pStyle w:val="BodyText"/>
        <w:numPr>
          <w:ilvl w:val="0"/>
          <w:numId w:val="26"/>
        </w:numPr>
        <w:rPr>
          <w:color w:val="000000" w:themeColor="text1"/>
          <w:kern w:val="28"/>
          <w:szCs w:val="52"/>
          <w:lang w:val="en-US" w:eastAsia="en-AU"/>
        </w:rPr>
      </w:pPr>
      <w:r>
        <w:rPr>
          <w:color w:val="000000" w:themeColor="text1"/>
          <w:kern w:val="28"/>
          <w:szCs w:val="52"/>
          <w:lang w:val="en-US" w:eastAsia="en-AU"/>
        </w:rPr>
        <w:t>Swinburne University of Technology</w:t>
      </w:r>
    </w:p>
    <w:p w14:paraId="5CB70AC6" w14:textId="77777777" w:rsidR="00E73361" w:rsidRDefault="00E73361" w:rsidP="00E73361">
      <w:pPr>
        <w:pStyle w:val="BodyText"/>
        <w:numPr>
          <w:ilvl w:val="0"/>
          <w:numId w:val="26"/>
        </w:numPr>
        <w:rPr>
          <w:color w:val="000000" w:themeColor="text1"/>
          <w:kern w:val="28"/>
          <w:szCs w:val="52"/>
          <w:lang w:val="en-US" w:eastAsia="en-AU"/>
        </w:rPr>
      </w:pPr>
      <w:r>
        <w:rPr>
          <w:color w:val="000000" w:themeColor="text1"/>
          <w:kern w:val="28"/>
          <w:szCs w:val="52"/>
          <w:lang w:val="en-US" w:eastAsia="en-AU"/>
        </w:rPr>
        <w:t>University of Adelaide</w:t>
      </w:r>
    </w:p>
    <w:p w14:paraId="752535A1" w14:textId="77777777" w:rsidR="00E73361" w:rsidRDefault="00E73361" w:rsidP="00E73361">
      <w:pPr>
        <w:pStyle w:val="BodyText"/>
        <w:numPr>
          <w:ilvl w:val="0"/>
          <w:numId w:val="26"/>
        </w:numPr>
        <w:rPr>
          <w:color w:val="000000" w:themeColor="text1"/>
          <w:kern w:val="28"/>
          <w:szCs w:val="52"/>
          <w:lang w:val="en-US" w:eastAsia="en-AU"/>
        </w:rPr>
      </w:pPr>
      <w:r>
        <w:rPr>
          <w:color w:val="000000" w:themeColor="text1"/>
          <w:kern w:val="28"/>
          <w:szCs w:val="52"/>
          <w:lang w:val="en-US" w:eastAsia="en-AU"/>
        </w:rPr>
        <w:t>University of Melbourne</w:t>
      </w:r>
    </w:p>
    <w:p w14:paraId="2F874A50" w14:textId="77777777" w:rsidR="00E73361" w:rsidRDefault="00E73361" w:rsidP="00E73361">
      <w:pPr>
        <w:pStyle w:val="BodyText"/>
        <w:numPr>
          <w:ilvl w:val="0"/>
          <w:numId w:val="26"/>
        </w:numPr>
        <w:rPr>
          <w:color w:val="000000" w:themeColor="text1"/>
          <w:kern w:val="28"/>
          <w:szCs w:val="52"/>
          <w:lang w:val="en-US" w:eastAsia="en-AU"/>
        </w:rPr>
      </w:pPr>
      <w:r>
        <w:rPr>
          <w:color w:val="000000" w:themeColor="text1"/>
          <w:kern w:val="28"/>
          <w:szCs w:val="52"/>
          <w:lang w:val="en-US" w:eastAsia="en-AU"/>
        </w:rPr>
        <w:t>University of New South Wales</w:t>
      </w:r>
    </w:p>
    <w:p w14:paraId="743ABD65" w14:textId="77777777" w:rsidR="00E73361" w:rsidRDefault="00E73361" w:rsidP="00E73361">
      <w:pPr>
        <w:pStyle w:val="BodyText"/>
        <w:numPr>
          <w:ilvl w:val="0"/>
          <w:numId w:val="26"/>
        </w:numPr>
        <w:rPr>
          <w:color w:val="000000" w:themeColor="text1"/>
          <w:kern w:val="28"/>
          <w:szCs w:val="52"/>
          <w:lang w:val="en-US" w:eastAsia="en-AU"/>
        </w:rPr>
      </w:pPr>
      <w:r>
        <w:rPr>
          <w:color w:val="000000" w:themeColor="text1"/>
          <w:kern w:val="28"/>
          <w:szCs w:val="52"/>
          <w:lang w:val="en-US" w:eastAsia="en-AU"/>
        </w:rPr>
        <w:t>University of Queensland</w:t>
      </w:r>
    </w:p>
    <w:p w14:paraId="0C80BFD5" w14:textId="77777777" w:rsidR="00E73361" w:rsidRDefault="00E73361" w:rsidP="00E73361">
      <w:pPr>
        <w:pStyle w:val="BodyText"/>
        <w:numPr>
          <w:ilvl w:val="0"/>
          <w:numId w:val="26"/>
        </w:numPr>
        <w:rPr>
          <w:color w:val="000000" w:themeColor="text1"/>
          <w:kern w:val="28"/>
          <w:szCs w:val="52"/>
          <w:lang w:val="en-US" w:eastAsia="en-AU"/>
        </w:rPr>
      </w:pPr>
      <w:r>
        <w:rPr>
          <w:color w:val="000000" w:themeColor="text1"/>
          <w:kern w:val="28"/>
          <w:szCs w:val="52"/>
          <w:lang w:val="en-US" w:eastAsia="en-AU"/>
        </w:rPr>
        <w:t xml:space="preserve">University of Southern Queensland </w:t>
      </w:r>
    </w:p>
    <w:p w14:paraId="424C16D6" w14:textId="77777777" w:rsidR="00E73361" w:rsidRDefault="00E73361" w:rsidP="00E73361">
      <w:pPr>
        <w:pStyle w:val="BodyText"/>
        <w:numPr>
          <w:ilvl w:val="0"/>
          <w:numId w:val="26"/>
        </w:numPr>
        <w:rPr>
          <w:color w:val="000000" w:themeColor="text1"/>
          <w:kern w:val="28"/>
          <w:szCs w:val="52"/>
          <w:lang w:val="en-US" w:eastAsia="en-AU"/>
        </w:rPr>
      </w:pPr>
      <w:r>
        <w:rPr>
          <w:color w:val="000000" w:themeColor="text1"/>
          <w:kern w:val="28"/>
          <w:szCs w:val="52"/>
          <w:lang w:val="en-US" w:eastAsia="en-AU"/>
        </w:rPr>
        <w:t>University of Tasmania.</w:t>
      </w:r>
    </w:p>
    <w:p w14:paraId="3032DE6D" w14:textId="77777777" w:rsidR="007328C8" w:rsidRDefault="007328C8" w:rsidP="007328C8">
      <w:pPr>
        <w:pStyle w:val="BodyText"/>
        <w:rPr>
          <w:b/>
          <w:bCs/>
          <w:lang w:eastAsia="en-AU"/>
        </w:rPr>
      </w:pPr>
      <w:r>
        <w:rPr>
          <w:color w:val="000000" w:themeColor="text1"/>
          <w:kern w:val="28"/>
          <w:szCs w:val="52"/>
          <w:lang w:eastAsia="en-AU"/>
        </w:rPr>
        <w:t xml:space="preserve">Australia for ASEAN scholars </w:t>
      </w:r>
      <w:r>
        <w:rPr>
          <w:lang w:eastAsia="en-AU"/>
        </w:rPr>
        <w:t xml:space="preserve">will also participate in an ASEAN Emerging Leaders Program, which will provide a range of learning, </w:t>
      </w:r>
      <w:proofErr w:type="gramStart"/>
      <w:r>
        <w:rPr>
          <w:lang w:eastAsia="en-AU"/>
        </w:rPr>
        <w:t>networking</w:t>
      </w:r>
      <w:proofErr w:type="gramEnd"/>
      <w:r>
        <w:rPr>
          <w:lang w:eastAsia="en-AU"/>
        </w:rPr>
        <w:t xml:space="preserve"> and development opportunities. </w:t>
      </w:r>
    </w:p>
    <w:p w14:paraId="2A8BCE3F" w14:textId="77777777" w:rsidR="007328C8" w:rsidRDefault="007328C8" w:rsidP="007328C8">
      <w:pPr>
        <w:pStyle w:val="Heading3"/>
        <w:spacing w:before="120" w:after="120"/>
        <w:rPr>
          <w:b w:val="0"/>
          <w:bCs w:val="0"/>
          <w:color w:val="000000" w:themeColor="text1"/>
          <w:kern w:val="28"/>
          <w:szCs w:val="52"/>
          <w:lang w:eastAsia="en-AU"/>
        </w:rPr>
      </w:pPr>
      <w:r>
        <w:rPr>
          <w:b w:val="0"/>
          <w:bCs w:val="0"/>
          <w:color w:val="000000" w:themeColor="text1"/>
          <w:kern w:val="28"/>
          <w:szCs w:val="52"/>
          <w:lang w:eastAsia="en-AU"/>
        </w:rPr>
        <w:t>Applications are strongly encouraged from women, people with disability and marginalised groups.</w:t>
      </w:r>
    </w:p>
    <w:p w14:paraId="50741EC7" w14:textId="58A6BEE1" w:rsidR="00A12FDA" w:rsidRDefault="007328C8" w:rsidP="007328C8">
      <w:pPr>
        <w:pStyle w:val="Heading3"/>
        <w:spacing w:before="120" w:after="120"/>
        <w:rPr>
          <w:b w:val="0"/>
          <w:bCs w:val="0"/>
          <w:color w:val="000000" w:themeColor="text1"/>
          <w:kern w:val="28"/>
          <w:szCs w:val="52"/>
          <w:lang w:eastAsia="en-AU"/>
        </w:rPr>
      </w:pPr>
      <w:r>
        <w:rPr>
          <w:b w:val="0"/>
          <w:bCs w:val="0"/>
          <w:color w:val="000000" w:themeColor="text1"/>
          <w:kern w:val="28"/>
          <w:szCs w:val="52"/>
          <w:lang w:eastAsia="en-AU"/>
        </w:rPr>
        <w:t xml:space="preserve">Applicants are assessed on their professional and personal qualities, academic </w:t>
      </w:r>
      <w:proofErr w:type="gramStart"/>
      <w:r>
        <w:rPr>
          <w:b w:val="0"/>
          <w:bCs w:val="0"/>
          <w:color w:val="000000" w:themeColor="text1"/>
          <w:kern w:val="28"/>
          <w:szCs w:val="52"/>
          <w:lang w:eastAsia="en-AU"/>
        </w:rPr>
        <w:t>competence</w:t>
      </w:r>
      <w:proofErr w:type="gramEnd"/>
      <w:r>
        <w:rPr>
          <w:b w:val="0"/>
          <w:bCs w:val="0"/>
          <w:color w:val="000000" w:themeColor="text1"/>
          <w:kern w:val="28"/>
          <w:szCs w:val="52"/>
          <w:lang w:eastAsia="en-AU"/>
        </w:rPr>
        <w:t xml:space="preserve"> and their potential to impact on one of the four priority areas of cooperation: maritime, connectivity, economic, and sustainable development cooperation.</w:t>
      </w:r>
    </w:p>
    <w:p w14:paraId="0FF5A60B" w14:textId="77777777" w:rsidR="00A12FDA" w:rsidRDefault="00A12FDA">
      <w:pPr>
        <w:rPr>
          <w:rFonts w:ascii="Arial" w:eastAsiaTheme="majorEastAsia" w:hAnsi="Arial" w:cstheme="majorBidi"/>
          <w:color w:val="000000" w:themeColor="text1"/>
          <w:spacing w:val="-2"/>
          <w:kern w:val="28"/>
          <w:szCs w:val="52"/>
          <w:lang w:eastAsia="en-AU"/>
        </w:rPr>
      </w:pPr>
      <w:r>
        <w:rPr>
          <w:b/>
          <w:bCs/>
          <w:color w:val="000000" w:themeColor="text1"/>
          <w:kern w:val="28"/>
          <w:szCs w:val="52"/>
          <w:lang w:eastAsia="en-AU"/>
        </w:rPr>
        <w:br w:type="page"/>
      </w:r>
    </w:p>
    <w:p w14:paraId="11CD949C" w14:textId="7F44C971" w:rsidR="007328C8" w:rsidRDefault="007328C8" w:rsidP="007328C8">
      <w:pPr>
        <w:pStyle w:val="Heading3"/>
        <w:rPr>
          <w:color w:val="002060"/>
          <w:sz w:val="21"/>
          <w:szCs w:val="21"/>
        </w:rPr>
      </w:pPr>
      <w:r>
        <w:rPr>
          <w:color w:val="002060"/>
          <w:sz w:val="21"/>
          <w:szCs w:val="21"/>
        </w:rPr>
        <w:lastRenderedPageBreak/>
        <w:t>Priority fields of study</w:t>
      </w:r>
    </w:p>
    <w:p w14:paraId="12CD1C5C" w14:textId="77777777" w:rsidR="00752017" w:rsidRDefault="00752017" w:rsidP="00752017">
      <w:pPr>
        <w:pStyle w:val="BodyCopy"/>
        <w:spacing w:before="120" w:after="120"/>
        <w:rPr>
          <w:lang w:eastAsia="en-AU"/>
        </w:rPr>
      </w:pPr>
      <w:r>
        <w:rPr>
          <w:lang w:eastAsia="en-AU"/>
        </w:rPr>
        <w:t xml:space="preserve">The priority areas of study are: </w:t>
      </w:r>
    </w:p>
    <w:p w14:paraId="61C5C392" w14:textId="77777777" w:rsidR="00752017" w:rsidRDefault="00752017" w:rsidP="00752017">
      <w:pPr>
        <w:pStyle w:val="BodyCopy"/>
        <w:numPr>
          <w:ilvl w:val="0"/>
          <w:numId w:val="27"/>
        </w:numPr>
        <w:spacing w:before="120" w:after="120" w:line="240" w:lineRule="auto"/>
        <w:ind w:left="360"/>
        <w:rPr>
          <w:lang w:eastAsia="en-AU"/>
        </w:rPr>
      </w:pPr>
      <w:r>
        <w:rPr>
          <w:lang w:eastAsia="en-AU"/>
        </w:rPr>
        <w:t>Maritime</w:t>
      </w:r>
    </w:p>
    <w:p w14:paraId="7AECA32F" w14:textId="77777777" w:rsidR="00752017" w:rsidRDefault="00752017" w:rsidP="00752017">
      <w:pPr>
        <w:pStyle w:val="BodyCopy"/>
        <w:numPr>
          <w:ilvl w:val="0"/>
          <w:numId w:val="27"/>
        </w:numPr>
        <w:spacing w:before="120" w:after="120" w:line="240" w:lineRule="auto"/>
        <w:ind w:left="360"/>
        <w:rPr>
          <w:lang w:eastAsia="en-AU"/>
        </w:rPr>
      </w:pPr>
      <w:r>
        <w:rPr>
          <w:lang w:eastAsia="en-AU"/>
        </w:rPr>
        <w:t>Connectivity</w:t>
      </w:r>
    </w:p>
    <w:p w14:paraId="633D3889" w14:textId="77777777" w:rsidR="00752017" w:rsidRDefault="00752017" w:rsidP="00752017">
      <w:pPr>
        <w:pStyle w:val="BodyCopy"/>
        <w:numPr>
          <w:ilvl w:val="0"/>
          <w:numId w:val="27"/>
        </w:numPr>
        <w:spacing w:before="120" w:after="120" w:line="240" w:lineRule="auto"/>
        <w:ind w:left="360"/>
        <w:rPr>
          <w:lang w:eastAsia="en-AU"/>
        </w:rPr>
      </w:pPr>
      <w:r>
        <w:rPr>
          <w:lang w:eastAsia="en-AU"/>
        </w:rPr>
        <w:t>Economic</w:t>
      </w:r>
    </w:p>
    <w:p w14:paraId="3EAEC05A" w14:textId="77777777" w:rsidR="00752017" w:rsidRDefault="00752017" w:rsidP="00752017">
      <w:pPr>
        <w:pStyle w:val="BodyCopy"/>
        <w:numPr>
          <w:ilvl w:val="0"/>
          <w:numId w:val="27"/>
        </w:numPr>
        <w:spacing w:before="120" w:after="120" w:line="240" w:lineRule="auto"/>
        <w:ind w:left="360"/>
        <w:rPr>
          <w:lang w:eastAsia="en-AU"/>
        </w:rPr>
      </w:pPr>
      <w:r>
        <w:rPr>
          <w:lang w:eastAsia="en-AU"/>
        </w:rPr>
        <w:t>Sustainable Development Cooperation</w:t>
      </w:r>
    </w:p>
    <w:p w14:paraId="3F3F1C8E" w14:textId="77777777" w:rsidR="007328C8" w:rsidRPr="004A7AEF" w:rsidRDefault="007328C8" w:rsidP="007328C8">
      <w:pPr>
        <w:pStyle w:val="BodyCopy"/>
        <w:spacing w:before="120" w:after="120"/>
        <w:rPr>
          <w:rStyle w:val="Hyperlink"/>
          <w:color w:val="002060"/>
          <w:lang w:eastAsia="en-AU"/>
        </w:rPr>
      </w:pPr>
      <w:bookmarkStart w:id="0" w:name="_Hlk91081598"/>
      <w:r>
        <w:rPr>
          <w:rFonts w:eastAsiaTheme="minorHAnsi" w:cs="Arial"/>
          <w:color w:val="000000"/>
          <w:spacing w:val="0"/>
          <w:kern w:val="0"/>
          <w:szCs w:val="20"/>
        </w:rPr>
        <w:t xml:space="preserve">Detailed information on priority areas of study can be found at: </w:t>
      </w:r>
      <w:hyperlink r:id="rId15" w:history="1">
        <w:r w:rsidRPr="004A7AEF">
          <w:rPr>
            <w:rStyle w:val="Hyperlink"/>
            <w:color w:val="002060"/>
            <w:lang w:eastAsia="en-AU"/>
          </w:rPr>
          <w:t>https://asean.org/speechandstatement/asean-outlook-on-the-indo-pacific/</w:t>
        </w:r>
      </w:hyperlink>
      <w:r w:rsidRPr="004A7AEF">
        <w:rPr>
          <w:rStyle w:val="Hyperlink"/>
          <w:color w:val="002060"/>
          <w:lang w:eastAsia="en-AU"/>
        </w:rPr>
        <w:t xml:space="preserve"> </w:t>
      </w:r>
    </w:p>
    <w:bookmarkEnd w:id="0"/>
    <w:p w14:paraId="733742DB" w14:textId="77777777" w:rsidR="007328C8" w:rsidRDefault="007328C8" w:rsidP="007328C8">
      <w:pPr>
        <w:pStyle w:val="Heading3"/>
        <w:rPr>
          <w:color w:val="002060"/>
          <w:sz w:val="21"/>
          <w:szCs w:val="21"/>
        </w:rPr>
      </w:pPr>
      <w:r>
        <w:rPr>
          <w:color w:val="002060"/>
          <w:sz w:val="21"/>
          <w:szCs w:val="21"/>
        </w:rPr>
        <w:t>Level of study</w:t>
      </w:r>
    </w:p>
    <w:p w14:paraId="2A0CD282" w14:textId="7D3A3B3A" w:rsidR="007328C8" w:rsidRDefault="007328C8" w:rsidP="007328C8">
      <w:pPr>
        <w:pStyle w:val="Heading4"/>
        <w:spacing w:before="120" w:after="120"/>
        <w:rPr>
          <w:b w:val="0"/>
          <w:bCs w:val="0"/>
          <w:iCs w:val="0"/>
          <w:color w:val="000000" w:themeColor="text1"/>
          <w:kern w:val="28"/>
          <w:szCs w:val="52"/>
        </w:rPr>
      </w:pPr>
      <w:r>
        <w:rPr>
          <w:b w:val="0"/>
          <w:bCs w:val="0"/>
          <w:iCs w:val="0"/>
          <w:color w:val="000000" w:themeColor="text1"/>
          <w:kern w:val="28"/>
          <w:szCs w:val="52"/>
        </w:rPr>
        <w:t xml:space="preserve">Australia for ASEAN scholarships provide an opportunity to obtain a Master by research or Master by coursework qualification at an Australian tertiary institution. Students wishing to undertake a </w:t>
      </w:r>
      <w:proofErr w:type="gramStart"/>
      <w:r>
        <w:rPr>
          <w:b w:val="0"/>
          <w:bCs w:val="0"/>
          <w:iCs w:val="0"/>
          <w:color w:val="000000" w:themeColor="text1"/>
          <w:kern w:val="28"/>
          <w:szCs w:val="52"/>
        </w:rPr>
        <w:t>Masters</w:t>
      </w:r>
      <w:proofErr w:type="gramEnd"/>
      <w:r>
        <w:rPr>
          <w:b w:val="0"/>
          <w:bCs w:val="0"/>
          <w:iCs w:val="0"/>
          <w:color w:val="000000" w:themeColor="text1"/>
          <w:kern w:val="28"/>
          <w:szCs w:val="52"/>
        </w:rPr>
        <w:t xml:space="preserve"> by research degree are strongly </w:t>
      </w:r>
      <w:r w:rsidR="003842D9">
        <w:rPr>
          <w:b w:val="0"/>
          <w:bCs w:val="0"/>
          <w:iCs w:val="0"/>
          <w:color w:val="000000" w:themeColor="text1"/>
          <w:kern w:val="28"/>
          <w:szCs w:val="52"/>
        </w:rPr>
        <w:t>encouraged</w:t>
      </w:r>
      <w:r>
        <w:rPr>
          <w:b w:val="0"/>
          <w:bCs w:val="0"/>
          <w:iCs w:val="0"/>
          <w:color w:val="000000" w:themeColor="text1"/>
          <w:kern w:val="28"/>
          <w:szCs w:val="52"/>
        </w:rPr>
        <w:t xml:space="preserve"> to apply.</w:t>
      </w:r>
    </w:p>
    <w:p w14:paraId="48F47DF2" w14:textId="77777777" w:rsidR="007328C8" w:rsidRDefault="007328C8" w:rsidP="007328C8">
      <w:pPr>
        <w:pStyle w:val="BodyText"/>
      </w:pPr>
      <w:r>
        <w:t>Scholarships will be offered for commencement in 2025.</w:t>
      </w:r>
    </w:p>
    <w:p w14:paraId="66909A02" w14:textId="77777777" w:rsidR="007328C8" w:rsidRDefault="007328C8" w:rsidP="007328C8">
      <w:pPr>
        <w:pStyle w:val="Heading3"/>
        <w:rPr>
          <w:color w:val="002060"/>
          <w:sz w:val="21"/>
          <w:szCs w:val="21"/>
        </w:rPr>
      </w:pPr>
      <w:r>
        <w:rPr>
          <w:color w:val="002060"/>
          <w:sz w:val="21"/>
          <w:szCs w:val="21"/>
        </w:rPr>
        <w:t>Australia for ASEAN Scholarship benefits</w:t>
      </w:r>
    </w:p>
    <w:p w14:paraId="358F69CA" w14:textId="1D04AC1B" w:rsidR="00961F11" w:rsidRDefault="007328C8" w:rsidP="00A12FDA">
      <w:pPr>
        <w:pStyle w:val="BodyText"/>
        <w:rPr>
          <w:lang w:eastAsia="en-AU"/>
        </w:rPr>
      </w:pPr>
      <w:r>
        <w:rPr>
          <w:lang w:eastAsia="en-AU"/>
        </w:rPr>
        <w:t>Australia for ASEAN scholarships are offered for the minimum period necessary for the individual to complete the academic program specified by the Australian education institution, including any preparatory training.</w:t>
      </w:r>
    </w:p>
    <w:p w14:paraId="440F04F8" w14:textId="3B909ACC" w:rsidR="00522827" w:rsidRDefault="00522827" w:rsidP="00471B44">
      <w:pPr>
        <w:pStyle w:val="BodyText"/>
        <w:jc w:val="both"/>
        <w:rPr>
          <w:lang w:eastAsia="en-AU"/>
        </w:rPr>
      </w:pPr>
      <w:r>
        <w:rPr>
          <w:lang w:eastAsia="en-AU"/>
        </w:rPr>
        <w:t>Scholarship recipients will receive the following:</w:t>
      </w:r>
    </w:p>
    <w:p w14:paraId="0F3E87BF" w14:textId="77777777" w:rsidR="00522827" w:rsidRDefault="00522827" w:rsidP="00522827">
      <w:pPr>
        <w:pStyle w:val="BodyCopy"/>
        <w:numPr>
          <w:ilvl w:val="0"/>
          <w:numId w:val="27"/>
        </w:numPr>
        <w:spacing w:before="120" w:after="120" w:line="240" w:lineRule="auto"/>
        <w:ind w:left="360"/>
        <w:rPr>
          <w:lang w:eastAsia="en-AU"/>
        </w:rPr>
      </w:pPr>
      <w:r>
        <w:rPr>
          <w:lang w:eastAsia="en-AU"/>
        </w:rPr>
        <w:t xml:space="preserve">return air </w:t>
      </w:r>
      <w:proofErr w:type="gramStart"/>
      <w:r>
        <w:rPr>
          <w:lang w:eastAsia="en-AU"/>
        </w:rPr>
        <w:t>travel</w:t>
      </w:r>
      <w:proofErr w:type="gramEnd"/>
    </w:p>
    <w:p w14:paraId="6CEA6235" w14:textId="77777777" w:rsidR="00522827" w:rsidRDefault="00522827" w:rsidP="00522827">
      <w:pPr>
        <w:pStyle w:val="BodyCopy"/>
        <w:numPr>
          <w:ilvl w:val="0"/>
          <w:numId w:val="27"/>
        </w:numPr>
        <w:spacing w:before="120" w:after="120" w:line="240" w:lineRule="auto"/>
        <w:ind w:left="360"/>
        <w:rPr>
          <w:lang w:eastAsia="en-AU"/>
        </w:rPr>
      </w:pPr>
      <w:r>
        <w:rPr>
          <w:lang w:eastAsia="en-AU"/>
        </w:rPr>
        <w:t xml:space="preserve">a one-off establishment allowance on arrival </w:t>
      </w:r>
    </w:p>
    <w:p w14:paraId="76C67174" w14:textId="77777777" w:rsidR="00522827" w:rsidRDefault="00522827" w:rsidP="00522827">
      <w:pPr>
        <w:pStyle w:val="BodyCopy"/>
        <w:numPr>
          <w:ilvl w:val="0"/>
          <w:numId w:val="27"/>
        </w:numPr>
        <w:spacing w:before="120" w:after="120" w:line="240" w:lineRule="auto"/>
        <w:ind w:left="360"/>
        <w:rPr>
          <w:lang w:eastAsia="en-AU"/>
        </w:rPr>
      </w:pPr>
      <w:r>
        <w:rPr>
          <w:lang w:eastAsia="en-AU"/>
        </w:rPr>
        <w:t>full tuition fees</w:t>
      </w:r>
    </w:p>
    <w:p w14:paraId="35FB660E" w14:textId="77777777" w:rsidR="00522827" w:rsidRDefault="00522827" w:rsidP="00522827">
      <w:pPr>
        <w:pStyle w:val="BodyCopy"/>
        <w:numPr>
          <w:ilvl w:val="0"/>
          <w:numId w:val="27"/>
        </w:numPr>
        <w:spacing w:before="120" w:after="120" w:line="240" w:lineRule="auto"/>
        <w:ind w:left="360"/>
        <w:rPr>
          <w:lang w:eastAsia="en-AU"/>
        </w:rPr>
      </w:pPr>
      <w:r>
        <w:rPr>
          <w:lang w:eastAsia="en-AU"/>
        </w:rPr>
        <w:t xml:space="preserve">contribution to living </w:t>
      </w:r>
      <w:proofErr w:type="gramStart"/>
      <w:r>
        <w:rPr>
          <w:lang w:eastAsia="en-AU"/>
        </w:rPr>
        <w:t>expenses</w:t>
      </w:r>
      <w:proofErr w:type="gramEnd"/>
    </w:p>
    <w:p w14:paraId="0886E4C1" w14:textId="77777777" w:rsidR="00522827" w:rsidRDefault="00522827" w:rsidP="00522827">
      <w:pPr>
        <w:pStyle w:val="BodyCopy"/>
        <w:numPr>
          <w:ilvl w:val="0"/>
          <w:numId w:val="27"/>
        </w:numPr>
        <w:spacing w:before="120" w:after="120" w:line="240" w:lineRule="auto"/>
        <w:ind w:left="360"/>
        <w:rPr>
          <w:lang w:eastAsia="en-AU"/>
        </w:rPr>
      </w:pPr>
      <w:r>
        <w:rPr>
          <w:lang w:eastAsia="en-AU"/>
        </w:rPr>
        <w:t>introductory academic program</w:t>
      </w:r>
    </w:p>
    <w:p w14:paraId="3A028666" w14:textId="77777777" w:rsidR="00522827" w:rsidRDefault="00522827" w:rsidP="00522827">
      <w:pPr>
        <w:pStyle w:val="BodyCopy"/>
        <w:numPr>
          <w:ilvl w:val="0"/>
          <w:numId w:val="27"/>
        </w:numPr>
        <w:spacing w:before="120" w:after="120" w:line="240" w:lineRule="auto"/>
        <w:ind w:left="360"/>
        <w:rPr>
          <w:lang w:eastAsia="en-AU"/>
        </w:rPr>
      </w:pPr>
      <w:r>
        <w:rPr>
          <w:lang w:eastAsia="en-AU"/>
        </w:rPr>
        <w:t>overseas student health cover for the duration of the scholarship</w:t>
      </w:r>
    </w:p>
    <w:p w14:paraId="0DEAB912" w14:textId="77777777" w:rsidR="00522827" w:rsidRDefault="00522827" w:rsidP="00522827">
      <w:pPr>
        <w:pStyle w:val="BodyCopy"/>
        <w:numPr>
          <w:ilvl w:val="0"/>
          <w:numId w:val="27"/>
        </w:numPr>
        <w:spacing w:before="120" w:after="120" w:line="240" w:lineRule="auto"/>
        <w:ind w:left="360"/>
        <w:rPr>
          <w:lang w:eastAsia="en-AU"/>
        </w:rPr>
      </w:pPr>
      <w:r>
        <w:rPr>
          <w:lang w:eastAsia="en-AU"/>
        </w:rPr>
        <w:t>supplementary academic support</w:t>
      </w:r>
    </w:p>
    <w:p w14:paraId="00CA9BFE" w14:textId="77777777" w:rsidR="00522827" w:rsidRDefault="00522827" w:rsidP="00522827">
      <w:pPr>
        <w:pStyle w:val="BodyCopy"/>
        <w:numPr>
          <w:ilvl w:val="0"/>
          <w:numId w:val="27"/>
        </w:numPr>
        <w:spacing w:before="120" w:after="120" w:line="240" w:lineRule="auto"/>
        <w:ind w:left="360"/>
        <w:rPr>
          <w:lang w:eastAsia="en-AU"/>
        </w:rPr>
      </w:pPr>
      <w:r>
        <w:rPr>
          <w:lang w:eastAsia="en-AU"/>
        </w:rPr>
        <w:t xml:space="preserve">fieldwork allowance for research students and masters by coursework which has a compulsory fieldwork </w:t>
      </w:r>
      <w:proofErr w:type="gramStart"/>
      <w:r>
        <w:rPr>
          <w:lang w:eastAsia="en-AU"/>
        </w:rPr>
        <w:t>component</w:t>
      </w:r>
      <w:proofErr w:type="gramEnd"/>
    </w:p>
    <w:p w14:paraId="77CF1871" w14:textId="77777777" w:rsidR="00522827" w:rsidRDefault="00522827" w:rsidP="00522827">
      <w:pPr>
        <w:pStyle w:val="BodyCopy"/>
        <w:numPr>
          <w:ilvl w:val="0"/>
          <w:numId w:val="27"/>
        </w:numPr>
        <w:spacing w:before="120" w:after="120" w:line="240" w:lineRule="auto"/>
        <w:ind w:left="360"/>
        <w:rPr>
          <w:lang w:eastAsia="en-AU"/>
        </w:rPr>
      </w:pPr>
      <w:r>
        <w:rPr>
          <w:lang w:eastAsia="en-AU"/>
        </w:rPr>
        <w:t>a place in the ASEAN Emerging Leaders Program.</w:t>
      </w:r>
    </w:p>
    <w:p w14:paraId="5EE99798" w14:textId="77777777" w:rsidR="00522827" w:rsidRDefault="00522827" w:rsidP="00522827">
      <w:pPr>
        <w:pStyle w:val="Heading4"/>
        <w:spacing w:before="284"/>
        <w:rPr>
          <w:color w:val="002060"/>
          <w:sz w:val="21"/>
          <w:szCs w:val="21"/>
        </w:rPr>
      </w:pPr>
      <w:r>
        <w:rPr>
          <w:color w:val="002060"/>
          <w:sz w:val="21"/>
          <w:szCs w:val="21"/>
        </w:rPr>
        <w:t>Eligibility criteria</w:t>
      </w:r>
    </w:p>
    <w:p w14:paraId="426980DA" w14:textId="77777777" w:rsidR="00522827" w:rsidRDefault="00522827" w:rsidP="00522827">
      <w:pPr>
        <w:pStyle w:val="Bullet"/>
        <w:numPr>
          <w:ilvl w:val="0"/>
          <w:numId w:val="0"/>
        </w:numPr>
        <w:tabs>
          <w:tab w:val="left" w:pos="720"/>
        </w:tabs>
        <w:spacing w:before="120" w:after="120"/>
        <w:rPr>
          <w:bCs/>
          <w:color w:val="002060"/>
          <w:lang w:eastAsia="en-AU"/>
        </w:rPr>
      </w:pPr>
      <w:r>
        <w:rPr>
          <w:rFonts w:asciiTheme="minorHAnsi" w:eastAsiaTheme="minorHAnsi" w:hAnsiTheme="minorHAnsi" w:cs="Times New Roman"/>
          <w:color w:val="auto"/>
          <w:spacing w:val="0"/>
          <w:kern w:val="0"/>
          <w:szCs w:val="20"/>
          <w:lang w:eastAsia="en-AU"/>
        </w:rPr>
        <w:t xml:space="preserve">Australia for ASEAN scholarship applicants must meet all eligibility requirements detailed in the </w:t>
      </w:r>
      <w:r>
        <w:rPr>
          <w:rFonts w:asciiTheme="minorHAnsi" w:eastAsiaTheme="minorHAnsi" w:hAnsiTheme="minorHAnsi" w:cs="Times New Roman"/>
          <w:i/>
          <w:color w:val="auto"/>
          <w:spacing w:val="0"/>
          <w:kern w:val="0"/>
          <w:szCs w:val="20"/>
          <w:lang w:eastAsia="en-AU"/>
        </w:rPr>
        <w:t>Australia Awards Scholarships Policy Handbook</w:t>
      </w:r>
      <w:r>
        <w:rPr>
          <w:rFonts w:asciiTheme="minorHAnsi" w:eastAsiaTheme="minorHAnsi" w:hAnsiTheme="minorHAnsi" w:cs="Times New Roman"/>
          <w:color w:val="auto"/>
          <w:spacing w:val="0"/>
          <w:kern w:val="0"/>
          <w:szCs w:val="20"/>
          <w:lang w:eastAsia="en-AU"/>
        </w:rPr>
        <w:t>, available at:</w:t>
      </w:r>
      <w:r>
        <w:rPr>
          <w:lang w:eastAsia="en-AU"/>
        </w:rPr>
        <w:t xml:space="preserve"> </w:t>
      </w:r>
      <w:hyperlink r:id="rId16" w:history="1">
        <w:r>
          <w:rPr>
            <w:rStyle w:val="Hyperlink"/>
            <w:color w:val="002060"/>
            <w:lang w:eastAsia="en-AU"/>
          </w:rPr>
          <w:t>dfat.gov.au/about-us/publications/Pages/australia-awards-scholarships-policy-handbook.aspx</w:t>
        </w:r>
      </w:hyperlink>
    </w:p>
    <w:p w14:paraId="648114D8" w14:textId="77777777" w:rsidR="00522827" w:rsidRPr="00897502" w:rsidRDefault="00522827" w:rsidP="00522827">
      <w:pPr>
        <w:pStyle w:val="Heading3"/>
        <w:rPr>
          <w:color w:val="0072BB" w:themeColor="text2" w:themeTint="BF"/>
          <w:lang w:eastAsia="en-AU"/>
        </w:rPr>
      </w:pPr>
      <w:r w:rsidRPr="00897502">
        <w:rPr>
          <w:color w:val="0072BB" w:themeColor="text2" w:themeTint="BF"/>
          <w:lang w:eastAsia="en-AU"/>
        </w:rPr>
        <w:t>Country-specific conditions</w:t>
      </w:r>
    </w:p>
    <w:p w14:paraId="1B5A5BB2" w14:textId="77777777" w:rsidR="00C07005" w:rsidRDefault="00C07005" w:rsidP="00C07005">
      <w:pPr>
        <w:pStyle w:val="Bullet"/>
        <w:numPr>
          <w:ilvl w:val="0"/>
          <w:numId w:val="0"/>
        </w:numPr>
        <w:tabs>
          <w:tab w:val="left" w:pos="720"/>
        </w:tabs>
        <w:rPr>
          <w:lang w:eastAsia="en-AU"/>
        </w:rPr>
      </w:pPr>
      <w:r>
        <w:rPr>
          <w:lang w:eastAsia="en-AU"/>
        </w:rPr>
        <w:t>In addition to the eligibility requirements, candidates must also meet the following conditions:</w:t>
      </w:r>
    </w:p>
    <w:p w14:paraId="747C69E4" w14:textId="19FC5291" w:rsidR="00C07005" w:rsidRDefault="00C07005" w:rsidP="00C07005">
      <w:pPr>
        <w:pStyle w:val="Bullet"/>
        <w:numPr>
          <w:ilvl w:val="0"/>
          <w:numId w:val="28"/>
        </w:numPr>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 xml:space="preserve">be a citizen of </w:t>
      </w:r>
      <w:proofErr w:type="gramStart"/>
      <w:r w:rsidR="008F0D9E">
        <w:rPr>
          <w:rFonts w:asciiTheme="minorHAnsi" w:eastAsiaTheme="minorHAnsi" w:hAnsiTheme="minorHAnsi" w:cs="Times New Roman"/>
          <w:color w:val="auto"/>
          <w:spacing w:val="0"/>
          <w:kern w:val="0"/>
          <w:szCs w:val="20"/>
          <w:lang w:eastAsia="en-AU"/>
        </w:rPr>
        <w:t>Singapore</w:t>
      </w:r>
      <w:proofErr w:type="gramEnd"/>
      <w:r>
        <w:rPr>
          <w:rFonts w:asciiTheme="minorHAnsi" w:eastAsiaTheme="minorHAnsi" w:hAnsiTheme="minorHAnsi" w:cs="Times New Roman"/>
          <w:color w:val="auto"/>
          <w:spacing w:val="0"/>
          <w:kern w:val="0"/>
          <w:szCs w:val="20"/>
          <w:lang w:eastAsia="en-AU"/>
        </w:rPr>
        <w:t xml:space="preserve"> </w:t>
      </w:r>
    </w:p>
    <w:p w14:paraId="63F752CD" w14:textId="77777777" w:rsidR="00C07005" w:rsidRDefault="00C07005" w:rsidP="00C07005">
      <w:pPr>
        <w:pStyle w:val="Bullet"/>
        <w:numPr>
          <w:ilvl w:val="0"/>
          <w:numId w:val="28"/>
        </w:numPr>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already hold an undergraduate degree</w:t>
      </w:r>
    </w:p>
    <w:p w14:paraId="22306FCC" w14:textId="3DFF0F0A" w:rsidR="00C07005" w:rsidRDefault="00C07005" w:rsidP="00C07005">
      <w:pPr>
        <w:pStyle w:val="Bullet"/>
        <w:numPr>
          <w:ilvl w:val="0"/>
          <w:numId w:val="28"/>
        </w:numPr>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an English language proficiency of at least 6.5 in IELTS with no band less than 6.0 (or 575 in paper based TOEFL or 90 in internet based TOEFL or 61 in PTE Academic). The IELTS, TOEFL or PTE Academic result must be current (obtained in the last 2 years from the application closing date, or a test result obtained between 30 April 2022 and 30 April 2024 will be considered current). No other English language test (including TOEFL prediction test) results will be accepted</w:t>
      </w:r>
      <w:r w:rsidR="003842D9">
        <w:rPr>
          <w:rFonts w:asciiTheme="minorHAnsi" w:eastAsiaTheme="minorHAnsi" w:hAnsiTheme="minorHAnsi" w:cs="Times New Roman"/>
          <w:color w:val="auto"/>
          <w:spacing w:val="0"/>
          <w:kern w:val="0"/>
          <w:szCs w:val="20"/>
          <w:lang w:eastAsia="en-AU"/>
        </w:rPr>
        <w:t>.</w:t>
      </w:r>
    </w:p>
    <w:p w14:paraId="373D991C" w14:textId="77777777" w:rsidR="00C07005" w:rsidRDefault="00C07005" w:rsidP="00C07005">
      <w:pPr>
        <w:pStyle w:val="Bullet"/>
        <w:numPr>
          <w:ilvl w:val="0"/>
          <w:numId w:val="0"/>
        </w:numPr>
        <w:tabs>
          <w:tab w:val="left" w:pos="720"/>
        </w:tabs>
        <w:ind w:left="284"/>
        <w:rPr>
          <w:rFonts w:ascii="Calibri" w:eastAsia="Times New Roman" w:hAnsi="Calibri"/>
        </w:rPr>
      </w:pPr>
      <w:r>
        <w:rPr>
          <w:rFonts w:eastAsia="Times New Roman"/>
        </w:rPr>
        <w:t>IELTS testing result is not a requirement for applicants if:</w:t>
      </w:r>
    </w:p>
    <w:p w14:paraId="5127A342" w14:textId="77777777" w:rsidR="00C07005" w:rsidRDefault="00C07005" w:rsidP="00C07005">
      <w:pPr>
        <w:pStyle w:val="Bullet"/>
        <w:numPr>
          <w:ilvl w:val="1"/>
          <w:numId w:val="28"/>
        </w:numPr>
        <w:rPr>
          <w:rFonts w:eastAsia="Times New Roman"/>
        </w:rPr>
      </w:pPr>
      <w:r>
        <w:rPr>
          <w:rFonts w:eastAsia="Times New Roman"/>
        </w:rPr>
        <w:t xml:space="preserve">English was the language of instruction for your undergraduate degree, or  </w:t>
      </w:r>
    </w:p>
    <w:p w14:paraId="78AEFDE1" w14:textId="77777777" w:rsidR="00C07005" w:rsidRDefault="00C07005" w:rsidP="00C07005">
      <w:pPr>
        <w:pStyle w:val="Bullet"/>
        <w:numPr>
          <w:ilvl w:val="1"/>
          <w:numId w:val="28"/>
        </w:numPr>
        <w:rPr>
          <w:rFonts w:eastAsia="Times New Roman"/>
        </w:rPr>
      </w:pPr>
      <w:r>
        <w:rPr>
          <w:rFonts w:eastAsia="Times New Roman"/>
        </w:rPr>
        <w:t xml:space="preserve">you studied in Australia within the last two-years, or </w:t>
      </w:r>
    </w:p>
    <w:p w14:paraId="6C4E97F2" w14:textId="3CF24EDA" w:rsidR="00C07005" w:rsidRDefault="00C07005" w:rsidP="00C07005">
      <w:pPr>
        <w:pStyle w:val="Bullet"/>
        <w:numPr>
          <w:ilvl w:val="1"/>
          <w:numId w:val="28"/>
        </w:numPr>
        <w:rPr>
          <w:rFonts w:eastAsia="Times New Roman"/>
        </w:rPr>
      </w:pPr>
      <w:r>
        <w:rPr>
          <w:rFonts w:eastAsia="Times New Roman"/>
        </w:rPr>
        <w:t xml:space="preserve">you completed over five years of study in one of the following </w:t>
      </w:r>
      <w:r w:rsidR="003842D9">
        <w:rPr>
          <w:rFonts w:eastAsia="Times New Roman"/>
        </w:rPr>
        <w:t>English-speaking</w:t>
      </w:r>
      <w:r>
        <w:rPr>
          <w:rFonts w:eastAsia="Times New Roman"/>
        </w:rPr>
        <w:t xml:space="preserve"> countries: Australia, UK, USA, Canada, New Zealand, South Africa, or the Republic of Ireland</w:t>
      </w:r>
    </w:p>
    <w:p w14:paraId="1E281ED2" w14:textId="77777777" w:rsidR="00C07005" w:rsidRDefault="00C07005" w:rsidP="00C07005">
      <w:pPr>
        <w:pStyle w:val="Bullet"/>
        <w:numPr>
          <w:ilvl w:val="0"/>
          <w:numId w:val="28"/>
        </w:numPr>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answer all relevant questions on the application form.</w:t>
      </w:r>
    </w:p>
    <w:p w14:paraId="58273385" w14:textId="77777777" w:rsidR="0077455E" w:rsidRDefault="0077455E" w:rsidP="0077455E">
      <w:pPr>
        <w:pStyle w:val="Heading3"/>
        <w:rPr>
          <w:color w:val="002060"/>
          <w:sz w:val="21"/>
          <w:szCs w:val="21"/>
        </w:rPr>
      </w:pPr>
      <w:r>
        <w:rPr>
          <w:color w:val="002060"/>
          <w:sz w:val="21"/>
          <w:szCs w:val="21"/>
        </w:rPr>
        <w:lastRenderedPageBreak/>
        <w:t xml:space="preserve">Application dates </w:t>
      </w:r>
    </w:p>
    <w:p w14:paraId="72F05094" w14:textId="77777777" w:rsidR="0077455E" w:rsidRDefault="0077455E" w:rsidP="0077455E">
      <w:pPr>
        <w:pStyle w:val="Heading3"/>
        <w:spacing w:before="0" w:after="0" w:line="240" w:lineRule="auto"/>
        <w:jc w:val="both"/>
        <w:rPr>
          <w:rFonts w:eastAsiaTheme="minorHAnsi" w:cs="Arial"/>
          <w:b w:val="0"/>
          <w:bCs w:val="0"/>
          <w:color w:val="000000"/>
          <w:spacing w:val="0"/>
        </w:rPr>
      </w:pPr>
      <w:r>
        <w:rPr>
          <w:b w:val="0"/>
          <w:color w:val="auto"/>
          <w:sz w:val="22"/>
          <w:szCs w:val="22"/>
        </w:rPr>
        <w:t>F</w:t>
      </w:r>
      <w:r>
        <w:rPr>
          <w:b w:val="0"/>
          <w:color w:val="auto"/>
        </w:rPr>
        <w:t>or study commencing in Australia in</w:t>
      </w:r>
      <w:r>
        <w:rPr>
          <w:color w:val="auto"/>
        </w:rPr>
        <w:t xml:space="preserve"> </w:t>
      </w:r>
      <w:r>
        <w:rPr>
          <w:rFonts w:eastAsiaTheme="minorHAnsi" w:cs="Arial"/>
          <w:b w:val="0"/>
          <w:bCs w:val="0"/>
          <w:color w:val="000000"/>
          <w:spacing w:val="0"/>
        </w:rPr>
        <w:t>2025:</w:t>
      </w:r>
    </w:p>
    <w:p w14:paraId="085020C0" w14:textId="2708C217" w:rsidR="0077455E" w:rsidRDefault="0077455E" w:rsidP="0077455E">
      <w:pPr>
        <w:pStyle w:val="BodyCopy"/>
        <w:tabs>
          <w:tab w:val="left" w:pos="1560"/>
        </w:tabs>
        <w:spacing w:before="60" w:after="0" w:line="240" w:lineRule="auto"/>
        <w:jc w:val="both"/>
        <w:rPr>
          <w:color w:val="auto"/>
        </w:rPr>
      </w:pPr>
      <w:r>
        <w:rPr>
          <w:color w:val="auto"/>
        </w:rPr>
        <w:t>Opening date:</w:t>
      </w:r>
      <w:r w:rsidR="00054486">
        <w:rPr>
          <w:color w:val="auto"/>
        </w:rPr>
        <w:t>1</w:t>
      </w:r>
      <w:r w:rsidR="006C527E">
        <w:rPr>
          <w:color w:val="auto"/>
        </w:rPr>
        <w:t>3</w:t>
      </w:r>
      <w:r>
        <w:rPr>
          <w:color w:val="auto"/>
        </w:rPr>
        <w:t xml:space="preserve"> March 2024</w:t>
      </w:r>
      <w:r>
        <w:rPr>
          <w:color w:val="auto"/>
        </w:rPr>
        <w:tab/>
      </w:r>
    </w:p>
    <w:p w14:paraId="05051748" w14:textId="7F1B9822" w:rsidR="0077455E" w:rsidRDefault="0077455E" w:rsidP="0077455E">
      <w:pPr>
        <w:pStyle w:val="BodyCopy"/>
        <w:tabs>
          <w:tab w:val="left" w:pos="1560"/>
        </w:tabs>
        <w:spacing w:before="60" w:after="0" w:line="240" w:lineRule="auto"/>
        <w:jc w:val="both"/>
        <w:rPr>
          <w:b/>
          <w:color w:val="auto"/>
        </w:rPr>
      </w:pPr>
      <w:r>
        <w:rPr>
          <w:color w:val="auto"/>
        </w:rPr>
        <w:t xml:space="preserve">Closing date:  </w:t>
      </w:r>
      <w:r w:rsidR="009E01DB">
        <w:rPr>
          <w:color w:val="auto"/>
        </w:rPr>
        <w:t xml:space="preserve">15 May </w:t>
      </w:r>
      <w:r>
        <w:rPr>
          <w:color w:val="auto"/>
        </w:rPr>
        <w:t xml:space="preserve"> 2024 (11.59PM AEST)</w:t>
      </w:r>
      <w:r>
        <w:rPr>
          <w:color w:val="auto"/>
        </w:rPr>
        <w:tab/>
      </w:r>
    </w:p>
    <w:p w14:paraId="2F5ADB1B" w14:textId="77777777" w:rsidR="0077455E" w:rsidRDefault="0077455E" w:rsidP="0077455E">
      <w:pPr>
        <w:pStyle w:val="BodyCopy"/>
        <w:spacing w:before="120" w:after="120"/>
        <w:rPr>
          <w:color w:val="000000"/>
          <w:lang w:eastAsia="en-AU"/>
        </w:rPr>
      </w:pPr>
      <w:r>
        <w:rPr>
          <w:color w:val="000000"/>
          <w:lang w:eastAsia="en-AU"/>
        </w:rPr>
        <w:t xml:space="preserve">Applications and/or supporting documents received after the closing date will not be considered. </w:t>
      </w:r>
    </w:p>
    <w:p w14:paraId="2203D30A" w14:textId="77777777" w:rsidR="00E15C81" w:rsidRDefault="00E15C81" w:rsidP="00E15C81">
      <w:pPr>
        <w:pStyle w:val="Heading3"/>
        <w:rPr>
          <w:color w:val="002060"/>
          <w:sz w:val="21"/>
          <w:szCs w:val="21"/>
        </w:rPr>
      </w:pPr>
      <w:r>
        <w:rPr>
          <w:color w:val="002060"/>
          <w:sz w:val="21"/>
          <w:szCs w:val="21"/>
        </w:rPr>
        <w:t>The application process</w:t>
      </w:r>
      <w:r>
        <w:rPr>
          <w:color w:val="002060"/>
          <w:sz w:val="21"/>
          <w:szCs w:val="21"/>
        </w:rPr>
        <w:softHyphen/>
        <w:t xml:space="preserve"> </w:t>
      </w:r>
    </w:p>
    <w:p w14:paraId="235F2C8F" w14:textId="77777777" w:rsidR="006C527E" w:rsidRPr="000D46EA" w:rsidRDefault="006C527E" w:rsidP="006C527E">
      <w:pPr>
        <w:keepNext/>
        <w:keepLines/>
        <w:spacing w:line="276" w:lineRule="auto"/>
        <w:outlineLvl w:val="3"/>
        <w:rPr>
          <w:rFonts w:ascii="Arial" w:eastAsiaTheme="majorEastAsia" w:hAnsi="Arial" w:cstheme="majorBidi"/>
          <w:b/>
          <w:bCs/>
          <w:iCs/>
          <w:color w:val="00759A" w:themeColor="accent1"/>
          <w:spacing w:val="-2"/>
        </w:rPr>
      </w:pPr>
      <w:r w:rsidRPr="000D46EA">
        <w:rPr>
          <w:rFonts w:ascii="Arial" w:eastAsiaTheme="majorEastAsia" w:hAnsi="Arial" w:cstheme="majorBidi"/>
          <w:b/>
          <w:bCs/>
          <w:iCs/>
          <w:color w:val="00759A" w:themeColor="accent1"/>
          <w:spacing w:val="-2"/>
        </w:rPr>
        <w:t>Online applications</w:t>
      </w:r>
    </w:p>
    <w:p w14:paraId="0B91FED2" w14:textId="7FF85239" w:rsidR="00D954AF" w:rsidRDefault="006C527E" w:rsidP="00E15C81">
      <w:pPr>
        <w:pStyle w:val="Heading4"/>
        <w:rPr>
          <w:color w:val="004A7A" w:themeColor="text2" w:themeTint="E6"/>
          <w:kern w:val="28"/>
          <w:szCs w:val="52"/>
          <w:lang w:eastAsia="en-AU"/>
        </w:rPr>
      </w:pPr>
      <w:r w:rsidRPr="000D46EA">
        <w:rPr>
          <w:b w:val="0"/>
          <w:bCs w:val="0"/>
          <w:color w:val="000000" w:themeColor="text1"/>
        </w:rPr>
        <w:t>Apply online through</w:t>
      </w:r>
      <w:r w:rsidRPr="000D46EA">
        <w:rPr>
          <w:b w:val="0"/>
          <w:bCs w:val="0"/>
          <w:color w:val="auto"/>
        </w:rPr>
        <w:t xml:space="preserve"> Cognito</w:t>
      </w:r>
      <w:r w:rsidR="008F0D9E">
        <w:rPr>
          <w:b w:val="0"/>
          <w:bCs w:val="0"/>
          <w:color w:val="auto"/>
        </w:rPr>
        <w:t xml:space="preserve"> </w:t>
      </w:r>
      <w:r w:rsidRPr="000D46EA">
        <w:rPr>
          <w:b w:val="0"/>
          <w:bCs w:val="0"/>
          <w:color w:val="auto"/>
        </w:rPr>
        <w:t>form</w:t>
      </w:r>
      <w:r w:rsidRPr="000D46EA">
        <w:rPr>
          <w:color w:val="auto"/>
        </w:rPr>
        <w:t xml:space="preserve"> </w:t>
      </w:r>
      <w:hyperlink r:id="rId17" w:history="1">
        <w:r w:rsidRPr="000D46EA">
          <w:rPr>
            <w:color w:val="004A7A" w:themeColor="text2" w:themeTint="E6"/>
            <w:kern w:val="28"/>
            <w:szCs w:val="52"/>
            <w:lang w:eastAsia="en-AU"/>
          </w:rPr>
          <w:t>https://www.australiaawardsindonesia.org/id/ASEAN</w:t>
        </w:r>
      </w:hyperlink>
    </w:p>
    <w:p w14:paraId="254B9BA9" w14:textId="7AE987CA" w:rsidR="00E15C81" w:rsidRDefault="00E15C81" w:rsidP="00E15C81">
      <w:pPr>
        <w:pStyle w:val="Heading4"/>
      </w:pPr>
      <w:r>
        <w:t>Supporting documents</w:t>
      </w:r>
    </w:p>
    <w:p w14:paraId="609F5964" w14:textId="77777777" w:rsidR="00E15C81" w:rsidRDefault="00E15C81" w:rsidP="00E15C81">
      <w:pPr>
        <w:pStyle w:val="Heading3"/>
        <w:spacing w:before="120" w:after="120"/>
        <w:rPr>
          <w:b w:val="0"/>
          <w:color w:val="000000" w:themeColor="text1"/>
          <w:kern w:val="28"/>
          <w:szCs w:val="52"/>
          <w:lang w:eastAsia="en-AU"/>
        </w:rPr>
      </w:pPr>
      <w:r>
        <w:rPr>
          <w:b w:val="0"/>
          <w:color w:val="000000" w:themeColor="text1"/>
          <w:kern w:val="28"/>
          <w:szCs w:val="52"/>
          <w:lang w:eastAsia="en-AU"/>
        </w:rPr>
        <w:t xml:space="preserve">Applicants must submit </w:t>
      </w:r>
      <w:proofErr w:type="gramStart"/>
      <w:r>
        <w:rPr>
          <w:b w:val="0"/>
          <w:color w:val="000000" w:themeColor="text1"/>
          <w:kern w:val="28"/>
          <w:szCs w:val="52"/>
          <w:lang w:eastAsia="en-AU"/>
        </w:rPr>
        <w:t>all of</w:t>
      </w:r>
      <w:proofErr w:type="gramEnd"/>
      <w:r>
        <w:rPr>
          <w:b w:val="0"/>
          <w:color w:val="000000" w:themeColor="text1"/>
          <w:kern w:val="28"/>
          <w:szCs w:val="52"/>
          <w:lang w:eastAsia="en-AU"/>
        </w:rPr>
        <w:t xml:space="preserve"> the relevant supporting documents listed in the </w:t>
      </w:r>
      <w:r>
        <w:rPr>
          <w:b w:val="0"/>
          <w:i/>
          <w:color w:val="000000" w:themeColor="text1"/>
          <w:kern w:val="28"/>
          <w:szCs w:val="52"/>
          <w:lang w:eastAsia="en-AU"/>
        </w:rPr>
        <w:t>Australia Awards Scholarships Policy Handbook</w:t>
      </w:r>
      <w:r>
        <w:rPr>
          <w:b w:val="0"/>
          <w:color w:val="000000" w:themeColor="text1"/>
          <w:kern w:val="28"/>
          <w:szCs w:val="52"/>
          <w:lang w:eastAsia="en-AU"/>
        </w:rPr>
        <w:t xml:space="preserve">. </w:t>
      </w:r>
    </w:p>
    <w:p w14:paraId="5C35379B" w14:textId="77777777" w:rsidR="00E15C81" w:rsidRDefault="00E15C81" w:rsidP="00E15C81">
      <w:pPr>
        <w:pStyle w:val="Heading3"/>
        <w:spacing w:before="120" w:after="120"/>
        <w:rPr>
          <w:b w:val="0"/>
          <w:color w:val="000000" w:themeColor="text1"/>
          <w:kern w:val="28"/>
          <w:szCs w:val="52"/>
          <w:lang w:eastAsia="en-AU"/>
        </w:rPr>
      </w:pPr>
      <w:r>
        <w:rPr>
          <w:b w:val="0"/>
          <w:color w:val="000000" w:themeColor="text1"/>
          <w:kern w:val="28"/>
          <w:szCs w:val="52"/>
          <w:lang w:eastAsia="en-AU"/>
        </w:rPr>
        <w:t>Applicants must also provide the following documents to meet the specific requirements:</w:t>
      </w:r>
    </w:p>
    <w:p w14:paraId="00A30CD4" w14:textId="77777777" w:rsidR="00E15C81" w:rsidRDefault="00E15C81" w:rsidP="00E15C81">
      <w:pPr>
        <w:pStyle w:val="BodyCopy"/>
        <w:spacing w:before="120" w:after="120" w:line="240" w:lineRule="auto"/>
        <w:contextualSpacing/>
        <w:rPr>
          <w:sz w:val="6"/>
          <w:szCs w:val="6"/>
          <w:lang w:eastAsia="en-AU"/>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E15C81" w14:paraId="68DDAD19" w14:textId="77777777" w:rsidTr="00E15C81">
        <w:tc>
          <w:tcPr>
            <w:tcW w:w="9776" w:type="dxa"/>
            <w:tcBorders>
              <w:top w:val="single" w:sz="4" w:space="0" w:color="auto"/>
              <w:left w:val="single" w:sz="4" w:space="0" w:color="auto"/>
              <w:bottom w:val="single" w:sz="4" w:space="0" w:color="auto"/>
              <w:right w:val="single" w:sz="4" w:space="0" w:color="auto"/>
            </w:tcBorders>
            <w:shd w:val="solid" w:color="3CB6CE" w:fill="93D5FF" w:themeFill="text2" w:themeFillTint="40"/>
            <w:vAlign w:val="center"/>
            <w:hideMark/>
          </w:tcPr>
          <w:p w14:paraId="0A2FDA7D" w14:textId="77777777" w:rsidR="00E15C81" w:rsidRPr="00DB32CF" w:rsidRDefault="00E15C81" w:rsidP="00E15C81">
            <w:pPr>
              <w:spacing w:before="240" w:after="240"/>
              <w:ind w:left="140" w:right="139"/>
              <w:rPr>
                <w:rFonts w:ascii="Calibri" w:hAnsi="Calibri"/>
                <w:b/>
                <w:sz w:val="22"/>
                <w:szCs w:val="22"/>
                <w:lang w:eastAsia="en-AU"/>
              </w:rPr>
            </w:pPr>
            <w:r w:rsidRPr="00DB32CF">
              <w:rPr>
                <w:rFonts w:ascii="Calibri" w:hAnsi="Calibri"/>
                <w:b/>
                <w:sz w:val="22"/>
                <w:szCs w:val="22"/>
                <w:lang w:eastAsia="en-AU"/>
              </w:rPr>
              <w:t xml:space="preserve">OASIS </w:t>
            </w:r>
            <w:r w:rsidRPr="00DB32CF">
              <w:rPr>
                <w:rFonts w:ascii="Calibri" w:hAnsi="Calibri"/>
                <w:b/>
                <w:sz w:val="22"/>
                <w:szCs w:val="22"/>
                <w:lang w:eastAsia="en-AU"/>
              </w:rPr>
              <w:br/>
              <w:t>document type</w:t>
            </w:r>
          </w:p>
        </w:tc>
      </w:tr>
      <w:tr w:rsidR="00E15C81" w14:paraId="7C8B1E77" w14:textId="77777777" w:rsidTr="00E15C81">
        <w:tc>
          <w:tcPr>
            <w:tcW w:w="9776" w:type="dxa"/>
            <w:tcBorders>
              <w:top w:val="single" w:sz="4" w:space="0" w:color="auto"/>
              <w:left w:val="single" w:sz="4" w:space="0" w:color="auto"/>
              <w:bottom w:val="single" w:sz="4" w:space="0" w:color="auto"/>
              <w:right w:val="single" w:sz="4" w:space="0" w:color="auto"/>
            </w:tcBorders>
            <w:hideMark/>
          </w:tcPr>
          <w:p w14:paraId="1B468C90" w14:textId="05B82AD7" w:rsidR="00E15C81" w:rsidRDefault="00D46082" w:rsidP="00E60083">
            <w:pPr>
              <w:ind w:right="335"/>
              <w:rPr>
                <w:rFonts w:ascii="Arial" w:hAnsi="Arial" w:cs="Arial"/>
                <w:lang w:eastAsia="en-AU"/>
              </w:rPr>
            </w:pPr>
            <w:r w:rsidRPr="00D46082">
              <w:rPr>
                <w:rFonts w:ascii="Arial" w:hAnsi="Arial" w:cs="Arial"/>
                <w:lang w:eastAsia="en-AU"/>
              </w:rPr>
              <w:t>Birth certificate</w:t>
            </w:r>
          </w:p>
        </w:tc>
      </w:tr>
      <w:tr w:rsidR="00E15C81" w14:paraId="68AE6A50" w14:textId="77777777" w:rsidTr="00E15C81">
        <w:tc>
          <w:tcPr>
            <w:tcW w:w="9776" w:type="dxa"/>
            <w:tcBorders>
              <w:top w:val="single" w:sz="4" w:space="0" w:color="auto"/>
              <w:left w:val="single" w:sz="4" w:space="0" w:color="auto"/>
              <w:bottom w:val="single" w:sz="4" w:space="0" w:color="auto"/>
              <w:right w:val="single" w:sz="4" w:space="0" w:color="auto"/>
            </w:tcBorders>
            <w:hideMark/>
          </w:tcPr>
          <w:p w14:paraId="001CB73E" w14:textId="77777777" w:rsidR="00E15C81" w:rsidRDefault="00E15C81">
            <w:pPr>
              <w:ind w:right="335"/>
              <w:rPr>
                <w:rFonts w:ascii="Arial" w:hAnsi="Arial" w:cs="Arial"/>
                <w:lang w:eastAsia="en-AU"/>
              </w:rPr>
            </w:pPr>
            <w:r>
              <w:rPr>
                <w:rFonts w:ascii="Arial" w:hAnsi="Arial" w:cs="Arial"/>
                <w:lang w:eastAsia="en-AU"/>
              </w:rPr>
              <w:t xml:space="preserve">Proof of citizenship </w:t>
            </w:r>
            <w:proofErr w:type="gramStart"/>
            <w:r>
              <w:rPr>
                <w:rFonts w:ascii="Arial" w:hAnsi="Arial" w:cs="Arial"/>
                <w:lang w:eastAsia="en-AU"/>
              </w:rPr>
              <w:t>e.g.</w:t>
            </w:r>
            <w:proofErr w:type="gramEnd"/>
            <w:r>
              <w:rPr>
                <w:rFonts w:ascii="Arial" w:hAnsi="Arial" w:cs="Arial"/>
                <w:lang w:eastAsia="en-AU"/>
              </w:rPr>
              <w:t xml:space="preserve"> passport</w:t>
            </w:r>
          </w:p>
        </w:tc>
      </w:tr>
      <w:tr w:rsidR="00E15C81" w14:paraId="0B1E9E63" w14:textId="77777777" w:rsidTr="00E15C81">
        <w:tc>
          <w:tcPr>
            <w:tcW w:w="9776" w:type="dxa"/>
            <w:tcBorders>
              <w:top w:val="single" w:sz="4" w:space="0" w:color="auto"/>
              <w:left w:val="single" w:sz="4" w:space="0" w:color="auto"/>
              <w:bottom w:val="single" w:sz="4" w:space="0" w:color="auto"/>
              <w:right w:val="single" w:sz="4" w:space="0" w:color="auto"/>
            </w:tcBorders>
            <w:hideMark/>
          </w:tcPr>
          <w:p w14:paraId="66D81806" w14:textId="77777777" w:rsidR="00E15C81" w:rsidRDefault="00E15C81">
            <w:pPr>
              <w:ind w:right="335"/>
              <w:rPr>
                <w:rFonts w:ascii="Arial" w:hAnsi="Arial" w:cs="Arial"/>
                <w:lang w:eastAsia="en-AU"/>
              </w:rPr>
            </w:pPr>
            <w:r>
              <w:rPr>
                <w:rFonts w:ascii="Arial" w:hAnsi="Arial" w:cs="Arial"/>
                <w:lang w:eastAsia="en-AU"/>
              </w:rPr>
              <w:t>Current Curriculum Vitae</w:t>
            </w:r>
          </w:p>
        </w:tc>
      </w:tr>
      <w:tr w:rsidR="00E15C81" w14:paraId="40EB41D2" w14:textId="77777777" w:rsidTr="00E15C81">
        <w:tc>
          <w:tcPr>
            <w:tcW w:w="9776" w:type="dxa"/>
            <w:tcBorders>
              <w:top w:val="single" w:sz="4" w:space="0" w:color="auto"/>
              <w:left w:val="single" w:sz="4" w:space="0" w:color="auto"/>
              <w:bottom w:val="single" w:sz="4" w:space="0" w:color="auto"/>
              <w:right w:val="single" w:sz="4" w:space="0" w:color="auto"/>
            </w:tcBorders>
            <w:hideMark/>
          </w:tcPr>
          <w:p w14:paraId="30AEE746" w14:textId="77777777" w:rsidR="00E15C81" w:rsidRDefault="00E15C81">
            <w:pPr>
              <w:ind w:right="335"/>
              <w:rPr>
                <w:rFonts w:ascii="Arial" w:hAnsi="Arial" w:cs="Arial"/>
                <w:lang w:eastAsia="en-AU"/>
              </w:rPr>
            </w:pPr>
            <w:r>
              <w:rPr>
                <w:rFonts w:ascii="Arial" w:hAnsi="Arial" w:cs="Arial"/>
                <w:lang w:eastAsia="en-AU"/>
              </w:rPr>
              <w:t xml:space="preserve">All official degrees, certificates, </w:t>
            </w:r>
            <w:proofErr w:type="gramStart"/>
            <w:r>
              <w:rPr>
                <w:rFonts w:ascii="Arial" w:hAnsi="Arial" w:cs="Arial"/>
                <w:lang w:eastAsia="en-AU"/>
              </w:rPr>
              <w:t>diplomas</w:t>
            </w:r>
            <w:proofErr w:type="gramEnd"/>
            <w:r>
              <w:rPr>
                <w:rFonts w:ascii="Arial" w:hAnsi="Arial" w:cs="Arial"/>
                <w:lang w:eastAsia="en-AU"/>
              </w:rPr>
              <w:t xml:space="preserve"> and their transcripts</w:t>
            </w:r>
            <w:r>
              <w:rPr>
                <w:i/>
                <w:iCs/>
                <w:color w:val="002060"/>
                <w:sz w:val="21"/>
                <w:szCs w:val="21"/>
              </w:rPr>
              <w:t>*</w:t>
            </w:r>
          </w:p>
        </w:tc>
      </w:tr>
      <w:tr w:rsidR="00E15C81" w14:paraId="334D0AB5" w14:textId="77777777" w:rsidTr="00E15C81">
        <w:tc>
          <w:tcPr>
            <w:tcW w:w="9776" w:type="dxa"/>
            <w:tcBorders>
              <w:top w:val="single" w:sz="4" w:space="0" w:color="auto"/>
              <w:left w:val="single" w:sz="4" w:space="0" w:color="auto"/>
              <w:bottom w:val="single" w:sz="4" w:space="0" w:color="auto"/>
              <w:right w:val="single" w:sz="4" w:space="0" w:color="auto"/>
            </w:tcBorders>
            <w:hideMark/>
          </w:tcPr>
          <w:p w14:paraId="1C48E384" w14:textId="77777777" w:rsidR="00E15C81" w:rsidRDefault="00E15C81">
            <w:pPr>
              <w:ind w:right="335"/>
              <w:rPr>
                <w:rFonts w:ascii="Arial" w:hAnsi="Arial" w:cs="Arial"/>
                <w:lang w:eastAsia="en-AU"/>
              </w:rPr>
            </w:pPr>
            <w:r>
              <w:rPr>
                <w:rFonts w:ascii="Arial" w:hAnsi="Arial" w:cs="Arial"/>
                <w:lang w:eastAsia="en-AU"/>
              </w:rPr>
              <w:t xml:space="preserve">Current (original) IELTS, or TOEFL, or PTE result (if applicable). </w:t>
            </w:r>
          </w:p>
        </w:tc>
      </w:tr>
    </w:tbl>
    <w:p w14:paraId="4A43AED6" w14:textId="77777777" w:rsidR="008F0D9E" w:rsidRDefault="008F0D9E" w:rsidP="00F03221">
      <w:pPr>
        <w:pStyle w:val="Heading3"/>
        <w:spacing w:before="0"/>
        <w:rPr>
          <w:b w:val="0"/>
          <w:bCs w:val="0"/>
          <w:i/>
          <w:iCs/>
          <w:color w:val="000000" w:themeColor="text1"/>
          <w:kern w:val="28"/>
          <w:szCs w:val="52"/>
          <w:lang w:eastAsia="en-AU"/>
        </w:rPr>
      </w:pPr>
      <w:r>
        <w:rPr>
          <w:i/>
          <w:iCs/>
          <w:color w:val="002060"/>
          <w:sz w:val="21"/>
          <w:szCs w:val="21"/>
        </w:rPr>
        <w:t>*</w:t>
      </w:r>
      <w:r>
        <w:rPr>
          <w:b w:val="0"/>
          <w:bCs w:val="0"/>
          <w:i/>
          <w:iCs/>
          <w:color w:val="000000" w:themeColor="text1"/>
          <w:kern w:val="28"/>
          <w:szCs w:val="52"/>
          <w:lang w:eastAsia="en-AU"/>
        </w:rPr>
        <w:t xml:space="preserve">Must be certified </w:t>
      </w:r>
      <w:proofErr w:type="gramStart"/>
      <w:r>
        <w:rPr>
          <w:b w:val="0"/>
          <w:bCs w:val="0"/>
          <w:i/>
          <w:iCs/>
          <w:color w:val="000000" w:themeColor="text1"/>
          <w:kern w:val="28"/>
          <w:szCs w:val="52"/>
          <w:lang w:eastAsia="en-AU"/>
        </w:rPr>
        <w:t>by:</w:t>
      </w:r>
      <w:proofErr w:type="gramEnd"/>
      <w:r>
        <w:rPr>
          <w:b w:val="0"/>
          <w:bCs w:val="0"/>
          <w:i/>
          <w:iCs/>
          <w:color w:val="000000" w:themeColor="text1"/>
          <w:kern w:val="28"/>
          <w:szCs w:val="52"/>
          <w:lang w:eastAsia="en-AU"/>
        </w:rPr>
        <w:t xml:space="preserve"> a notary; or the official records department of the institution that originally issued the document/s.</w:t>
      </w:r>
    </w:p>
    <w:p w14:paraId="21972BC6" w14:textId="77777777" w:rsidR="008F0D9E" w:rsidRPr="003120D6" w:rsidRDefault="008F0D9E" w:rsidP="00F03221">
      <w:pPr>
        <w:pStyle w:val="Heading3"/>
        <w:spacing w:before="0"/>
        <w:rPr>
          <w:b w:val="0"/>
          <w:bCs w:val="0"/>
          <w:i/>
          <w:iCs/>
          <w:color w:val="000000" w:themeColor="text1"/>
          <w:kern w:val="28"/>
          <w:szCs w:val="52"/>
          <w:lang w:eastAsia="en-AU"/>
        </w:rPr>
      </w:pPr>
      <w:r w:rsidRPr="003120D6">
        <w:rPr>
          <w:b w:val="0"/>
          <w:bCs w:val="0"/>
          <w:i/>
          <w:iCs/>
          <w:color w:val="000000" w:themeColor="text1"/>
          <w:kern w:val="28"/>
          <w:szCs w:val="52"/>
          <w:lang w:eastAsia="en-AU"/>
        </w:rPr>
        <w:t>*If not in English, a certified translation</w:t>
      </w:r>
    </w:p>
    <w:p w14:paraId="036A1FD2" w14:textId="77777777" w:rsidR="00E15C81" w:rsidRDefault="00E15C81" w:rsidP="00E15C81">
      <w:pPr>
        <w:pStyle w:val="Heading3"/>
        <w:rPr>
          <w:color w:val="002060"/>
          <w:sz w:val="21"/>
          <w:szCs w:val="21"/>
        </w:rPr>
      </w:pPr>
      <w:r>
        <w:rPr>
          <w:color w:val="002060"/>
          <w:sz w:val="21"/>
          <w:szCs w:val="21"/>
        </w:rPr>
        <w:t xml:space="preserve">The selection </w:t>
      </w:r>
      <w:proofErr w:type="gramStart"/>
      <w:r>
        <w:rPr>
          <w:color w:val="002060"/>
          <w:sz w:val="21"/>
          <w:szCs w:val="21"/>
        </w:rPr>
        <w:t>process</w:t>
      </w:r>
      <w:proofErr w:type="gramEnd"/>
    </w:p>
    <w:p w14:paraId="19536973" w14:textId="77777777" w:rsidR="00E15C81" w:rsidRDefault="00E15C81" w:rsidP="00E15C81">
      <w:pPr>
        <w:pStyle w:val="BodyCopy"/>
        <w:numPr>
          <w:ilvl w:val="0"/>
          <w:numId w:val="27"/>
        </w:numPr>
        <w:spacing w:before="60" w:after="0" w:line="240" w:lineRule="auto"/>
        <w:ind w:left="360" w:hanging="357"/>
      </w:pPr>
      <w:r>
        <w:rPr>
          <w:rFonts w:asciiTheme="minorHAnsi" w:eastAsiaTheme="minorHAnsi" w:hAnsiTheme="minorHAnsi" w:cs="Times New Roman"/>
          <w:color w:val="auto"/>
          <w:spacing w:val="0"/>
          <w:kern w:val="0"/>
          <w:szCs w:val="20"/>
          <w:lang w:eastAsia="en-AU"/>
        </w:rPr>
        <w:t>Applications will be shortlisted after eligibility checking.</w:t>
      </w:r>
    </w:p>
    <w:p w14:paraId="3001100F" w14:textId="77777777" w:rsidR="00E15C81" w:rsidRDefault="00E15C81" w:rsidP="00E15C81">
      <w:pPr>
        <w:pStyle w:val="BodyCopy"/>
        <w:numPr>
          <w:ilvl w:val="0"/>
          <w:numId w:val="27"/>
        </w:numPr>
        <w:spacing w:before="60" w:after="0" w:line="240" w:lineRule="auto"/>
        <w:ind w:left="360" w:hanging="357"/>
      </w:pPr>
      <w:r>
        <w:rPr>
          <w:rFonts w:asciiTheme="minorHAnsi" w:eastAsiaTheme="minorHAnsi" w:hAnsiTheme="minorHAnsi" w:cs="Times New Roman"/>
          <w:color w:val="auto"/>
          <w:spacing w:val="0"/>
          <w:kern w:val="0"/>
          <w:szCs w:val="20"/>
          <w:lang w:eastAsia="en-AU"/>
        </w:rPr>
        <w:t xml:space="preserve">Only shortlisted candidates will be </w:t>
      </w:r>
      <w:proofErr w:type="gramStart"/>
      <w:r>
        <w:rPr>
          <w:rFonts w:asciiTheme="minorHAnsi" w:eastAsiaTheme="minorHAnsi" w:hAnsiTheme="minorHAnsi" w:cs="Times New Roman"/>
          <w:color w:val="auto"/>
          <w:spacing w:val="0"/>
          <w:kern w:val="0"/>
          <w:szCs w:val="20"/>
          <w:lang w:eastAsia="en-AU"/>
        </w:rPr>
        <w:t>contacted</w:t>
      </w:r>
      <w:proofErr w:type="gramEnd"/>
      <w:r>
        <w:rPr>
          <w:rFonts w:asciiTheme="minorHAnsi" w:eastAsiaTheme="minorHAnsi" w:hAnsiTheme="minorHAnsi" w:cs="Times New Roman"/>
          <w:color w:val="auto"/>
          <w:spacing w:val="0"/>
          <w:kern w:val="0"/>
          <w:szCs w:val="20"/>
          <w:lang w:eastAsia="en-AU"/>
        </w:rPr>
        <w:t xml:space="preserve"> </w:t>
      </w:r>
    </w:p>
    <w:p w14:paraId="33D1DA87" w14:textId="77777777" w:rsidR="00E15C81" w:rsidRDefault="00E15C81" w:rsidP="00E15C81">
      <w:pPr>
        <w:pStyle w:val="BodyCopy"/>
        <w:numPr>
          <w:ilvl w:val="0"/>
          <w:numId w:val="27"/>
        </w:numPr>
        <w:spacing w:before="60" w:after="0" w:line="240" w:lineRule="auto"/>
        <w:ind w:left="360" w:hanging="357"/>
      </w:pPr>
      <w:r>
        <w:rPr>
          <w:rFonts w:asciiTheme="minorHAnsi" w:eastAsiaTheme="minorHAnsi" w:hAnsiTheme="minorHAnsi" w:cs="Times New Roman"/>
          <w:color w:val="auto"/>
          <w:spacing w:val="0"/>
          <w:kern w:val="0"/>
          <w:szCs w:val="20"/>
          <w:lang w:eastAsia="en-AU"/>
        </w:rPr>
        <w:t>The selection process includes an interview. Applicants will be assessed against the following criteria:</w:t>
      </w:r>
    </w:p>
    <w:p w14:paraId="14B94709" w14:textId="77777777" w:rsidR="00E15C81" w:rsidRDefault="00E15C81" w:rsidP="00E15C81">
      <w:pPr>
        <w:pStyle w:val="Bullet"/>
        <w:numPr>
          <w:ilvl w:val="0"/>
          <w:numId w:val="29"/>
        </w:numPr>
        <w:tabs>
          <w:tab w:val="left" w:pos="720"/>
        </w:tabs>
        <w:spacing w:before="60" w:after="0" w:line="240" w:lineRule="auto"/>
        <w:jc w:val="both"/>
      </w:pPr>
      <w:r>
        <w:rPr>
          <w:rFonts w:asciiTheme="minorHAnsi" w:eastAsiaTheme="minorHAnsi" w:hAnsiTheme="minorHAnsi" w:cs="Times New Roman"/>
          <w:color w:val="auto"/>
          <w:spacing w:val="0"/>
          <w:kern w:val="0"/>
          <w:szCs w:val="20"/>
          <w:lang w:eastAsia="en-AU"/>
        </w:rPr>
        <w:t>academic competence</w:t>
      </w:r>
    </w:p>
    <w:p w14:paraId="22E6DD84" w14:textId="77777777" w:rsidR="00E15C81" w:rsidRDefault="00E15C81" w:rsidP="00E15C81">
      <w:pPr>
        <w:pStyle w:val="Bullet"/>
        <w:numPr>
          <w:ilvl w:val="0"/>
          <w:numId w:val="29"/>
        </w:numPr>
        <w:tabs>
          <w:tab w:val="left" w:pos="720"/>
        </w:tabs>
        <w:spacing w:before="60" w:after="0" w:line="240" w:lineRule="auto"/>
      </w:pPr>
      <w:r>
        <w:rPr>
          <w:rFonts w:asciiTheme="minorHAnsi" w:eastAsiaTheme="minorHAnsi" w:hAnsiTheme="minorHAnsi" w:cs="Times New Roman"/>
          <w:color w:val="auto"/>
          <w:spacing w:val="0"/>
          <w:kern w:val="0"/>
          <w:szCs w:val="20"/>
          <w:lang w:eastAsia="en-AU"/>
        </w:rPr>
        <w:t>potential outcome, specifically advancing the ASEAN Outlook on the Indo-Pacific</w:t>
      </w:r>
    </w:p>
    <w:p w14:paraId="0DCCE21B" w14:textId="2CAEA2AE" w:rsidR="00E15C81" w:rsidRDefault="00E15C81" w:rsidP="00E15C81">
      <w:pPr>
        <w:pStyle w:val="Bullet"/>
        <w:numPr>
          <w:ilvl w:val="0"/>
          <w:numId w:val="29"/>
        </w:numPr>
        <w:tabs>
          <w:tab w:val="left" w:pos="720"/>
        </w:tabs>
        <w:spacing w:before="60" w:after="0" w:line="240" w:lineRule="auto"/>
      </w:pPr>
      <w:r>
        <w:rPr>
          <w:rFonts w:asciiTheme="minorHAnsi" w:eastAsiaTheme="minorHAnsi" w:hAnsiTheme="minorHAnsi" w:cs="Times New Roman"/>
          <w:color w:val="auto"/>
          <w:spacing w:val="0"/>
          <w:kern w:val="0"/>
          <w:szCs w:val="20"/>
          <w:lang w:eastAsia="en-AU"/>
        </w:rPr>
        <w:t xml:space="preserve">professional and personal leadership attributes including relevant work </w:t>
      </w:r>
      <w:proofErr w:type="gramStart"/>
      <w:r>
        <w:rPr>
          <w:rFonts w:asciiTheme="minorHAnsi" w:eastAsiaTheme="minorHAnsi" w:hAnsiTheme="minorHAnsi" w:cs="Times New Roman"/>
          <w:color w:val="auto"/>
          <w:spacing w:val="0"/>
          <w:kern w:val="0"/>
          <w:szCs w:val="20"/>
          <w:lang w:eastAsia="en-AU"/>
        </w:rPr>
        <w:t>experience</w:t>
      </w:r>
      <w:proofErr w:type="gramEnd"/>
    </w:p>
    <w:p w14:paraId="080ACE6C" w14:textId="77777777" w:rsidR="00E15C81" w:rsidRDefault="00E15C81" w:rsidP="00E15C81">
      <w:pPr>
        <w:pStyle w:val="BodyCopy"/>
        <w:numPr>
          <w:ilvl w:val="0"/>
          <w:numId w:val="27"/>
        </w:numPr>
        <w:spacing w:before="60" w:after="0" w:line="240" w:lineRule="auto"/>
        <w:ind w:left="360" w:hanging="357"/>
      </w:pPr>
      <w:r>
        <w:rPr>
          <w:rFonts w:asciiTheme="minorHAnsi" w:eastAsiaTheme="minorHAnsi" w:hAnsiTheme="minorHAnsi" w:cs="Times New Roman"/>
          <w:color w:val="auto"/>
          <w:spacing w:val="0"/>
          <w:kern w:val="0"/>
          <w:szCs w:val="20"/>
          <w:lang w:eastAsia="en-AU"/>
        </w:rPr>
        <w:t xml:space="preserve">Successful candidates will be notified in late </w:t>
      </w:r>
      <w:proofErr w:type="gramStart"/>
      <w:r>
        <w:rPr>
          <w:rFonts w:asciiTheme="minorHAnsi" w:eastAsiaTheme="minorHAnsi" w:hAnsiTheme="minorHAnsi" w:cs="Times New Roman"/>
          <w:color w:val="auto"/>
          <w:spacing w:val="0"/>
          <w:kern w:val="0"/>
          <w:szCs w:val="20"/>
          <w:lang w:eastAsia="en-AU"/>
        </w:rPr>
        <w:t>2024</w:t>
      </w:r>
      <w:proofErr w:type="gramEnd"/>
    </w:p>
    <w:p w14:paraId="219DC9F2" w14:textId="539556F4" w:rsidR="00E15C81" w:rsidRDefault="00E15C81" w:rsidP="00E15C81">
      <w:pPr>
        <w:pStyle w:val="BodyCopy"/>
        <w:numPr>
          <w:ilvl w:val="0"/>
          <w:numId w:val="27"/>
        </w:numPr>
        <w:spacing w:before="60" w:after="0" w:line="240" w:lineRule="auto"/>
        <w:ind w:left="360" w:hanging="357"/>
      </w:pPr>
      <w:r>
        <w:t xml:space="preserve">Awardee travel will be subject to meeting the requirements imposed by the Australian Government, as determined by the Department of </w:t>
      </w:r>
      <w:r w:rsidR="00CC1DD0">
        <w:t xml:space="preserve">Home Affairs, Department of </w:t>
      </w:r>
      <w:r>
        <w:t>Education</w:t>
      </w:r>
      <w:r w:rsidR="00D76283">
        <w:t xml:space="preserve"> and by the relevant Australian State or Territory g</w:t>
      </w:r>
      <w:r>
        <w:t>overnments.</w:t>
      </w:r>
    </w:p>
    <w:p w14:paraId="3D59120B" w14:textId="142DB911" w:rsidR="00E15C81" w:rsidRDefault="00E15C81" w:rsidP="00E15C81">
      <w:pPr>
        <w:pStyle w:val="Heading3"/>
        <w:rPr>
          <w:color w:val="002060"/>
          <w:sz w:val="21"/>
          <w:szCs w:val="21"/>
        </w:rPr>
      </w:pPr>
      <w:r>
        <w:rPr>
          <w:color w:val="002060"/>
          <w:sz w:val="21"/>
          <w:szCs w:val="21"/>
        </w:rPr>
        <w:t>Preparatory training</w:t>
      </w:r>
    </w:p>
    <w:p w14:paraId="1D1614A1" w14:textId="77777777" w:rsidR="00E15C81" w:rsidRDefault="00E15C81" w:rsidP="00E15C81">
      <w:pPr>
        <w:pStyle w:val="Bullet"/>
        <w:numPr>
          <w:ilvl w:val="0"/>
          <w:numId w:val="0"/>
        </w:numPr>
        <w:tabs>
          <w:tab w:val="left" w:pos="720"/>
        </w:tabs>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Successful applicants will be required to attend:</w:t>
      </w:r>
    </w:p>
    <w:p w14:paraId="732215CA" w14:textId="77777777" w:rsidR="00E15C81" w:rsidRDefault="00E15C81" w:rsidP="00E15C81">
      <w:pPr>
        <w:pStyle w:val="Bullet"/>
        <w:numPr>
          <w:ilvl w:val="0"/>
          <w:numId w:val="28"/>
        </w:numPr>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course counselling</w:t>
      </w:r>
    </w:p>
    <w:p w14:paraId="7DAAD426" w14:textId="77777777" w:rsidR="00E15C81" w:rsidRDefault="00E15C81" w:rsidP="00E15C81">
      <w:pPr>
        <w:pStyle w:val="Bullet"/>
        <w:numPr>
          <w:ilvl w:val="0"/>
          <w:numId w:val="28"/>
        </w:numPr>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pre-departure briefing</w:t>
      </w:r>
    </w:p>
    <w:p w14:paraId="1D99BA0E" w14:textId="77777777" w:rsidR="00E15C81" w:rsidRDefault="00E15C81" w:rsidP="00E15C81">
      <w:pPr>
        <w:pStyle w:val="Bullet"/>
        <w:numPr>
          <w:ilvl w:val="0"/>
          <w:numId w:val="28"/>
        </w:numPr>
        <w:spacing w:before="60" w:after="0"/>
      </w:pPr>
      <w:r>
        <w:rPr>
          <w:lang w:eastAsia="en-AU"/>
        </w:rPr>
        <w:t xml:space="preserve">university’s Introductory Academic Program </w:t>
      </w:r>
    </w:p>
    <w:p w14:paraId="1A6B11C1" w14:textId="39BDFEC6" w:rsidR="00A12FDA" w:rsidRDefault="00E15C81" w:rsidP="00246DC0">
      <w:pPr>
        <w:pStyle w:val="Bullet"/>
        <w:numPr>
          <w:ilvl w:val="0"/>
          <w:numId w:val="28"/>
        </w:numPr>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other required preparatory study on arrival in Australia.</w:t>
      </w:r>
    </w:p>
    <w:p w14:paraId="48E3BAAF" w14:textId="77777777" w:rsidR="00A12FDA" w:rsidRDefault="00A12FDA">
      <w:pPr>
        <w:rPr>
          <w:lang w:eastAsia="en-AU"/>
        </w:rPr>
      </w:pPr>
      <w:r>
        <w:rPr>
          <w:lang w:eastAsia="en-AU"/>
        </w:rPr>
        <w:br w:type="page"/>
      </w:r>
    </w:p>
    <w:p w14:paraId="10BA1AF8" w14:textId="1894D7C2" w:rsidR="00246DC0" w:rsidRPr="00246DC0" w:rsidRDefault="00246DC0" w:rsidP="00246DC0">
      <w:pPr>
        <w:pStyle w:val="Heading3"/>
        <w:rPr>
          <w:color w:val="002060"/>
          <w:sz w:val="21"/>
          <w:szCs w:val="21"/>
        </w:rPr>
      </w:pPr>
      <w:r w:rsidRPr="00246DC0">
        <w:rPr>
          <w:color w:val="002060"/>
          <w:sz w:val="21"/>
          <w:szCs w:val="21"/>
        </w:rPr>
        <w:lastRenderedPageBreak/>
        <w:t>Further information</w:t>
      </w:r>
    </w:p>
    <w:p w14:paraId="4EA9538A" w14:textId="4993CBB8" w:rsidR="00246DC0" w:rsidRPr="00246DC0" w:rsidRDefault="00246DC0" w:rsidP="00246DC0">
      <w:pPr>
        <w:pStyle w:val="BodyCopy"/>
      </w:pPr>
      <w:r w:rsidRPr="00246DC0">
        <w:t>Information about the Australia Awards can be found on the DFAT Website</w:t>
      </w:r>
      <w:r w:rsidR="0080284B">
        <w:t>.</w:t>
      </w:r>
      <w:r w:rsidRPr="00246DC0">
        <w:t xml:space="preserve"> </w:t>
      </w:r>
    </w:p>
    <w:p w14:paraId="50F6BEDB" w14:textId="77777777" w:rsidR="00246DC0" w:rsidRPr="00246DC0" w:rsidRDefault="00246DC0" w:rsidP="00246DC0">
      <w:pPr>
        <w:pStyle w:val="BodyCopy"/>
      </w:pPr>
      <w:r w:rsidRPr="00246DC0">
        <w:t xml:space="preserve">More general information about the Australia Awards, Australia’s aid program, and studying in Australia can be found at the following links: </w:t>
      </w:r>
    </w:p>
    <w:p w14:paraId="2504BCB7" w14:textId="77777777" w:rsidR="00246DC0" w:rsidRPr="002370A5" w:rsidRDefault="00246DC0" w:rsidP="00246DC0">
      <w:pPr>
        <w:pStyle w:val="Default"/>
        <w:spacing w:after="69"/>
        <w:ind w:left="284" w:hanging="284"/>
        <w:rPr>
          <w:rStyle w:val="Hyperlink"/>
          <w:rFonts w:eastAsiaTheme="majorEastAsia" w:cstheme="majorBidi"/>
          <w:color w:val="002060"/>
          <w:spacing w:val="-2"/>
          <w:kern w:val="28"/>
          <w:sz w:val="20"/>
          <w:szCs w:val="52"/>
          <w:lang w:eastAsia="en-AU"/>
        </w:rPr>
      </w:pPr>
      <w:r w:rsidRPr="002370A5">
        <w:rPr>
          <w:rStyle w:val="Hyperlink"/>
          <w:rFonts w:eastAsiaTheme="majorEastAsia" w:cstheme="majorBidi"/>
          <w:b w:val="0"/>
          <w:color w:val="002060"/>
          <w:spacing w:val="-2"/>
          <w:kern w:val="28"/>
          <w:szCs w:val="52"/>
          <w:lang w:eastAsia="en-AU"/>
        </w:rPr>
        <w:t xml:space="preserve">•    </w:t>
      </w:r>
      <w:hyperlink r:id="rId18" w:history="1">
        <w:r w:rsidRPr="002370A5">
          <w:rPr>
            <w:rStyle w:val="Hyperlink"/>
            <w:rFonts w:eastAsiaTheme="majorEastAsia" w:cstheme="majorBidi"/>
            <w:color w:val="002060"/>
            <w:spacing w:val="-2"/>
            <w:kern w:val="28"/>
            <w:sz w:val="20"/>
            <w:szCs w:val="52"/>
            <w:lang w:eastAsia="en-AU"/>
          </w:rPr>
          <w:t>dfat.gov.au/people-to-people/australia-awards/pages/australia-awards-scholarships</w:t>
        </w:r>
      </w:hyperlink>
      <w:r w:rsidRPr="002370A5">
        <w:rPr>
          <w:rStyle w:val="Hyperlink"/>
          <w:rFonts w:eastAsiaTheme="majorEastAsia" w:cstheme="majorBidi"/>
          <w:color w:val="002060"/>
          <w:spacing w:val="-2"/>
          <w:kern w:val="28"/>
          <w:szCs w:val="52"/>
          <w:lang w:eastAsia="en-AU"/>
        </w:rPr>
        <w:t xml:space="preserve"> </w:t>
      </w:r>
    </w:p>
    <w:p w14:paraId="41C87433" w14:textId="77777777" w:rsidR="00246DC0" w:rsidRPr="002370A5" w:rsidRDefault="00246DC0" w:rsidP="00246DC0">
      <w:pPr>
        <w:pStyle w:val="Default"/>
        <w:spacing w:after="69"/>
        <w:ind w:left="284" w:hanging="284"/>
        <w:rPr>
          <w:rStyle w:val="Hyperlink"/>
          <w:rFonts w:eastAsiaTheme="majorEastAsia" w:cstheme="majorBidi"/>
          <w:b w:val="0"/>
          <w:color w:val="002060"/>
          <w:spacing w:val="-2"/>
          <w:kern w:val="28"/>
          <w:sz w:val="20"/>
          <w:szCs w:val="52"/>
          <w:lang w:eastAsia="en-AU"/>
        </w:rPr>
      </w:pPr>
      <w:r w:rsidRPr="002370A5">
        <w:rPr>
          <w:rStyle w:val="Hyperlink"/>
          <w:rFonts w:eastAsiaTheme="majorEastAsia" w:cstheme="majorBidi"/>
          <w:b w:val="0"/>
          <w:color w:val="002060"/>
          <w:spacing w:val="-2"/>
          <w:kern w:val="28"/>
          <w:szCs w:val="52"/>
          <w:lang w:eastAsia="en-AU"/>
        </w:rPr>
        <w:t xml:space="preserve">•    </w:t>
      </w:r>
      <w:hyperlink r:id="rId19" w:history="1">
        <w:r w:rsidRPr="002370A5">
          <w:rPr>
            <w:rStyle w:val="Hyperlink"/>
            <w:rFonts w:eastAsiaTheme="majorEastAsia" w:cstheme="majorBidi"/>
            <w:color w:val="002060"/>
            <w:spacing w:val="-2"/>
            <w:kern w:val="28"/>
            <w:sz w:val="20"/>
            <w:szCs w:val="52"/>
            <w:lang w:eastAsia="en-AU"/>
          </w:rPr>
          <w:t>studyinaustralia.gov.au</w:t>
        </w:r>
      </w:hyperlink>
      <w:r w:rsidRPr="002370A5">
        <w:rPr>
          <w:rStyle w:val="Hyperlink"/>
          <w:rFonts w:eastAsiaTheme="majorEastAsia" w:cstheme="majorBidi"/>
          <w:b w:val="0"/>
          <w:color w:val="002060"/>
          <w:spacing w:val="-2"/>
          <w:kern w:val="28"/>
          <w:szCs w:val="52"/>
          <w:lang w:eastAsia="en-AU"/>
        </w:rPr>
        <w:t xml:space="preserve"> </w:t>
      </w:r>
    </w:p>
    <w:p w14:paraId="71531BDD" w14:textId="77777777" w:rsidR="002370A5" w:rsidRDefault="002370A5" w:rsidP="00246DC0">
      <w:pPr>
        <w:pStyle w:val="Default"/>
        <w:rPr>
          <w:color w:val="000000" w:themeColor="text1"/>
          <w:sz w:val="20"/>
          <w:szCs w:val="20"/>
        </w:rPr>
      </w:pPr>
    </w:p>
    <w:p w14:paraId="421E9973" w14:textId="195F1FC9" w:rsidR="00246DC0" w:rsidRPr="002370A5" w:rsidRDefault="00246DC0" w:rsidP="00246DC0">
      <w:pPr>
        <w:pStyle w:val="Default"/>
        <w:rPr>
          <w:rStyle w:val="Hyperlink"/>
          <w:rFonts w:eastAsiaTheme="majorEastAsia" w:cstheme="majorBidi"/>
          <w:color w:val="002060"/>
          <w:spacing w:val="-2"/>
          <w:kern w:val="28"/>
          <w:sz w:val="20"/>
          <w:szCs w:val="52"/>
          <w:lang w:eastAsia="en-AU"/>
        </w:rPr>
      </w:pPr>
      <w:r w:rsidRPr="00246DC0">
        <w:rPr>
          <w:color w:val="000000" w:themeColor="text1"/>
          <w:sz w:val="20"/>
          <w:szCs w:val="20"/>
        </w:rPr>
        <w:t xml:space="preserve">Information about visas and Australia Awards scholarship entitlements and conditions can be found in the Scholarships Policy Handbook: </w:t>
      </w:r>
      <w:hyperlink r:id="rId20" w:history="1">
        <w:r w:rsidRPr="002370A5">
          <w:rPr>
            <w:rStyle w:val="Hyperlink"/>
            <w:rFonts w:eastAsiaTheme="majorEastAsia" w:cstheme="majorBidi"/>
            <w:color w:val="002060"/>
            <w:spacing w:val="-2"/>
            <w:kern w:val="28"/>
            <w:sz w:val="20"/>
            <w:szCs w:val="52"/>
            <w:lang w:eastAsia="en-AU"/>
          </w:rPr>
          <w:t>dfat.gov.au/about-us/publications/Pages/australia-awards-scholarships-policy-handbook.aspx</w:t>
        </w:r>
      </w:hyperlink>
    </w:p>
    <w:p w14:paraId="251AF418" w14:textId="0441806B" w:rsidR="00E53ED6" w:rsidRPr="00FA45B0" w:rsidRDefault="00FC6665" w:rsidP="00E53ED6">
      <w:pPr>
        <w:pStyle w:val="Heading3"/>
        <w:rPr>
          <w:color w:val="002060"/>
          <w:sz w:val="21"/>
          <w:szCs w:val="21"/>
        </w:rPr>
      </w:pPr>
      <w:r>
        <w:rPr>
          <w:color w:val="002060"/>
          <w:sz w:val="21"/>
          <w:szCs w:val="21"/>
        </w:rPr>
        <w:t>C</w:t>
      </w:r>
      <w:r w:rsidR="00E53ED6" w:rsidRPr="00FA45B0">
        <w:rPr>
          <w:color w:val="002060"/>
          <w:sz w:val="21"/>
          <w:szCs w:val="21"/>
        </w:rPr>
        <w:t>ontacts</w:t>
      </w:r>
    </w:p>
    <w:p w14:paraId="2CC61023" w14:textId="4A350E9A" w:rsidR="001D2399" w:rsidRPr="00471B44" w:rsidRDefault="00B82829" w:rsidP="00B82829">
      <w:pPr>
        <w:pStyle w:val="BodyCopy"/>
        <w:rPr>
          <w:rStyle w:val="Hyperlink"/>
          <w:color w:val="002060"/>
        </w:rPr>
      </w:pPr>
      <w:r w:rsidRPr="00246DC0">
        <w:t>Please send any enquires to our team managing the Australia ASEAN Scholarships in Jakarta using the email subject “</w:t>
      </w:r>
      <w:r w:rsidRPr="00471B44">
        <w:rPr>
          <w:b/>
          <w:bCs/>
          <w:i/>
          <w:iCs/>
        </w:rPr>
        <w:t>Inquiry ASEAN Scholarship</w:t>
      </w:r>
      <w:r w:rsidRPr="00246DC0">
        <w:t xml:space="preserve">” to </w:t>
      </w:r>
      <w:r w:rsidR="008F0D9E" w:rsidRPr="008F0D9E">
        <w:rPr>
          <w:rStyle w:val="Hyperlink"/>
          <w:color w:val="002060"/>
          <w:lang w:eastAsia="en-AU"/>
        </w:rPr>
        <w:t>longtermawards@australiaawardsindonesia.org</w:t>
      </w:r>
    </w:p>
    <w:p w14:paraId="469DCC24" w14:textId="2EAD6D33" w:rsidR="00375B3D" w:rsidRPr="00246DC0" w:rsidRDefault="00375B3D" w:rsidP="004763F8">
      <w:pPr>
        <w:pStyle w:val="Bullet"/>
        <w:numPr>
          <w:ilvl w:val="0"/>
          <w:numId w:val="0"/>
        </w:numPr>
        <w:spacing w:before="60" w:after="0"/>
        <w:rPr>
          <w:rFonts w:asciiTheme="minorHAnsi" w:eastAsiaTheme="minorHAnsi" w:hAnsiTheme="minorHAnsi" w:cs="Times New Roman"/>
          <w:spacing w:val="0"/>
          <w:kern w:val="0"/>
          <w:szCs w:val="20"/>
          <w:lang w:eastAsia="en-AU"/>
        </w:rPr>
      </w:pPr>
    </w:p>
    <w:p w14:paraId="4E431B7D" w14:textId="77777777" w:rsidR="00375B3D" w:rsidRPr="00246DC0" w:rsidRDefault="00375B3D" w:rsidP="004763F8">
      <w:pPr>
        <w:pStyle w:val="Bullet"/>
        <w:numPr>
          <w:ilvl w:val="0"/>
          <w:numId w:val="0"/>
        </w:numPr>
        <w:spacing w:before="60" w:after="0"/>
        <w:ind w:left="284"/>
        <w:rPr>
          <w:rFonts w:asciiTheme="minorHAnsi" w:eastAsiaTheme="minorHAnsi" w:hAnsiTheme="minorHAnsi" w:cs="Times New Roman"/>
          <w:spacing w:val="0"/>
          <w:kern w:val="0"/>
          <w:szCs w:val="20"/>
          <w:lang w:eastAsia="en-AU"/>
        </w:rPr>
      </w:pPr>
    </w:p>
    <w:sectPr w:rsidR="00375B3D" w:rsidRPr="00246DC0" w:rsidSect="004409F4">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BF5BD" w14:textId="77777777" w:rsidR="00AE3380" w:rsidRDefault="00AE3380" w:rsidP="00070A89">
      <w:r>
        <w:separator/>
      </w:r>
    </w:p>
  </w:endnote>
  <w:endnote w:type="continuationSeparator" w:id="0">
    <w:p w14:paraId="38D7BC8D" w14:textId="77777777" w:rsidR="00AE3380" w:rsidRDefault="00AE3380"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67C1B859" w:rsidR="008C5E56" w:rsidRPr="005D27B3" w:rsidRDefault="005D27B3" w:rsidP="005D27B3">
    <w:pPr>
      <w:pStyle w:val="FooterText"/>
      <w:jc w:val="right"/>
    </w:pPr>
    <w:r>
      <w:t xml:space="preserve">Australia Awards </w:t>
    </w:r>
    <w:r w:rsidR="006F7A86">
      <w:t>s</w:t>
    </w:r>
    <w:r>
      <w:t xml:space="preserve">cholarships information for study commencing in </w:t>
    </w:r>
    <w:proofErr w:type="gramStart"/>
    <w:r>
      <w:t>20</w:t>
    </w:r>
    <w:r w:rsidR="004A3DFD">
      <w:t>2</w:t>
    </w:r>
    <w:r w:rsidR="009278A4">
      <w:t>5</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2352784E" w:rsidR="008C5E56" w:rsidRDefault="00512B77" w:rsidP="00FB1BC9">
    <w:pPr>
      <w:pStyle w:val="FooterText"/>
      <w:jc w:val="right"/>
    </w:pPr>
    <w:r>
      <w:t>A</w:t>
    </w:r>
    <w:r w:rsidR="006F7A86">
      <w:t>ustralia Awards s</w:t>
    </w:r>
    <w:r w:rsidR="008C5E56">
      <w:t>cholarships</w:t>
    </w:r>
    <w:r>
      <w:t xml:space="preserve"> information for study commencing in </w:t>
    </w:r>
    <w:proofErr w:type="gramStart"/>
    <w:r>
      <w:t>20</w:t>
    </w:r>
    <w:r w:rsidR="004A3DFD">
      <w:t>2</w:t>
    </w:r>
    <w:r w:rsidR="007C1DE4">
      <w:t>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F5A1" w14:textId="77777777" w:rsidR="00AE3380" w:rsidRDefault="00AE3380" w:rsidP="00070A89">
      <w:r>
        <w:separator/>
      </w:r>
    </w:p>
  </w:footnote>
  <w:footnote w:type="continuationSeparator" w:id="0">
    <w:p w14:paraId="13CA0D6B" w14:textId="77777777" w:rsidR="00AE3380" w:rsidRDefault="00AE3380"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7300B"/>
    <w:multiLevelType w:val="multilevel"/>
    <w:tmpl w:val="41163454"/>
    <w:lvl w:ilvl="0">
      <w:numFmt w:val="bullet"/>
      <w:lvlText w:val="-"/>
      <w:lvlJc w:val="left"/>
      <w:pPr>
        <w:tabs>
          <w:tab w:val="num" w:pos="568"/>
        </w:tabs>
        <w:ind w:left="568" w:hanging="284"/>
      </w:pPr>
      <w:rPr>
        <w:rFonts w:ascii="Arial" w:eastAsiaTheme="minorHAnsi" w:hAnsi="Arial" w:cs="Arial" w:hint="default"/>
        <w:color w:val="auto"/>
      </w:rPr>
    </w:lvl>
    <w:lvl w:ilvl="1">
      <w:start w:val="1"/>
      <w:numFmt w:val="bullet"/>
      <w:lvlText w:val="•"/>
      <w:lvlJc w:val="left"/>
      <w:pPr>
        <w:tabs>
          <w:tab w:val="num" w:pos="851"/>
        </w:tabs>
        <w:ind w:left="851" w:hanging="283"/>
      </w:pPr>
      <w:rPr>
        <w:rFonts w:ascii="Arial" w:hAnsi="Arial"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C01E12"/>
    <w:multiLevelType w:val="hybridMultilevel"/>
    <w:tmpl w:val="9B245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1"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FE0555"/>
    <w:multiLevelType w:val="hybridMultilevel"/>
    <w:tmpl w:val="9AE82808"/>
    <w:lvl w:ilvl="0" w:tplc="0C090003">
      <w:start w:val="1"/>
      <w:numFmt w:val="bullet"/>
      <w:lvlText w:val="o"/>
      <w:lvlJc w:val="left"/>
      <w:pPr>
        <w:ind w:left="927" w:hanging="360"/>
      </w:pPr>
      <w:rPr>
        <w:rFonts w:ascii="Courier New" w:hAnsi="Courier New" w:cs="Courier New" w:hint="default"/>
        <w:color w:val="auto"/>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5"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E06FCE"/>
    <w:multiLevelType w:val="multilevel"/>
    <w:tmpl w:val="F728553C"/>
    <w:styleLink w:val="Bullets"/>
    <w:lvl w:ilvl="0">
      <w:start w:val="1"/>
      <w:numFmt w:val="bullet"/>
      <w:pStyle w:val="Bullet"/>
      <w:lvlText w:val="•"/>
      <w:lvlJc w:val="left"/>
      <w:pPr>
        <w:tabs>
          <w:tab w:val="num" w:pos="568"/>
        </w:tabs>
        <w:ind w:left="568"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10"/>
  </w:num>
  <w:num w:numId="2" w16cid:durableId="1741444980">
    <w:abstractNumId w:val="6"/>
  </w:num>
  <w:num w:numId="3" w16cid:durableId="2111049393">
    <w:abstractNumId w:val="17"/>
  </w:num>
  <w:num w:numId="4" w16cid:durableId="224688543">
    <w:abstractNumId w:val="7"/>
  </w:num>
  <w:num w:numId="5" w16cid:durableId="224729004">
    <w:abstractNumId w:val="12"/>
  </w:num>
  <w:num w:numId="6" w16cid:durableId="1561674040">
    <w:abstractNumId w:val="15"/>
  </w:num>
  <w:num w:numId="7" w16cid:durableId="887884288">
    <w:abstractNumId w:val="11"/>
  </w:num>
  <w:num w:numId="8" w16cid:durableId="1075708715">
    <w:abstractNumId w:val="20"/>
  </w:num>
  <w:num w:numId="9" w16cid:durableId="195049480">
    <w:abstractNumId w:val="17"/>
  </w:num>
  <w:num w:numId="10" w16cid:durableId="1215314669">
    <w:abstractNumId w:val="17"/>
  </w:num>
  <w:num w:numId="11" w16cid:durableId="935942059">
    <w:abstractNumId w:val="9"/>
  </w:num>
  <w:num w:numId="12" w16cid:durableId="127168581">
    <w:abstractNumId w:val="1"/>
  </w:num>
  <w:num w:numId="13" w16cid:durableId="1417049061">
    <w:abstractNumId w:val="18"/>
  </w:num>
  <w:num w:numId="14" w16cid:durableId="525484131">
    <w:abstractNumId w:val="22"/>
  </w:num>
  <w:num w:numId="15" w16cid:durableId="1448427088">
    <w:abstractNumId w:val="4"/>
  </w:num>
  <w:num w:numId="16" w16cid:durableId="523907550">
    <w:abstractNumId w:val="21"/>
  </w:num>
  <w:num w:numId="17" w16cid:durableId="586841471">
    <w:abstractNumId w:val="0"/>
  </w:num>
  <w:num w:numId="18" w16cid:durableId="958923966">
    <w:abstractNumId w:val="13"/>
  </w:num>
  <w:num w:numId="19" w16cid:durableId="37826548">
    <w:abstractNumId w:val="19"/>
  </w:num>
  <w:num w:numId="20" w16cid:durableId="657536486">
    <w:abstractNumId w:val="3"/>
  </w:num>
  <w:num w:numId="21" w16cid:durableId="1500073924">
    <w:abstractNumId w:val="23"/>
  </w:num>
  <w:num w:numId="22" w16cid:durableId="60175384">
    <w:abstractNumId w:val="5"/>
  </w:num>
  <w:num w:numId="23" w16cid:durableId="1698922250">
    <w:abstractNumId w:val="16"/>
  </w:num>
  <w:num w:numId="24" w16cid:durableId="1580558926">
    <w:abstractNumId w:val="17"/>
  </w:num>
  <w:num w:numId="25" w16cid:durableId="1417901601">
    <w:abstractNumId w:val="2"/>
  </w:num>
  <w:num w:numId="26" w16cid:durableId="976448459">
    <w:abstractNumId w:val="8"/>
  </w:num>
  <w:num w:numId="27" w16cid:durableId="143012739">
    <w:abstractNumId w:val="16"/>
  </w:num>
  <w:num w:numId="28" w16cid:durableId="197664045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8581478">
    <w:abstractNumId w:val="14"/>
  </w:num>
  <w:num w:numId="30" w16cid:durableId="16555976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E72"/>
    <w:rsid w:val="000148E4"/>
    <w:rsid w:val="00014E68"/>
    <w:rsid w:val="00015AE4"/>
    <w:rsid w:val="000168B9"/>
    <w:rsid w:val="000236E6"/>
    <w:rsid w:val="00026763"/>
    <w:rsid w:val="00034121"/>
    <w:rsid w:val="00035FBB"/>
    <w:rsid w:val="00040452"/>
    <w:rsid w:val="00050107"/>
    <w:rsid w:val="00050722"/>
    <w:rsid w:val="0005326E"/>
    <w:rsid w:val="00054486"/>
    <w:rsid w:val="00054A53"/>
    <w:rsid w:val="00056EEC"/>
    <w:rsid w:val="00070A89"/>
    <w:rsid w:val="00070F49"/>
    <w:rsid w:val="00080A52"/>
    <w:rsid w:val="00081BAC"/>
    <w:rsid w:val="00094E88"/>
    <w:rsid w:val="000A44ED"/>
    <w:rsid w:val="000A48E5"/>
    <w:rsid w:val="000B0902"/>
    <w:rsid w:val="000B14EE"/>
    <w:rsid w:val="000B628C"/>
    <w:rsid w:val="000B6C00"/>
    <w:rsid w:val="000C32C7"/>
    <w:rsid w:val="000C7552"/>
    <w:rsid w:val="000D7A16"/>
    <w:rsid w:val="000F28B8"/>
    <w:rsid w:val="000F3766"/>
    <w:rsid w:val="00102A04"/>
    <w:rsid w:val="0010550B"/>
    <w:rsid w:val="00111F0C"/>
    <w:rsid w:val="00113ECC"/>
    <w:rsid w:val="00121ADB"/>
    <w:rsid w:val="0012588C"/>
    <w:rsid w:val="001267C3"/>
    <w:rsid w:val="00132A4E"/>
    <w:rsid w:val="00133309"/>
    <w:rsid w:val="001378F9"/>
    <w:rsid w:val="00137C02"/>
    <w:rsid w:val="00145E2D"/>
    <w:rsid w:val="0015620C"/>
    <w:rsid w:val="00160514"/>
    <w:rsid w:val="00171C1E"/>
    <w:rsid w:val="00174CF2"/>
    <w:rsid w:val="001763D4"/>
    <w:rsid w:val="001771B9"/>
    <w:rsid w:val="00186C7A"/>
    <w:rsid w:val="001955C6"/>
    <w:rsid w:val="00196E67"/>
    <w:rsid w:val="001A715B"/>
    <w:rsid w:val="001C1E45"/>
    <w:rsid w:val="001C2659"/>
    <w:rsid w:val="001C3FB3"/>
    <w:rsid w:val="001C53CE"/>
    <w:rsid w:val="001D2399"/>
    <w:rsid w:val="001E1CC7"/>
    <w:rsid w:val="001E2779"/>
    <w:rsid w:val="001E3F20"/>
    <w:rsid w:val="001E45A4"/>
    <w:rsid w:val="001E66CE"/>
    <w:rsid w:val="001F3515"/>
    <w:rsid w:val="002048DF"/>
    <w:rsid w:val="002078FC"/>
    <w:rsid w:val="00214270"/>
    <w:rsid w:val="00215F3D"/>
    <w:rsid w:val="00221DC2"/>
    <w:rsid w:val="0022225D"/>
    <w:rsid w:val="002303F3"/>
    <w:rsid w:val="002314B4"/>
    <w:rsid w:val="002321B5"/>
    <w:rsid w:val="002370A5"/>
    <w:rsid w:val="00246DC0"/>
    <w:rsid w:val="0024777B"/>
    <w:rsid w:val="0025381C"/>
    <w:rsid w:val="00253C84"/>
    <w:rsid w:val="00254244"/>
    <w:rsid w:val="002573D5"/>
    <w:rsid w:val="00271775"/>
    <w:rsid w:val="002747FD"/>
    <w:rsid w:val="00276613"/>
    <w:rsid w:val="00292267"/>
    <w:rsid w:val="00292E6D"/>
    <w:rsid w:val="002936F0"/>
    <w:rsid w:val="002A05CE"/>
    <w:rsid w:val="002A41E1"/>
    <w:rsid w:val="002B0724"/>
    <w:rsid w:val="002B0853"/>
    <w:rsid w:val="002B527F"/>
    <w:rsid w:val="002B6574"/>
    <w:rsid w:val="002B7A44"/>
    <w:rsid w:val="002D1D3C"/>
    <w:rsid w:val="002D2343"/>
    <w:rsid w:val="002E40E0"/>
    <w:rsid w:val="002E75B9"/>
    <w:rsid w:val="00302F58"/>
    <w:rsid w:val="00311807"/>
    <w:rsid w:val="003119C4"/>
    <w:rsid w:val="00311A37"/>
    <w:rsid w:val="00311BD7"/>
    <w:rsid w:val="003131AB"/>
    <w:rsid w:val="0031355C"/>
    <w:rsid w:val="003217BE"/>
    <w:rsid w:val="00325D43"/>
    <w:rsid w:val="00326D50"/>
    <w:rsid w:val="00333FE6"/>
    <w:rsid w:val="00334E0E"/>
    <w:rsid w:val="00345569"/>
    <w:rsid w:val="003456E1"/>
    <w:rsid w:val="003538CF"/>
    <w:rsid w:val="00354599"/>
    <w:rsid w:val="00363864"/>
    <w:rsid w:val="00370554"/>
    <w:rsid w:val="00370C09"/>
    <w:rsid w:val="003713BC"/>
    <w:rsid w:val="0037229C"/>
    <w:rsid w:val="00375B3D"/>
    <w:rsid w:val="00381D5D"/>
    <w:rsid w:val="003842D9"/>
    <w:rsid w:val="00391726"/>
    <w:rsid w:val="0039470D"/>
    <w:rsid w:val="00397A14"/>
    <w:rsid w:val="003A2C0A"/>
    <w:rsid w:val="003A3C40"/>
    <w:rsid w:val="003C15F0"/>
    <w:rsid w:val="003C3B5C"/>
    <w:rsid w:val="003D1CAB"/>
    <w:rsid w:val="003D3B1D"/>
    <w:rsid w:val="003D3CFE"/>
    <w:rsid w:val="003D5DBE"/>
    <w:rsid w:val="003E1D87"/>
    <w:rsid w:val="003F4B33"/>
    <w:rsid w:val="003F7448"/>
    <w:rsid w:val="004011A9"/>
    <w:rsid w:val="00404841"/>
    <w:rsid w:val="00406203"/>
    <w:rsid w:val="004114A2"/>
    <w:rsid w:val="00412059"/>
    <w:rsid w:val="00415D5F"/>
    <w:rsid w:val="004354C4"/>
    <w:rsid w:val="004409F4"/>
    <w:rsid w:val="00441E79"/>
    <w:rsid w:val="004442FC"/>
    <w:rsid w:val="00456EA2"/>
    <w:rsid w:val="00457822"/>
    <w:rsid w:val="00462A60"/>
    <w:rsid w:val="00471B44"/>
    <w:rsid w:val="004763F8"/>
    <w:rsid w:val="00483A58"/>
    <w:rsid w:val="00483B9C"/>
    <w:rsid w:val="00494EF0"/>
    <w:rsid w:val="004A3DFD"/>
    <w:rsid w:val="004A7AEF"/>
    <w:rsid w:val="004C1AFE"/>
    <w:rsid w:val="004C2A61"/>
    <w:rsid w:val="004D7F17"/>
    <w:rsid w:val="004E7F37"/>
    <w:rsid w:val="004F193D"/>
    <w:rsid w:val="004F39EC"/>
    <w:rsid w:val="004F7F50"/>
    <w:rsid w:val="005011BA"/>
    <w:rsid w:val="00502FC0"/>
    <w:rsid w:val="00511E43"/>
    <w:rsid w:val="00512726"/>
    <w:rsid w:val="00512B77"/>
    <w:rsid w:val="005217CF"/>
    <w:rsid w:val="00522827"/>
    <w:rsid w:val="0052476A"/>
    <w:rsid w:val="00533F2E"/>
    <w:rsid w:val="0053597E"/>
    <w:rsid w:val="005424DD"/>
    <w:rsid w:val="00546C9B"/>
    <w:rsid w:val="00555250"/>
    <w:rsid w:val="00560DE8"/>
    <w:rsid w:val="005647A0"/>
    <w:rsid w:val="0057078D"/>
    <w:rsid w:val="00573AFB"/>
    <w:rsid w:val="00580DEF"/>
    <w:rsid w:val="00586554"/>
    <w:rsid w:val="005924C5"/>
    <w:rsid w:val="005932E2"/>
    <w:rsid w:val="00595C7E"/>
    <w:rsid w:val="005A3645"/>
    <w:rsid w:val="005A41B4"/>
    <w:rsid w:val="005A4D3A"/>
    <w:rsid w:val="005B3C50"/>
    <w:rsid w:val="005C2EB1"/>
    <w:rsid w:val="005C37DE"/>
    <w:rsid w:val="005D27B3"/>
    <w:rsid w:val="005E2D41"/>
    <w:rsid w:val="005F569F"/>
    <w:rsid w:val="00600A40"/>
    <w:rsid w:val="00604568"/>
    <w:rsid w:val="00604CC9"/>
    <w:rsid w:val="00605C6B"/>
    <w:rsid w:val="00607C5C"/>
    <w:rsid w:val="00607FA6"/>
    <w:rsid w:val="00613CA7"/>
    <w:rsid w:val="00615CE3"/>
    <w:rsid w:val="00616EBA"/>
    <w:rsid w:val="0061702E"/>
    <w:rsid w:val="00617248"/>
    <w:rsid w:val="00617604"/>
    <w:rsid w:val="00622F33"/>
    <w:rsid w:val="006277F5"/>
    <w:rsid w:val="00630E03"/>
    <w:rsid w:val="00632C08"/>
    <w:rsid w:val="006339F5"/>
    <w:rsid w:val="00634441"/>
    <w:rsid w:val="006346A6"/>
    <w:rsid w:val="006417CC"/>
    <w:rsid w:val="00641E96"/>
    <w:rsid w:val="00647CAC"/>
    <w:rsid w:val="00660B61"/>
    <w:rsid w:val="0067074A"/>
    <w:rsid w:val="006722AF"/>
    <w:rsid w:val="00672994"/>
    <w:rsid w:val="00682D8A"/>
    <w:rsid w:val="006A53BA"/>
    <w:rsid w:val="006B0EC8"/>
    <w:rsid w:val="006B1D74"/>
    <w:rsid w:val="006B4332"/>
    <w:rsid w:val="006B7ABC"/>
    <w:rsid w:val="006C0523"/>
    <w:rsid w:val="006C527E"/>
    <w:rsid w:val="006E27CD"/>
    <w:rsid w:val="006F2427"/>
    <w:rsid w:val="006F3E50"/>
    <w:rsid w:val="006F42CE"/>
    <w:rsid w:val="006F63D4"/>
    <w:rsid w:val="006F7A86"/>
    <w:rsid w:val="00700C30"/>
    <w:rsid w:val="00701F7A"/>
    <w:rsid w:val="00704723"/>
    <w:rsid w:val="007115FD"/>
    <w:rsid w:val="0072110F"/>
    <w:rsid w:val="007231BC"/>
    <w:rsid w:val="00726AB2"/>
    <w:rsid w:val="00727FC6"/>
    <w:rsid w:val="007328C8"/>
    <w:rsid w:val="0073292C"/>
    <w:rsid w:val="00733000"/>
    <w:rsid w:val="00734F9A"/>
    <w:rsid w:val="007358E5"/>
    <w:rsid w:val="00741137"/>
    <w:rsid w:val="00746037"/>
    <w:rsid w:val="00752017"/>
    <w:rsid w:val="00752C6B"/>
    <w:rsid w:val="00753BED"/>
    <w:rsid w:val="00772424"/>
    <w:rsid w:val="0077455E"/>
    <w:rsid w:val="007770B2"/>
    <w:rsid w:val="00780126"/>
    <w:rsid w:val="00781776"/>
    <w:rsid w:val="00781FD3"/>
    <w:rsid w:val="00796623"/>
    <w:rsid w:val="007A2E13"/>
    <w:rsid w:val="007A3935"/>
    <w:rsid w:val="007B0145"/>
    <w:rsid w:val="007B5C8E"/>
    <w:rsid w:val="007C1DE4"/>
    <w:rsid w:val="007C40EC"/>
    <w:rsid w:val="007C7995"/>
    <w:rsid w:val="007D024C"/>
    <w:rsid w:val="0080284B"/>
    <w:rsid w:val="008168B3"/>
    <w:rsid w:val="00820321"/>
    <w:rsid w:val="00820F20"/>
    <w:rsid w:val="00821706"/>
    <w:rsid w:val="00825754"/>
    <w:rsid w:val="00826A28"/>
    <w:rsid w:val="008369E0"/>
    <w:rsid w:val="00842D76"/>
    <w:rsid w:val="00844C2D"/>
    <w:rsid w:val="00844CF4"/>
    <w:rsid w:val="00846686"/>
    <w:rsid w:val="008555A0"/>
    <w:rsid w:val="00864F2F"/>
    <w:rsid w:val="00865A33"/>
    <w:rsid w:val="00870EC9"/>
    <w:rsid w:val="008726A7"/>
    <w:rsid w:val="00877FCB"/>
    <w:rsid w:val="00882DE4"/>
    <w:rsid w:val="00896156"/>
    <w:rsid w:val="00897502"/>
    <w:rsid w:val="008B09AD"/>
    <w:rsid w:val="008B4EA0"/>
    <w:rsid w:val="008C39FD"/>
    <w:rsid w:val="008C5E56"/>
    <w:rsid w:val="008D54D6"/>
    <w:rsid w:val="008D7719"/>
    <w:rsid w:val="008E01EA"/>
    <w:rsid w:val="008E2FD2"/>
    <w:rsid w:val="008E3F2F"/>
    <w:rsid w:val="008F0D9E"/>
    <w:rsid w:val="008F1B87"/>
    <w:rsid w:val="008F29DA"/>
    <w:rsid w:val="008F7E66"/>
    <w:rsid w:val="0090587F"/>
    <w:rsid w:val="0090746A"/>
    <w:rsid w:val="009259F8"/>
    <w:rsid w:val="009278A4"/>
    <w:rsid w:val="009345F1"/>
    <w:rsid w:val="009455DB"/>
    <w:rsid w:val="009546BB"/>
    <w:rsid w:val="00961072"/>
    <w:rsid w:val="00961F11"/>
    <w:rsid w:val="0096452A"/>
    <w:rsid w:val="00966789"/>
    <w:rsid w:val="009746AE"/>
    <w:rsid w:val="0098429A"/>
    <w:rsid w:val="00987B3E"/>
    <w:rsid w:val="00991B7C"/>
    <w:rsid w:val="009B0548"/>
    <w:rsid w:val="009B10CA"/>
    <w:rsid w:val="009B2C39"/>
    <w:rsid w:val="009B4B68"/>
    <w:rsid w:val="009B77DA"/>
    <w:rsid w:val="009B7A75"/>
    <w:rsid w:val="009C38C5"/>
    <w:rsid w:val="009C54C0"/>
    <w:rsid w:val="009E01DB"/>
    <w:rsid w:val="009E1749"/>
    <w:rsid w:val="009E5EA3"/>
    <w:rsid w:val="009E7080"/>
    <w:rsid w:val="009E750F"/>
    <w:rsid w:val="009F70CD"/>
    <w:rsid w:val="00A03CF9"/>
    <w:rsid w:val="00A04D96"/>
    <w:rsid w:val="00A04DEB"/>
    <w:rsid w:val="00A05B24"/>
    <w:rsid w:val="00A0629B"/>
    <w:rsid w:val="00A07122"/>
    <w:rsid w:val="00A10841"/>
    <w:rsid w:val="00A12FDA"/>
    <w:rsid w:val="00A1653F"/>
    <w:rsid w:val="00A177A6"/>
    <w:rsid w:val="00A21CB2"/>
    <w:rsid w:val="00A22256"/>
    <w:rsid w:val="00A32683"/>
    <w:rsid w:val="00A46033"/>
    <w:rsid w:val="00A60D2B"/>
    <w:rsid w:val="00A74D4A"/>
    <w:rsid w:val="00A77896"/>
    <w:rsid w:val="00A8296A"/>
    <w:rsid w:val="00A83C09"/>
    <w:rsid w:val="00A90D1B"/>
    <w:rsid w:val="00A91ABC"/>
    <w:rsid w:val="00A9484A"/>
    <w:rsid w:val="00A9726A"/>
    <w:rsid w:val="00AA537C"/>
    <w:rsid w:val="00AB453E"/>
    <w:rsid w:val="00AB57F1"/>
    <w:rsid w:val="00AD04BC"/>
    <w:rsid w:val="00AD37C5"/>
    <w:rsid w:val="00AD4A52"/>
    <w:rsid w:val="00AD5166"/>
    <w:rsid w:val="00AE3380"/>
    <w:rsid w:val="00AE379A"/>
    <w:rsid w:val="00AE3AD8"/>
    <w:rsid w:val="00AE5662"/>
    <w:rsid w:val="00AF1603"/>
    <w:rsid w:val="00B012A5"/>
    <w:rsid w:val="00B16C0C"/>
    <w:rsid w:val="00B26372"/>
    <w:rsid w:val="00B443A0"/>
    <w:rsid w:val="00B578FA"/>
    <w:rsid w:val="00B620EA"/>
    <w:rsid w:val="00B62600"/>
    <w:rsid w:val="00B66DB0"/>
    <w:rsid w:val="00B749FD"/>
    <w:rsid w:val="00B82829"/>
    <w:rsid w:val="00B835BD"/>
    <w:rsid w:val="00B9091B"/>
    <w:rsid w:val="00B964DC"/>
    <w:rsid w:val="00BA2444"/>
    <w:rsid w:val="00BA55B5"/>
    <w:rsid w:val="00BC093A"/>
    <w:rsid w:val="00BC168A"/>
    <w:rsid w:val="00BC282C"/>
    <w:rsid w:val="00BC4ACC"/>
    <w:rsid w:val="00BC7483"/>
    <w:rsid w:val="00BD1110"/>
    <w:rsid w:val="00BD2B7A"/>
    <w:rsid w:val="00BD670B"/>
    <w:rsid w:val="00BF0913"/>
    <w:rsid w:val="00BF4482"/>
    <w:rsid w:val="00C02C5D"/>
    <w:rsid w:val="00C035E3"/>
    <w:rsid w:val="00C04254"/>
    <w:rsid w:val="00C07005"/>
    <w:rsid w:val="00C1436F"/>
    <w:rsid w:val="00C14F87"/>
    <w:rsid w:val="00C217A8"/>
    <w:rsid w:val="00C22AD7"/>
    <w:rsid w:val="00C247A2"/>
    <w:rsid w:val="00C25C1A"/>
    <w:rsid w:val="00C265C9"/>
    <w:rsid w:val="00C4357C"/>
    <w:rsid w:val="00C4402E"/>
    <w:rsid w:val="00C501D0"/>
    <w:rsid w:val="00C508CF"/>
    <w:rsid w:val="00C54BFF"/>
    <w:rsid w:val="00C553A7"/>
    <w:rsid w:val="00C67791"/>
    <w:rsid w:val="00C83D13"/>
    <w:rsid w:val="00C94E2A"/>
    <w:rsid w:val="00CA352A"/>
    <w:rsid w:val="00CB2CCC"/>
    <w:rsid w:val="00CB544C"/>
    <w:rsid w:val="00CC1DD0"/>
    <w:rsid w:val="00CC7FC0"/>
    <w:rsid w:val="00CD2621"/>
    <w:rsid w:val="00CD50F8"/>
    <w:rsid w:val="00CD5925"/>
    <w:rsid w:val="00CD5E59"/>
    <w:rsid w:val="00CE208F"/>
    <w:rsid w:val="00CE557A"/>
    <w:rsid w:val="00D01ECA"/>
    <w:rsid w:val="00D01F9C"/>
    <w:rsid w:val="00D028A2"/>
    <w:rsid w:val="00D06DED"/>
    <w:rsid w:val="00D10644"/>
    <w:rsid w:val="00D1410C"/>
    <w:rsid w:val="00D15631"/>
    <w:rsid w:val="00D26132"/>
    <w:rsid w:val="00D26331"/>
    <w:rsid w:val="00D270E7"/>
    <w:rsid w:val="00D416E0"/>
    <w:rsid w:val="00D41FCC"/>
    <w:rsid w:val="00D46082"/>
    <w:rsid w:val="00D46E68"/>
    <w:rsid w:val="00D55FB9"/>
    <w:rsid w:val="00D57F79"/>
    <w:rsid w:val="00D616C6"/>
    <w:rsid w:val="00D64078"/>
    <w:rsid w:val="00D71AB9"/>
    <w:rsid w:val="00D76283"/>
    <w:rsid w:val="00D77DD6"/>
    <w:rsid w:val="00D82C42"/>
    <w:rsid w:val="00D87545"/>
    <w:rsid w:val="00D904EE"/>
    <w:rsid w:val="00D904F0"/>
    <w:rsid w:val="00D91378"/>
    <w:rsid w:val="00D954AF"/>
    <w:rsid w:val="00D97D0D"/>
    <w:rsid w:val="00DA1B32"/>
    <w:rsid w:val="00DA2C34"/>
    <w:rsid w:val="00DA5ECB"/>
    <w:rsid w:val="00DB32CF"/>
    <w:rsid w:val="00DD1408"/>
    <w:rsid w:val="00DD17A1"/>
    <w:rsid w:val="00DD356D"/>
    <w:rsid w:val="00DD7A27"/>
    <w:rsid w:val="00DD7E4E"/>
    <w:rsid w:val="00DE7B3E"/>
    <w:rsid w:val="00DF6B79"/>
    <w:rsid w:val="00DF6FD5"/>
    <w:rsid w:val="00DF7BB2"/>
    <w:rsid w:val="00E01A98"/>
    <w:rsid w:val="00E01B42"/>
    <w:rsid w:val="00E13E89"/>
    <w:rsid w:val="00E15C81"/>
    <w:rsid w:val="00E16D5A"/>
    <w:rsid w:val="00E23451"/>
    <w:rsid w:val="00E34198"/>
    <w:rsid w:val="00E37240"/>
    <w:rsid w:val="00E45250"/>
    <w:rsid w:val="00E471D1"/>
    <w:rsid w:val="00E515F9"/>
    <w:rsid w:val="00E53ED6"/>
    <w:rsid w:val="00E579E3"/>
    <w:rsid w:val="00E60083"/>
    <w:rsid w:val="00E73361"/>
    <w:rsid w:val="00E7526D"/>
    <w:rsid w:val="00E808D2"/>
    <w:rsid w:val="00E836C1"/>
    <w:rsid w:val="00E84012"/>
    <w:rsid w:val="00E85A6B"/>
    <w:rsid w:val="00E91875"/>
    <w:rsid w:val="00E972E5"/>
    <w:rsid w:val="00EA0724"/>
    <w:rsid w:val="00EA2EFA"/>
    <w:rsid w:val="00EA52FF"/>
    <w:rsid w:val="00EB17F5"/>
    <w:rsid w:val="00EB6414"/>
    <w:rsid w:val="00EB7EF3"/>
    <w:rsid w:val="00EC05CF"/>
    <w:rsid w:val="00EC3E82"/>
    <w:rsid w:val="00EC526C"/>
    <w:rsid w:val="00ED28EF"/>
    <w:rsid w:val="00ED2D66"/>
    <w:rsid w:val="00ED3544"/>
    <w:rsid w:val="00EE1E78"/>
    <w:rsid w:val="00EE3B50"/>
    <w:rsid w:val="00F02599"/>
    <w:rsid w:val="00F03221"/>
    <w:rsid w:val="00F03F50"/>
    <w:rsid w:val="00F2037E"/>
    <w:rsid w:val="00F24444"/>
    <w:rsid w:val="00F30C6F"/>
    <w:rsid w:val="00F3100F"/>
    <w:rsid w:val="00F3237E"/>
    <w:rsid w:val="00F362B6"/>
    <w:rsid w:val="00F37CA3"/>
    <w:rsid w:val="00F5341C"/>
    <w:rsid w:val="00F65139"/>
    <w:rsid w:val="00F809EA"/>
    <w:rsid w:val="00F827A6"/>
    <w:rsid w:val="00F865E6"/>
    <w:rsid w:val="00F8723D"/>
    <w:rsid w:val="00FA45B0"/>
    <w:rsid w:val="00FA5A7B"/>
    <w:rsid w:val="00FB1747"/>
    <w:rsid w:val="00FB1BC9"/>
    <w:rsid w:val="00FC6665"/>
    <w:rsid w:val="00FC76E7"/>
    <w:rsid w:val="00FD57E2"/>
    <w:rsid w:val="00FD627D"/>
    <w:rsid w:val="57E659F1"/>
    <w:rsid w:val="65EEB62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tabs>
        <w:tab w:val="clear" w:pos="568"/>
        <w:tab w:val="num" w:pos="284"/>
      </w:tabs>
      <w:spacing w:after="113"/>
      <w:ind w:left="284"/>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paragraph" w:styleId="Revision">
    <w:name w:val="Revision"/>
    <w:hidden/>
    <w:uiPriority w:val="99"/>
    <w:semiHidden/>
    <w:rsid w:val="0005448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8962">
      <w:bodyDiv w:val="1"/>
      <w:marLeft w:val="0"/>
      <w:marRight w:val="0"/>
      <w:marTop w:val="0"/>
      <w:marBottom w:val="0"/>
      <w:divBdr>
        <w:top w:val="none" w:sz="0" w:space="0" w:color="auto"/>
        <w:left w:val="none" w:sz="0" w:space="0" w:color="auto"/>
        <w:bottom w:val="none" w:sz="0" w:space="0" w:color="auto"/>
        <w:right w:val="none" w:sz="0" w:space="0" w:color="auto"/>
      </w:divBdr>
    </w:div>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326253097">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615336887">
      <w:bodyDiv w:val="1"/>
      <w:marLeft w:val="0"/>
      <w:marRight w:val="0"/>
      <w:marTop w:val="0"/>
      <w:marBottom w:val="0"/>
      <w:divBdr>
        <w:top w:val="none" w:sz="0" w:space="0" w:color="auto"/>
        <w:left w:val="none" w:sz="0" w:space="0" w:color="auto"/>
        <w:bottom w:val="none" w:sz="0" w:space="0" w:color="auto"/>
        <w:right w:val="none" w:sz="0" w:space="0" w:color="auto"/>
      </w:divBdr>
    </w:div>
    <w:div w:id="682323426">
      <w:bodyDiv w:val="1"/>
      <w:marLeft w:val="0"/>
      <w:marRight w:val="0"/>
      <w:marTop w:val="0"/>
      <w:marBottom w:val="0"/>
      <w:divBdr>
        <w:top w:val="none" w:sz="0" w:space="0" w:color="auto"/>
        <w:left w:val="none" w:sz="0" w:space="0" w:color="auto"/>
        <w:bottom w:val="none" w:sz="0" w:space="0" w:color="auto"/>
        <w:right w:val="none" w:sz="0" w:space="0" w:color="auto"/>
      </w:divBdr>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054157318">
      <w:bodyDiv w:val="1"/>
      <w:marLeft w:val="0"/>
      <w:marRight w:val="0"/>
      <w:marTop w:val="0"/>
      <w:marBottom w:val="0"/>
      <w:divBdr>
        <w:top w:val="none" w:sz="0" w:space="0" w:color="auto"/>
        <w:left w:val="none" w:sz="0" w:space="0" w:color="auto"/>
        <w:bottom w:val="none" w:sz="0" w:space="0" w:color="auto"/>
        <w:right w:val="none" w:sz="0" w:space="0" w:color="auto"/>
      </w:divBdr>
    </w:div>
    <w:div w:id="1271887556">
      <w:bodyDiv w:val="1"/>
      <w:marLeft w:val="0"/>
      <w:marRight w:val="0"/>
      <w:marTop w:val="0"/>
      <w:marBottom w:val="0"/>
      <w:divBdr>
        <w:top w:val="none" w:sz="0" w:space="0" w:color="auto"/>
        <w:left w:val="none" w:sz="0" w:space="0" w:color="auto"/>
        <w:bottom w:val="none" w:sz="0" w:space="0" w:color="auto"/>
        <w:right w:val="none" w:sz="0" w:space="0" w:color="auto"/>
      </w:divBdr>
    </w:div>
    <w:div w:id="1485774205">
      <w:bodyDiv w:val="1"/>
      <w:marLeft w:val="0"/>
      <w:marRight w:val="0"/>
      <w:marTop w:val="0"/>
      <w:marBottom w:val="0"/>
      <w:divBdr>
        <w:top w:val="none" w:sz="0" w:space="0" w:color="auto"/>
        <w:left w:val="none" w:sz="0" w:space="0" w:color="auto"/>
        <w:bottom w:val="none" w:sz="0" w:space="0" w:color="auto"/>
        <w:right w:val="none" w:sz="0" w:space="0" w:color="auto"/>
      </w:divBdr>
    </w:div>
    <w:div w:id="1586911281">
      <w:bodyDiv w:val="1"/>
      <w:marLeft w:val="0"/>
      <w:marRight w:val="0"/>
      <w:marTop w:val="0"/>
      <w:marBottom w:val="0"/>
      <w:divBdr>
        <w:top w:val="none" w:sz="0" w:space="0" w:color="auto"/>
        <w:left w:val="none" w:sz="0" w:space="0" w:color="auto"/>
        <w:bottom w:val="none" w:sz="0" w:space="0" w:color="auto"/>
        <w:right w:val="none" w:sz="0" w:space="0" w:color="auto"/>
      </w:divBdr>
    </w:div>
    <w:div w:id="1739403716">
      <w:bodyDiv w:val="1"/>
      <w:marLeft w:val="0"/>
      <w:marRight w:val="0"/>
      <w:marTop w:val="0"/>
      <w:marBottom w:val="0"/>
      <w:divBdr>
        <w:top w:val="none" w:sz="0" w:space="0" w:color="auto"/>
        <w:left w:val="none" w:sz="0" w:space="0" w:color="auto"/>
        <w:bottom w:val="none" w:sz="0" w:space="0" w:color="auto"/>
        <w:right w:val="none" w:sz="0" w:space="0" w:color="auto"/>
      </w:divBdr>
    </w:div>
    <w:div w:id="1759591330">
      <w:bodyDiv w:val="1"/>
      <w:marLeft w:val="0"/>
      <w:marRight w:val="0"/>
      <w:marTop w:val="0"/>
      <w:marBottom w:val="0"/>
      <w:divBdr>
        <w:top w:val="none" w:sz="0" w:space="0" w:color="auto"/>
        <w:left w:val="none" w:sz="0" w:space="0" w:color="auto"/>
        <w:bottom w:val="none" w:sz="0" w:space="0" w:color="auto"/>
        <w:right w:val="none" w:sz="0" w:space="0" w:color="auto"/>
      </w:divBdr>
    </w:div>
    <w:div w:id="1863592271">
      <w:bodyDiv w:val="1"/>
      <w:marLeft w:val="0"/>
      <w:marRight w:val="0"/>
      <w:marTop w:val="0"/>
      <w:marBottom w:val="0"/>
      <w:divBdr>
        <w:top w:val="none" w:sz="0" w:space="0" w:color="auto"/>
        <w:left w:val="none" w:sz="0" w:space="0" w:color="auto"/>
        <w:bottom w:val="none" w:sz="0" w:space="0" w:color="auto"/>
        <w:right w:val="none" w:sz="0" w:space="0" w:color="auto"/>
      </w:divBdr>
    </w:div>
    <w:div w:id="1933732380">
      <w:bodyDiv w:val="1"/>
      <w:marLeft w:val="0"/>
      <w:marRight w:val="0"/>
      <w:marTop w:val="0"/>
      <w:marBottom w:val="0"/>
      <w:divBdr>
        <w:top w:val="none" w:sz="0" w:space="0" w:color="auto"/>
        <w:left w:val="none" w:sz="0" w:space="0" w:color="auto"/>
        <w:bottom w:val="none" w:sz="0" w:space="0" w:color="auto"/>
        <w:right w:val="none" w:sz="0" w:space="0" w:color="auto"/>
      </w:divBdr>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 w:id="207867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dfat.gov.au/people-to-people/australia-awards/pages/australia-awards-scholarship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australiaawardsindonesia.org/id/ASEAN" TargetMode="External"/><Relationship Id="rId2" Type="http://schemas.openxmlformats.org/officeDocument/2006/relationships/customXml" Target="../customXml/item2.xml"/><Relationship Id="rId16" Type="http://schemas.openxmlformats.org/officeDocument/2006/relationships/hyperlink" Target="http://dfat.gov.au/about-us/publications/Pages/australia-awards-scholarships-policy-handbook.aspx" TargetMode="External"/><Relationship Id="rId20" Type="http://schemas.openxmlformats.org/officeDocument/2006/relationships/hyperlink" Target="http://dfat.gov.au/about-us/publications/Pages/australia-awards-scholarships-policy-handbook.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ean.org/speechandstatement/asean-outlook-on-the-indo-pacific/" TargetMode="External"/><Relationship Id="rId10" Type="http://schemas.openxmlformats.org/officeDocument/2006/relationships/footnotes" Target="footnotes.xml"/><Relationship Id="rId19" Type="http://schemas.openxmlformats.org/officeDocument/2006/relationships/hyperlink" Target="http://www.studyinaustrali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64E847-B7AD-4DFF-9D29-43C6E952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31060-A5EF-4275-8DD1-1A602FBFAA5F}">
  <ds:schemaRefs>
    <ds:schemaRef ds:uri="http://schemas.microsoft.com/sharepoint/v3/contenttype/forms"/>
  </ds:schemaRefs>
</ds:datastoreItem>
</file>

<file path=customXml/itemProps4.xml><?xml version="1.0" encoding="utf-8"?>
<ds:datastoreItem xmlns:ds="http://schemas.openxmlformats.org/officeDocument/2006/customXml" ds:itemID="{85EC65AD-CEC1-4F96-AB3D-FD3A9597D41A}">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customXml/itemProps5.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6213</Characters>
  <Application>Microsoft Office Word</Application>
  <DocSecurity>0</DocSecurity>
  <Lines>133</Lines>
  <Paragraphs>99</Paragraphs>
  <ScaleCrop>false</ScaleCrop>
  <HeadingPairs>
    <vt:vector size="2" baseType="variant">
      <vt:variant>
        <vt:lpstr>Title</vt:lpstr>
      </vt:variant>
      <vt:variant>
        <vt:i4>1</vt:i4>
      </vt:variant>
    </vt:vector>
  </HeadingPairs>
  <TitlesOfParts>
    <vt:vector size="1" baseType="lpstr">
      <vt:lpstr>Australia Awards scholarships in Africa</vt:lpstr>
    </vt:vector>
  </TitlesOfParts>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an Australia for ASEAN scholarship - Singapore</dc:title>
  <dc:creator/>
  <cp:keywords>[SEC=OFFICIAL]</cp:keywords>
  <cp:lastModifiedBy/>
  <cp:revision>1</cp:revision>
  <dcterms:created xsi:type="dcterms:W3CDTF">2024-04-29T00:25:00Z</dcterms:created>
  <dcterms:modified xsi:type="dcterms:W3CDTF">2024-04-29T00:25:00Z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621607FB92B016FBED536863B10EEE2CEBFC9D86</vt:lpwstr>
  </property>
  <property fmtid="{D5CDD505-2E9C-101B-9397-08002B2CF9AE}" pid="9" name="PM_Originating_FileId">
    <vt:lpwstr>95FCA2289F634C57968C07618AB7A1F3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2023-01-31T00:59:12Z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D2DC609C439DB411A8BCD74889627D67</vt:lpwstr>
  </property>
  <property fmtid="{D5CDD505-2E9C-101B-9397-08002B2CF9AE}" pid="20" name="PM_Hash_Salt">
    <vt:lpwstr>F43D444905D65737C4C74369DE799445</vt:lpwstr>
  </property>
  <property fmtid="{D5CDD505-2E9C-101B-9397-08002B2CF9AE}" pid="21" name="PM_Hash_SHA1">
    <vt:lpwstr>9A311507F328B457472CBCEF13F56EECD1A264DC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3516C61A91B9E0E0A69F503B2979C933A839B6E08C8BB09AE1EE3B985397349E</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v=2022.1;a=SHA256;h=5C041A272CE743BC0E658AB9356D51B87AC820A3FFF62ED6C7281B29390AC584</vt:lpwstr>
  </property>
  <property fmtid="{D5CDD505-2E9C-101B-9397-08002B2CF9AE}" pid="29" name="ContentTypeId">
    <vt:lpwstr>0x010100847FC44D1A0AD44CA301B778D02EA564</vt:lpwstr>
  </property>
  <property fmtid="{D5CDD505-2E9C-101B-9397-08002B2CF9AE}" pid="30" name="MediaServiceImageTags">
    <vt:lpwstr/>
  </property>
</Properties>
</file>