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8684" w14:textId="77777777" w:rsidR="002A5789" w:rsidRDefault="002A5789" w:rsidP="00F71EA3">
      <w:pPr>
        <w:pStyle w:val="BTNSSBodyTextNoSpacingSmall"/>
        <w:rPr>
          <w:rFonts w:cs="Calibri"/>
          <w:sz w:val="2"/>
          <w:szCs w:val="2"/>
        </w:rPr>
      </w:pPr>
    </w:p>
    <w:p w14:paraId="3D284879" w14:textId="77777777" w:rsidR="002A5789" w:rsidRDefault="002A5789" w:rsidP="00F71EA3">
      <w:pPr>
        <w:pStyle w:val="BTNSSBodyTextNoSpacingSmall"/>
        <w:rPr>
          <w:rFonts w:cs="Calibri"/>
          <w:sz w:val="2"/>
          <w:szCs w:val="2"/>
        </w:rPr>
      </w:pPr>
    </w:p>
    <w:p w14:paraId="77E4A5CB" w14:textId="77777777" w:rsidR="002A5789" w:rsidRDefault="002A5789" w:rsidP="00F71EA3">
      <w:pPr>
        <w:pStyle w:val="BTNSSBodyTextNoSpacingSmall"/>
        <w:rPr>
          <w:rFonts w:cs="Calibri"/>
          <w:sz w:val="2"/>
          <w:szCs w:val="2"/>
        </w:rPr>
      </w:pPr>
    </w:p>
    <w:p w14:paraId="748C2656" w14:textId="77777777" w:rsidR="002A5789" w:rsidRDefault="002A5789" w:rsidP="00F71EA3">
      <w:pPr>
        <w:pStyle w:val="BTNSSBodyTextNoSpacingSmall"/>
        <w:rPr>
          <w:rFonts w:cs="Calibri"/>
          <w:sz w:val="2"/>
          <w:szCs w:val="2"/>
        </w:rPr>
      </w:pPr>
    </w:p>
    <w:p w14:paraId="20A544D9" w14:textId="77777777" w:rsidR="002A5789" w:rsidRDefault="002A5789" w:rsidP="00F71EA3">
      <w:pPr>
        <w:pStyle w:val="BTNSSBodyTextNoSpacingSmall"/>
        <w:rPr>
          <w:rFonts w:cs="Calibri"/>
          <w:sz w:val="2"/>
          <w:szCs w:val="2"/>
        </w:rPr>
      </w:pPr>
    </w:p>
    <w:p w14:paraId="1347423C" w14:textId="3FA7BA5C" w:rsidR="00F71EA3" w:rsidRPr="00AE62EF" w:rsidRDefault="00F71EA3" w:rsidP="00F71EA3">
      <w:pPr>
        <w:pStyle w:val="BTNSSBodyTextNoSpacingSmall"/>
        <w:rPr>
          <w:rFonts w:cs="Calibri"/>
          <w:sz w:val="2"/>
          <w:szCs w:val="2"/>
        </w:rPr>
      </w:pPr>
      <w:r w:rsidRPr="00AE62EF">
        <w:rPr>
          <w:rFonts w:cs="Calibri"/>
          <w:sz w:val="2"/>
          <w:szCs w:val="2"/>
        </w:rPr>
        <w:t xml:space="preserve"> </w:t>
      </w:r>
      <w:bookmarkStart w:id="0" w:name="_Hlk15577119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F71EA3" w:rsidRPr="00AE62EF" w14:paraId="602590C1" w14:textId="77777777" w:rsidTr="00AA396D">
        <w:trPr>
          <w:trHeight w:val="4365"/>
        </w:trPr>
        <w:tc>
          <w:tcPr>
            <w:tcW w:w="9070" w:type="dxa"/>
          </w:tcPr>
          <w:p w14:paraId="2FC4ACB3" w14:textId="77777777" w:rsidR="00F71EA3" w:rsidRPr="00AE62EF" w:rsidRDefault="00F71EA3" w:rsidP="00AA396D">
            <w:pPr>
              <w:pStyle w:val="BTBodyText"/>
              <w:spacing w:after="240"/>
              <w:jc w:val="center"/>
              <w:rPr>
                <w:rFonts w:cs="Calibri"/>
                <w:b/>
                <w:bCs/>
                <w:sz w:val="32"/>
                <w:szCs w:val="32"/>
              </w:rPr>
            </w:pPr>
            <w:bookmarkStart w:id="1" w:name="_Toc100253863"/>
            <w:bookmarkStart w:id="2" w:name="_Toc155884800"/>
            <w:r w:rsidRPr="00AE62EF">
              <w:rPr>
                <w:rFonts w:cs="Calibri"/>
              </w:rPr>
              <w:br w:type="page"/>
            </w:r>
            <w:r w:rsidRPr="00AE62EF">
              <w:rPr>
                <w:rFonts w:cs="Calibri"/>
                <w:b/>
                <w:bCs/>
                <w:sz w:val="32"/>
                <w:szCs w:val="32"/>
              </w:rPr>
              <w:t>Before the World Trade Organization</w:t>
            </w:r>
          </w:p>
          <w:p w14:paraId="27220BA5" w14:textId="77777777" w:rsidR="00F71EA3" w:rsidRPr="00AE62EF" w:rsidRDefault="00F71EA3" w:rsidP="00AA396D">
            <w:pPr>
              <w:pStyle w:val="BTBodyText"/>
              <w:spacing w:after="240"/>
              <w:jc w:val="center"/>
              <w:rPr>
                <w:rFonts w:cs="Calibri"/>
                <w:b/>
                <w:bCs/>
                <w:sz w:val="32"/>
                <w:szCs w:val="32"/>
              </w:rPr>
            </w:pPr>
            <w:r w:rsidRPr="00AE62EF">
              <w:rPr>
                <w:rFonts w:cs="Calibri"/>
                <w:b/>
                <w:bCs/>
                <w:sz w:val="32"/>
                <w:szCs w:val="32"/>
              </w:rPr>
              <w:t>Panel Proceedings</w:t>
            </w:r>
          </w:p>
        </w:tc>
      </w:tr>
      <w:tr w:rsidR="00F71EA3" w:rsidRPr="00AE62EF" w14:paraId="1360E409" w14:textId="77777777" w:rsidTr="00AA396D">
        <w:trPr>
          <w:trHeight w:val="737"/>
        </w:trPr>
        <w:tc>
          <w:tcPr>
            <w:tcW w:w="9070" w:type="dxa"/>
          </w:tcPr>
          <w:p w14:paraId="1C2F37D3" w14:textId="77777777" w:rsidR="00F71EA3" w:rsidRPr="00AE62EF" w:rsidRDefault="00F71EA3" w:rsidP="00AA396D">
            <w:pPr>
              <w:pStyle w:val="WTODTWTODisputeTitle"/>
              <w:rPr>
                <w:rFonts w:cs="Calibri"/>
              </w:rPr>
            </w:pPr>
            <w:r w:rsidRPr="00AE62EF">
              <w:rPr>
                <w:rFonts w:cs="Calibri"/>
              </w:rPr>
              <w:t xml:space="preserve">European Union – Countervailing and Anti-Dumping </w:t>
            </w:r>
            <w:r w:rsidRPr="00AE62EF">
              <w:rPr>
                <w:rFonts w:cs="Calibri"/>
              </w:rPr>
              <w:tab/>
            </w:r>
          </w:p>
          <w:p w14:paraId="5A7D48DB" w14:textId="77777777" w:rsidR="00F71EA3" w:rsidRPr="00AE62EF" w:rsidRDefault="00F71EA3" w:rsidP="00AA396D">
            <w:pPr>
              <w:pStyle w:val="WTODTWTODisputeTitle"/>
              <w:rPr>
                <w:rFonts w:cs="Calibri"/>
              </w:rPr>
            </w:pPr>
            <w:r w:rsidRPr="00AE62EF">
              <w:rPr>
                <w:rFonts w:cs="Calibri"/>
              </w:rPr>
              <w:t>Duties on Stainless Steel Cold-Rolled Flat Products</w:t>
            </w:r>
            <w:r w:rsidRPr="00AE62EF">
              <w:rPr>
                <w:rFonts w:cs="Calibri"/>
              </w:rPr>
              <w:tab/>
            </w:r>
            <w:r w:rsidRPr="00AE62EF">
              <w:rPr>
                <w:rFonts w:cs="Calibri"/>
              </w:rPr>
              <w:tab/>
              <w:t>from Indonesia</w:t>
            </w:r>
          </w:p>
        </w:tc>
      </w:tr>
      <w:tr w:rsidR="00F71EA3" w:rsidRPr="00AE62EF" w14:paraId="6116A9AF" w14:textId="77777777" w:rsidTr="00AA396D">
        <w:trPr>
          <w:trHeight w:val="3175"/>
        </w:trPr>
        <w:tc>
          <w:tcPr>
            <w:tcW w:w="9070" w:type="dxa"/>
          </w:tcPr>
          <w:p w14:paraId="0718E505" w14:textId="77777777" w:rsidR="00F71EA3" w:rsidRPr="00AE62EF" w:rsidRDefault="00F71EA3" w:rsidP="00AA396D">
            <w:pPr>
              <w:pStyle w:val="DSNDSNumber"/>
              <w:rPr>
                <w:rFonts w:cs="Calibri"/>
              </w:rPr>
            </w:pPr>
            <w:r w:rsidRPr="00AE62EF">
              <w:rPr>
                <w:rFonts w:cs="Calibri"/>
              </w:rPr>
              <w:t>(DS616)</w:t>
            </w:r>
          </w:p>
        </w:tc>
      </w:tr>
      <w:tr w:rsidR="00F71EA3" w:rsidRPr="00AE62EF" w14:paraId="56A9B2E3" w14:textId="77777777" w:rsidTr="00AA396D">
        <w:trPr>
          <w:trHeight w:val="3798"/>
        </w:trPr>
        <w:tc>
          <w:tcPr>
            <w:tcW w:w="9070" w:type="dxa"/>
          </w:tcPr>
          <w:p w14:paraId="3D78999B" w14:textId="4CD0D776" w:rsidR="00F02E0F" w:rsidRPr="00505CF6" w:rsidRDefault="005145EA" w:rsidP="00505CF6">
            <w:pPr>
              <w:pStyle w:val="DTDocumentTitle"/>
              <w:rPr>
                <w:rFonts w:cs="Calibri"/>
                <w:i/>
                <w:iCs/>
              </w:rPr>
            </w:pPr>
            <w:r w:rsidRPr="005145EA">
              <w:rPr>
                <w:rFonts w:cs="Calibri"/>
              </w:rPr>
              <w:t>Executive Summary Of Australia's Third Party Written Submission, Third Party Oral Statement And Responses To Questions From The Panel To Third Parties</w:t>
            </w:r>
          </w:p>
        </w:tc>
      </w:tr>
      <w:tr w:rsidR="00F71EA3" w:rsidRPr="00AE62EF" w14:paraId="14072F80" w14:textId="77777777" w:rsidTr="00AA396D">
        <w:trPr>
          <w:trHeight w:val="624"/>
        </w:trPr>
        <w:tc>
          <w:tcPr>
            <w:tcW w:w="9070" w:type="dxa"/>
          </w:tcPr>
          <w:p w14:paraId="474097AA" w14:textId="7265532C" w:rsidR="00F71EA3" w:rsidRPr="00AE62EF" w:rsidRDefault="005145EA" w:rsidP="00AA396D">
            <w:pPr>
              <w:pStyle w:val="DDDocumentDate"/>
              <w:rPr>
                <w:rFonts w:cs="Calibri"/>
              </w:rPr>
            </w:pPr>
            <w:r w:rsidRPr="005145EA">
              <w:rPr>
                <w:rFonts w:cs="Calibri"/>
              </w:rPr>
              <w:t>20</w:t>
            </w:r>
            <w:r w:rsidR="005A3AE3" w:rsidRPr="005145EA">
              <w:rPr>
                <w:rFonts w:cs="Calibri"/>
              </w:rPr>
              <w:t xml:space="preserve"> May</w:t>
            </w:r>
            <w:r w:rsidR="00F71EA3" w:rsidRPr="005145EA">
              <w:rPr>
                <w:rFonts w:cs="Calibri"/>
              </w:rPr>
              <w:t xml:space="preserve"> 2024</w:t>
            </w:r>
          </w:p>
        </w:tc>
      </w:tr>
    </w:tbl>
    <w:p w14:paraId="72B5F3B3" w14:textId="77777777" w:rsidR="00F71EA3" w:rsidRPr="00AE62EF" w:rsidRDefault="00F71EA3" w:rsidP="00F71EA3">
      <w:pPr>
        <w:pStyle w:val="BTNSSBodyTextNoSpacingSmall"/>
        <w:rPr>
          <w:rFonts w:cs="Calibri"/>
        </w:rPr>
      </w:pPr>
    </w:p>
    <w:p w14:paraId="49530EB1" w14:textId="77777777" w:rsidR="00F71EA3" w:rsidRPr="00AE62EF" w:rsidRDefault="00F71EA3" w:rsidP="00F71EA3">
      <w:pPr>
        <w:pStyle w:val="BTNSSBodyTextNoSpacingSmall"/>
        <w:rPr>
          <w:rFonts w:cs="Calibri"/>
        </w:rPr>
      </w:pPr>
      <w:r w:rsidRPr="00AE62EF">
        <w:rPr>
          <w:rFonts w:cs="Calibri"/>
        </w:rPr>
        <w:br w:type="page"/>
      </w:r>
    </w:p>
    <w:bookmarkStart w:id="3" w:name="_Toc100253860" w:displacedByCustomXml="next"/>
    <w:sdt>
      <w:sdtPr>
        <w:rPr>
          <w:rFonts w:cs="Calibri"/>
          <w:b w:val="0"/>
          <w:caps w:val="0"/>
          <w:lang w:val="en-AU"/>
        </w:rPr>
        <w:id w:val="794183329"/>
        <w:docPartObj>
          <w:docPartGallery w:val="Table of Contents"/>
          <w:docPartUnique/>
        </w:docPartObj>
      </w:sdtPr>
      <w:sdtEndPr>
        <w:rPr>
          <w:bCs/>
          <w:noProof/>
        </w:rPr>
      </w:sdtEndPr>
      <w:sdtContent>
        <w:p w14:paraId="064A016C" w14:textId="77777777" w:rsidR="00F71EA3" w:rsidRPr="00AE62EF" w:rsidRDefault="00F71EA3" w:rsidP="00F71EA3">
          <w:pPr>
            <w:pStyle w:val="TOCHeading"/>
            <w:rPr>
              <w:rFonts w:cs="Calibri"/>
            </w:rPr>
          </w:pPr>
          <w:r w:rsidRPr="00AE62EF">
            <w:rPr>
              <w:rFonts w:cs="Calibri"/>
            </w:rPr>
            <w:t>Contents</w:t>
          </w:r>
        </w:p>
        <w:p w14:paraId="4A36BB49" w14:textId="7714E20E" w:rsidR="001F7719" w:rsidRDefault="00F71EA3">
          <w:pPr>
            <w:pStyle w:val="TOC1"/>
            <w:rPr>
              <w:rFonts w:asciiTheme="minorHAnsi" w:eastAsiaTheme="minorEastAsia" w:hAnsiTheme="minorHAnsi"/>
              <w:b w:val="0"/>
              <w:caps w:val="0"/>
              <w:noProof/>
              <w:kern w:val="2"/>
              <w:sz w:val="22"/>
              <w:szCs w:val="22"/>
              <w:lang w:eastAsia="en-AU"/>
              <w14:ligatures w14:val="standardContextual"/>
            </w:rPr>
          </w:pPr>
          <w:r w:rsidRPr="00AE62EF">
            <w:rPr>
              <w:rFonts w:cs="Calibri"/>
            </w:rPr>
            <w:fldChar w:fldCharType="begin"/>
          </w:r>
          <w:r w:rsidRPr="00AE62EF">
            <w:rPr>
              <w:rFonts w:cs="Calibri"/>
            </w:rPr>
            <w:instrText xml:space="preserve"> TOC \o "1-3" \h \z \u </w:instrText>
          </w:r>
          <w:r w:rsidRPr="00AE62EF">
            <w:rPr>
              <w:rFonts w:cs="Calibri"/>
            </w:rPr>
            <w:fldChar w:fldCharType="separate"/>
          </w:r>
          <w:hyperlink w:anchor="_Toc167096591" w:history="1">
            <w:r w:rsidR="001F7719" w:rsidRPr="0097487C">
              <w:rPr>
                <w:rStyle w:val="Hyperlink"/>
                <w:rFonts w:cs="Calibri"/>
                <w:noProof/>
              </w:rPr>
              <w:t>Table of Cases</w:t>
            </w:r>
            <w:r w:rsidR="001F7719">
              <w:rPr>
                <w:noProof/>
                <w:webHidden/>
              </w:rPr>
              <w:tab/>
            </w:r>
            <w:r w:rsidR="001F7719">
              <w:rPr>
                <w:noProof/>
                <w:webHidden/>
              </w:rPr>
              <w:fldChar w:fldCharType="begin"/>
            </w:r>
            <w:r w:rsidR="001F7719">
              <w:rPr>
                <w:noProof/>
                <w:webHidden/>
              </w:rPr>
              <w:instrText xml:space="preserve"> PAGEREF _Toc167096591 \h </w:instrText>
            </w:r>
            <w:r w:rsidR="001F7719">
              <w:rPr>
                <w:noProof/>
                <w:webHidden/>
              </w:rPr>
            </w:r>
            <w:r w:rsidR="001F7719">
              <w:rPr>
                <w:noProof/>
                <w:webHidden/>
              </w:rPr>
              <w:fldChar w:fldCharType="separate"/>
            </w:r>
            <w:r w:rsidR="00D65D49">
              <w:rPr>
                <w:noProof/>
                <w:webHidden/>
              </w:rPr>
              <w:t>3</w:t>
            </w:r>
            <w:r w:rsidR="001F7719">
              <w:rPr>
                <w:noProof/>
                <w:webHidden/>
              </w:rPr>
              <w:fldChar w:fldCharType="end"/>
            </w:r>
          </w:hyperlink>
        </w:p>
        <w:p w14:paraId="30BBB696" w14:textId="0706F163" w:rsidR="001F7719" w:rsidRDefault="006A2840">
          <w:pPr>
            <w:pStyle w:val="TOC1"/>
            <w:rPr>
              <w:rFonts w:asciiTheme="minorHAnsi" w:eastAsiaTheme="minorEastAsia" w:hAnsiTheme="minorHAnsi"/>
              <w:b w:val="0"/>
              <w:caps w:val="0"/>
              <w:noProof/>
              <w:kern w:val="2"/>
              <w:sz w:val="22"/>
              <w:szCs w:val="22"/>
              <w:lang w:eastAsia="en-AU"/>
              <w14:ligatures w14:val="standardContextual"/>
            </w:rPr>
          </w:pPr>
          <w:hyperlink w:anchor="_Toc167096592" w:history="1">
            <w:r w:rsidR="001F7719" w:rsidRPr="0097487C">
              <w:rPr>
                <w:rStyle w:val="Hyperlink"/>
                <w:rFonts w:cs="Calibri"/>
                <w:noProof/>
              </w:rPr>
              <w:t>List of Acronyms, Abbreviations and Short Forms</w:t>
            </w:r>
            <w:r w:rsidR="001F7719">
              <w:rPr>
                <w:noProof/>
                <w:webHidden/>
              </w:rPr>
              <w:tab/>
            </w:r>
            <w:r w:rsidR="001F7719">
              <w:rPr>
                <w:noProof/>
                <w:webHidden/>
              </w:rPr>
              <w:fldChar w:fldCharType="begin"/>
            </w:r>
            <w:r w:rsidR="001F7719">
              <w:rPr>
                <w:noProof/>
                <w:webHidden/>
              </w:rPr>
              <w:instrText xml:space="preserve"> PAGEREF _Toc167096592 \h </w:instrText>
            </w:r>
            <w:r w:rsidR="001F7719">
              <w:rPr>
                <w:noProof/>
                <w:webHidden/>
              </w:rPr>
            </w:r>
            <w:r w:rsidR="001F7719">
              <w:rPr>
                <w:noProof/>
                <w:webHidden/>
              </w:rPr>
              <w:fldChar w:fldCharType="separate"/>
            </w:r>
            <w:r w:rsidR="00D65D49">
              <w:rPr>
                <w:noProof/>
                <w:webHidden/>
              </w:rPr>
              <w:t>3</w:t>
            </w:r>
            <w:r w:rsidR="001F7719">
              <w:rPr>
                <w:noProof/>
                <w:webHidden/>
              </w:rPr>
              <w:fldChar w:fldCharType="end"/>
            </w:r>
          </w:hyperlink>
        </w:p>
        <w:p w14:paraId="2C5874E1" w14:textId="7E1F7B5B" w:rsidR="001F7719" w:rsidRDefault="006A2840">
          <w:pPr>
            <w:pStyle w:val="TOC1"/>
            <w:rPr>
              <w:rFonts w:asciiTheme="minorHAnsi" w:eastAsiaTheme="minorEastAsia" w:hAnsiTheme="minorHAnsi"/>
              <w:b w:val="0"/>
              <w:caps w:val="0"/>
              <w:noProof/>
              <w:kern w:val="2"/>
              <w:sz w:val="22"/>
              <w:szCs w:val="22"/>
              <w:lang w:eastAsia="en-AU"/>
              <w14:ligatures w14:val="standardContextual"/>
            </w:rPr>
          </w:pPr>
          <w:hyperlink w:anchor="_Toc167096593" w:history="1">
            <w:r w:rsidR="001F7719" w:rsidRPr="0097487C">
              <w:rPr>
                <w:rStyle w:val="Hyperlink"/>
                <w:noProof/>
              </w:rPr>
              <w:t>I.</w:t>
            </w:r>
            <w:r w:rsidR="001F7719">
              <w:rPr>
                <w:rFonts w:asciiTheme="minorHAnsi" w:eastAsiaTheme="minorEastAsia" w:hAnsiTheme="minorHAnsi"/>
                <w:b w:val="0"/>
                <w:caps w:val="0"/>
                <w:noProof/>
                <w:kern w:val="2"/>
                <w:sz w:val="22"/>
                <w:szCs w:val="22"/>
                <w:lang w:eastAsia="en-AU"/>
                <w14:ligatures w14:val="standardContextual"/>
              </w:rPr>
              <w:tab/>
            </w:r>
            <w:r w:rsidR="001F7719" w:rsidRPr="0097487C">
              <w:rPr>
                <w:rStyle w:val="Hyperlink"/>
                <w:noProof/>
              </w:rPr>
              <w:t>Systemic implications</w:t>
            </w:r>
            <w:r w:rsidR="001F7719">
              <w:rPr>
                <w:noProof/>
                <w:webHidden/>
              </w:rPr>
              <w:tab/>
            </w:r>
            <w:r w:rsidR="001F7719">
              <w:rPr>
                <w:noProof/>
                <w:webHidden/>
              </w:rPr>
              <w:fldChar w:fldCharType="begin"/>
            </w:r>
            <w:r w:rsidR="001F7719">
              <w:rPr>
                <w:noProof/>
                <w:webHidden/>
              </w:rPr>
              <w:instrText xml:space="preserve"> PAGEREF _Toc167096593 \h </w:instrText>
            </w:r>
            <w:r w:rsidR="001F7719">
              <w:rPr>
                <w:noProof/>
                <w:webHidden/>
              </w:rPr>
            </w:r>
            <w:r w:rsidR="001F7719">
              <w:rPr>
                <w:noProof/>
                <w:webHidden/>
              </w:rPr>
              <w:fldChar w:fldCharType="separate"/>
            </w:r>
            <w:r w:rsidR="00D65D49">
              <w:rPr>
                <w:noProof/>
                <w:webHidden/>
              </w:rPr>
              <w:t>4</w:t>
            </w:r>
            <w:r w:rsidR="001F7719">
              <w:rPr>
                <w:noProof/>
                <w:webHidden/>
              </w:rPr>
              <w:fldChar w:fldCharType="end"/>
            </w:r>
          </w:hyperlink>
        </w:p>
        <w:p w14:paraId="5888B427" w14:textId="729C1927" w:rsidR="001F7719" w:rsidRDefault="006A2840">
          <w:pPr>
            <w:pStyle w:val="TOC1"/>
            <w:rPr>
              <w:rFonts w:asciiTheme="minorHAnsi" w:eastAsiaTheme="minorEastAsia" w:hAnsiTheme="minorHAnsi"/>
              <w:b w:val="0"/>
              <w:caps w:val="0"/>
              <w:noProof/>
              <w:kern w:val="2"/>
              <w:sz w:val="22"/>
              <w:szCs w:val="22"/>
              <w:lang w:eastAsia="en-AU"/>
              <w14:ligatures w14:val="standardContextual"/>
            </w:rPr>
          </w:pPr>
          <w:hyperlink w:anchor="_Toc167096594" w:history="1">
            <w:r w:rsidR="001F7719" w:rsidRPr="0097487C">
              <w:rPr>
                <w:rStyle w:val="Hyperlink"/>
                <w:noProof/>
              </w:rPr>
              <w:t>II.</w:t>
            </w:r>
            <w:r w:rsidR="001F7719">
              <w:rPr>
                <w:rFonts w:asciiTheme="minorHAnsi" w:eastAsiaTheme="minorEastAsia" w:hAnsiTheme="minorHAnsi"/>
                <w:b w:val="0"/>
                <w:caps w:val="0"/>
                <w:noProof/>
                <w:kern w:val="2"/>
                <w:sz w:val="22"/>
                <w:szCs w:val="22"/>
                <w:lang w:eastAsia="en-AU"/>
                <w14:ligatures w14:val="standardContextual"/>
              </w:rPr>
              <w:tab/>
            </w:r>
            <w:r w:rsidR="001F7719" w:rsidRPr="0097487C">
              <w:rPr>
                <w:rStyle w:val="Hyperlink"/>
                <w:noProof/>
              </w:rPr>
              <w:t>Attribution</w:t>
            </w:r>
            <w:r w:rsidR="001F7719">
              <w:rPr>
                <w:noProof/>
                <w:webHidden/>
              </w:rPr>
              <w:tab/>
            </w:r>
            <w:r w:rsidR="001F7719">
              <w:rPr>
                <w:noProof/>
                <w:webHidden/>
              </w:rPr>
              <w:fldChar w:fldCharType="begin"/>
            </w:r>
            <w:r w:rsidR="001F7719">
              <w:rPr>
                <w:noProof/>
                <w:webHidden/>
              </w:rPr>
              <w:instrText xml:space="preserve"> PAGEREF _Toc167096594 \h </w:instrText>
            </w:r>
            <w:r w:rsidR="001F7719">
              <w:rPr>
                <w:noProof/>
                <w:webHidden/>
              </w:rPr>
            </w:r>
            <w:r w:rsidR="001F7719">
              <w:rPr>
                <w:noProof/>
                <w:webHidden/>
              </w:rPr>
              <w:fldChar w:fldCharType="separate"/>
            </w:r>
            <w:r w:rsidR="00D65D49">
              <w:rPr>
                <w:noProof/>
                <w:webHidden/>
              </w:rPr>
              <w:t>4</w:t>
            </w:r>
            <w:r w:rsidR="001F7719">
              <w:rPr>
                <w:noProof/>
                <w:webHidden/>
              </w:rPr>
              <w:fldChar w:fldCharType="end"/>
            </w:r>
          </w:hyperlink>
        </w:p>
        <w:p w14:paraId="0F7422E6" w14:textId="1BBDED3A" w:rsidR="001F7719" w:rsidRDefault="006A2840">
          <w:pPr>
            <w:pStyle w:val="TOC2"/>
            <w:rPr>
              <w:rFonts w:asciiTheme="minorHAnsi" w:eastAsiaTheme="minorEastAsia" w:hAnsiTheme="minorHAnsi"/>
              <w:b w:val="0"/>
              <w:smallCaps w:val="0"/>
              <w:noProof/>
              <w:kern w:val="2"/>
              <w:sz w:val="22"/>
              <w:szCs w:val="22"/>
              <w:lang w:eastAsia="en-AU"/>
              <w14:ligatures w14:val="standardContextual"/>
            </w:rPr>
          </w:pPr>
          <w:hyperlink w:anchor="_Toc167096595" w:history="1">
            <w:r w:rsidR="001F7719" w:rsidRPr="0097487C">
              <w:rPr>
                <w:rStyle w:val="Hyperlink"/>
                <w:noProof/>
              </w:rPr>
              <w:t>A.</w:t>
            </w:r>
            <w:r w:rsidR="001F7719">
              <w:rPr>
                <w:rFonts w:asciiTheme="minorHAnsi" w:eastAsiaTheme="minorEastAsia" w:hAnsiTheme="minorHAnsi"/>
                <w:b w:val="0"/>
                <w:smallCaps w:val="0"/>
                <w:noProof/>
                <w:kern w:val="2"/>
                <w:sz w:val="22"/>
                <w:szCs w:val="22"/>
                <w:lang w:eastAsia="en-AU"/>
                <w14:ligatures w14:val="standardContextual"/>
              </w:rPr>
              <w:tab/>
            </w:r>
            <w:r w:rsidR="001F7719" w:rsidRPr="0097487C">
              <w:rPr>
                <w:rStyle w:val="Hyperlink"/>
                <w:noProof/>
              </w:rPr>
              <w:t>The Task Before the Panel</w:t>
            </w:r>
            <w:r w:rsidR="001F7719">
              <w:rPr>
                <w:noProof/>
                <w:webHidden/>
              </w:rPr>
              <w:tab/>
            </w:r>
            <w:r w:rsidR="001F7719">
              <w:rPr>
                <w:noProof/>
                <w:webHidden/>
              </w:rPr>
              <w:fldChar w:fldCharType="begin"/>
            </w:r>
            <w:r w:rsidR="001F7719">
              <w:rPr>
                <w:noProof/>
                <w:webHidden/>
              </w:rPr>
              <w:instrText xml:space="preserve"> PAGEREF _Toc167096595 \h </w:instrText>
            </w:r>
            <w:r w:rsidR="001F7719">
              <w:rPr>
                <w:noProof/>
                <w:webHidden/>
              </w:rPr>
            </w:r>
            <w:r w:rsidR="001F7719">
              <w:rPr>
                <w:noProof/>
                <w:webHidden/>
              </w:rPr>
              <w:fldChar w:fldCharType="separate"/>
            </w:r>
            <w:r w:rsidR="00D65D49">
              <w:rPr>
                <w:noProof/>
                <w:webHidden/>
              </w:rPr>
              <w:t>4</w:t>
            </w:r>
            <w:r w:rsidR="001F7719">
              <w:rPr>
                <w:noProof/>
                <w:webHidden/>
              </w:rPr>
              <w:fldChar w:fldCharType="end"/>
            </w:r>
          </w:hyperlink>
        </w:p>
        <w:p w14:paraId="756B8627" w14:textId="76971ED3" w:rsidR="001F7719" w:rsidRDefault="006A2840">
          <w:pPr>
            <w:pStyle w:val="TOC2"/>
            <w:rPr>
              <w:rFonts w:asciiTheme="minorHAnsi" w:eastAsiaTheme="minorEastAsia" w:hAnsiTheme="minorHAnsi"/>
              <w:b w:val="0"/>
              <w:smallCaps w:val="0"/>
              <w:noProof/>
              <w:kern w:val="2"/>
              <w:sz w:val="22"/>
              <w:szCs w:val="22"/>
              <w:lang w:eastAsia="en-AU"/>
              <w14:ligatures w14:val="standardContextual"/>
            </w:rPr>
          </w:pPr>
          <w:hyperlink w:anchor="_Toc167096596" w:history="1">
            <w:r w:rsidR="001F7719" w:rsidRPr="0097487C">
              <w:rPr>
                <w:rStyle w:val="Hyperlink"/>
                <w:noProof/>
              </w:rPr>
              <w:t>B.</w:t>
            </w:r>
            <w:r w:rsidR="001F7719">
              <w:rPr>
                <w:rFonts w:asciiTheme="minorHAnsi" w:eastAsiaTheme="minorEastAsia" w:hAnsiTheme="minorHAnsi"/>
                <w:b w:val="0"/>
                <w:smallCaps w:val="0"/>
                <w:noProof/>
                <w:kern w:val="2"/>
                <w:sz w:val="22"/>
                <w:szCs w:val="22"/>
                <w:lang w:eastAsia="en-AU"/>
                <w14:ligatures w14:val="standardContextual"/>
              </w:rPr>
              <w:tab/>
            </w:r>
            <w:r w:rsidR="001F7719" w:rsidRPr="0097487C">
              <w:rPr>
                <w:rStyle w:val="Hyperlink"/>
                <w:noProof/>
              </w:rPr>
              <w:t>The Relevance of Article 11 of the ILC Articles</w:t>
            </w:r>
            <w:r w:rsidR="001F7719">
              <w:rPr>
                <w:noProof/>
                <w:webHidden/>
              </w:rPr>
              <w:tab/>
            </w:r>
            <w:r w:rsidR="001F7719">
              <w:rPr>
                <w:noProof/>
                <w:webHidden/>
              </w:rPr>
              <w:fldChar w:fldCharType="begin"/>
            </w:r>
            <w:r w:rsidR="001F7719">
              <w:rPr>
                <w:noProof/>
                <w:webHidden/>
              </w:rPr>
              <w:instrText xml:space="preserve"> PAGEREF _Toc167096596 \h </w:instrText>
            </w:r>
            <w:r w:rsidR="001F7719">
              <w:rPr>
                <w:noProof/>
                <w:webHidden/>
              </w:rPr>
            </w:r>
            <w:r w:rsidR="001F7719">
              <w:rPr>
                <w:noProof/>
                <w:webHidden/>
              </w:rPr>
              <w:fldChar w:fldCharType="separate"/>
            </w:r>
            <w:r w:rsidR="00D65D49">
              <w:rPr>
                <w:noProof/>
                <w:webHidden/>
              </w:rPr>
              <w:t>5</w:t>
            </w:r>
            <w:r w:rsidR="001F7719">
              <w:rPr>
                <w:noProof/>
                <w:webHidden/>
              </w:rPr>
              <w:fldChar w:fldCharType="end"/>
            </w:r>
          </w:hyperlink>
        </w:p>
        <w:p w14:paraId="390673A4" w14:textId="270B951B" w:rsidR="001F7719" w:rsidRDefault="006A2840">
          <w:pPr>
            <w:pStyle w:val="TOC2"/>
            <w:rPr>
              <w:rFonts w:asciiTheme="minorHAnsi" w:eastAsiaTheme="minorEastAsia" w:hAnsiTheme="minorHAnsi"/>
              <w:b w:val="0"/>
              <w:smallCaps w:val="0"/>
              <w:noProof/>
              <w:kern w:val="2"/>
              <w:sz w:val="22"/>
              <w:szCs w:val="22"/>
              <w:lang w:eastAsia="en-AU"/>
              <w14:ligatures w14:val="standardContextual"/>
            </w:rPr>
          </w:pPr>
          <w:hyperlink w:anchor="_Toc167096597" w:history="1">
            <w:r w:rsidR="001F7719" w:rsidRPr="0097487C">
              <w:rPr>
                <w:rStyle w:val="Hyperlink"/>
                <w:noProof/>
              </w:rPr>
              <w:t>C.</w:t>
            </w:r>
            <w:r w:rsidR="001F7719">
              <w:rPr>
                <w:rFonts w:asciiTheme="minorHAnsi" w:eastAsiaTheme="minorEastAsia" w:hAnsiTheme="minorHAnsi"/>
                <w:b w:val="0"/>
                <w:smallCaps w:val="0"/>
                <w:noProof/>
                <w:kern w:val="2"/>
                <w:sz w:val="22"/>
                <w:szCs w:val="22"/>
                <w:lang w:eastAsia="en-AU"/>
                <w14:ligatures w14:val="standardContextual"/>
              </w:rPr>
              <w:tab/>
            </w:r>
            <w:r w:rsidR="001F7719" w:rsidRPr="0097487C">
              <w:rPr>
                <w:rStyle w:val="Hyperlink"/>
                <w:noProof/>
              </w:rPr>
              <w:t>Attribution and Article 2.1 of the SCM Agreement</w:t>
            </w:r>
            <w:r w:rsidR="001F7719">
              <w:rPr>
                <w:noProof/>
                <w:webHidden/>
              </w:rPr>
              <w:tab/>
            </w:r>
            <w:r w:rsidR="001F7719">
              <w:rPr>
                <w:noProof/>
                <w:webHidden/>
              </w:rPr>
              <w:fldChar w:fldCharType="begin"/>
            </w:r>
            <w:r w:rsidR="001F7719">
              <w:rPr>
                <w:noProof/>
                <w:webHidden/>
              </w:rPr>
              <w:instrText xml:space="preserve"> PAGEREF _Toc167096597 \h </w:instrText>
            </w:r>
            <w:r w:rsidR="001F7719">
              <w:rPr>
                <w:noProof/>
                <w:webHidden/>
              </w:rPr>
            </w:r>
            <w:r w:rsidR="001F7719">
              <w:rPr>
                <w:noProof/>
                <w:webHidden/>
              </w:rPr>
              <w:fldChar w:fldCharType="separate"/>
            </w:r>
            <w:r w:rsidR="00D65D49">
              <w:rPr>
                <w:noProof/>
                <w:webHidden/>
              </w:rPr>
              <w:t>6</w:t>
            </w:r>
            <w:r w:rsidR="001F7719">
              <w:rPr>
                <w:noProof/>
                <w:webHidden/>
              </w:rPr>
              <w:fldChar w:fldCharType="end"/>
            </w:r>
          </w:hyperlink>
        </w:p>
        <w:p w14:paraId="478F1C97" w14:textId="513D8D0A" w:rsidR="001F7719" w:rsidRDefault="006A2840">
          <w:pPr>
            <w:pStyle w:val="TOC2"/>
            <w:rPr>
              <w:rFonts w:asciiTheme="minorHAnsi" w:eastAsiaTheme="minorEastAsia" w:hAnsiTheme="minorHAnsi"/>
              <w:b w:val="0"/>
              <w:smallCaps w:val="0"/>
              <w:noProof/>
              <w:kern w:val="2"/>
              <w:sz w:val="22"/>
              <w:szCs w:val="22"/>
              <w:lang w:eastAsia="en-AU"/>
              <w14:ligatures w14:val="standardContextual"/>
            </w:rPr>
          </w:pPr>
          <w:hyperlink w:anchor="_Toc167096598" w:history="1">
            <w:r w:rsidR="001F7719" w:rsidRPr="0097487C">
              <w:rPr>
                <w:rStyle w:val="Hyperlink"/>
                <w:noProof/>
              </w:rPr>
              <w:t>D.</w:t>
            </w:r>
            <w:r w:rsidR="001F7719">
              <w:rPr>
                <w:rFonts w:asciiTheme="minorHAnsi" w:eastAsiaTheme="minorEastAsia" w:hAnsiTheme="minorHAnsi"/>
                <w:b w:val="0"/>
                <w:smallCaps w:val="0"/>
                <w:noProof/>
                <w:kern w:val="2"/>
                <w:sz w:val="22"/>
                <w:szCs w:val="22"/>
                <w:lang w:eastAsia="en-AU"/>
                <w14:ligatures w14:val="standardContextual"/>
              </w:rPr>
              <w:tab/>
            </w:r>
            <w:r w:rsidR="001F7719" w:rsidRPr="0097487C">
              <w:rPr>
                <w:rStyle w:val="Hyperlink"/>
                <w:noProof/>
              </w:rPr>
              <w:t>Attribution and Article 18 of the SCM Agreement</w:t>
            </w:r>
            <w:r w:rsidR="001F7719">
              <w:rPr>
                <w:noProof/>
                <w:webHidden/>
              </w:rPr>
              <w:tab/>
            </w:r>
            <w:r w:rsidR="001F7719">
              <w:rPr>
                <w:noProof/>
                <w:webHidden/>
              </w:rPr>
              <w:fldChar w:fldCharType="begin"/>
            </w:r>
            <w:r w:rsidR="001F7719">
              <w:rPr>
                <w:noProof/>
                <w:webHidden/>
              </w:rPr>
              <w:instrText xml:space="preserve"> PAGEREF _Toc167096598 \h </w:instrText>
            </w:r>
            <w:r w:rsidR="001F7719">
              <w:rPr>
                <w:noProof/>
                <w:webHidden/>
              </w:rPr>
            </w:r>
            <w:r w:rsidR="001F7719">
              <w:rPr>
                <w:noProof/>
                <w:webHidden/>
              </w:rPr>
              <w:fldChar w:fldCharType="separate"/>
            </w:r>
            <w:r w:rsidR="00D65D49">
              <w:rPr>
                <w:noProof/>
                <w:webHidden/>
              </w:rPr>
              <w:t>6</w:t>
            </w:r>
            <w:r w:rsidR="001F7719">
              <w:rPr>
                <w:noProof/>
                <w:webHidden/>
              </w:rPr>
              <w:fldChar w:fldCharType="end"/>
            </w:r>
          </w:hyperlink>
        </w:p>
        <w:p w14:paraId="5848A7AB" w14:textId="7D097F5D" w:rsidR="001F7719" w:rsidRDefault="006A2840">
          <w:pPr>
            <w:pStyle w:val="TOC1"/>
            <w:rPr>
              <w:rFonts w:asciiTheme="minorHAnsi" w:eastAsiaTheme="minorEastAsia" w:hAnsiTheme="minorHAnsi"/>
              <w:b w:val="0"/>
              <w:caps w:val="0"/>
              <w:noProof/>
              <w:kern w:val="2"/>
              <w:sz w:val="22"/>
              <w:szCs w:val="22"/>
              <w:lang w:eastAsia="en-AU"/>
              <w14:ligatures w14:val="standardContextual"/>
            </w:rPr>
          </w:pPr>
          <w:hyperlink w:anchor="_Toc167096599" w:history="1">
            <w:r w:rsidR="001F7719" w:rsidRPr="0097487C">
              <w:rPr>
                <w:rStyle w:val="Hyperlink"/>
                <w:noProof/>
              </w:rPr>
              <w:t>III.</w:t>
            </w:r>
            <w:r w:rsidR="001F7719">
              <w:rPr>
                <w:rFonts w:asciiTheme="minorHAnsi" w:eastAsiaTheme="minorEastAsia" w:hAnsiTheme="minorHAnsi"/>
                <w:b w:val="0"/>
                <w:caps w:val="0"/>
                <w:noProof/>
                <w:kern w:val="2"/>
                <w:sz w:val="22"/>
                <w:szCs w:val="22"/>
                <w:lang w:eastAsia="en-AU"/>
                <w14:ligatures w14:val="standardContextual"/>
              </w:rPr>
              <w:tab/>
            </w:r>
            <w:r w:rsidR="001F7719" w:rsidRPr="0097487C">
              <w:rPr>
                <w:rStyle w:val="Hyperlink"/>
                <w:noProof/>
              </w:rPr>
              <w:t>Specificity</w:t>
            </w:r>
            <w:r w:rsidR="001F7719">
              <w:rPr>
                <w:noProof/>
                <w:webHidden/>
              </w:rPr>
              <w:tab/>
            </w:r>
            <w:r w:rsidR="001F7719">
              <w:rPr>
                <w:noProof/>
                <w:webHidden/>
              </w:rPr>
              <w:fldChar w:fldCharType="begin"/>
            </w:r>
            <w:r w:rsidR="001F7719">
              <w:rPr>
                <w:noProof/>
                <w:webHidden/>
              </w:rPr>
              <w:instrText xml:space="preserve"> PAGEREF _Toc167096599 \h </w:instrText>
            </w:r>
            <w:r w:rsidR="001F7719">
              <w:rPr>
                <w:noProof/>
                <w:webHidden/>
              </w:rPr>
            </w:r>
            <w:r w:rsidR="001F7719">
              <w:rPr>
                <w:noProof/>
                <w:webHidden/>
              </w:rPr>
              <w:fldChar w:fldCharType="separate"/>
            </w:r>
            <w:r w:rsidR="00D65D49">
              <w:rPr>
                <w:noProof/>
                <w:webHidden/>
              </w:rPr>
              <w:t>7</w:t>
            </w:r>
            <w:r w:rsidR="001F7719">
              <w:rPr>
                <w:noProof/>
                <w:webHidden/>
              </w:rPr>
              <w:fldChar w:fldCharType="end"/>
            </w:r>
          </w:hyperlink>
        </w:p>
        <w:p w14:paraId="76552AA7" w14:textId="61C49BA4" w:rsidR="001F7719" w:rsidRDefault="006A2840">
          <w:pPr>
            <w:pStyle w:val="TOC1"/>
            <w:rPr>
              <w:rFonts w:asciiTheme="minorHAnsi" w:eastAsiaTheme="minorEastAsia" w:hAnsiTheme="minorHAnsi"/>
              <w:b w:val="0"/>
              <w:caps w:val="0"/>
              <w:noProof/>
              <w:kern w:val="2"/>
              <w:sz w:val="22"/>
              <w:szCs w:val="22"/>
              <w:lang w:eastAsia="en-AU"/>
              <w14:ligatures w14:val="standardContextual"/>
            </w:rPr>
          </w:pPr>
          <w:hyperlink w:anchor="_Toc167096600" w:history="1">
            <w:r w:rsidR="001F7719" w:rsidRPr="0097487C">
              <w:rPr>
                <w:rStyle w:val="Hyperlink"/>
                <w:noProof/>
              </w:rPr>
              <w:t>IV.</w:t>
            </w:r>
            <w:r w:rsidR="001F7719">
              <w:rPr>
                <w:rFonts w:asciiTheme="minorHAnsi" w:eastAsiaTheme="minorEastAsia" w:hAnsiTheme="minorHAnsi"/>
                <w:b w:val="0"/>
                <w:caps w:val="0"/>
                <w:noProof/>
                <w:kern w:val="2"/>
                <w:sz w:val="22"/>
                <w:szCs w:val="22"/>
                <w:lang w:eastAsia="en-AU"/>
                <w14:ligatures w14:val="standardContextual"/>
              </w:rPr>
              <w:tab/>
            </w:r>
            <w:r w:rsidR="001F7719" w:rsidRPr="0097487C">
              <w:rPr>
                <w:rStyle w:val="Hyperlink"/>
                <w:noProof/>
              </w:rPr>
              <w:t>Notice requirements</w:t>
            </w:r>
            <w:r w:rsidR="001F7719">
              <w:rPr>
                <w:noProof/>
                <w:webHidden/>
              </w:rPr>
              <w:tab/>
            </w:r>
            <w:r w:rsidR="001F7719">
              <w:rPr>
                <w:noProof/>
                <w:webHidden/>
              </w:rPr>
              <w:fldChar w:fldCharType="begin"/>
            </w:r>
            <w:r w:rsidR="001F7719">
              <w:rPr>
                <w:noProof/>
                <w:webHidden/>
              </w:rPr>
              <w:instrText xml:space="preserve"> PAGEREF _Toc167096600 \h </w:instrText>
            </w:r>
            <w:r w:rsidR="001F7719">
              <w:rPr>
                <w:noProof/>
                <w:webHidden/>
              </w:rPr>
            </w:r>
            <w:r w:rsidR="001F7719">
              <w:rPr>
                <w:noProof/>
                <w:webHidden/>
              </w:rPr>
              <w:fldChar w:fldCharType="separate"/>
            </w:r>
            <w:r w:rsidR="00D65D49">
              <w:rPr>
                <w:noProof/>
                <w:webHidden/>
              </w:rPr>
              <w:t>7</w:t>
            </w:r>
            <w:r w:rsidR="001F7719">
              <w:rPr>
                <w:noProof/>
                <w:webHidden/>
              </w:rPr>
              <w:fldChar w:fldCharType="end"/>
            </w:r>
          </w:hyperlink>
        </w:p>
        <w:p w14:paraId="164A586C" w14:textId="3C523936" w:rsidR="00F7455F" w:rsidRDefault="00F71EA3" w:rsidP="00F71EA3">
          <w:pPr>
            <w:rPr>
              <w:rFonts w:cs="Calibri"/>
              <w:b/>
              <w:bCs/>
              <w:noProof/>
            </w:rPr>
          </w:pPr>
          <w:r w:rsidRPr="00AE62EF">
            <w:rPr>
              <w:rFonts w:cs="Calibri"/>
              <w:b/>
              <w:bCs/>
              <w:noProof/>
            </w:rPr>
            <w:fldChar w:fldCharType="end"/>
          </w:r>
        </w:p>
        <w:p w14:paraId="66225367" w14:textId="77777777" w:rsidR="002F0969" w:rsidRDefault="002F0969">
          <w:pPr>
            <w:spacing w:line="259" w:lineRule="auto"/>
            <w:jc w:val="left"/>
            <w:rPr>
              <w:rFonts w:eastAsiaTheme="majorEastAsia" w:cs="Calibri"/>
              <w:b/>
              <w:caps/>
              <w:szCs w:val="32"/>
            </w:rPr>
          </w:pPr>
          <w:r>
            <w:rPr>
              <w:rFonts w:cs="Calibri"/>
            </w:rPr>
            <w:br w:type="page"/>
          </w:r>
        </w:p>
        <w:p w14:paraId="2C9F3A25" w14:textId="07A1D2D8" w:rsidR="00575516" w:rsidRPr="00F71EA3" w:rsidRDefault="00575516" w:rsidP="002F0969">
          <w:pPr>
            <w:pStyle w:val="SHSectionHeading"/>
            <w:spacing w:before="0"/>
            <w:rPr>
              <w:rFonts w:cs="Calibri"/>
              <w:color w:val="auto"/>
            </w:rPr>
          </w:pPr>
          <w:bookmarkStart w:id="4" w:name="_Toc167096591"/>
          <w:r w:rsidRPr="00F71EA3">
            <w:rPr>
              <w:rFonts w:cs="Calibri"/>
              <w:color w:val="auto"/>
            </w:rPr>
            <w:lastRenderedPageBreak/>
            <w:t>Table of Cases</w:t>
          </w:r>
          <w:bookmarkEnd w:id="4"/>
        </w:p>
        <w:tbl>
          <w:tblPr>
            <w:tblStyle w:val="TableGrid"/>
            <w:tblW w:w="5000" w:type="pct"/>
            <w:tblLook w:val="04A0" w:firstRow="1" w:lastRow="0" w:firstColumn="1" w:lastColumn="0" w:noHBand="0" w:noVBand="1"/>
          </w:tblPr>
          <w:tblGrid>
            <w:gridCol w:w="2265"/>
            <w:gridCol w:w="6795"/>
          </w:tblGrid>
          <w:tr w:rsidR="00575516" w:rsidRPr="00AE62EF" w14:paraId="651EE5CC" w14:textId="77777777" w:rsidTr="00AA396D">
            <w:trPr>
              <w:cantSplit/>
              <w:trHeight w:val="397"/>
              <w:tblHeader/>
            </w:trPr>
            <w:tc>
              <w:tcPr>
                <w:tcW w:w="2265" w:type="dxa"/>
                <w:shd w:val="clear" w:color="auto" w:fill="D9D9D9" w:themeFill="background1" w:themeFillShade="D9"/>
              </w:tcPr>
              <w:p w14:paraId="73865DA7" w14:textId="77777777" w:rsidR="00575516" w:rsidRPr="00AE62EF" w:rsidRDefault="00575516" w:rsidP="00AA396D">
                <w:pPr>
                  <w:pStyle w:val="THTableHeading"/>
                  <w:jc w:val="center"/>
                  <w:rPr>
                    <w:rFonts w:cs="Calibri"/>
                  </w:rPr>
                </w:pPr>
                <w:r w:rsidRPr="00AE62EF">
                  <w:rPr>
                    <w:rFonts w:cs="Calibri"/>
                  </w:rPr>
                  <w:t>Short Title</w:t>
                </w:r>
              </w:p>
            </w:tc>
            <w:tc>
              <w:tcPr>
                <w:tcW w:w="6795" w:type="dxa"/>
                <w:shd w:val="clear" w:color="auto" w:fill="D9D9D9" w:themeFill="background1" w:themeFillShade="D9"/>
              </w:tcPr>
              <w:p w14:paraId="04C3C310" w14:textId="77777777" w:rsidR="00575516" w:rsidRPr="00AE62EF" w:rsidRDefault="00575516" w:rsidP="00AA396D">
                <w:pPr>
                  <w:pStyle w:val="THTableHeading"/>
                  <w:jc w:val="center"/>
                  <w:rPr>
                    <w:rFonts w:cs="Calibri"/>
                  </w:rPr>
                </w:pPr>
                <w:r w:rsidRPr="00AE62EF">
                  <w:rPr>
                    <w:rFonts w:cs="Calibri"/>
                  </w:rPr>
                  <w:t>Full Case Title and Citation</w:t>
                </w:r>
              </w:p>
            </w:tc>
          </w:tr>
          <w:tr w:rsidR="005145EA" w:rsidRPr="00AE62EF" w14:paraId="32C3E0BC" w14:textId="77777777" w:rsidTr="00AA396D">
            <w:trPr>
              <w:cantSplit/>
              <w:trHeight w:val="397"/>
            </w:trPr>
            <w:tc>
              <w:tcPr>
                <w:tcW w:w="2265" w:type="dxa"/>
              </w:tcPr>
              <w:p w14:paraId="6D62AAA8" w14:textId="5259C795" w:rsidR="005145EA" w:rsidRPr="00335A96" w:rsidRDefault="005145EA" w:rsidP="005145EA">
                <w:pPr>
                  <w:pStyle w:val="TTTableText"/>
                  <w:rPr>
                    <w:rFonts w:cs="Calibri"/>
                    <w:i/>
                    <w:iCs/>
                  </w:rPr>
                </w:pPr>
                <w:r w:rsidRPr="00335A96">
                  <w:rPr>
                    <w:rFonts w:ascii="Calibri-Italic" w:hAnsi="Calibri-Italic" w:cs="Calibri-Italic"/>
                    <w:i/>
                    <w:iCs/>
                    <w14:ligatures w14:val="standardContextual"/>
                  </w:rPr>
                  <w:t>Brazil – Aircraft</w:t>
                </w:r>
              </w:p>
            </w:tc>
            <w:tc>
              <w:tcPr>
                <w:tcW w:w="6795" w:type="dxa"/>
              </w:tcPr>
              <w:p w14:paraId="7D39F047" w14:textId="594A83C2" w:rsidR="005145EA" w:rsidRPr="00335A96" w:rsidRDefault="005145EA" w:rsidP="005145EA">
                <w:pPr>
                  <w:pStyle w:val="TTTableText"/>
                  <w:rPr>
                    <w:rFonts w:cs="Calibri"/>
                  </w:rPr>
                </w:pPr>
                <w:r w:rsidRPr="00335A96">
                  <w:rPr>
                    <w:rFonts w:cs="Calibri"/>
                    <w14:ligatures w14:val="standardContextual"/>
                  </w:rPr>
                  <w:t xml:space="preserve">Panel Report, </w:t>
                </w:r>
                <w:r w:rsidRPr="00335A96">
                  <w:rPr>
                    <w:rFonts w:ascii="Calibri-Italic" w:hAnsi="Calibri-Italic" w:cs="Calibri-Italic"/>
                    <w:i/>
                    <w:iCs/>
                    <w14:ligatures w14:val="standardContextual"/>
                  </w:rPr>
                  <w:t>Brazil – Export Financing Programme for Aircraft</w:t>
                </w:r>
                <w:r w:rsidRPr="00335A96">
                  <w:rPr>
                    <w:rFonts w:cs="Calibri"/>
                    <w14:ligatures w14:val="standardContextual"/>
                  </w:rPr>
                  <w:t xml:space="preserve">, WT/DS46/R, adopted 20 August 1999, as modified by Appellate Body Report WT/DS46/AB/R, DSR </w:t>
                </w:r>
                <w:proofErr w:type="gramStart"/>
                <w:r w:rsidRPr="00335A96">
                  <w:rPr>
                    <w:rFonts w:cs="Calibri"/>
                    <w14:ligatures w14:val="standardContextual"/>
                  </w:rPr>
                  <w:t>1999:III</w:t>
                </w:r>
                <w:proofErr w:type="gramEnd"/>
                <w:r w:rsidRPr="00335A96">
                  <w:rPr>
                    <w:rFonts w:cs="Calibri"/>
                    <w14:ligatures w14:val="standardContextual"/>
                  </w:rPr>
                  <w:t>, p. 1221</w:t>
                </w:r>
              </w:p>
            </w:tc>
          </w:tr>
          <w:tr w:rsidR="005145EA" w:rsidRPr="00AE62EF" w14:paraId="71483FCA" w14:textId="77777777" w:rsidTr="00AA396D">
            <w:trPr>
              <w:cantSplit/>
              <w:trHeight w:val="397"/>
            </w:trPr>
            <w:tc>
              <w:tcPr>
                <w:tcW w:w="2265" w:type="dxa"/>
              </w:tcPr>
              <w:p w14:paraId="14E162BC" w14:textId="4041F648" w:rsidR="005145EA" w:rsidRPr="00335A96" w:rsidRDefault="005145EA" w:rsidP="005145EA">
                <w:pPr>
                  <w:pStyle w:val="FootnoteText"/>
                  <w:jc w:val="left"/>
                  <w:rPr>
                    <w:rFonts w:asciiTheme="minorHAnsi" w:hAnsiTheme="minorHAnsi"/>
                    <w:i/>
                    <w:iCs/>
                    <w:sz w:val="24"/>
                    <w:szCs w:val="24"/>
                  </w:rPr>
                </w:pPr>
                <w:r w:rsidRPr="00335A96">
                  <w:rPr>
                    <w:rFonts w:ascii="Calibri-Italic" w:hAnsi="Calibri-Italic" w:cs="Calibri-Italic"/>
                    <w:i/>
                    <w:iCs/>
                    <w:sz w:val="24"/>
                    <w:szCs w:val="24"/>
                    <w14:ligatures w14:val="standardContextual"/>
                  </w:rPr>
                  <w:t>China – Broiler Products (Article 21.5 – US)</w:t>
                </w:r>
              </w:p>
            </w:tc>
            <w:tc>
              <w:tcPr>
                <w:tcW w:w="6795" w:type="dxa"/>
              </w:tcPr>
              <w:p w14:paraId="25957222" w14:textId="3D920EE2" w:rsidR="005145EA" w:rsidRPr="00335A96" w:rsidRDefault="005145EA" w:rsidP="005145EA">
                <w:pPr>
                  <w:pStyle w:val="TTTableText"/>
                  <w:rPr>
                    <w:rFonts w:cs="Calibri"/>
                  </w:rPr>
                </w:pPr>
                <w:r w:rsidRPr="00335A96">
                  <w:rPr>
                    <w:rFonts w:cs="Calibri"/>
                    <w14:ligatures w14:val="standardContextual"/>
                  </w:rPr>
                  <w:t xml:space="preserve">Panel Report, </w:t>
                </w:r>
                <w:r w:rsidRPr="00335A96">
                  <w:rPr>
                    <w:rFonts w:ascii="Calibri-Italic" w:hAnsi="Calibri-Italic" w:cs="Calibri-Italic"/>
                    <w:i/>
                    <w:iCs/>
                    <w14:ligatures w14:val="standardContextual"/>
                  </w:rPr>
                  <w:t>China – Anti-Dumping and Countervailing Duty Measures on Broiler Products from the United States – Recourse to Article 21.5 of the DSU by the United States</w:t>
                </w:r>
                <w:r w:rsidRPr="00335A96">
                  <w:rPr>
                    <w:rFonts w:cs="Calibri"/>
                    <w14:ligatures w14:val="standardContextual"/>
                  </w:rPr>
                  <w:t xml:space="preserve">, WT/DS427/RW and Add.1, adopted 28 February 2018, DSR </w:t>
                </w:r>
                <w:proofErr w:type="gramStart"/>
                <w:r w:rsidRPr="00335A96">
                  <w:rPr>
                    <w:rFonts w:cs="Calibri"/>
                    <w14:ligatures w14:val="standardContextual"/>
                  </w:rPr>
                  <w:t>2018:II</w:t>
                </w:r>
                <w:proofErr w:type="gramEnd"/>
                <w:r w:rsidRPr="00335A96">
                  <w:rPr>
                    <w:rFonts w:cs="Calibri"/>
                    <w14:ligatures w14:val="standardContextual"/>
                  </w:rPr>
                  <w:t>, p. 839</w:t>
                </w:r>
              </w:p>
            </w:tc>
          </w:tr>
          <w:tr w:rsidR="005145EA" w:rsidRPr="00AE62EF" w14:paraId="1FC043F2" w14:textId="77777777" w:rsidTr="00AA396D">
            <w:trPr>
              <w:cantSplit/>
              <w:trHeight w:val="397"/>
            </w:trPr>
            <w:tc>
              <w:tcPr>
                <w:tcW w:w="2265" w:type="dxa"/>
              </w:tcPr>
              <w:p w14:paraId="1F915967" w14:textId="5C05239B" w:rsidR="005145EA" w:rsidRPr="00335A96" w:rsidRDefault="005145EA" w:rsidP="005145EA">
                <w:pPr>
                  <w:pStyle w:val="FootnoteText"/>
                  <w:jc w:val="left"/>
                  <w:rPr>
                    <w:rFonts w:cs="Calibri"/>
                    <w:i/>
                    <w:iCs/>
                    <w:sz w:val="24"/>
                    <w:szCs w:val="24"/>
                  </w:rPr>
                </w:pPr>
                <w:r w:rsidRPr="00335A96">
                  <w:rPr>
                    <w:rFonts w:asciiTheme="minorHAnsi" w:hAnsiTheme="minorHAnsi"/>
                    <w:i/>
                    <w:iCs/>
                    <w:sz w:val="24"/>
                    <w:szCs w:val="24"/>
                  </w:rPr>
                  <w:t>EC and certain member States – Large Civil Aircraft</w:t>
                </w:r>
              </w:p>
            </w:tc>
            <w:tc>
              <w:tcPr>
                <w:tcW w:w="6795" w:type="dxa"/>
              </w:tcPr>
              <w:p w14:paraId="261F7460" w14:textId="4C33E24D" w:rsidR="005145EA" w:rsidRPr="00335A96" w:rsidRDefault="005145EA" w:rsidP="005145EA">
                <w:pPr>
                  <w:pStyle w:val="TTTableText"/>
                  <w:rPr>
                    <w:rFonts w:cs="Calibri"/>
                  </w:rPr>
                </w:pPr>
                <w:r w:rsidRPr="00335A96">
                  <w:rPr>
                    <w:rFonts w:cs="Calibri"/>
                  </w:rPr>
                  <w:t xml:space="preserve">Appellate Body Report, </w:t>
                </w:r>
                <w:r w:rsidRPr="00335A96">
                  <w:rPr>
                    <w:rFonts w:cs="Calibri"/>
                    <w:i/>
                    <w:iCs/>
                  </w:rPr>
                  <w:t>European Communities and Certain Member States – Measures Affecting Trade in Large Civil Aircraft</w:t>
                </w:r>
                <w:r w:rsidRPr="00335A96">
                  <w:rPr>
                    <w:rFonts w:cs="Calibri"/>
                  </w:rPr>
                  <w:t xml:space="preserve">, WT/DS316/AB/R, adopted 1 June 2011, DSR </w:t>
                </w:r>
                <w:proofErr w:type="gramStart"/>
                <w:r w:rsidRPr="00335A96">
                  <w:rPr>
                    <w:rFonts w:cs="Calibri"/>
                  </w:rPr>
                  <w:t>2011:I</w:t>
                </w:r>
                <w:proofErr w:type="gramEnd"/>
                <w:r w:rsidRPr="00335A96">
                  <w:rPr>
                    <w:rFonts w:cs="Calibri"/>
                  </w:rPr>
                  <w:t>, p. 7</w:t>
                </w:r>
              </w:p>
            </w:tc>
          </w:tr>
          <w:tr w:rsidR="002F0969" w:rsidRPr="00AE62EF" w14:paraId="7CAADB4C" w14:textId="77777777" w:rsidTr="00AA396D">
            <w:trPr>
              <w:cantSplit/>
              <w:trHeight w:val="397"/>
            </w:trPr>
            <w:tc>
              <w:tcPr>
                <w:tcW w:w="2265" w:type="dxa"/>
              </w:tcPr>
              <w:p w14:paraId="6BA6F9F8" w14:textId="64F3517F" w:rsidR="002F0969" w:rsidRPr="00335A96" w:rsidRDefault="002F0969" w:rsidP="005145EA">
                <w:pPr>
                  <w:pStyle w:val="FootnoteText"/>
                  <w:jc w:val="left"/>
                  <w:rPr>
                    <w:rFonts w:asciiTheme="minorHAnsi" w:hAnsiTheme="minorHAnsi"/>
                    <w:i/>
                    <w:iCs/>
                    <w:sz w:val="24"/>
                    <w:szCs w:val="24"/>
                  </w:rPr>
                </w:pPr>
                <w:r>
                  <w:rPr>
                    <w:rFonts w:asciiTheme="minorHAnsi" w:hAnsiTheme="minorHAnsi"/>
                    <w:i/>
                    <w:iCs/>
                    <w:sz w:val="24"/>
                    <w:szCs w:val="24"/>
                  </w:rPr>
                  <w:t>Mexico – Olive Oil</w:t>
                </w:r>
              </w:p>
            </w:tc>
            <w:tc>
              <w:tcPr>
                <w:tcW w:w="6795" w:type="dxa"/>
              </w:tcPr>
              <w:p w14:paraId="7FD07F26" w14:textId="0B76BFC6" w:rsidR="002F0969" w:rsidRPr="00335A96" w:rsidRDefault="002F0969" w:rsidP="005145EA">
                <w:pPr>
                  <w:pStyle w:val="TTTableText"/>
                  <w:rPr>
                    <w:rFonts w:cs="Calibri"/>
                  </w:rPr>
                </w:pPr>
                <w:r>
                  <w:rPr>
                    <w:rFonts w:cs="Calibri"/>
                    <w14:ligatures w14:val="standardContextual"/>
                  </w:rPr>
                  <w:t xml:space="preserve">Panel Report, </w:t>
                </w:r>
                <w:r>
                  <w:rPr>
                    <w:rFonts w:ascii="Calibri-Italic" w:hAnsi="Calibri-Italic" w:cs="Calibri-Italic"/>
                    <w:i/>
                    <w:iCs/>
                    <w14:ligatures w14:val="standardContextual"/>
                  </w:rPr>
                  <w:t>Mexico – Definitive Countervailing Measures on Olive Oil from the European Communities</w:t>
                </w:r>
                <w:r>
                  <w:rPr>
                    <w:rFonts w:cs="Calibri"/>
                    <w14:ligatures w14:val="standardContextual"/>
                  </w:rPr>
                  <w:t xml:space="preserve">, WT/DS341/R, adopted 21 October 2008, DSR </w:t>
                </w:r>
                <w:proofErr w:type="gramStart"/>
                <w:r>
                  <w:rPr>
                    <w:rFonts w:cs="Calibri"/>
                    <w14:ligatures w14:val="standardContextual"/>
                  </w:rPr>
                  <w:t>2008:IX</w:t>
                </w:r>
                <w:proofErr w:type="gramEnd"/>
                <w:r>
                  <w:rPr>
                    <w:rFonts w:cs="Calibri"/>
                    <w14:ligatures w14:val="standardContextual"/>
                  </w:rPr>
                  <w:t>, p. 3179</w:t>
                </w:r>
              </w:p>
            </w:tc>
          </w:tr>
          <w:tr w:rsidR="005145EA" w:rsidRPr="00AE62EF" w14:paraId="33E1B3F4" w14:textId="77777777" w:rsidTr="00AA396D">
            <w:trPr>
              <w:cantSplit/>
              <w:trHeight w:val="397"/>
            </w:trPr>
            <w:tc>
              <w:tcPr>
                <w:tcW w:w="2265" w:type="dxa"/>
              </w:tcPr>
              <w:p w14:paraId="761B97B6" w14:textId="2C0D0167" w:rsidR="005145EA" w:rsidRPr="00335A96" w:rsidRDefault="005145EA" w:rsidP="005145EA">
                <w:pPr>
                  <w:pStyle w:val="FootnoteText"/>
                  <w:jc w:val="left"/>
                  <w:rPr>
                    <w:bCs/>
                    <w:i/>
                    <w:iCs/>
                    <w:sz w:val="24"/>
                    <w:szCs w:val="24"/>
                    <w:lang w:val="en-GB"/>
                  </w:rPr>
                </w:pPr>
                <w:r w:rsidRPr="00335A96">
                  <w:rPr>
                    <w:rFonts w:cs="Calibri"/>
                    <w:bCs/>
                    <w:i/>
                    <w:iCs/>
                    <w:sz w:val="24"/>
                    <w:szCs w:val="24"/>
                  </w:rPr>
                  <w:t>US — Countervailing Measures (China)</w:t>
                </w:r>
              </w:p>
            </w:tc>
            <w:tc>
              <w:tcPr>
                <w:tcW w:w="6795" w:type="dxa"/>
              </w:tcPr>
              <w:p w14:paraId="1B981170" w14:textId="09FBA942" w:rsidR="005145EA" w:rsidRPr="00335A96" w:rsidRDefault="005145EA" w:rsidP="005145EA">
                <w:pPr>
                  <w:pStyle w:val="TTTableText"/>
                  <w:rPr>
                    <w:rFonts w:cs="Calibri"/>
                  </w:rPr>
                </w:pPr>
                <w:r w:rsidRPr="00335A96">
                  <w:rPr>
                    <w:rFonts w:cs="Calibri"/>
                  </w:rPr>
                  <w:t xml:space="preserve">Appellate Body Report, </w:t>
                </w:r>
                <w:r w:rsidRPr="00335A96">
                  <w:rPr>
                    <w:rFonts w:cs="Calibri"/>
                    <w:i/>
                  </w:rPr>
                  <w:t>United States – Countervailing Duty Measures on Certain Products from China</w:t>
                </w:r>
                <w:r w:rsidRPr="00335A96">
                  <w:rPr>
                    <w:rFonts w:cs="Calibri"/>
                  </w:rPr>
                  <w:t xml:space="preserve">, WT/DS437/AB/R, adopted 16 January 2015, DSR </w:t>
                </w:r>
                <w:proofErr w:type="gramStart"/>
                <w:r w:rsidRPr="00335A96">
                  <w:rPr>
                    <w:rFonts w:cs="Calibri"/>
                  </w:rPr>
                  <w:t>2015:I</w:t>
                </w:r>
                <w:proofErr w:type="gramEnd"/>
                <w:r w:rsidRPr="00335A96">
                  <w:rPr>
                    <w:rFonts w:cs="Calibri"/>
                  </w:rPr>
                  <w:t>, p. 7</w:t>
                </w:r>
              </w:p>
            </w:tc>
          </w:tr>
          <w:tr w:rsidR="005145EA" w:rsidRPr="00AE62EF" w14:paraId="563A8199" w14:textId="77777777" w:rsidTr="00AA396D">
            <w:trPr>
              <w:cantSplit/>
              <w:trHeight w:val="397"/>
            </w:trPr>
            <w:tc>
              <w:tcPr>
                <w:tcW w:w="2265" w:type="dxa"/>
              </w:tcPr>
              <w:p w14:paraId="03785092" w14:textId="0EC59E63" w:rsidR="005145EA" w:rsidRPr="00335A96" w:rsidRDefault="005145EA" w:rsidP="005145EA">
                <w:pPr>
                  <w:pStyle w:val="FootnoteText"/>
                  <w:jc w:val="left"/>
                  <w:rPr>
                    <w:rFonts w:cs="Calibri"/>
                    <w:i/>
                    <w:iCs/>
                    <w:sz w:val="24"/>
                    <w:szCs w:val="24"/>
                  </w:rPr>
                </w:pPr>
                <w:r w:rsidRPr="00335A96">
                  <w:rPr>
                    <w:bCs/>
                    <w:i/>
                    <w:iCs/>
                    <w:sz w:val="24"/>
                    <w:szCs w:val="24"/>
                    <w:lang w:val="en-GB"/>
                  </w:rPr>
                  <w:t>US – Countervailing Measures (China) (Article 21.5 – China)</w:t>
                </w:r>
              </w:p>
            </w:tc>
            <w:tc>
              <w:tcPr>
                <w:tcW w:w="6795" w:type="dxa"/>
              </w:tcPr>
              <w:p w14:paraId="39B7AB7C" w14:textId="4E5A0385" w:rsidR="005145EA" w:rsidRPr="00335A96" w:rsidRDefault="005145EA" w:rsidP="005145EA">
                <w:pPr>
                  <w:pStyle w:val="TTTableText"/>
                  <w:rPr>
                    <w:rFonts w:cs="Calibri"/>
                    <w14:ligatures w14:val="standardContextual"/>
                  </w:rPr>
                </w:pPr>
                <w:r w:rsidRPr="00335A96">
                  <w:rPr>
                    <w:rFonts w:cs="Calibri"/>
                  </w:rPr>
                  <w:t xml:space="preserve">Appellate Body Report, </w:t>
                </w:r>
                <w:r w:rsidRPr="00335A96">
                  <w:rPr>
                    <w:rFonts w:cs="Calibri"/>
                    <w:i/>
                    <w:iCs/>
                  </w:rPr>
                  <w:t>United States – Countervailing Duty Measures on Certain Products from China – Recourse to Article 21.5 of the DSU by China,</w:t>
                </w:r>
                <w:r w:rsidRPr="00335A96">
                  <w:rPr>
                    <w:rFonts w:cs="Calibri"/>
                    <w:iCs/>
                  </w:rPr>
                  <w:t xml:space="preserve"> </w:t>
                </w:r>
                <w:r w:rsidRPr="00335A96">
                  <w:rPr>
                    <w:rFonts w:cs="Calibri"/>
                  </w:rPr>
                  <w:t>WT/DS437/AB/RW</w:t>
                </w:r>
                <w:r w:rsidRPr="00335A96">
                  <w:rPr>
                    <w:rFonts w:cs="Calibri"/>
                    <w:iCs/>
                  </w:rPr>
                  <w:t xml:space="preserve"> and Add.1, </w:t>
                </w:r>
                <w:r w:rsidRPr="00335A96">
                  <w:rPr>
                    <w:rFonts w:cs="Calibri"/>
                  </w:rPr>
                  <w:t>adopted 15 August 2019, DSR </w:t>
                </w:r>
                <w:proofErr w:type="gramStart"/>
                <w:r w:rsidRPr="00335A96">
                  <w:rPr>
                    <w:rFonts w:cs="Calibri"/>
                  </w:rPr>
                  <w:t>2019:IX</w:t>
                </w:r>
                <w:proofErr w:type="gramEnd"/>
                <w:r w:rsidRPr="00335A96">
                  <w:rPr>
                    <w:rFonts w:cs="Calibri"/>
                  </w:rPr>
                  <w:t>, p. 4737</w:t>
                </w:r>
              </w:p>
            </w:tc>
          </w:tr>
          <w:tr w:rsidR="005145EA" w:rsidRPr="00AE62EF" w14:paraId="638B2780" w14:textId="77777777" w:rsidTr="00AA396D">
            <w:trPr>
              <w:cantSplit/>
              <w:trHeight w:val="397"/>
            </w:trPr>
            <w:tc>
              <w:tcPr>
                <w:tcW w:w="2265" w:type="dxa"/>
              </w:tcPr>
              <w:p w14:paraId="3D60F7C8" w14:textId="2A97D026" w:rsidR="005145EA" w:rsidRPr="00335A96" w:rsidRDefault="005145EA" w:rsidP="005145EA">
                <w:pPr>
                  <w:pStyle w:val="FootnoteText"/>
                  <w:jc w:val="left"/>
                  <w:rPr>
                    <w:rFonts w:cs="Calibri"/>
                    <w:i/>
                    <w:iCs/>
                    <w:sz w:val="24"/>
                    <w:szCs w:val="24"/>
                  </w:rPr>
                </w:pPr>
                <w:r w:rsidRPr="00335A96">
                  <w:rPr>
                    <w:rFonts w:cs="Calibri"/>
                    <w:i/>
                    <w:iCs/>
                    <w:sz w:val="24"/>
                    <w:szCs w:val="24"/>
                  </w:rPr>
                  <w:t>US – Softwood Lumber VI (Article 21.5 – Canada)</w:t>
                </w:r>
              </w:p>
            </w:tc>
            <w:tc>
              <w:tcPr>
                <w:tcW w:w="6795" w:type="dxa"/>
              </w:tcPr>
              <w:p w14:paraId="4C0E8182" w14:textId="1D191235" w:rsidR="005145EA" w:rsidRPr="00335A96" w:rsidRDefault="005145EA" w:rsidP="005145EA">
                <w:pPr>
                  <w:pStyle w:val="TTTableText"/>
                  <w:rPr>
                    <w:rFonts w:cs="Calibri"/>
                    <w14:ligatures w14:val="standardContextual"/>
                  </w:rPr>
                </w:pPr>
                <w:r w:rsidRPr="00335A96">
                  <w:rPr>
                    <w:rFonts w:cs="Calibri"/>
                    <w14:ligatures w14:val="standardContextual"/>
                  </w:rPr>
                  <w:t xml:space="preserve">Appellate Body Report, </w:t>
                </w:r>
                <w:r w:rsidRPr="00335A96">
                  <w:rPr>
                    <w:rFonts w:ascii="Calibri-Italic" w:hAnsi="Calibri-Italic" w:cs="Calibri-Italic"/>
                    <w:i/>
                    <w:iCs/>
                    <w14:ligatures w14:val="standardContextual"/>
                  </w:rPr>
                  <w:t>United States – Investigation of the International Trade Commission in Softwood Lumber from Canada – Recourse to Article 21.5 of the DSU by Canada</w:t>
                </w:r>
                <w:r w:rsidRPr="00335A96">
                  <w:rPr>
                    <w:rFonts w:cs="Calibri"/>
                    <w14:ligatures w14:val="standardContextual"/>
                  </w:rPr>
                  <w:t xml:space="preserve">, WT/DS277/AB/RW, adopted 9 May 2006, and Corr.1, DSR </w:t>
                </w:r>
                <w:proofErr w:type="gramStart"/>
                <w:r w:rsidRPr="00335A96">
                  <w:rPr>
                    <w:rFonts w:cs="Calibri"/>
                    <w14:ligatures w14:val="standardContextual"/>
                  </w:rPr>
                  <w:t>2006:XI</w:t>
                </w:r>
                <w:proofErr w:type="gramEnd"/>
                <w:r w:rsidRPr="00335A96">
                  <w:rPr>
                    <w:rFonts w:cs="Calibri"/>
                    <w14:ligatures w14:val="standardContextual"/>
                  </w:rPr>
                  <w:t>, p. 4865</w:t>
                </w:r>
              </w:p>
            </w:tc>
          </w:tr>
        </w:tbl>
        <w:p w14:paraId="2DFB4FD1" w14:textId="77777777" w:rsidR="00575516" w:rsidRPr="00AE62EF" w:rsidRDefault="00575516" w:rsidP="00575516">
          <w:pPr>
            <w:pStyle w:val="BTNSSBodyTextNoSpacingSmall"/>
            <w:rPr>
              <w:rFonts w:cs="Calibri"/>
            </w:rPr>
          </w:pPr>
        </w:p>
        <w:p w14:paraId="37217A88" w14:textId="77777777" w:rsidR="002F0969" w:rsidRDefault="002F0969" w:rsidP="002F0969">
          <w:pPr>
            <w:pStyle w:val="SHSectionHeading"/>
            <w:spacing w:before="0" w:line="240" w:lineRule="auto"/>
            <w:rPr>
              <w:rFonts w:cs="Calibri"/>
              <w:color w:val="auto"/>
            </w:rPr>
          </w:pPr>
          <w:bookmarkStart w:id="5" w:name="_Toc163465779"/>
        </w:p>
        <w:p w14:paraId="304E317E" w14:textId="666E78E9" w:rsidR="00F7455F" w:rsidRPr="00F71EA3" w:rsidRDefault="00F7455F" w:rsidP="00F7455F">
          <w:pPr>
            <w:pStyle w:val="SHSectionHeading"/>
            <w:rPr>
              <w:rFonts w:cs="Calibri"/>
              <w:color w:val="auto"/>
            </w:rPr>
          </w:pPr>
          <w:bookmarkStart w:id="6" w:name="_Toc167096592"/>
          <w:r w:rsidRPr="00F71EA3">
            <w:rPr>
              <w:rFonts w:cs="Calibri"/>
              <w:color w:val="auto"/>
            </w:rPr>
            <w:t>List of Acronyms, Abbreviations and Short Forms</w:t>
          </w:r>
          <w:bookmarkEnd w:id="5"/>
          <w:bookmarkEnd w:id="6"/>
        </w:p>
        <w:tbl>
          <w:tblPr>
            <w:tblStyle w:val="TableGrid"/>
            <w:tblW w:w="5000" w:type="pct"/>
            <w:tblLook w:val="04A0" w:firstRow="1" w:lastRow="0" w:firstColumn="1" w:lastColumn="0" w:noHBand="0" w:noVBand="1"/>
          </w:tblPr>
          <w:tblGrid>
            <w:gridCol w:w="2251"/>
            <w:gridCol w:w="6809"/>
          </w:tblGrid>
          <w:tr w:rsidR="00F7455F" w:rsidRPr="00AE62EF" w14:paraId="7FDC6445" w14:textId="77777777" w:rsidTr="00AA396D">
            <w:trPr>
              <w:cantSplit/>
              <w:trHeight w:val="397"/>
              <w:tblHeader/>
            </w:trPr>
            <w:tc>
              <w:tcPr>
                <w:tcW w:w="2251" w:type="dxa"/>
                <w:shd w:val="clear" w:color="auto" w:fill="D9D9D9" w:themeFill="background1" w:themeFillShade="D9"/>
              </w:tcPr>
              <w:p w14:paraId="42CD71E9" w14:textId="77777777" w:rsidR="00F7455F" w:rsidRPr="00AE62EF" w:rsidRDefault="00F7455F" w:rsidP="00AA396D">
                <w:pPr>
                  <w:pStyle w:val="THTableHeading"/>
                  <w:jc w:val="center"/>
                  <w:rPr>
                    <w:rFonts w:cs="Calibri"/>
                  </w:rPr>
                </w:pPr>
                <w:r w:rsidRPr="00AE62EF">
                  <w:rPr>
                    <w:rFonts w:cs="Calibri"/>
                  </w:rPr>
                  <w:t>Abbreviation</w:t>
                </w:r>
              </w:p>
            </w:tc>
            <w:tc>
              <w:tcPr>
                <w:tcW w:w="6809" w:type="dxa"/>
                <w:shd w:val="clear" w:color="auto" w:fill="D9D9D9" w:themeFill="background1" w:themeFillShade="D9"/>
              </w:tcPr>
              <w:p w14:paraId="5E97C7E4" w14:textId="77777777" w:rsidR="00F7455F" w:rsidRPr="00AE62EF" w:rsidRDefault="00F7455F" w:rsidP="00AA396D">
                <w:pPr>
                  <w:pStyle w:val="THTableHeading"/>
                  <w:jc w:val="center"/>
                  <w:rPr>
                    <w:rFonts w:cs="Calibri"/>
                  </w:rPr>
                </w:pPr>
                <w:r w:rsidRPr="00AE62EF">
                  <w:rPr>
                    <w:rFonts w:cs="Calibri"/>
                  </w:rPr>
                  <w:t>Full Form or Description</w:t>
                </w:r>
              </w:p>
            </w:tc>
          </w:tr>
          <w:tr w:rsidR="00F7455F" w:rsidRPr="00AE62EF" w14:paraId="2CA66993" w14:textId="77777777" w:rsidTr="00AA396D">
            <w:trPr>
              <w:cantSplit/>
              <w:trHeight w:val="397"/>
            </w:trPr>
            <w:tc>
              <w:tcPr>
                <w:tcW w:w="2251" w:type="dxa"/>
              </w:tcPr>
              <w:p w14:paraId="44FFA13A" w14:textId="77777777" w:rsidR="00F7455F" w:rsidRPr="00AE62EF" w:rsidRDefault="00F7455F" w:rsidP="00AA396D">
                <w:pPr>
                  <w:pStyle w:val="TTTableText"/>
                  <w:rPr>
                    <w:rFonts w:cs="Calibri"/>
                  </w:rPr>
                </w:pPr>
                <w:r w:rsidRPr="00AE62EF">
                  <w:rPr>
                    <w:rFonts w:cs="Calibri"/>
                  </w:rPr>
                  <w:t>Commission</w:t>
                </w:r>
              </w:p>
            </w:tc>
            <w:tc>
              <w:tcPr>
                <w:tcW w:w="6809" w:type="dxa"/>
              </w:tcPr>
              <w:p w14:paraId="1DD91925" w14:textId="77777777" w:rsidR="00F7455F" w:rsidRPr="00AE62EF" w:rsidRDefault="00F7455F" w:rsidP="00AA396D">
                <w:pPr>
                  <w:pStyle w:val="TTTableText"/>
                  <w:rPr>
                    <w:rFonts w:cs="Calibri"/>
                  </w:rPr>
                </w:pPr>
                <w:r w:rsidRPr="00AE62EF">
                  <w:rPr>
                    <w:rFonts w:cs="Calibri"/>
                  </w:rPr>
                  <w:t>European Commission</w:t>
                </w:r>
              </w:p>
            </w:tc>
          </w:tr>
          <w:tr w:rsidR="005145EA" w:rsidRPr="00AE62EF" w14:paraId="4A5040A1" w14:textId="77777777" w:rsidTr="00AA396D">
            <w:trPr>
              <w:cantSplit/>
              <w:trHeight w:val="397"/>
            </w:trPr>
            <w:tc>
              <w:tcPr>
                <w:tcW w:w="2251" w:type="dxa"/>
              </w:tcPr>
              <w:p w14:paraId="4AB8CA8C" w14:textId="4E732857" w:rsidR="005145EA" w:rsidRPr="00AE62EF" w:rsidRDefault="005145EA" w:rsidP="00AA396D">
                <w:pPr>
                  <w:pStyle w:val="TTTableText"/>
                  <w:rPr>
                    <w:rFonts w:cs="Calibri"/>
                  </w:rPr>
                </w:pPr>
                <w:r>
                  <w:rPr>
                    <w:rFonts w:cs="Calibri"/>
                  </w:rPr>
                  <w:t>EU</w:t>
                </w:r>
              </w:p>
            </w:tc>
            <w:tc>
              <w:tcPr>
                <w:tcW w:w="6809" w:type="dxa"/>
              </w:tcPr>
              <w:p w14:paraId="2E3F37E6" w14:textId="21DED2E0" w:rsidR="005145EA" w:rsidRPr="00AE62EF" w:rsidRDefault="005145EA" w:rsidP="00AA396D">
                <w:pPr>
                  <w:pStyle w:val="TTTableText"/>
                  <w:rPr>
                    <w:rFonts w:cs="Calibri"/>
                  </w:rPr>
                </w:pPr>
                <w:r>
                  <w:rPr>
                    <w:rFonts w:cs="Calibri"/>
                  </w:rPr>
                  <w:t>European Union</w:t>
                </w:r>
              </w:p>
            </w:tc>
          </w:tr>
          <w:tr w:rsidR="001C663A" w:rsidRPr="00AE62EF" w14:paraId="2A526575" w14:textId="77777777" w:rsidTr="00AA396D">
            <w:trPr>
              <w:cantSplit/>
              <w:trHeight w:val="397"/>
            </w:trPr>
            <w:tc>
              <w:tcPr>
                <w:tcW w:w="2251" w:type="dxa"/>
              </w:tcPr>
              <w:p w14:paraId="7D48CD90" w14:textId="6C875282" w:rsidR="001C663A" w:rsidRPr="00AE62EF" w:rsidRDefault="001C663A" w:rsidP="00AA396D">
                <w:pPr>
                  <w:pStyle w:val="TTTableText"/>
                  <w:rPr>
                    <w:rFonts w:cs="Calibri"/>
                  </w:rPr>
                </w:pPr>
                <w:r>
                  <w:rPr>
                    <w:rFonts w:cs="Calibri"/>
                  </w:rPr>
                  <w:t>GOID</w:t>
                </w:r>
              </w:p>
            </w:tc>
            <w:tc>
              <w:tcPr>
                <w:tcW w:w="6809" w:type="dxa"/>
              </w:tcPr>
              <w:p w14:paraId="6D03153B" w14:textId="79CD88CF" w:rsidR="001C663A" w:rsidRPr="00AE62EF" w:rsidRDefault="001C663A" w:rsidP="00AA396D">
                <w:pPr>
                  <w:pStyle w:val="TTTableText"/>
                  <w:rPr>
                    <w:rFonts w:cs="Calibri"/>
                  </w:rPr>
                </w:pPr>
                <w:r>
                  <w:rPr>
                    <w:rFonts w:cs="Calibri"/>
                  </w:rPr>
                  <w:t>Government of Indonesia</w:t>
                </w:r>
              </w:p>
            </w:tc>
          </w:tr>
          <w:tr w:rsidR="00F7455F" w:rsidRPr="00AE62EF" w14:paraId="0ED401CB" w14:textId="77777777" w:rsidTr="00AA396D">
            <w:trPr>
              <w:cantSplit/>
              <w:trHeight w:val="397"/>
            </w:trPr>
            <w:tc>
              <w:tcPr>
                <w:tcW w:w="2251" w:type="dxa"/>
              </w:tcPr>
              <w:p w14:paraId="072CEAAC" w14:textId="77777777" w:rsidR="00F7455F" w:rsidRPr="00AE62EF" w:rsidRDefault="00F7455F" w:rsidP="00AA396D">
                <w:pPr>
                  <w:pStyle w:val="TTTableText"/>
                  <w:rPr>
                    <w:rFonts w:cs="Calibri"/>
                  </w:rPr>
                </w:pPr>
                <w:r w:rsidRPr="00AE62EF">
                  <w:rPr>
                    <w:rFonts w:cs="Calibri"/>
                  </w:rPr>
                  <w:t>Member</w:t>
                </w:r>
              </w:p>
            </w:tc>
            <w:tc>
              <w:tcPr>
                <w:tcW w:w="6809" w:type="dxa"/>
              </w:tcPr>
              <w:p w14:paraId="613379C9" w14:textId="77777777" w:rsidR="00F7455F" w:rsidRPr="00AE62EF" w:rsidRDefault="00F7455F" w:rsidP="00AA396D">
                <w:pPr>
                  <w:pStyle w:val="TTTableText"/>
                  <w:rPr>
                    <w:rFonts w:cs="Calibri"/>
                  </w:rPr>
                </w:pPr>
                <w:r w:rsidRPr="00AE62EF">
                  <w:rPr>
                    <w:rFonts w:cs="Calibri"/>
                  </w:rPr>
                  <w:t>Member of the World Trade Organization</w:t>
                </w:r>
              </w:p>
            </w:tc>
          </w:tr>
          <w:tr w:rsidR="00F7455F" w:rsidRPr="00AE62EF" w14:paraId="7BC416E8" w14:textId="77777777" w:rsidTr="00AA396D">
            <w:trPr>
              <w:cantSplit/>
              <w:trHeight w:val="397"/>
            </w:trPr>
            <w:tc>
              <w:tcPr>
                <w:tcW w:w="2251" w:type="dxa"/>
              </w:tcPr>
              <w:p w14:paraId="76558031" w14:textId="77777777" w:rsidR="00F7455F" w:rsidRPr="00AE62EF" w:rsidRDefault="00F7455F" w:rsidP="00AA396D">
                <w:pPr>
                  <w:pStyle w:val="TTTableText"/>
                  <w:rPr>
                    <w:rFonts w:cs="Calibri"/>
                  </w:rPr>
                </w:pPr>
                <w:r w:rsidRPr="00AE62EF">
                  <w:rPr>
                    <w:rFonts w:cs="Calibri"/>
                  </w:rPr>
                  <w:t>SCM Agreement</w:t>
                </w:r>
              </w:p>
            </w:tc>
            <w:tc>
              <w:tcPr>
                <w:tcW w:w="6809" w:type="dxa"/>
              </w:tcPr>
              <w:p w14:paraId="4923C186" w14:textId="77777777" w:rsidR="00F7455F" w:rsidRPr="00AE62EF" w:rsidRDefault="00F7455F" w:rsidP="00AA396D">
                <w:pPr>
                  <w:pStyle w:val="TTTableText"/>
                  <w:rPr>
                    <w:rFonts w:cs="Calibri"/>
                  </w:rPr>
                </w:pPr>
                <w:r w:rsidRPr="00AE62EF">
                  <w:rPr>
                    <w:rFonts w:cs="Calibri"/>
                  </w:rPr>
                  <w:t>Agreement on Subsidies and Countervailing Measures</w:t>
                </w:r>
              </w:p>
            </w:tc>
          </w:tr>
          <w:tr w:rsidR="00F7455F" w:rsidRPr="00AE62EF" w14:paraId="19F5BBC3" w14:textId="77777777" w:rsidTr="00AA396D">
            <w:trPr>
              <w:cantSplit/>
              <w:trHeight w:val="397"/>
            </w:trPr>
            <w:tc>
              <w:tcPr>
                <w:tcW w:w="2251" w:type="dxa"/>
              </w:tcPr>
              <w:p w14:paraId="2CAFAB55" w14:textId="77777777" w:rsidR="00F7455F" w:rsidRPr="00AE62EF" w:rsidRDefault="00F7455F" w:rsidP="00AA396D">
                <w:pPr>
                  <w:pStyle w:val="TTTableText"/>
                  <w:rPr>
                    <w:rFonts w:cs="Calibri"/>
                  </w:rPr>
                </w:pPr>
                <w:r w:rsidRPr="00AE62EF">
                  <w:rPr>
                    <w:rFonts w:cs="Calibri"/>
                  </w:rPr>
                  <w:t>WTO</w:t>
                </w:r>
              </w:p>
            </w:tc>
            <w:tc>
              <w:tcPr>
                <w:tcW w:w="6809" w:type="dxa"/>
              </w:tcPr>
              <w:p w14:paraId="6A4CA8D4" w14:textId="337320E3" w:rsidR="00F7455F" w:rsidRPr="00AE62EF" w:rsidRDefault="00F7455F" w:rsidP="00AA396D">
                <w:pPr>
                  <w:pStyle w:val="TTTableText"/>
                  <w:rPr>
                    <w:rFonts w:cs="Calibri"/>
                  </w:rPr>
                </w:pPr>
                <w:r w:rsidRPr="00AE62EF">
                  <w:rPr>
                    <w:rFonts w:cs="Calibri"/>
                  </w:rPr>
                  <w:t>World Trade Organization</w:t>
                </w:r>
              </w:p>
            </w:tc>
          </w:tr>
        </w:tbl>
      </w:sdtContent>
    </w:sdt>
    <w:p w14:paraId="27CE0D6D" w14:textId="02953E46" w:rsidR="00F71EA3" w:rsidRDefault="00AF2C49" w:rsidP="00150BE4">
      <w:pPr>
        <w:pStyle w:val="HL1HeadingLevel1"/>
      </w:pPr>
      <w:bookmarkStart w:id="7" w:name="_Toc167096593"/>
      <w:bookmarkEnd w:id="1"/>
      <w:bookmarkEnd w:id="2"/>
      <w:bookmarkEnd w:id="3"/>
      <w:r>
        <w:lastRenderedPageBreak/>
        <w:t>Systemic implications</w:t>
      </w:r>
      <w:bookmarkEnd w:id="7"/>
    </w:p>
    <w:p w14:paraId="57180FCE" w14:textId="7B80D4CB" w:rsidR="00150BE4" w:rsidRPr="0010764F" w:rsidRDefault="002A5789" w:rsidP="0010764F">
      <w:pPr>
        <w:pStyle w:val="P1-N1Paragraph1-Number1"/>
        <w:rPr>
          <w:rFonts w:cs="Calibri"/>
        </w:rPr>
      </w:pPr>
      <w:r>
        <w:rPr>
          <w:rFonts w:cs="Calibri"/>
          <w14:ligatures w14:val="standardContextual"/>
        </w:rPr>
        <w:t>T</w:t>
      </w:r>
      <w:r w:rsidR="00DD2C3E">
        <w:rPr>
          <w:rFonts w:cs="Calibri"/>
          <w14:ligatures w14:val="standardContextual"/>
        </w:rPr>
        <w:t xml:space="preserve">his </w:t>
      </w:r>
      <w:r w:rsidR="006C17AA">
        <w:rPr>
          <w:rFonts w:cs="Calibri"/>
          <w14:ligatures w14:val="standardContextual"/>
        </w:rPr>
        <w:t>dispute</w:t>
      </w:r>
      <w:r w:rsidR="00DD2C3E">
        <w:rPr>
          <w:rFonts w:cs="Calibri"/>
          <w14:ligatures w14:val="standardContextual"/>
        </w:rPr>
        <w:t xml:space="preserve"> raises issues of fundamental importance to the effective functioning of the rules-based multilateral trading system.</w:t>
      </w:r>
      <w:r w:rsidR="0010764F">
        <w:rPr>
          <w:rFonts w:cs="Calibri"/>
          <w14:ligatures w14:val="standardContextual"/>
        </w:rPr>
        <w:t xml:space="preserve"> </w:t>
      </w:r>
      <w:r w:rsidR="0010764F">
        <w:rPr>
          <w:rFonts w:cs="Calibri"/>
        </w:rPr>
        <w:t>The object and purpose of the SCM Agreement is to discipline subsidies which distort international trade.</w:t>
      </w:r>
      <w:r w:rsidR="0010764F">
        <w:rPr>
          <w:rStyle w:val="FootnoteReference"/>
          <w:rFonts w:cs="Calibri"/>
        </w:rPr>
        <w:footnoteReference w:id="1"/>
      </w:r>
      <w:r w:rsidR="0010764F">
        <w:rPr>
          <w:rFonts w:cs="Calibri"/>
        </w:rPr>
        <w:t xml:space="preserve"> </w:t>
      </w:r>
      <w:bookmarkStart w:id="8" w:name="_Hlk163481924"/>
      <w:r w:rsidR="0010764F">
        <w:rPr>
          <w:rFonts w:cs="Calibri"/>
        </w:rPr>
        <w:t>In Australia's view, an interpretation which constrains Members' ability to use the SCM Agreement to properly address trade-distortive subsidies risks undermining the credibility of the rules-based trading system. The Panel should therefore be careful to avoid endorsing any interpretation of the SCM Agreement which unduly reduces the ability of WTO Members to discipline these types of arrangements</w:t>
      </w:r>
      <w:bookmarkEnd w:id="8"/>
      <w:r w:rsidR="0010764F">
        <w:rPr>
          <w:rFonts w:cs="Calibri"/>
        </w:rPr>
        <w:t>.</w:t>
      </w:r>
      <w:r w:rsidR="00171621">
        <w:rPr>
          <w:rFonts w:cs="Calibri"/>
        </w:rPr>
        <w:t xml:space="preserve"> </w:t>
      </w:r>
    </w:p>
    <w:p w14:paraId="36D1E365" w14:textId="5CB5C1CD" w:rsidR="00AF2C49" w:rsidRDefault="00AF2C49" w:rsidP="00AF2C49">
      <w:pPr>
        <w:pStyle w:val="HL1HeadingLevel1"/>
      </w:pPr>
      <w:bookmarkStart w:id="9" w:name="_Toc167096594"/>
      <w:r>
        <w:t>Attribution</w:t>
      </w:r>
      <w:bookmarkEnd w:id="9"/>
    </w:p>
    <w:p w14:paraId="55C6AAE9" w14:textId="2953C399" w:rsidR="00AA6D40" w:rsidRDefault="00AA6D40" w:rsidP="00AA6D40">
      <w:pPr>
        <w:pStyle w:val="HL2HeadingLevel2"/>
      </w:pPr>
      <w:bookmarkStart w:id="10" w:name="_Toc167096595"/>
      <w:r>
        <w:t>The Task Before the Panel</w:t>
      </w:r>
      <w:bookmarkEnd w:id="10"/>
    </w:p>
    <w:p w14:paraId="4A05E25E" w14:textId="44555087" w:rsidR="000F197D" w:rsidRDefault="000F197D" w:rsidP="000F197D">
      <w:pPr>
        <w:pStyle w:val="P1-N1Paragraph1-Number1"/>
        <w:rPr>
          <w:rFonts w:cs="Calibri"/>
        </w:rPr>
      </w:pPr>
      <w:r>
        <w:rPr>
          <w:rFonts w:cs="Calibri"/>
          <w14:ligatures w14:val="standardContextual"/>
        </w:rPr>
        <w:t>T</w:t>
      </w:r>
      <w:r w:rsidRPr="000F197D">
        <w:rPr>
          <w:rFonts w:cs="Calibri"/>
          <w14:ligatures w14:val="standardContextual"/>
        </w:rPr>
        <w:t>he</w:t>
      </w:r>
      <w:r w:rsidRPr="00AE62EF">
        <w:rPr>
          <w:rFonts w:cs="Calibri"/>
        </w:rPr>
        <w:t xml:space="preserve"> task of the Panel i</w:t>
      </w:r>
      <w:r>
        <w:rPr>
          <w:rFonts w:cs="Calibri"/>
        </w:rPr>
        <w:t>s to</w:t>
      </w:r>
      <w:r w:rsidRPr="00AE62EF">
        <w:rPr>
          <w:rFonts w:cs="Calibri"/>
        </w:rPr>
        <w:t xml:space="preserve"> assess </w:t>
      </w:r>
      <w:bookmarkStart w:id="11" w:name="_Hlk167121305"/>
      <w:r w:rsidRPr="00AE62EF">
        <w:rPr>
          <w:rFonts w:cs="Calibri"/>
        </w:rPr>
        <w:t>whether the Commission's conclusions were 'reasoned and adequate'</w:t>
      </w:r>
      <w:r>
        <w:rPr>
          <w:rFonts w:cs="Calibri"/>
        </w:rPr>
        <w:t xml:space="preserve"> in light of the evidence on the record</w:t>
      </w:r>
      <w:r w:rsidRPr="00AE62EF">
        <w:rPr>
          <w:rFonts w:cs="Calibri"/>
        </w:rPr>
        <w:t>.</w:t>
      </w:r>
      <w:bookmarkEnd w:id="11"/>
      <w:r>
        <w:rPr>
          <w:rStyle w:val="FootnoteReference"/>
          <w:rFonts w:cs="Calibri"/>
        </w:rPr>
        <w:footnoteReference w:id="2"/>
      </w:r>
      <w:r>
        <w:rPr>
          <w:rFonts w:cs="Calibri"/>
        </w:rPr>
        <w:t xml:space="preserve"> The Panel</w:t>
      </w:r>
      <w:r w:rsidRPr="00AE62EF">
        <w:rPr>
          <w:rFonts w:cs="Calibri"/>
        </w:rPr>
        <w:t xml:space="preserve">'s role is not to undertake a </w:t>
      </w:r>
      <w:r w:rsidRPr="00AE62EF">
        <w:rPr>
          <w:rFonts w:cs="Calibri"/>
          <w:i/>
          <w:iCs/>
        </w:rPr>
        <w:t xml:space="preserve">de novo </w:t>
      </w:r>
      <w:r w:rsidRPr="00AE62EF">
        <w:rPr>
          <w:rFonts w:cs="Calibri"/>
        </w:rPr>
        <w:t>review, and neither should it defer to the conclusions of an investigating authority.</w:t>
      </w:r>
      <w:r>
        <w:rPr>
          <w:rStyle w:val="FootnoteReference"/>
          <w:rFonts w:cs="Calibri"/>
        </w:rPr>
        <w:footnoteReference w:id="3"/>
      </w:r>
      <w:r w:rsidR="000A3E2F">
        <w:rPr>
          <w:rFonts w:cs="Calibri"/>
        </w:rPr>
        <w:t xml:space="preserve"> In the event that the Panel</w:t>
      </w:r>
      <w:r w:rsidR="000A3E2F" w:rsidRPr="00AE62EF">
        <w:rPr>
          <w:rFonts w:cs="Calibri"/>
        </w:rPr>
        <w:t xml:space="preserve"> </w:t>
      </w:r>
      <w:r w:rsidR="000A3E2F">
        <w:rPr>
          <w:rFonts w:cs="Calibri"/>
        </w:rPr>
        <w:t>takes</w:t>
      </w:r>
      <w:r w:rsidR="000A3E2F" w:rsidRPr="00AE62EF">
        <w:rPr>
          <w:rFonts w:cs="Calibri"/>
        </w:rPr>
        <w:t xml:space="preserve"> the view that the Commission </w:t>
      </w:r>
      <w:r w:rsidR="000A3E2F">
        <w:rPr>
          <w:rFonts w:cs="Calibri"/>
        </w:rPr>
        <w:t xml:space="preserve">did </w:t>
      </w:r>
      <w:r w:rsidR="000A3E2F" w:rsidRPr="00592993">
        <w:rPr>
          <w:rFonts w:cs="Calibri"/>
          <w:i/>
          <w:iCs/>
        </w:rPr>
        <w:t>not</w:t>
      </w:r>
      <w:r w:rsidR="000A3E2F">
        <w:rPr>
          <w:rFonts w:cs="Calibri"/>
        </w:rPr>
        <w:t xml:space="preserve"> meet that standard in this case</w:t>
      </w:r>
      <w:r w:rsidR="000A3E2F" w:rsidRPr="00AE62EF">
        <w:rPr>
          <w:rFonts w:cs="Calibri"/>
        </w:rPr>
        <w:t xml:space="preserve">, the Panel need not delineate a general test or threshold </w:t>
      </w:r>
      <w:r w:rsidR="000A3E2F">
        <w:rPr>
          <w:rFonts w:cs="Calibri"/>
        </w:rPr>
        <w:t>that</w:t>
      </w:r>
      <w:r w:rsidR="000A3E2F" w:rsidRPr="00AE62EF">
        <w:rPr>
          <w:rFonts w:cs="Calibri"/>
        </w:rPr>
        <w:t xml:space="preserve"> </w:t>
      </w:r>
      <w:r w:rsidR="000A3E2F">
        <w:rPr>
          <w:rFonts w:cs="Calibri"/>
        </w:rPr>
        <w:t>would need to have been met</w:t>
      </w:r>
      <w:r w:rsidR="000A3E2F" w:rsidRPr="00AE62EF">
        <w:rPr>
          <w:rFonts w:cs="Calibri"/>
        </w:rPr>
        <w:t xml:space="preserve"> in order for attribution to </w:t>
      </w:r>
      <w:r w:rsidR="000A3E2F">
        <w:rPr>
          <w:rFonts w:cs="Calibri"/>
        </w:rPr>
        <w:t>have been</w:t>
      </w:r>
      <w:r w:rsidR="000A3E2F" w:rsidRPr="00AE62EF">
        <w:rPr>
          <w:rFonts w:cs="Calibri"/>
        </w:rPr>
        <w:t xml:space="preserve"> permissible</w:t>
      </w:r>
      <w:r w:rsidR="000A3E2F">
        <w:rPr>
          <w:rFonts w:cs="Calibri"/>
        </w:rPr>
        <w:t xml:space="preserve"> under the SCM Agreement</w:t>
      </w:r>
      <w:r w:rsidR="000A3E2F" w:rsidRPr="00AE62EF">
        <w:rPr>
          <w:rFonts w:cs="Calibri"/>
        </w:rPr>
        <w:t>.</w:t>
      </w:r>
    </w:p>
    <w:p w14:paraId="0758E8A4" w14:textId="5DE7CA76" w:rsidR="006C17AA" w:rsidRDefault="007D3978" w:rsidP="003B2A49">
      <w:pPr>
        <w:pStyle w:val="P1-N1Paragraph1-Number1"/>
        <w:rPr>
          <w:rFonts w:cs="Calibri"/>
        </w:rPr>
      </w:pPr>
      <w:r>
        <w:rPr>
          <w:rFonts w:cs="Calibri"/>
        </w:rPr>
        <w:t>In making its findings on the issue of attribution, t</w:t>
      </w:r>
      <w:r w:rsidR="000F197D">
        <w:rPr>
          <w:rFonts w:cs="Calibri"/>
        </w:rPr>
        <w:t xml:space="preserve">he Panel should not foreclose an interpretation of the SCM Agreement that would allow for attribution, if doing so would provide a pathway for the circumvention of </w:t>
      </w:r>
      <w:r w:rsidR="00AA3718">
        <w:rPr>
          <w:rFonts w:cs="Calibri"/>
        </w:rPr>
        <w:t xml:space="preserve">the </w:t>
      </w:r>
      <w:r w:rsidR="000F197D">
        <w:rPr>
          <w:rFonts w:cs="Calibri"/>
        </w:rPr>
        <w:t>WTO subsidy rules.</w:t>
      </w:r>
      <w:r w:rsidR="00EC5A88">
        <w:rPr>
          <w:rFonts w:cs="Calibri"/>
        </w:rPr>
        <w:t xml:space="preserve"> </w:t>
      </w:r>
      <w:r w:rsidR="00EC5A88">
        <w:rPr>
          <w:rFonts w:cs="Calibri"/>
          <w14:ligatures w14:val="standardContextual"/>
        </w:rPr>
        <w:t>Australia recalls that the SCM Agreement expressly contemplates the risk that its disciplines may be circumvented through various funding arrangements.</w:t>
      </w:r>
      <w:r w:rsidR="006C17AA">
        <w:rPr>
          <w:rFonts w:cs="Calibri"/>
          <w14:ligatures w14:val="standardContextual"/>
        </w:rPr>
        <w:t xml:space="preserve"> </w:t>
      </w:r>
      <w:r w:rsidR="00281DFE">
        <w:rPr>
          <w:rFonts w:cs="Calibri"/>
          <w14:ligatures w14:val="standardContextual"/>
        </w:rPr>
        <w:t>T</w:t>
      </w:r>
      <w:r w:rsidR="006C17AA">
        <w:rPr>
          <w:rFonts w:cs="Calibri"/>
          <w14:ligatures w14:val="standardContextual"/>
        </w:rPr>
        <w:t>he anti-circumvention elements of the subsidy definition are broadly framed to encompass a wide range of actions and conduct that may be attributed to a WTO Member. Australia also emphasises that the SCM Agreement does not contain an exhaustive list of the factual circumstances that will justify the attribution of conduct to a WTO Member.</w:t>
      </w:r>
      <w:r w:rsidR="000F197D">
        <w:rPr>
          <w:rFonts w:cs="Calibri"/>
        </w:rPr>
        <w:t xml:space="preserve"> </w:t>
      </w:r>
      <w:r w:rsidR="003B2A49">
        <w:rPr>
          <w:rFonts w:cs="Calibri"/>
        </w:rPr>
        <w:t xml:space="preserve"> </w:t>
      </w:r>
    </w:p>
    <w:p w14:paraId="20752B2B" w14:textId="179723AF" w:rsidR="000F197D" w:rsidRPr="003B2A49" w:rsidRDefault="003B2A49" w:rsidP="003B2A49">
      <w:pPr>
        <w:pStyle w:val="P1-N1Paragraph1-Number1"/>
        <w:rPr>
          <w:rFonts w:cs="Calibri"/>
        </w:rPr>
      </w:pPr>
      <w:r>
        <w:lastRenderedPageBreak/>
        <w:t>E</w:t>
      </w:r>
      <w:r w:rsidR="000F197D">
        <w:t xml:space="preserve">qually, the Panel should ensure its findings do not result in undue expansion of WTO subsidy rules in a way that would impact the ability of </w:t>
      </w:r>
      <w:r w:rsidR="00C74575">
        <w:t xml:space="preserve">WTO Members </w:t>
      </w:r>
      <w:r w:rsidR="000F197D">
        <w:t xml:space="preserve">to attract investment, including </w:t>
      </w:r>
      <w:proofErr w:type="gramStart"/>
      <w:r w:rsidR="000F197D">
        <w:t>through the use of</w:t>
      </w:r>
      <w:proofErr w:type="gramEnd"/>
      <w:r w:rsidR="000F197D">
        <w:t xml:space="preserve"> regular, commonplace funding arrangements. </w:t>
      </w:r>
      <w:r w:rsidR="007F3D43">
        <w:t xml:space="preserve">The Panel’s focus should remain on the specific bilateral arrangements </w:t>
      </w:r>
      <w:r w:rsidR="00BA4B34">
        <w:t xml:space="preserve">at issue </w:t>
      </w:r>
      <w:r w:rsidR="007F3D43">
        <w:t>in this dispute</w:t>
      </w:r>
      <w:r w:rsidR="00304003">
        <w:t>,</w:t>
      </w:r>
      <w:r w:rsidR="007F3D43">
        <w:t xml:space="preserve"> </w:t>
      </w:r>
      <w:r w:rsidR="00304003">
        <w:t xml:space="preserve">and </w:t>
      </w:r>
      <w:r w:rsidR="007F3D43">
        <w:t xml:space="preserve">whether </w:t>
      </w:r>
      <w:r w:rsidR="007F3D43" w:rsidRPr="007F3D43">
        <w:t>the Commission's conclusions were 'reasoned and adequate'</w:t>
      </w:r>
      <w:r w:rsidR="00304003">
        <w:t xml:space="preserve">. </w:t>
      </w:r>
      <w:r w:rsidR="007F3D43">
        <w:t xml:space="preserve">   </w:t>
      </w:r>
    </w:p>
    <w:p w14:paraId="15D6F2D4" w14:textId="69642DD1" w:rsidR="001138A9" w:rsidRPr="001138A9" w:rsidRDefault="00522DC1" w:rsidP="001138A9">
      <w:pPr>
        <w:pStyle w:val="P1-N1Paragraph1-Number1"/>
      </w:pPr>
      <w:r>
        <w:t>As to whether attribution</w:t>
      </w:r>
      <w:r w:rsidR="00EF6C77">
        <w:t xml:space="preserve"> must be assessed</w:t>
      </w:r>
      <w:r>
        <w:t xml:space="preserve"> at the level of each financial contribution,</w:t>
      </w:r>
      <w:r>
        <w:rPr>
          <w:rStyle w:val="FootnoteReference"/>
        </w:rPr>
        <w:footnoteReference w:id="4"/>
      </w:r>
      <w:r w:rsidR="001138A9">
        <w:t xml:space="preserve"> </w:t>
      </w:r>
      <w:r w:rsidR="001138A9" w:rsidRPr="008F60C9">
        <w:rPr>
          <w:bCs/>
          <w:lang w:val="en-GB"/>
        </w:rPr>
        <w:t xml:space="preserve">Australia </w:t>
      </w:r>
      <w:r w:rsidR="003365FA">
        <w:rPr>
          <w:bCs/>
          <w:lang w:val="en-GB"/>
        </w:rPr>
        <w:t>refers to</w:t>
      </w:r>
      <w:r w:rsidR="001138A9" w:rsidRPr="008F60C9">
        <w:rPr>
          <w:bCs/>
          <w:lang w:val="en-GB"/>
        </w:rPr>
        <w:t xml:space="preserve"> guidance from the Appellate Body in relation to attribution in the 'public body' context.</w:t>
      </w:r>
      <w:r w:rsidR="006C17AA">
        <w:rPr>
          <w:rStyle w:val="FootnoteReference"/>
          <w:bCs/>
          <w:lang w:val="en-GB"/>
        </w:rPr>
        <w:footnoteReference w:id="5"/>
      </w:r>
      <w:r w:rsidR="001138A9">
        <w:rPr>
          <w:bCs/>
          <w:lang w:val="en-GB"/>
        </w:rPr>
        <w:t xml:space="preserve"> </w:t>
      </w:r>
      <w:r w:rsidR="001138A9" w:rsidRPr="008F60C9">
        <w:rPr>
          <w:bCs/>
          <w:lang w:val="en-GB"/>
        </w:rPr>
        <w:t xml:space="preserve">While these findings </w:t>
      </w:r>
      <w:r w:rsidR="00D92615">
        <w:rPr>
          <w:bCs/>
          <w:lang w:val="en-GB"/>
        </w:rPr>
        <w:t xml:space="preserve">on attribution </w:t>
      </w:r>
      <w:r w:rsidR="001138A9" w:rsidRPr="008F60C9">
        <w:rPr>
          <w:bCs/>
          <w:lang w:val="en-GB"/>
        </w:rPr>
        <w:t>were made in a different context, Australia considers that they support a conclusion that</w:t>
      </w:r>
      <w:r w:rsidR="001138A9">
        <w:rPr>
          <w:bCs/>
          <w:lang w:val="en-GB"/>
        </w:rPr>
        <w:t>, for the purposes of Article 1.1(a)(1) of the SCM Agreement,</w:t>
      </w:r>
      <w:r w:rsidR="001138A9" w:rsidRPr="008F60C9">
        <w:rPr>
          <w:bCs/>
          <w:lang w:val="en-GB"/>
        </w:rPr>
        <w:t xml:space="preserve"> it is not always necessary to conduct an attribution analysis at the level of each financial contribution in question. That is, there are circumstances where an investigatin</w:t>
      </w:r>
      <w:r w:rsidR="00E07A04">
        <w:rPr>
          <w:bCs/>
          <w:lang w:val="en-GB"/>
        </w:rPr>
        <w:t>g</w:t>
      </w:r>
      <w:r w:rsidR="001138A9" w:rsidRPr="008F60C9">
        <w:rPr>
          <w:bCs/>
          <w:lang w:val="en-GB"/>
        </w:rPr>
        <w:t xml:space="preserve"> authority can properly conduct its attribution analysis at a 'global' level.</w:t>
      </w:r>
      <w:r w:rsidR="001138A9">
        <w:rPr>
          <w:rStyle w:val="FootnoteReference"/>
          <w:bCs/>
          <w:lang w:val="en-GB"/>
        </w:rPr>
        <w:footnoteReference w:id="6"/>
      </w:r>
    </w:p>
    <w:p w14:paraId="2F35ABEA" w14:textId="73CF5650" w:rsidR="00C470AD" w:rsidRDefault="002F0969" w:rsidP="00AA6D40">
      <w:pPr>
        <w:pStyle w:val="HL2HeadingLevel2"/>
      </w:pPr>
      <w:bookmarkStart w:id="12" w:name="_Toc167096596"/>
      <w:r>
        <w:t xml:space="preserve">The Relevance of </w:t>
      </w:r>
      <w:r w:rsidR="00AA6D40">
        <w:t>Article 11 of the ILC Articles</w:t>
      </w:r>
      <w:bookmarkEnd w:id="12"/>
    </w:p>
    <w:p w14:paraId="46163713" w14:textId="1A385EBE" w:rsidR="007D3978" w:rsidRDefault="0006394F" w:rsidP="007D3978">
      <w:pPr>
        <w:pStyle w:val="P1-N1Paragraph1-Number1"/>
      </w:pPr>
      <w:r>
        <w:rPr>
          <w:rFonts w:cs="Calibri"/>
          <w14:ligatures w14:val="standardContextual"/>
        </w:rPr>
        <w:t>Australia observes that while ILC Articles are not themselves binding, the principles they embody largely reflect customary international law.</w:t>
      </w:r>
      <w:r w:rsidR="00A775EA">
        <w:rPr>
          <w:rStyle w:val="FootnoteReference"/>
          <w:rFonts w:cs="Calibri"/>
          <w14:ligatures w14:val="standardContextual"/>
        </w:rPr>
        <w:footnoteReference w:id="7"/>
      </w:r>
      <w:r>
        <w:rPr>
          <w:rFonts w:cs="Calibri"/>
          <w14:ligatures w14:val="standardContextual"/>
        </w:rPr>
        <w:t xml:space="preserve"> WTO panels and the Appellate Body have long cited and relied on the ILC Articles in their interpretation of WTO law. The Appellate Body in </w:t>
      </w:r>
      <w:r>
        <w:rPr>
          <w:rFonts w:ascii="Calibri-Italic" w:hAnsi="Calibri-Italic" w:cs="Calibri-Italic"/>
          <w:i/>
          <w:iCs/>
          <w14:ligatures w14:val="standardContextual"/>
        </w:rPr>
        <w:t xml:space="preserve">US – Anti-Dumping and Countervailing Duties (China) </w:t>
      </w:r>
      <w:r>
        <w:rPr>
          <w:rFonts w:cs="Calibri"/>
          <w14:ligatures w14:val="standardContextual"/>
        </w:rPr>
        <w:t>confirmed that 'if…certain ILC Articles have been "cited as containing similar provisions to those in certain areas of the WTO Agreement" or "cited by way of contrast with the provisions of the WTO Agreement", this evinces that these ILC Articles have been "taken into account" in the sense of Article 31(3)(c) by panels and the Appellate Body in these cases'.</w:t>
      </w:r>
      <w:r w:rsidR="00885451">
        <w:t xml:space="preserve"> </w:t>
      </w:r>
    </w:p>
    <w:p w14:paraId="50DDB2AD" w14:textId="433EA895" w:rsidR="006D06B6" w:rsidRPr="007D3978" w:rsidRDefault="00335A96" w:rsidP="007D3978">
      <w:pPr>
        <w:pStyle w:val="P1-N1Paragraph1-Number1"/>
      </w:pPr>
      <w:r>
        <w:rPr>
          <w:rFonts w:cs="Calibri"/>
          <w14:ligatures w14:val="standardContextual"/>
        </w:rPr>
        <w:t>T</w:t>
      </w:r>
      <w:r w:rsidR="006D06B6">
        <w:rPr>
          <w:rFonts w:cs="Calibri"/>
          <w14:ligatures w14:val="standardContextual"/>
        </w:rPr>
        <w:t>he</w:t>
      </w:r>
      <w:r>
        <w:rPr>
          <w:rFonts w:cs="Calibri"/>
          <w14:ligatures w14:val="standardContextual"/>
        </w:rPr>
        <w:t xml:space="preserve"> Appellate Body has found the</w:t>
      </w:r>
      <w:r w:rsidR="006D06B6">
        <w:rPr>
          <w:rFonts w:cs="Calibri"/>
          <w14:ligatures w14:val="standardContextual"/>
        </w:rPr>
        <w:t xml:space="preserve"> requirement that a rule of international law be 'relevant' to concern the 'subject matter of the provision at issue'.</w:t>
      </w:r>
      <w:r w:rsidR="008375CC">
        <w:rPr>
          <w:rStyle w:val="FootnoteReference"/>
          <w:rFonts w:cs="Calibri"/>
          <w14:ligatures w14:val="standardContextual"/>
        </w:rPr>
        <w:footnoteReference w:id="8"/>
      </w:r>
      <w:r w:rsidR="006D06B6">
        <w:rPr>
          <w:rFonts w:cs="Calibri"/>
          <w:sz w:val="16"/>
          <w:szCs w:val="16"/>
          <w14:ligatures w14:val="standardContextual"/>
        </w:rPr>
        <w:t xml:space="preserve"> </w:t>
      </w:r>
      <w:r w:rsidR="006D06B6">
        <w:rPr>
          <w:rFonts w:cs="Calibri"/>
          <w14:ligatures w14:val="standardContextual"/>
        </w:rPr>
        <w:t xml:space="preserve">Where there is no conflict or inconsistency, or where the SCM Agreement does not otherwise seek to preclude the </w:t>
      </w:r>
      <w:r w:rsidR="006D06B6">
        <w:rPr>
          <w:rFonts w:cs="Calibri"/>
          <w14:ligatures w14:val="standardContextual"/>
        </w:rPr>
        <w:lastRenderedPageBreak/>
        <w:t xml:space="preserve">application of customary rules of international law, Article 11 of the ILC Articles could be considered to be a relevant rule for the purposes of Article 31.3(c) of the Vienna Convention which can be taken into account, together with the context, in the interpretation of the words 'by a government' in Article 1.1(a)(1). Australia </w:t>
      </w:r>
      <w:proofErr w:type="gramStart"/>
      <w:r w:rsidR="006D06B6">
        <w:rPr>
          <w:rFonts w:cs="Calibri"/>
          <w14:ligatures w14:val="standardContextual"/>
        </w:rPr>
        <w:t>reiterates,</w:t>
      </w:r>
      <w:proofErr w:type="gramEnd"/>
      <w:r w:rsidR="006D06B6">
        <w:rPr>
          <w:rFonts w:cs="Calibri"/>
          <w14:ligatures w14:val="standardContextual"/>
        </w:rPr>
        <w:t xml:space="preserve"> however, the task of the Panel remains to interpret the treaty terms in good faith in accordance with the ordinary meaning to be given to the terms of the treaty, in their context and in light of its object and purpose</w:t>
      </w:r>
      <w:r w:rsidR="008375CC">
        <w:rPr>
          <w:rFonts w:cs="Calibri"/>
          <w14:ligatures w14:val="standardContextual"/>
        </w:rPr>
        <w:t>.</w:t>
      </w:r>
      <w:r w:rsidR="008375CC">
        <w:rPr>
          <w:rStyle w:val="FootnoteReference"/>
          <w:rFonts w:cs="Calibri"/>
          <w14:ligatures w14:val="standardContextual"/>
        </w:rPr>
        <w:footnoteReference w:id="9"/>
      </w:r>
    </w:p>
    <w:p w14:paraId="68A1FE31" w14:textId="18F4C591" w:rsidR="00AA6D40" w:rsidRDefault="002F0969" w:rsidP="00AA6D40">
      <w:pPr>
        <w:pStyle w:val="HL2HeadingLevel2"/>
      </w:pPr>
      <w:bookmarkStart w:id="13" w:name="_Toc167096597"/>
      <w:r>
        <w:t xml:space="preserve">Attribution and </w:t>
      </w:r>
      <w:r w:rsidR="00EF6C77">
        <w:t>Article 2.1 of the SCM Agreement</w:t>
      </w:r>
      <w:bookmarkEnd w:id="13"/>
    </w:p>
    <w:p w14:paraId="4C59D41D" w14:textId="77777777" w:rsidR="00EF6C77" w:rsidRDefault="001138A9" w:rsidP="006B5DA2">
      <w:pPr>
        <w:pStyle w:val="P1-N1Paragraph1-Number1"/>
      </w:pPr>
      <w:r>
        <w:t>Australia recalls that the</w:t>
      </w:r>
      <w:r w:rsidRPr="0074168B">
        <w:t xml:space="preserve"> WTO Appellate Body </w:t>
      </w:r>
      <w:r>
        <w:t xml:space="preserve">in </w:t>
      </w:r>
      <w:r w:rsidRPr="008C656C">
        <w:rPr>
          <w:bCs/>
          <w:i/>
          <w:iCs/>
        </w:rPr>
        <w:t>US — Countervailing Measures (China)</w:t>
      </w:r>
      <w:r>
        <w:t xml:space="preserve"> </w:t>
      </w:r>
      <w:r w:rsidRPr="0074168B">
        <w:t xml:space="preserve">confirmed that an investigating authority's determination under Article 1.1 as to the existence of a subsidy </w:t>
      </w:r>
      <w:r>
        <w:t xml:space="preserve">'will </w:t>
      </w:r>
      <w:r w:rsidRPr="0074168B">
        <w:t>inform</w:t>
      </w:r>
      <w:r>
        <w:t>'</w:t>
      </w:r>
      <w:r w:rsidRPr="0074168B">
        <w:t xml:space="preserve"> the assessment of whether such subsidy is specific to certain enterprises within the jurisdiction of the granting authority.</w:t>
      </w:r>
      <w:r>
        <w:rPr>
          <w:rStyle w:val="FootnoteReference"/>
        </w:rPr>
        <w:footnoteReference w:id="10"/>
      </w:r>
      <w:r>
        <w:t xml:space="preserve"> </w:t>
      </w:r>
    </w:p>
    <w:p w14:paraId="4F45A3ED" w14:textId="78C31C8D" w:rsidR="006B5DA2" w:rsidRPr="006B5DA2" w:rsidRDefault="00EF6C77" w:rsidP="00EF6C77">
      <w:pPr>
        <w:pStyle w:val="P1-N1Paragraph1-Number1"/>
      </w:pPr>
      <w:r w:rsidRPr="00EF6C77">
        <w:t>In this dispute, the Commission's inquiries resulted in a determination that the relevant financial contributions were provided by a 'government' – specifically, the GOID. Australia considers it is reasonable that the Commission's assessment that the GOID was the 'government' providing financial contributions for the purposes of Article 1.1 informed its identification of the 'jurisdiction of the granting authority' for the purposes of the specificity analysis.</w:t>
      </w:r>
      <w:r>
        <w:t xml:space="preserve"> </w:t>
      </w:r>
      <w:r w:rsidR="001138A9">
        <w:t>In Australia's view, any other approach would lead to an illogical result.</w:t>
      </w:r>
      <w:r w:rsidR="001138A9">
        <w:rPr>
          <w:rStyle w:val="FootnoteReference"/>
        </w:rPr>
        <w:footnoteReference w:id="11"/>
      </w:r>
    </w:p>
    <w:p w14:paraId="6ED8130C" w14:textId="43F88EC1" w:rsidR="00AF2C49" w:rsidRDefault="002F0969" w:rsidP="006B5DA2">
      <w:pPr>
        <w:pStyle w:val="HL2HeadingLevel2"/>
      </w:pPr>
      <w:bookmarkStart w:id="14" w:name="_Toc167096598"/>
      <w:r>
        <w:t xml:space="preserve">Attribution and </w:t>
      </w:r>
      <w:r w:rsidR="00AA6D40">
        <w:t>Article 18 of the SCM Agreement</w:t>
      </w:r>
      <w:bookmarkEnd w:id="14"/>
    </w:p>
    <w:p w14:paraId="7835F94C" w14:textId="7849A83A" w:rsidR="00EF6C77" w:rsidRDefault="00EF6C77" w:rsidP="00076291">
      <w:pPr>
        <w:pStyle w:val="P1-N1Paragraph1-Number1"/>
      </w:pPr>
      <w:r w:rsidRPr="00EF6C77">
        <w:t xml:space="preserve">Australia </w:t>
      </w:r>
      <w:r w:rsidR="00171621">
        <w:t xml:space="preserve">agrees </w:t>
      </w:r>
      <w:proofErr w:type="gramStart"/>
      <w:r w:rsidR="00171621">
        <w:t xml:space="preserve">with </w:t>
      </w:r>
      <w:r w:rsidRPr="00EF6C77">
        <w:t xml:space="preserve"> the</w:t>
      </w:r>
      <w:proofErr w:type="gramEnd"/>
      <w:r w:rsidRPr="00EF6C77">
        <w:t xml:space="preserve"> EU's view  that, in cases where a financial contribution is attributable to the exporting WTO Member, </w:t>
      </w:r>
      <w:r>
        <w:t xml:space="preserve">and a benefit is conferred, </w:t>
      </w:r>
      <w:r w:rsidRPr="00EF6C77">
        <w:t>that Member is capable of agreeing to eliminate or limit the subsidy (even if the relevant financial contribution comes from a different WTO Member</w:t>
      </w:r>
      <w:r>
        <w:t>) for the purposes of Article 18 of the SCM Agreement.</w:t>
      </w:r>
      <w:r>
        <w:rPr>
          <w:rStyle w:val="FootnoteReference"/>
        </w:rPr>
        <w:footnoteReference w:id="12"/>
      </w:r>
      <w:r>
        <w:t xml:space="preserve"> </w:t>
      </w:r>
    </w:p>
    <w:p w14:paraId="3B6D8323" w14:textId="5294C159" w:rsidR="00076291" w:rsidRPr="00076291" w:rsidRDefault="00EF6C77" w:rsidP="00076291">
      <w:pPr>
        <w:pStyle w:val="P1-N1Paragraph1-Number1"/>
      </w:pPr>
      <w:r>
        <w:t xml:space="preserve">Australia </w:t>
      </w:r>
      <w:r w:rsidR="00076291">
        <w:t xml:space="preserve">considers that if a financial contribution provided by another Member is properly attributable to the exporting Member (as the EU argues in this dispute), it is logical to conclude that the exporting Member would be capable of deciding to no longer receive the </w:t>
      </w:r>
      <w:r w:rsidR="00076291">
        <w:lastRenderedPageBreak/>
        <w:t>relevant financial contribution, or limit the amount received. This means, by extension, that it would be capable of eliminating or limiting the subsidy for the purposes of Article 18 of the SCM Agreement.</w:t>
      </w:r>
      <w:r w:rsidR="00076291">
        <w:rPr>
          <w:rStyle w:val="FootnoteReference"/>
        </w:rPr>
        <w:footnoteReference w:id="13"/>
      </w:r>
    </w:p>
    <w:p w14:paraId="1D9A1309" w14:textId="384E5E18" w:rsidR="00AF2C49" w:rsidRDefault="00C470AD" w:rsidP="00AF2C49">
      <w:pPr>
        <w:pStyle w:val="HL1HeadingLevel1"/>
      </w:pPr>
      <w:bookmarkStart w:id="15" w:name="_Toc167096599"/>
      <w:r>
        <w:t>Specificity</w:t>
      </w:r>
      <w:bookmarkEnd w:id="15"/>
      <w:r w:rsidR="00217CCE">
        <w:t xml:space="preserve"> </w:t>
      </w:r>
    </w:p>
    <w:p w14:paraId="01F6A667" w14:textId="23C22077" w:rsidR="00C470AD" w:rsidRDefault="002F0969" w:rsidP="00C470AD">
      <w:pPr>
        <w:pStyle w:val="P1-N1Paragraph1-Number1"/>
      </w:pPr>
      <w:r w:rsidRPr="002F0969">
        <w:rPr>
          <w:rFonts w:cs="Calibri"/>
          <w14:ligatures w14:val="standardContextual"/>
        </w:rPr>
        <w:t>W</w:t>
      </w:r>
      <w:r w:rsidR="00CF55E4" w:rsidRPr="002F0969">
        <w:rPr>
          <w:rFonts w:cs="Calibri"/>
          <w14:ligatures w14:val="standardContextual"/>
        </w:rPr>
        <w:t>here a good has been provided for less than adequate remuneration, specificity may be evident from the 'inherent characteristics' of</w:t>
      </w:r>
      <w:r w:rsidR="00CD4274">
        <w:rPr>
          <w:rFonts w:cs="Calibri"/>
          <w14:ligatures w14:val="standardContextual"/>
        </w:rPr>
        <w:t xml:space="preserve"> the</w:t>
      </w:r>
      <w:r w:rsidR="00CF55E4" w:rsidRPr="002F0969">
        <w:rPr>
          <w:rFonts w:cs="Calibri"/>
          <w14:ligatures w14:val="standardContextual"/>
        </w:rPr>
        <w:t xml:space="preserve"> relevant good. </w:t>
      </w:r>
      <w:r w:rsidR="005145EA" w:rsidRPr="002F0969">
        <w:rPr>
          <w:rFonts w:cs="Calibri"/>
          <w14:ligatures w14:val="standardContextual"/>
        </w:rPr>
        <w:t>Australia recalls that t</w:t>
      </w:r>
      <w:r w:rsidR="00CF55E4" w:rsidRPr="002F0969">
        <w:rPr>
          <w:rFonts w:cs="Calibri"/>
          <w14:ligatures w14:val="standardContextual"/>
        </w:rPr>
        <w:t xml:space="preserve">he Panel in </w:t>
      </w:r>
      <w:r w:rsidR="00CF55E4" w:rsidRPr="002F0969">
        <w:rPr>
          <w:rFonts w:ascii="Calibri-Italic" w:hAnsi="Calibri-Italic" w:cs="Calibri-Italic"/>
          <w:i/>
          <w:iCs/>
          <w14:ligatures w14:val="standardContextual"/>
        </w:rPr>
        <w:t xml:space="preserve">US – Softwood Lumber IV </w:t>
      </w:r>
      <w:r w:rsidR="00CF55E4" w:rsidRPr="002F0969">
        <w:rPr>
          <w:rFonts w:cs="Calibri"/>
          <w14:ligatures w14:val="standardContextual"/>
        </w:rPr>
        <w:t>provided helpful examples of when the provision of natural resources for less than adequate remuneration would and would not be considered a 'specific' subsidy</w:t>
      </w:r>
      <w:r w:rsidR="002F68B1" w:rsidRPr="002F0969">
        <w:rPr>
          <w:rFonts w:cs="Calibri"/>
          <w14:ligatures w14:val="standardContextual"/>
        </w:rPr>
        <w:t>.</w:t>
      </w:r>
      <w:r w:rsidR="002F68B1">
        <w:rPr>
          <w:rStyle w:val="FootnoteReference"/>
          <w:rFonts w:cs="Calibri"/>
          <w14:ligatures w14:val="standardContextual"/>
        </w:rPr>
        <w:footnoteReference w:id="14"/>
      </w:r>
      <w:r w:rsidR="00CF55E4" w:rsidRPr="002F0969">
        <w:rPr>
          <w:rFonts w:cs="Calibri"/>
          <w:sz w:val="16"/>
          <w:szCs w:val="16"/>
          <w14:ligatures w14:val="standardContextual"/>
        </w:rPr>
        <w:t xml:space="preserve"> </w:t>
      </w:r>
      <w:r w:rsidR="00CF55E4" w:rsidRPr="002F0969">
        <w:rPr>
          <w:rFonts w:cs="Calibri"/>
          <w14:ligatures w14:val="standardContextual"/>
        </w:rPr>
        <w:t>It first clarified that '[we] do not consider that… any provision of a good in the form of a natural resource automatically would be specific'</w:t>
      </w:r>
      <w:r w:rsidR="002F68B1" w:rsidRPr="002F0969">
        <w:rPr>
          <w:rFonts w:cs="Calibri"/>
          <w14:ligatures w14:val="standardContextual"/>
        </w:rPr>
        <w:t>.</w:t>
      </w:r>
      <w:r w:rsidR="002F68B1">
        <w:rPr>
          <w:rStyle w:val="FootnoteReference"/>
          <w:rFonts w:cs="Calibri"/>
          <w14:ligatures w14:val="standardContextual"/>
        </w:rPr>
        <w:footnoteReference w:id="15"/>
      </w:r>
      <w:r w:rsidR="002F68B1" w:rsidRPr="002F0969">
        <w:rPr>
          <w:rFonts w:cs="Calibri"/>
          <w14:ligatures w14:val="standardContextual"/>
        </w:rPr>
        <w:t xml:space="preserve"> </w:t>
      </w:r>
      <w:r w:rsidR="00CF55E4" w:rsidRPr="002F0969">
        <w:rPr>
          <w:rFonts w:cs="Calibri"/>
          <w14:ligatures w14:val="standardContextual"/>
        </w:rPr>
        <w:t xml:space="preserve">It then distinguished between different types of natural resources, remarking that goods such as oil, gas and water 'may be used by an indefinite number of industries', while the 'inherent characteristics' of standing timber 'limit its possible use to </w:t>
      </w:r>
      <w:r w:rsidR="005145EA" w:rsidRPr="002F0969">
        <w:rPr>
          <w:rFonts w:cs="Calibri"/>
          <w14:ligatures w14:val="standardContextual"/>
        </w:rPr>
        <w:t>"</w:t>
      </w:r>
      <w:r w:rsidR="00CF55E4" w:rsidRPr="002F0969">
        <w:rPr>
          <w:rFonts w:cs="Calibri"/>
          <w14:ligatures w14:val="standardContextual"/>
        </w:rPr>
        <w:t>certain enterprises</w:t>
      </w:r>
      <w:r w:rsidR="005145EA" w:rsidRPr="002F0969">
        <w:rPr>
          <w:rFonts w:cs="Calibri"/>
          <w14:ligatures w14:val="standardContextual"/>
        </w:rPr>
        <w:t>"</w:t>
      </w:r>
      <w:r w:rsidR="00CF55E4" w:rsidRPr="002F0969">
        <w:rPr>
          <w:rFonts w:cs="Calibri"/>
          <w14:ligatures w14:val="standardContextual"/>
        </w:rPr>
        <w:t xml:space="preserve"> only'</w:t>
      </w:r>
      <w:r w:rsidR="002F68B1" w:rsidRPr="002F0969">
        <w:rPr>
          <w:rFonts w:cs="Calibri"/>
          <w14:ligatures w14:val="standardContextual"/>
        </w:rPr>
        <w:t>.</w:t>
      </w:r>
      <w:r w:rsidR="002F68B1">
        <w:rPr>
          <w:rStyle w:val="FootnoteReference"/>
          <w:rFonts w:cs="Calibri"/>
          <w14:ligatures w14:val="standardContextual"/>
        </w:rPr>
        <w:footnoteReference w:id="16"/>
      </w:r>
      <w:r w:rsidR="002F68B1" w:rsidRPr="002F0969">
        <w:rPr>
          <w:rFonts w:cs="Calibri"/>
          <w14:ligatures w14:val="standardContextual"/>
        </w:rPr>
        <w:t xml:space="preserve"> </w:t>
      </w:r>
      <w:r w:rsidR="00CF55E4" w:rsidRPr="002F0969">
        <w:rPr>
          <w:rFonts w:cs="Calibri"/>
          <w14:ligatures w14:val="standardContextual"/>
        </w:rPr>
        <w:t>The relevant question is therefore, in Australia's view, whether a relevant natural resource may be used by an 'indefinite number of industries', or whether its use is limited to 'certain enterprises' only. Australia considers that it is difficult to see how the natural resource at issue in this dispute, nickel ore, could be used by an 'indefinite number of industries'.</w:t>
      </w:r>
    </w:p>
    <w:p w14:paraId="29B48F6F" w14:textId="33340E22" w:rsidR="00C470AD" w:rsidRDefault="00C470AD" w:rsidP="00C470AD">
      <w:pPr>
        <w:pStyle w:val="HL1HeadingLevel1"/>
      </w:pPr>
      <w:bookmarkStart w:id="16" w:name="_Toc167096600"/>
      <w:r>
        <w:t>Notice requirements</w:t>
      </w:r>
      <w:bookmarkEnd w:id="16"/>
    </w:p>
    <w:p w14:paraId="31B3A65C" w14:textId="247794BB" w:rsidR="007F5450" w:rsidRPr="00EF6C77" w:rsidRDefault="00402C31" w:rsidP="00EF6C77">
      <w:pPr>
        <w:pStyle w:val="P1-N1Paragraph1-Number1"/>
      </w:pPr>
      <w:r>
        <w:rPr>
          <w:rFonts w:cs="Calibri"/>
          <w:lang w:val="en-GB"/>
          <w14:ligatures w14:val="standardContextual"/>
        </w:rPr>
        <w:t xml:space="preserve">In Australia's view, </w:t>
      </w:r>
      <w:r w:rsidRPr="00B91918">
        <w:rPr>
          <w:rFonts w:cs="Calibri"/>
          <w:lang w:val="en-GB"/>
          <w14:ligatures w14:val="standardContextual"/>
        </w:rPr>
        <w:t xml:space="preserve">Article 12.1 of the SCM Agreement does not define the </w:t>
      </w:r>
      <w:r w:rsidR="00335A96">
        <w:rPr>
          <w:rFonts w:cs="Calibri"/>
          <w:lang w:val="en-GB"/>
          <w14:ligatures w14:val="standardContextual"/>
        </w:rPr>
        <w:t>'</w:t>
      </w:r>
      <w:r w:rsidRPr="00B91918">
        <w:rPr>
          <w:rFonts w:cs="Calibri"/>
          <w:lang w:val="en-GB"/>
          <w14:ligatures w14:val="standardContextual"/>
        </w:rPr>
        <w:t>means of communication</w:t>
      </w:r>
      <w:r w:rsidR="00335A96">
        <w:rPr>
          <w:rFonts w:cs="Calibri"/>
          <w:lang w:val="en-GB"/>
          <w14:ligatures w14:val="standardContextual"/>
        </w:rPr>
        <w:t>'</w:t>
      </w:r>
      <w:r w:rsidRPr="00B91918">
        <w:rPr>
          <w:rFonts w:cs="Calibri"/>
          <w:lang w:val="en-GB"/>
          <w14:ligatures w14:val="standardContextual"/>
        </w:rPr>
        <w:t xml:space="preserve"> which must be used by an investigating authority, and nor does it preclude the investigating authority from choosing a manner of delivery that imposes less of an administrative burden than direct delivery.</w:t>
      </w:r>
      <w:r>
        <w:rPr>
          <w:rStyle w:val="FootnoteReference"/>
          <w:rFonts w:cs="Calibri"/>
          <w:lang w:val="en-GB"/>
          <w14:ligatures w14:val="standardContextual"/>
        </w:rPr>
        <w:footnoteReference w:id="17"/>
      </w:r>
      <w:bookmarkEnd w:id="0"/>
      <w:r w:rsidR="002F0969">
        <w:rPr>
          <w:rFonts w:cs="Calibri"/>
          <w:lang w:val="en-GB"/>
          <w14:ligatures w14:val="standardContextual"/>
        </w:rPr>
        <w:t xml:space="preserve"> Members have 'considerable discretion' under Article 12 to 'define their own procedures'.</w:t>
      </w:r>
      <w:r w:rsidR="002F0969">
        <w:rPr>
          <w:rStyle w:val="FootnoteReference"/>
          <w:rFonts w:cs="Calibri"/>
          <w:lang w:val="en-GB"/>
          <w14:ligatures w14:val="standardContextual"/>
        </w:rPr>
        <w:footnoteReference w:id="18"/>
      </w:r>
      <w:r w:rsidR="002F0969">
        <w:rPr>
          <w:rFonts w:cs="Calibri"/>
          <w:lang w:val="en-GB"/>
          <w14:ligatures w14:val="standardContextual"/>
        </w:rPr>
        <w:t xml:space="preserve"> </w:t>
      </w:r>
    </w:p>
    <w:sectPr w:rsidR="007F5450" w:rsidRPr="00EF6C77" w:rsidSect="00AA396D">
      <w:headerReference w:type="default" r:id="rId8"/>
      <w:footerReference w:type="default" r:id="rId9"/>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01E8" w14:textId="77777777" w:rsidR="00194230" w:rsidRDefault="00194230" w:rsidP="00F71EA3">
      <w:pPr>
        <w:spacing w:after="0" w:line="240" w:lineRule="auto"/>
      </w:pPr>
      <w:r>
        <w:separator/>
      </w:r>
    </w:p>
  </w:endnote>
  <w:endnote w:type="continuationSeparator" w:id="0">
    <w:p w14:paraId="517688F7" w14:textId="77777777" w:rsidR="00194230" w:rsidRDefault="00194230" w:rsidP="00F7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2D8B" w14:textId="77777777" w:rsidR="00635A10" w:rsidRDefault="00635A10">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A7B9" w14:textId="77777777" w:rsidR="00194230" w:rsidRDefault="00194230" w:rsidP="00F71EA3">
      <w:pPr>
        <w:spacing w:after="0" w:line="240" w:lineRule="auto"/>
      </w:pPr>
      <w:r>
        <w:separator/>
      </w:r>
    </w:p>
  </w:footnote>
  <w:footnote w:type="continuationSeparator" w:id="0">
    <w:p w14:paraId="4BCC03E7" w14:textId="77777777" w:rsidR="00194230" w:rsidRDefault="00194230" w:rsidP="00F71EA3">
      <w:pPr>
        <w:spacing w:after="0" w:line="240" w:lineRule="auto"/>
      </w:pPr>
      <w:r>
        <w:continuationSeparator/>
      </w:r>
    </w:p>
  </w:footnote>
  <w:footnote w:id="1">
    <w:p w14:paraId="281B00FB" w14:textId="77777777" w:rsidR="0010764F" w:rsidRDefault="0010764F" w:rsidP="0010764F">
      <w:pPr>
        <w:pStyle w:val="FootnoteText"/>
      </w:pPr>
      <w:r>
        <w:rPr>
          <w:rStyle w:val="FootnoteReference"/>
        </w:rPr>
        <w:footnoteRef/>
      </w:r>
      <w:r>
        <w:t xml:space="preserve"> </w:t>
      </w:r>
      <w:r>
        <w:rPr>
          <w:rFonts w:cs="Calibri"/>
          <w:color w:val="2A2A2A"/>
          <w:szCs w:val="18"/>
          <w14:ligatures w14:val="standardContextual"/>
        </w:rPr>
        <w:t xml:space="preserve">Panel Report, </w:t>
      </w:r>
      <w:r>
        <w:rPr>
          <w:rFonts w:ascii="Calibri-Italic" w:hAnsi="Calibri-Italic" w:cs="Calibri-Italic"/>
          <w:i/>
          <w:iCs/>
          <w:color w:val="2A2A2A"/>
          <w:szCs w:val="18"/>
          <w14:ligatures w14:val="standardContextual"/>
        </w:rPr>
        <w:t>Brazil – Aircraft</w:t>
      </w:r>
      <w:r>
        <w:rPr>
          <w:rFonts w:cs="Calibri"/>
          <w:color w:val="2A2A2A"/>
          <w:szCs w:val="18"/>
          <w14:ligatures w14:val="standardContextual"/>
        </w:rPr>
        <w:t xml:space="preserve">, </w:t>
      </w:r>
      <w:r>
        <w:rPr>
          <w:rFonts w:cs="Calibri"/>
          <w:color w:val="000000"/>
          <w:szCs w:val="18"/>
          <w14:ligatures w14:val="standardContextual"/>
        </w:rPr>
        <w:t>para. 7.26.</w:t>
      </w:r>
    </w:p>
  </w:footnote>
  <w:footnote w:id="2">
    <w:p w14:paraId="4A872A01" w14:textId="77777777" w:rsidR="000F197D" w:rsidRDefault="000F197D" w:rsidP="000F197D">
      <w:pPr>
        <w:pStyle w:val="FootnoteText"/>
      </w:pPr>
      <w:r>
        <w:rPr>
          <w:rStyle w:val="FootnoteReference"/>
        </w:rPr>
        <w:footnoteRef/>
      </w:r>
      <w:r>
        <w:t xml:space="preserve"> </w:t>
      </w:r>
      <w:r>
        <w:rPr>
          <w:rFonts w:cs="Calibri"/>
          <w:szCs w:val="18"/>
          <w14:ligatures w14:val="standardContextual"/>
        </w:rPr>
        <w:t xml:space="preserve">Appellate Body Report, </w:t>
      </w:r>
      <w:r>
        <w:rPr>
          <w:rFonts w:ascii="Calibri-Italic" w:hAnsi="Calibri-Italic" w:cs="Calibri-Italic"/>
          <w:i/>
          <w:iCs/>
          <w:szCs w:val="18"/>
          <w14:ligatures w14:val="standardContextual"/>
        </w:rPr>
        <w:t>US – Softwood Lumber VI (Article 21.5 – Canada)</w:t>
      </w:r>
      <w:r>
        <w:rPr>
          <w:rFonts w:cs="Calibri"/>
          <w:szCs w:val="18"/>
          <w14:ligatures w14:val="standardContextual"/>
        </w:rPr>
        <w:t>, para. 93.</w:t>
      </w:r>
    </w:p>
  </w:footnote>
  <w:footnote w:id="3">
    <w:p w14:paraId="3E63572F" w14:textId="77777777" w:rsidR="000F197D" w:rsidRDefault="000F197D" w:rsidP="000F197D">
      <w:pPr>
        <w:pStyle w:val="FootnoteText"/>
      </w:pPr>
      <w:r>
        <w:rPr>
          <w:rStyle w:val="FootnoteReference"/>
        </w:rPr>
        <w:footnoteRef/>
      </w:r>
      <w:r>
        <w:t xml:space="preserve"> </w:t>
      </w:r>
      <w:r>
        <w:rPr>
          <w:rFonts w:cs="Calibri"/>
          <w:szCs w:val="18"/>
          <w14:ligatures w14:val="standardContextual"/>
        </w:rPr>
        <w:t xml:space="preserve">Appellate Body Report, </w:t>
      </w:r>
      <w:r>
        <w:rPr>
          <w:rFonts w:ascii="Calibri-Italic" w:hAnsi="Calibri-Italic" w:cs="Calibri-Italic"/>
          <w:i/>
          <w:iCs/>
          <w:szCs w:val="18"/>
          <w14:ligatures w14:val="standardContextual"/>
        </w:rPr>
        <w:t>US – Softwood Lumber VI (Article 21.5 – Canada)</w:t>
      </w:r>
      <w:r>
        <w:rPr>
          <w:rFonts w:cs="Calibri"/>
          <w:szCs w:val="18"/>
          <w14:ligatures w14:val="standardContextual"/>
        </w:rPr>
        <w:t>, para. 93.</w:t>
      </w:r>
    </w:p>
  </w:footnote>
  <w:footnote w:id="4">
    <w:p w14:paraId="5300B9E1" w14:textId="372D5DF0" w:rsidR="00522DC1" w:rsidRDefault="00522DC1">
      <w:pPr>
        <w:pStyle w:val="FootnoteText"/>
      </w:pPr>
      <w:r>
        <w:rPr>
          <w:rStyle w:val="FootnoteReference"/>
        </w:rPr>
        <w:footnoteRef/>
      </w:r>
      <w:r>
        <w:t xml:space="preserve"> See the Panel's questions to third parties – question</w:t>
      </w:r>
      <w:r w:rsidR="002A5789">
        <w:t xml:space="preserve"> no.</w:t>
      </w:r>
      <w:r>
        <w:t xml:space="preserve"> </w:t>
      </w:r>
      <w:r w:rsidR="00EF6C77">
        <w:t xml:space="preserve">11. </w:t>
      </w:r>
    </w:p>
  </w:footnote>
  <w:footnote w:id="5">
    <w:p w14:paraId="24790FD3" w14:textId="042172CD" w:rsidR="006C17AA" w:rsidRPr="006C17AA" w:rsidRDefault="006C17AA">
      <w:pPr>
        <w:pStyle w:val="FootnoteText"/>
      </w:pPr>
      <w:r>
        <w:rPr>
          <w:rStyle w:val="FootnoteReference"/>
        </w:rPr>
        <w:footnoteRef/>
      </w:r>
      <w:r>
        <w:t xml:space="preserve"> Appellate Body report, </w:t>
      </w:r>
      <w:r w:rsidRPr="008F60C9">
        <w:rPr>
          <w:bCs/>
          <w:i/>
          <w:iCs/>
          <w:lang w:val="en-GB"/>
        </w:rPr>
        <w:t>US – Countervailing Measures (China) (Article 21.5 – China)</w:t>
      </w:r>
      <w:r>
        <w:rPr>
          <w:bCs/>
          <w:lang w:val="en-GB"/>
        </w:rPr>
        <w:t xml:space="preserve">, para </w:t>
      </w:r>
      <w:r w:rsidR="00EF6C77">
        <w:rPr>
          <w:bCs/>
          <w:lang w:val="en-GB"/>
        </w:rPr>
        <w:t>5.100</w:t>
      </w:r>
      <w:r>
        <w:rPr>
          <w:bCs/>
          <w:lang w:val="en-GB"/>
        </w:rPr>
        <w:t xml:space="preserve">. See </w:t>
      </w:r>
      <w:r>
        <w:t xml:space="preserve">also Australia's response to the Panel's questions </w:t>
      </w:r>
      <w:r w:rsidR="00A6625A">
        <w:t xml:space="preserve">to third parties </w:t>
      </w:r>
      <w:r>
        <w:t xml:space="preserve">– question </w:t>
      </w:r>
      <w:r w:rsidR="00EF6C77">
        <w:t>no. 11</w:t>
      </w:r>
      <w:r>
        <w:t>.</w:t>
      </w:r>
    </w:p>
  </w:footnote>
  <w:footnote w:id="6">
    <w:p w14:paraId="3AAA095D" w14:textId="6402FE1A" w:rsidR="001138A9" w:rsidRDefault="001138A9">
      <w:pPr>
        <w:pStyle w:val="FootnoteText"/>
      </w:pPr>
      <w:r>
        <w:rPr>
          <w:rStyle w:val="FootnoteReference"/>
        </w:rPr>
        <w:footnoteRef/>
      </w:r>
      <w:r>
        <w:t xml:space="preserve"> See also Australia's response to the Panel's questions </w:t>
      </w:r>
      <w:r w:rsidR="00A6625A">
        <w:t xml:space="preserve">to third parties </w:t>
      </w:r>
      <w:r>
        <w:t xml:space="preserve">– question </w:t>
      </w:r>
      <w:r w:rsidR="00EF6C77">
        <w:t>no. 11.</w:t>
      </w:r>
    </w:p>
  </w:footnote>
  <w:footnote w:id="7">
    <w:p w14:paraId="7F975E8F" w14:textId="47550077" w:rsidR="00A775EA" w:rsidRDefault="00A775EA">
      <w:pPr>
        <w:pStyle w:val="FootnoteText"/>
      </w:pPr>
      <w:r>
        <w:rPr>
          <w:rStyle w:val="FootnoteReference"/>
        </w:rPr>
        <w:footnoteRef/>
      </w:r>
      <w:r>
        <w:t xml:space="preserve"> </w:t>
      </w:r>
      <w:r w:rsidR="002A7FC7">
        <w:t xml:space="preserve">See Australia's response to the Panel's questions </w:t>
      </w:r>
      <w:r w:rsidR="00A6625A">
        <w:t xml:space="preserve">to third parties </w:t>
      </w:r>
      <w:r w:rsidR="002A7FC7">
        <w:t xml:space="preserve">– question no. </w:t>
      </w:r>
      <w:r w:rsidR="00C872BC">
        <w:t xml:space="preserve">4; </w:t>
      </w:r>
      <w:r w:rsidR="002A7FC7">
        <w:t>Australia's written submissions, paras. 22 and 23.</w:t>
      </w:r>
    </w:p>
  </w:footnote>
  <w:footnote w:id="8">
    <w:p w14:paraId="54C1AA53" w14:textId="13637CBA" w:rsidR="008375CC" w:rsidRDefault="008375CC">
      <w:pPr>
        <w:pStyle w:val="FootnoteText"/>
      </w:pPr>
      <w:r>
        <w:rPr>
          <w:rStyle w:val="FootnoteReference"/>
        </w:rPr>
        <w:footnoteRef/>
      </w:r>
      <w:r>
        <w:t xml:space="preserve"> </w:t>
      </w:r>
      <w:r>
        <w:rPr>
          <w:rFonts w:cs="Calibri"/>
          <w:szCs w:val="18"/>
          <w14:ligatures w14:val="standardContextual"/>
        </w:rPr>
        <w:t xml:space="preserve">Appellate Body Report, </w:t>
      </w:r>
      <w:proofErr w:type="gramStart"/>
      <w:r>
        <w:rPr>
          <w:rFonts w:ascii="Calibri-Italic" w:hAnsi="Calibri-Italic" w:cs="Calibri-Italic"/>
          <w:i/>
          <w:iCs/>
          <w:szCs w:val="18"/>
          <w14:ligatures w14:val="standardContextual"/>
        </w:rPr>
        <w:t>EC</w:t>
      </w:r>
      <w:proofErr w:type="gramEnd"/>
      <w:r>
        <w:rPr>
          <w:rFonts w:ascii="Calibri-Italic" w:hAnsi="Calibri-Italic" w:cs="Calibri-Italic"/>
          <w:i/>
          <w:iCs/>
          <w:szCs w:val="18"/>
          <w14:ligatures w14:val="standardContextual"/>
        </w:rPr>
        <w:t xml:space="preserve"> and certain member States – Large Civil Aircraft</w:t>
      </w:r>
      <w:r>
        <w:rPr>
          <w:rFonts w:cs="Calibri"/>
          <w:szCs w:val="18"/>
          <w14:ligatures w14:val="standardContextual"/>
        </w:rPr>
        <w:t>, para. 846.</w:t>
      </w:r>
      <w:r w:rsidR="00C872BC">
        <w:rPr>
          <w:rFonts w:cs="Calibri"/>
          <w:szCs w:val="18"/>
          <w14:ligatures w14:val="standardContextual"/>
        </w:rPr>
        <w:t xml:space="preserve"> See also Australia's </w:t>
      </w:r>
      <w:r w:rsidR="00C872BC">
        <w:t xml:space="preserve">response to the Panel's questions </w:t>
      </w:r>
      <w:r w:rsidR="00A6625A">
        <w:t xml:space="preserve">to third parties </w:t>
      </w:r>
      <w:r w:rsidR="00C872BC">
        <w:t xml:space="preserve">– question no. </w:t>
      </w:r>
      <w:r w:rsidR="00D25C75">
        <w:t>5</w:t>
      </w:r>
      <w:r w:rsidR="00C872BC">
        <w:t>; Australia's written submissions, para</w:t>
      </w:r>
      <w:r w:rsidR="003E060A">
        <w:t>. 26.</w:t>
      </w:r>
    </w:p>
  </w:footnote>
  <w:footnote w:id="9">
    <w:p w14:paraId="67635BAC" w14:textId="0E4DD229" w:rsidR="008375CC" w:rsidRDefault="008375CC">
      <w:pPr>
        <w:pStyle w:val="FootnoteText"/>
      </w:pPr>
      <w:r>
        <w:rPr>
          <w:rStyle w:val="FootnoteReference"/>
        </w:rPr>
        <w:footnoteRef/>
      </w:r>
      <w:r>
        <w:t xml:space="preserve"> </w:t>
      </w:r>
      <w:r>
        <w:rPr>
          <w:rFonts w:cs="Calibri"/>
          <w:szCs w:val="18"/>
          <w14:ligatures w14:val="standardContextual"/>
        </w:rPr>
        <w:t>Vienna Convention, Article 31(1).</w:t>
      </w:r>
    </w:p>
  </w:footnote>
  <w:footnote w:id="10">
    <w:p w14:paraId="2DA11FEA" w14:textId="77777777" w:rsidR="001138A9" w:rsidRDefault="001138A9" w:rsidP="001138A9">
      <w:pPr>
        <w:pStyle w:val="FootnoteText"/>
      </w:pPr>
      <w:r>
        <w:rPr>
          <w:rStyle w:val="FootnoteReference"/>
        </w:rPr>
        <w:footnoteRef/>
      </w:r>
      <w:r>
        <w:t xml:space="preserve"> Appellate Body report, </w:t>
      </w:r>
      <w:r w:rsidRPr="008C656C">
        <w:rPr>
          <w:bCs/>
          <w:i/>
          <w:iCs/>
        </w:rPr>
        <w:t>US — Countervailing Measures (China)</w:t>
      </w:r>
      <w:r>
        <w:rPr>
          <w:bCs/>
        </w:rPr>
        <w:t>,</w:t>
      </w:r>
      <w:r>
        <w:rPr>
          <w:bCs/>
          <w:i/>
          <w:iCs/>
        </w:rPr>
        <w:t xml:space="preserve"> </w:t>
      </w:r>
      <w:r>
        <w:t xml:space="preserve">4.167. </w:t>
      </w:r>
    </w:p>
  </w:footnote>
  <w:footnote w:id="11">
    <w:p w14:paraId="40FE8C4E" w14:textId="609BE519" w:rsidR="001138A9" w:rsidRDefault="001138A9">
      <w:pPr>
        <w:pStyle w:val="FootnoteText"/>
      </w:pPr>
      <w:r>
        <w:rPr>
          <w:rStyle w:val="FootnoteReference"/>
        </w:rPr>
        <w:footnoteRef/>
      </w:r>
      <w:r>
        <w:t xml:space="preserve"> See also Australia's response to the Panel's questions</w:t>
      </w:r>
      <w:r w:rsidR="00A6625A">
        <w:t xml:space="preserve"> to third parties</w:t>
      </w:r>
      <w:r>
        <w:t xml:space="preserve"> – question </w:t>
      </w:r>
      <w:r w:rsidR="00EF6C77">
        <w:t>no. 13</w:t>
      </w:r>
      <w:r>
        <w:t>.</w:t>
      </w:r>
    </w:p>
  </w:footnote>
  <w:footnote w:id="12">
    <w:p w14:paraId="67BB0EDD" w14:textId="1C59F3B5" w:rsidR="00EF6C77" w:rsidRDefault="00EF6C77">
      <w:pPr>
        <w:pStyle w:val="FootnoteText"/>
      </w:pPr>
      <w:r>
        <w:rPr>
          <w:rStyle w:val="FootnoteReference"/>
        </w:rPr>
        <w:footnoteRef/>
      </w:r>
      <w:r>
        <w:t xml:space="preserve"> European Union's first written submission, para. 79.  </w:t>
      </w:r>
    </w:p>
  </w:footnote>
  <w:footnote w:id="13">
    <w:p w14:paraId="5ECEA861" w14:textId="5977CAC5" w:rsidR="00076291" w:rsidRDefault="00076291">
      <w:pPr>
        <w:pStyle w:val="FootnoteText"/>
      </w:pPr>
      <w:r>
        <w:rPr>
          <w:rStyle w:val="FootnoteReference"/>
        </w:rPr>
        <w:footnoteRef/>
      </w:r>
      <w:r>
        <w:t xml:space="preserve"> See also Australia's response to the Panel's questions </w:t>
      </w:r>
      <w:r w:rsidR="00A6625A">
        <w:t xml:space="preserve">to third parties </w:t>
      </w:r>
      <w:r>
        <w:t xml:space="preserve">– question </w:t>
      </w:r>
      <w:r w:rsidR="00EF6C77">
        <w:t>no. 2.</w:t>
      </w:r>
    </w:p>
  </w:footnote>
  <w:footnote w:id="14">
    <w:p w14:paraId="09BEDAED" w14:textId="665B85CB" w:rsidR="002F68B1" w:rsidRDefault="002F68B1">
      <w:pPr>
        <w:pStyle w:val="FootnoteText"/>
      </w:pPr>
      <w:r>
        <w:rPr>
          <w:rStyle w:val="FootnoteReference"/>
        </w:rPr>
        <w:footnoteRef/>
      </w:r>
      <w:r>
        <w:t xml:space="preserve"> </w:t>
      </w:r>
      <w:r>
        <w:rPr>
          <w:rFonts w:cs="Calibri"/>
          <w:szCs w:val="18"/>
          <w14:ligatures w14:val="standardContextual"/>
        </w:rPr>
        <w:t xml:space="preserve">Panel Report, </w:t>
      </w:r>
      <w:r>
        <w:rPr>
          <w:rFonts w:ascii="Calibri-Italic" w:hAnsi="Calibri-Italic" w:cs="Calibri-Italic"/>
          <w:i/>
          <w:iCs/>
          <w:szCs w:val="18"/>
          <w14:ligatures w14:val="standardContextual"/>
        </w:rPr>
        <w:t>US – Softwood Lumber IV</w:t>
      </w:r>
      <w:r>
        <w:rPr>
          <w:rFonts w:cs="Calibri"/>
          <w:szCs w:val="18"/>
          <w14:ligatures w14:val="standardContextual"/>
        </w:rPr>
        <w:t>, para. 7.116.</w:t>
      </w:r>
    </w:p>
  </w:footnote>
  <w:footnote w:id="15">
    <w:p w14:paraId="52148D2A" w14:textId="157983EF" w:rsidR="002F68B1" w:rsidRDefault="002F68B1">
      <w:pPr>
        <w:pStyle w:val="FootnoteText"/>
      </w:pPr>
      <w:r>
        <w:rPr>
          <w:rStyle w:val="FootnoteReference"/>
        </w:rPr>
        <w:footnoteRef/>
      </w:r>
      <w:r>
        <w:t xml:space="preserve"> </w:t>
      </w:r>
      <w:r>
        <w:rPr>
          <w:rFonts w:cs="Calibri"/>
          <w:szCs w:val="18"/>
          <w14:ligatures w14:val="standardContextual"/>
        </w:rPr>
        <w:t xml:space="preserve">Panel Report, </w:t>
      </w:r>
      <w:r>
        <w:rPr>
          <w:rFonts w:ascii="Calibri-Italic" w:hAnsi="Calibri-Italic" w:cs="Calibri-Italic"/>
          <w:i/>
          <w:iCs/>
          <w:szCs w:val="18"/>
          <w14:ligatures w14:val="standardContextual"/>
        </w:rPr>
        <w:t>US – Softwood Lumber IV</w:t>
      </w:r>
      <w:r>
        <w:rPr>
          <w:rFonts w:cs="Calibri"/>
          <w:szCs w:val="18"/>
          <w14:ligatures w14:val="standardContextual"/>
        </w:rPr>
        <w:t>, para. 7.116.</w:t>
      </w:r>
    </w:p>
  </w:footnote>
  <w:footnote w:id="16">
    <w:p w14:paraId="0517C235" w14:textId="3BDBA8AE" w:rsidR="002F68B1" w:rsidRDefault="002F68B1">
      <w:pPr>
        <w:pStyle w:val="FootnoteText"/>
      </w:pPr>
      <w:r>
        <w:rPr>
          <w:rStyle w:val="FootnoteReference"/>
        </w:rPr>
        <w:footnoteRef/>
      </w:r>
      <w:r>
        <w:t xml:space="preserve"> </w:t>
      </w:r>
      <w:r>
        <w:rPr>
          <w:rFonts w:cs="Calibri"/>
          <w:szCs w:val="18"/>
          <w14:ligatures w14:val="standardContextual"/>
        </w:rPr>
        <w:t xml:space="preserve">Panel Report, </w:t>
      </w:r>
      <w:r>
        <w:rPr>
          <w:rFonts w:ascii="Calibri-Italic" w:hAnsi="Calibri-Italic" w:cs="Calibri-Italic"/>
          <w:i/>
          <w:iCs/>
          <w:szCs w:val="18"/>
          <w14:ligatures w14:val="standardContextual"/>
        </w:rPr>
        <w:t>US – Softwood Lumber IV</w:t>
      </w:r>
      <w:r>
        <w:rPr>
          <w:rFonts w:cs="Calibri"/>
          <w:szCs w:val="18"/>
          <w14:ligatures w14:val="standardContextual"/>
        </w:rPr>
        <w:t>, para. 7.116.</w:t>
      </w:r>
    </w:p>
  </w:footnote>
  <w:footnote w:id="17">
    <w:p w14:paraId="52059869" w14:textId="49B4DF58" w:rsidR="00402C31" w:rsidRDefault="00402C31">
      <w:pPr>
        <w:pStyle w:val="FootnoteText"/>
      </w:pPr>
      <w:r>
        <w:rPr>
          <w:rStyle w:val="FootnoteReference"/>
        </w:rPr>
        <w:footnoteRef/>
      </w:r>
      <w:r>
        <w:t xml:space="preserve"> See also Australia's response to the Panel's questions</w:t>
      </w:r>
      <w:r w:rsidR="00A6625A">
        <w:t xml:space="preserve"> to third parties</w:t>
      </w:r>
      <w:r>
        <w:t xml:space="preserve"> – question </w:t>
      </w:r>
      <w:r w:rsidR="005145EA">
        <w:t xml:space="preserve">no. </w:t>
      </w:r>
      <w:r>
        <w:t>28; Australia's written submissions, para</w:t>
      </w:r>
      <w:r w:rsidR="005145EA">
        <w:t xml:space="preserve">s. 30 to 33; Panel Report, </w:t>
      </w:r>
      <w:r w:rsidR="005145EA" w:rsidRPr="006E3A9E">
        <w:rPr>
          <w:i/>
          <w:iCs/>
        </w:rPr>
        <w:t>China – Broiler Products (Article 21.5 – US)</w:t>
      </w:r>
      <w:r w:rsidR="005145EA" w:rsidRPr="006E3A9E">
        <w:t>, para. 7.231.</w:t>
      </w:r>
    </w:p>
  </w:footnote>
  <w:footnote w:id="18">
    <w:p w14:paraId="1A9183A2" w14:textId="2DAEBC52" w:rsidR="002F0969" w:rsidRDefault="002F0969">
      <w:pPr>
        <w:pStyle w:val="FootnoteText"/>
      </w:pPr>
      <w:r>
        <w:rPr>
          <w:rStyle w:val="FootnoteReference"/>
        </w:rPr>
        <w:footnoteRef/>
      </w:r>
      <w:r>
        <w:t xml:space="preserve"> </w:t>
      </w:r>
      <w:r>
        <w:rPr>
          <w:rFonts w:cs="Calibri"/>
          <w:szCs w:val="18"/>
          <w14:ligatures w14:val="standardContextual"/>
        </w:rPr>
        <w:t xml:space="preserve">Panel Report, </w:t>
      </w:r>
      <w:r>
        <w:rPr>
          <w:rFonts w:ascii="Calibri-Italic" w:hAnsi="Calibri-Italic" w:cs="Calibri-Italic"/>
          <w:i/>
          <w:iCs/>
          <w:szCs w:val="18"/>
          <w14:ligatures w14:val="standardContextual"/>
        </w:rPr>
        <w:t>Mexico – Olive Oil</w:t>
      </w:r>
      <w:r>
        <w:rPr>
          <w:rFonts w:cs="Calibri"/>
          <w:szCs w:val="18"/>
          <w14:ligatures w14:val="standardContextual"/>
        </w:rPr>
        <w:t>, fn. 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7BFF" w14:textId="4C22F609" w:rsidR="00635A10" w:rsidRPr="00EF6C77" w:rsidRDefault="00635A10">
    <w:pPr>
      <w:pStyle w:val="Header"/>
      <w:rPr>
        <w:i/>
        <w:iCs/>
      </w:rPr>
    </w:pPr>
    <w:r w:rsidRPr="00EF6C77">
      <w:rPr>
        <w:i/>
        <w:iCs/>
      </w:rPr>
      <w:t xml:space="preserve">European Union – Countervailing and Anti-Dumping </w:t>
    </w:r>
    <w:r w:rsidRPr="00EF6C77">
      <w:rPr>
        <w:i/>
        <w:iCs/>
      </w:rPr>
      <w:tab/>
    </w:r>
    <w:r w:rsidR="005145EA">
      <w:rPr>
        <w:i/>
        <w:iCs/>
      </w:rPr>
      <w:t>Third Party Executive Summary of Australia</w:t>
    </w:r>
  </w:p>
  <w:p w14:paraId="10F3C15A" w14:textId="7516B7E3" w:rsidR="00635A10" w:rsidRPr="00EF6C77" w:rsidRDefault="00635A10">
    <w:pPr>
      <w:pStyle w:val="Header"/>
      <w:rPr>
        <w:i/>
        <w:iCs/>
      </w:rPr>
    </w:pPr>
    <w:r w:rsidRPr="00EF6C77">
      <w:rPr>
        <w:i/>
        <w:iCs/>
      </w:rPr>
      <w:t>Duties on Stainless Steel Cold-Rolled Flat Products</w:t>
    </w:r>
    <w:r w:rsidRPr="00EF6C77">
      <w:rPr>
        <w:i/>
        <w:iCs/>
      </w:rPr>
      <w:tab/>
    </w:r>
    <w:r w:rsidRPr="00EF6C77">
      <w:rPr>
        <w:i/>
        <w:iCs/>
      </w:rPr>
      <w:tab/>
    </w:r>
    <w:r w:rsidR="005145EA">
      <w:rPr>
        <w:i/>
        <w:iCs/>
      </w:rPr>
      <w:t>20 May 2024</w:t>
    </w:r>
  </w:p>
  <w:p w14:paraId="724D59C2" w14:textId="03996705" w:rsidR="00635A10" w:rsidRPr="000E24A1" w:rsidRDefault="00635A10">
    <w:pPr>
      <w:pStyle w:val="Header"/>
      <w:rPr>
        <w:i/>
        <w:iCs/>
      </w:rPr>
    </w:pPr>
    <w:r w:rsidRPr="00EF6C77">
      <w:rPr>
        <w:i/>
        <w:iCs/>
      </w:rPr>
      <w:t xml:space="preserve">from Indonesia (DS616) </w:t>
    </w:r>
    <w:r w:rsidRPr="00EF6C77">
      <w:rPr>
        <w:i/>
        <w:iCs/>
      </w:rPr>
      <w:tab/>
    </w:r>
    <w:r w:rsidRPr="00EF6C77">
      <w:rPr>
        <w:i/>
        <w:iCs/>
      </w:rPr>
      <w:tab/>
    </w:r>
  </w:p>
  <w:p w14:paraId="1C794CEF" w14:textId="77777777" w:rsidR="00635A10" w:rsidRPr="000E24A1" w:rsidRDefault="00635A10">
    <w:pPr>
      <w:pStyle w:val="Header"/>
      <w:rPr>
        <w:i/>
        <w:iCs/>
      </w:rPr>
    </w:pPr>
    <w:r w:rsidRPr="000E24A1">
      <w:rPr>
        <w:i/>
        <w:iCs/>
      </w:rPr>
      <w:tab/>
    </w:r>
    <w:r w:rsidRPr="000E24A1">
      <w:rPr>
        <w:i/>
        <w:iCs/>
      </w:rPr>
      <w:tab/>
    </w:r>
  </w:p>
  <w:p w14:paraId="74891E33" w14:textId="77777777" w:rsidR="00635A10" w:rsidRPr="000E24A1" w:rsidRDefault="00635A10">
    <w:pPr>
      <w:pStyle w:val="Header"/>
      <w:rPr>
        <w:i/>
        <w:iCs/>
      </w:rPr>
    </w:pPr>
    <w:r w:rsidRPr="000E24A1">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596"/>
    <w:multiLevelType w:val="multilevel"/>
    <w:tmpl w:val="2AFED2AA"/>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851"/>
        </w:tabs>
        <w:ind w:left="851" w:hanging="851"/>
      </w:pPr>
      <w:rPr>
        <w:rFonts w:hint="default"/>
        <w:sz w:val="24"/>
        <w:szCs w:val="24"/>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1" w15:restartNumberingAfterBreak="0">
    <w:nsid w:val="28243105"/>
    <w:multiLevelType w:val="hybridMultilevel"/>
    <w:tmpl w:val="4CD859C8"/>
    <w:lvl w:ilvl="0" w:tplc="0C09000F">
      <w:start w:val="1"/>
      <w:numFmt w:val="decimal"/>
      <w:pStyle w:val="P1-N1Paragraph1-Number1"/>
      <w:lvlText w:val="%1."/>
      <w:lvlJc w:val="left"/>
      <w:pPr>
        <w:tabs>
          <w:tab w:val="num" w:pos="851"/>
        </w:tabs>
        <w:ind w:left="0" w:firstLine="0"/>
      </w:pPr>
      <w:rPr>
        <w:rFonts w:hint="default"/>
        <w:b w:val="0"/>
        <w:bCs w:val="0"/>
        <w:i w:val="0"/>
        <w:iCs w:val="0"/>
        <w:color w:val="auto"/>
        <w:vertAlign w:val="baseline"/>
      </w:rPr>
    </w:lvl>
    <w:lvl w:ilvl="1" w:tplc="0C090019">
      <w:start w:val="1"/>
      <w:numFmt w:val="lowerLetter"/>
      <w:pStyle w:val="P2-B1Paragraph2-Bullet1"/>
      <w:lvlText w:val="%2."/>
      <w:lvlJc w:val="left"/>
      <w:pPr>
        <w:ind w:left="1211" w:hanging="360"/>
      </w:p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2" w15:restartNumberingAfterBreak="0">
    <w:nsid w:val="57454AB1"/>
    <w:multiLevelType w:val="multilevel"/>
    <w:tmpl w:val="3924631C"/>
    <w:name w:val="Panel questions"/>
    <w:lvl w:ilvl="0">
      <w:start w:val="1"/>
      <w:numFmt w:val="decimal"/>
      <w:lvlRestart w:val="0"/>
      <w:isLgl/>
      <w:suff w:val="space"/>
      <w:lvlText w:val="%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lvlRestart w:val="0"/>
      <w:lvlText w:val="%3."/>
      <w:lvlJc w:val="left"/>
      <w:pPr>
        <w:ind w:left="0" w:firstLine="0"/>
      </w:pPr>
      <w:rPr>
        <w:rFonts w:hint="default"/>
      </w:rPr>
    </w:lvl>
    <w:lvl w:ilvl="3">
      <w:start w:val="1"/>
      <w:numFmt w:val="lowerLetter"/>
      <w:suff w:val="space"/>
      <w:lvlText w:val="%4.  "/>
      <w:lvlJc w:val="left"/>
      <w:pPr>
        <w:ind w:left="0" w:firstLine="340"/>
      </w:pPr>
      <w:rPr>
        <w:rFonts w:hint="default"/>
      </w:rPr>
    </w:lvl>
    <w:lvl w:ilvl="4">
      <w:start w:val="1"/>
      <w:numFmt w:val="decimal"/>
      <w:lvlRestart w:val="1"/>
      <w:isLgl/>
      <w:lvlText w:val="%1.%5"/>
      <w:lvlJc w:val="left"/>
      <w:pPr>
        <w:ind w:left="0" w:firstLine="0"/>
      </w:pPr>
      <w:rPr>
        <w:rFonts w:hint="default"/>
      </w:rPr>
    </w:lvl>
    <w:lvl w:ilvl="5">
      <w:start w:val="1"/>
      <w:numFmt w:val="decimal"/>
      <w:lvlRestart w:val="2"/>
      <w:isLgl/>
      <w:lvlText w:val="%1.%2.%6"/>
      <w:lvlJc w:val="left"/>
      <w:pPr>
        <w:ind w:left="0" w:firstLine="0"/>
      </w:pPr>
      <w:rPr>
        <w:rFonts w:hint="default"/>
      </w:rPr>
    </w:lvl>
    <w:lvl w:ilvl="6">
      <w:start w:val="1"/>
      <w:numFmt w:val="decimal"/>
      <w:lvlRestart w:val="3"/>
      <w:isLgl/>
      <w:lvlText w:val="%1.%2.%6.%7"/>
      <w:lvlJc w:val="left"/>
      <w:pPr>
        <w:ind w:left="0" w:firstLine="0"/>
      </w:pPr>
      <w:rPr>
        <w:rFonts w:hint="default"/>
      </w:rPr>
    </w:lvl>
    <w:lvl w:ilvl="7">
      <w:start w:val="1"/>
      <w:numFmt w:val="lowerLetter"/>
      <w:lvlText w:val="%8."/>
      <w:lvlJc w:val="left"/>
      <w:pPr>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 w15:restartNumberingAfterBreak="0">
    <w:nsid w:val="57551E12"/>
    <w:multiLevelType w:val="multilevel"/>
    <w:tmpl w:val="075A666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num w:numId="1" w16cid:durableId="2069500102">
    <w:abstractNumId w:val="1"/>
  </w:num>
  <w:num w:numId="2" w16cid:durableId="846401725">
    <w:abstractNumId w:val="0"/>
  </w:num>
  <w:num w:numId="3" w16cid:durableId="343284933">
    <w:abstractNumId w:val="0"/>
  </w:num>
  <w:num w:numId="4" w16cid:durableId="49571587">
    <w:abstractNumId w:val="0"/>
  </w:num>
  <w:num w:numId="5" w16cid:durableId="1982684989">
    <w:abstractNumId w:val="0"/>
  </w:num>
  <w:num w:numId="6" w16cid:durableId="430126705">
    <w:abstractNumId w:val="1"/>
  </w:num>
  <w:num w:numId="7" w16cid:durableId="1752853467">
    <w:abstractNumId w:val="1"/>
  </w:num>
  <w:num w:numId="8" w16cid:durableId="1664234756">
    <w:abstractNumId w:val="3"/>
  </w:num>
  <w:num w:numId="9" w16cid:durableId="1694988614">
    <w:abstractNumId w:val="1"/>
  </w:num>
  <w:num w:numId="10" w16cid:durableId="1798058958">
    <w:abstractNumId w:val="1"/>
  </w:num>
  <w:num w:numId="11" w16cid:durableId="1534803441">
    <w:abstractNumId w:val="1"/>
  </w:num>
  <w:num w:numId="12" w16cid:durableId="1315452290">
    <w:abstractNumId w:val="0"/>
  </w:num>
  <w:num w:numId="13" w16cid:durableId="1323191717">
    <w:abstractNumId w:val="2"/>
  </w:num>
  <w:num w:numId="14" w16cid:durableId="1616791030">
    <w:abstractNumId w:val="1"/>
  </w:num>
  <w:num w:numId="15" w16cid:durableId="572206636">
    <w:abstractNumId w:val="1"/>
  </w:num>
  <w:num w:numId="16" w16cid:durableId="1616522585">
    <w:abstractNumId w:val="1"/>
  </w:num>
  <w:num w:numId="17" w16cid:durableId="1818909448">
    <w:abstractNumId w:val="1"/>
  </w:num>
  <w:num w:numId="18" w16cid:durableId="1609006422">
    <w:abstractNumId w:val="1"/>
  </w:num>
  <w:num w:numId="19" w16cid:durableId="1442265958">
    <w:abstractNumId w:val="1"/>
  </w:num>
  <w:num w:numId="20" w16cid:durableId="1446193952">
    <w:abstractNumId w:val="0"/>
  </w:num>
  <w:num w:numId="21" w16cid:durableId="1857309783">
    <w:abstractNumId w:val="0"/>
  </w:num>
  <w:num w:numId="22" w16cid:durableId="262493761">
    <w:abstractNumId w:val="1"/>
  </w:num>
  <w:num w:numId="23" w16cid:durableId="1876186799">
    <w:abstractNumId w:val="0"/>
  </w:num>
  <w:num w:numId="24" w16cid:durableId="362438493">
    <w:abstractNumId w:val="1"/>
  </w:num>
  <w:num w:numId="25" w16cid:durableId="901915872">
    <w:abstractNumId w:val="1"/>
  </w:num>
  <w:num w:numId="26" w16cid:durableId="51539178">
    <w:abstractNumId w:val="0"/>
  </w:num>
  <w:num w:numId="27" w16cid:durableId="850681967">
    <w:abstractNumId w:val="1"/>
  </w:num>
  <w:num w:numId="28" w16cid:durableId="1356464785">
    <w:abstractNumId w:val="0"/>
  </w:num>
  <w:num w:numId="29" w16cid:durableId="167524722">
    <w:abstractNumId w:val="1"/>
  </w:num>
  <w:num w:numId="30" w16cid:durableId="1001128806">
    <w:abstractNumId w:val="1"/>
  </w:num>
  <w:num w:numId="31" w16cid:durableId="1681348502">
    <w:abstractNumId w:val="1"/>
  </w:num>
  <w:num w:numId="32" w16cid:durableId="258030458">
    <w:abstractNumId w:val="1"/>
  </w:num>
  <w:num w:numId="33" w16cid:durableId="1292513694">
    <w:abstractNumId w:val="0"/>
  </w:num>
  <w:num w:numId="34" w16cid:durableId="1277560467">
    <w:abstractNumId w:val="1"/>
  </w:num>
  <w:num w:numId="35" w16cid:durableId="1375618909">
    <w:abstractNumId w:val="1"/>
  </w:num>
  <w:num w:numId="36" w16cid:durableId="944533674">
    <w:abstractNumId w:val="1"/>
  </w:num>
  <w:num w:numId="37" w16cid:durableId="1869178747">
    <w:abstractNumId w:val="1"/>
  </w:num>
  <w:num w:numId="38" w16cid:durableId="832379222">
    <w:abstractNumId w:val="1"/>
  </w:num>
  <w:num w:numId="39" w16cid:durableId="865558178">
    <w:abstractNumId w:val="1"/>
  </w:num>
  <w:num w:numId="40" w16cid:durableId="179589159">
    <w:abstractNumId w:val="1"/>
  </w:num>
  <w:num w:numId="41" w16cid:durableId="1584021802">
    <w:abstractNumId w:val="0"/>
  </w:num>
  <w:num w:numId="42" w16cid:durableId="1135484277">
    <w:abstractNumId w:val="1"/>
  </w:num>
  <w:num w:numId="43" w16cid:durableId="1123578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A3"/>
    <w:rsid w:val="00002C20"/>
    <w:rsid w:val="00005D81"/>
    <w:rsid w:val="000321A1"/>
    <w:rsid w:val="0003352D"/>
    <w:rsid w:val="0004201D"/>
    <w:rsid w:val="00051192"/>
    <w:rsid w:val="0006394F"/>
    <w:rsid w:val="00065D57"/>
    <w:rsid w:val="00072808"/>
    <w:rsid w:val="00072F70"/>
    <w:rsid w:val="00076291"/>
    <w:rsid w:val="000918FB"/>
    <w:rsid w:val="000A3E2F"/>
    <w:rsid w:val="000A40FC"/>
    <w:rsid w:val="000A6CF7"/>
    <w:rsid w:val="000A773A"/>
    <w:rsid w:val="000C37BC"/>
    <w:rsid w:val="000D454B"/>
    <w:rsid w:val="000E18DA"/>
    <w:rsid w:val="000E24A1"/>
    <w:rsid w:val="000E2AFD"/>
    <w:rsid w:val="000E3A98"/>
    <w:rsid w:val="000F197D"/>
    <w:rsid w:val="000F53D3"/>
    <w:rsid w:val="00100E47"/>
    <w:rsid w:val="0010764F"/>
    <w:rsid w:val="001101F9"/>
    <w:rsid w:val="001138A9"/>
    <w:rsid w:val="0012540F"/>
    <w:rsid w:val="00150BE4"/>
    <w:rsid w:val="00153E86"/>
    <w:rsid w:val="00160B67"/>
    <w:rsid w:val="00171621"/>
    <w:rsid w:val="0017760F"/>
    <w:rsid w:val="001846F7"/>
    <w:rsid w:val="00185110"/>
    <w:rsid w:val="00193D9B"/>
    <w:rsid w:val="00194230"/>
    <w:rsid w:val="001A0206"/>
    <w:rsid w:val="001A3AF1"/>
    <w:rsid w:val="001C11B5"/>
    <w:rsid w:val="001C663A"/>
    <w:rsid w:val="001C7086"/>
    <w:rsid w:val="001D3A5F"/>
    <w:rsid w:val="001D63E0"/>
    <w:rsid w:val="001E0708"/>
    <w:rsid w:val="001E6278"/>
    <w:rsid w:val="001E66F3"/>
    <w:rsid w:val="001F1A1B"/>
    <w:rsid w:val="001F3108"/>
    <w:rsid w:val="001F7719"/>
    <w:rsid w:val="00203AD6"/>
    <w:rsid w:val="00210D77"/>
    <w:rsid w:val="00216D93"/>
    <w:rsid w:val="00217CCE"/>
    <w:rsid w:val="002279EA"/>
    <w:rsid w:val="00233F47"/>
    <w:rsid w:val="0024198F"/>
    <w:rsid w:val="00251F2A"/>
    <w:rsid w:val="00267756"/>
    <w:rsid w:val="002720BF"/>
    <w:rsid w:val="00272FB5"/>
    <w:rsid w:val="002741C8"/>
    <w:rsid w:val="002779D1"/>
    <w:rsid w:val="00280A62"/>
    <w:rsid w:val="00281DFE"/>
    <w:rsid w:val="00283EF1"/>
    <w:rsid w:val="00284B22"/>
    <w:rsid w:val="00285182"/>
    <w:rsid w:val="002852B7"/>
    <w:rsid w:val="002A129C"/>
    <w:rsid w:val="002A5789"/>
    <w:rsid w:val="002A599E"/>
    <w:rsid w:val="002A7FC7"/>
    <w:rsid w:val="002B569C"/>
    <w:rsid w:val="002B7529"/>
    <w:rsid w:val="002C0FA5"/>
    <w:rsid w:val="002C4159"/>
    <w:rsid w:val="002D2A77"/>
    <w:rsid w:val="002D56DD"/>
    <w:rsid w:val="002E165B"/>
    <w:rsid w:val="002F0969"/>
    <w:rsid w:val="002F68B1"/>
    <w:rsid w:val="0030017C"/>
    <w:rsid w:val="00302921"/>
    <w:rsid w:val="00304003"/>
    <w:rsid w:val="00305CFA"/>
    <w:rsid w:val="00312D3D"/>
    <w:rsid w:val="00320ABB"/>
    <w:rsid w:val="00321269"/>
    <w:rsid w:val="00327650"/>
    <w:rsid w:val="0033341E"/>
    <w:rsid w:val="00335A96"/>
    <w:rsid w:val="003365FA"/>
    <w:rsid w:val="00345AF9"/>
    <w:rsid w:val="00350596"/>
    <w:rsid w:val="003548B3"/>
    <w:rsid w:val="0036302E"/>
    <w:rsid w:val="0036741E"/>
    <w:rsid w:val="00376CC9"/>
    <w:rsid w:val="00381722"/>
    <w:rsid w:val="00382529"/>
    <w:rsid w:val="00382620"/>
    <w:rsid w:val="00384419"/>
    <w:rsid w:val="00384DE1"/>
    <w:rsid w:val="003974E5"/>
    <w:rsid w:val="003A1F0E"/>
    <w:rsid w:val="003A4411"/>
    <w:rsid w:val="003B2A49"/>
    <w:rsid w:val="003D0D71"/>
    <w:rsid w:val="003D1C69"/>
    <w:rsid w:val="003D5634"/>
    <w:rsid w:val="003E060A"/>
    <w:rsid w:val="003E1284"/>
    <w:rsid w:val="00400A7E"/>
    <w:rsid w:val="00402773"/>
    <w:rsid w:val="00402C31"/>
    <w:rsid w:val="00403BA4"/>
    <w:rsid w:val="00413FE7"/>
    <w:rsid w:val="0043031F"/>
    <w:rsid w:val="00431120"/>
    <w:rsid w:val="004314F8"/>
    <w:rsid w:val="00437E76"/>
    <w:rsid w:val="004413AD"/>
    <w:rsid w:val="004424C7"/>
    <w:rsid w:val="00456095"/>
    <w:rsid w:val="00466DAD"/>
    <w:rsid w:val="00471D17"/>
    <w:rsid w:val="00472B6B"/>
    <w:rsid w:val="0047351C"/>
    <w:rsid w:val="00473E1F"/>
    <w:rsid w:val="0048059B"/>
    <w:rsid w:val="0048784A"/>
    <w:rsid w:val="004A6DA6"/>
    <w:rsid w:val="004B72A3"/>
    <w:rsid w:val="004B752E"/>
    <w:rsid w:val="004C40D8"/>
    <w:rsid w:val="004C59EC"/>
    <w:rsid w:val="004D302F"/>
    <w:rsid w:val="004D33E4"/>
    <w:rsid w:val="004E2ADC"/>
    <w:rsid w:val="004F086B"/>
    <w:rsid w:val="004F122B"/>
    <w:rsid w:val="004F55C0"/>
    <w:rsid w:val="0050564E"/>
    <w:rsid w:val="00505CF6"/>
    <w:rsid w:val="005126FF"/>
    <w:rsid w:val="00512DB9"/>
    <w:rsid w:val="005145EA"/>
    <w:rsid w:val="00522DC1"/>
    <w:rsid w:val="00532B8E"/>
    <w:rsid w:val="00533A67"/>
    <w:rsid w:val="00534A57"/>
    <w:rsid w:val="00550FB2"/>
    <w:rsid w:val="0055116D"/>
    <w:rsid w:val="00553E1F"/>
    <w:rsid w:val="005563BD"/>
    <w:rsid w:val="00557440"/>
    <w:rsid w:val="00557D4F"/>
    <w:rsid w:val="00562025"/>
    <w:rsid w:val="0057426E"/>
    <w:rsid w:val="0057510B"/>
    <w:rsid w:val="00575516"/>
    <w:rsid w:val="005755A1"/>
    <w:rsid w:val="00577DD9"/>
    <w:rsid w:val="005842A0"/>
    <w:rsid w:val="0059203F"/>
    <w:rsid w:val="00592993"/>
    <w:rsid w:val="005A3AE3"/>
    <w:rsid w:val="005B23AD"/>
    <w:rsid w:val="005B311E"/>
    <w:rsid w:val="005B7666"/>
    <w:rsid w:val="005C19EC"/>
    <w:rsid w:val="005C70FB"/>
    <w:rsid w:val="005D7D97"/>
    <w:rsid w:val="005E77F1"/>
    <w:rsid w:val="005F09CC"/>
    <w:rsid w:val="006014E1"/>
    <w:rsid w:val="00610657"/>
    <w:rsid w:val="00611D3A"/>
    <w:rsid w:val="00624DC2"/>
    <w:rsid w:val="00635A10"/>
    <w:rsid w:val="00652692"/>
    <w:rsid w:val="00664F6B"/>
    <w:rsid w:val="0066681B"/>
    <w:rsid w:val="00671821"/>
    <w:rsid w:val="00672B22"/>
    <w:rsid w:val="006735CE"/>
    <w:rsid w:val="00677E9E"/>
    <w:rsid w:val="00680B13"/>
    <w:rsid w:val="00681164"/>
    <w:rsid w:val="006953D5"/>
    <w:rsid w:val="006A01CE"/>
    <w:rsid w:val="006A12F5"/>
    <w:rsid w:val="006B12DD"/>
    <w:rsid w:val="006B5DA2"/>
    <w:rsid w:val="006C0913"/>
    <w:rsid w:val="006C17AA"/>
    <w:rsid w:val="006C1EFC"/>
    <w:rsid w:val="006C7840"/>
    <w:rsid w:val="006C7DF8"/>
    <w:rsid w:val="006D06B6"/>
    <w:rsid w:val="006E4B19"/>
    <w:rsid w:val="006F5142"/>
    <w:rsid w:val="007001C5"/>
    <w:rsid w:val="007047F7"/>
    <w:rsid w:val="007119A0"/>
    <w:rsid w:val="00711CF7"/>
    <w:rsid w:val="00713B48"/>
    <w:rsid w:val="00714176"/>
    <w:rsid w:val="00721381"/>
    <w:rsid w:val="00723D29"/>
    <w:rsid w:val="00743DBA"/>
    <w:rsid w:val="00756CEA"/>
    <w:rsid w:val="007573B5"/>
    <w:rsid w:val="0076575E"/>
    <w:rsid w:val="007750F1"/>
    <w:rsid w:val="007774E4"/>
    <w:rsid w:val="007A24C5"/>
    <w:rsid w:val="007A5269"/>
    <w:rsid w:val="007A699B"/>
    <w:rsid w:val="007A6F74"/>
    <w:rsid w:val="007B077F"/>
    <w:rsid w:val="007C2723"/>
    <w:rsid w:val="007C5A9C"/>
    <w:rsid w:val="007D3978"/>
    <w:rsid w:val="007E5C6D"/>
    <w:rsid w:val="007E7A23"/>
    <w:rsid w:val="007F1F2A"/>
    <w:rsid w:val="007F3D43"/>
    <w:rsid w:val="007F5450"/>
    <w:rsid w:val="00806D1B"/>
    <w:rsid w:val="00812225"/>
    <w:rsid w:val="00814497"/>
    <w:rsid w:val="00816BA6"/>
    <w:rsid w:val="008375CC"/>
    <w:rsid w:val="00840A63"/>
    <w:rsid w:val="00843B3E"/>
    <w:rsid w:val="008473C3"/>
    <w:rsid w:val="008620AF"/>
    <w:rsid w:val="00885451"/>
    <w:rsid w:val="00885512"/>
    <w:rsid w:val="00886B83"/>
    <w:rsid w:val="008914D7"/>
    <w:rsid w:val="008922CB"/>
    <w:rsid w:val="008A2D4C"/>
    <w:rsid w:val="008A517E"/>
    <w:rsid w:val="008B2334"/>
    <w:rsid w:val="008C453A"/>
    <w:rsid w:val="008D0A0D"/>
    <w:rsid w:val="008F3AA9"/>
    <w:rsid w:val="008F4715"/>
    <w:rsid w:val="008F49E0"/>
    <w:rsid w:val="008F60C9"/>
    <w:rsid w:val="008F7177"/>
    <w:rsid w:val="0090243C"/>
    <w:rsid w:val="00906928"/>
    <w:rsid w:val="00917E1A"/>
    <w:rsid w:val="009220F6"/>
    <w:rsid w:val="009225A4"/>
    <w:rsid w:val="009320F0"/>
    <w:rsid w:val="00943152"/>
    <w:rsid w:val="00951016"/>
    <w:rsid w:val="00952ABA"/>
    <w:rsid w:val="00955E94"/>
    <w:rsid w:val="009722CA"/>
    <w:rsid w:val="00973E5C"/>
    <w:rsid w:val="00985D49"/>
    <w:rsid w:val="00990348"/>
    <w:rsid w:val="00992A8D"/>
    <w:rsid w:val="00993E6D"/>
    <w:rsid w:val="00994D63"/>
    <w:rsid w:val="009959B6"/>
    <w:rsid w:val="009A6491"/>
    <w:rsid w:val="009B3919"/>
    <w:rsid w:val="009C11E2"/>
    <w:rsid w:val="009C733A"/>
    <w:rsid w:val="009E40F1"/>
    <w:rsid w:val="009E49B5"/>
    <w:rsid w:val="009E5915"/>
    <w:rsid w:val="009F0C57"/>
    <w:rsid w:val="00A134C5"/>
    <w:rsid w:val="00A145B7"/>
    <w:rsid w:val="00A1694F"/>
    <w:rsid w:val="00A20227"/>
    <w:rsid w:val="00A244EB"/>
    <w:rsid w:val="00A26527"/>
    <w:rsid w:val="00A362E9"/>
    <w:rsid w:val="00A371B4"/>
    <w:rsid w:val="00A429AD"/>
    <w:rsid w:val="00A42F69"/>
    <w:rsid w:val="00A46F60"/>
    <w:rsid w:val="00A47CF9"/>
    <w:rsid w:val="00A56710"/>
    <w:rsid w:val="00A57337"/>
    <w:rsid w:val="00A601F0"/>
    <w:rsid w:val="00A65808"/>
    <w:rsid w:val="00A6625A"/>
    <w:rsid w:val="00A6692A"/>
    <w:rsid w:val="00A775EA"/>
    <w:rsid w:val="00A87BA5"/>
    <w:rsid w:val="00A90E41"/>
    <w:rsid w:val="00A95F3D"/>
    <w:rsid w:val="00A9785D"/>
    <w:rsid w:val="00AA1A55"/>
    <w:rsid w:val="00AA35F7"/>
    <w:rsid w:val="00AA3718"/>
    <w:rsid w:val="00AA396D"/>
    <w:rsid w:val="00AA468D"/>
    <w:rsid w:val="00AA6D40"/>
    <w:rsid w:val="00AB1F8A"/>
    <w:rsid w:val="00AB2C34"/>
    <w:rsid w:val="00AD37DA"/>
    <w:rsid w:val="00AD3E21"/>
    <w:rsid w:val="00AE5E25"/>
    <w:rsid w:val="00AE6143"/>
    <w:rsid w:val="00AF1877"/>
    <w:rsid w:val="00AF2C49"/>
    <w:rsid w:val="00AF3A4C"/>
    <w:rsid w:val="00B06139"/>
    <w:rsid w:val="00B10D4B"/>
    <w:rsid w:val="00B11A29"/>
    <w:rsid w:val="00B17DA4"/>
    <w:rsid w:val="00B2465A"/>
    <w:rsid w:val="00B4284B"/>
    <w:rsid w:val="00B43FED"/>
    <w:rsid w:val="00B46C00"/>
    <w:rsid w:val="00B528C8"/>
    <w:rsid w:val="00B645A1"/>
    <w:rsid w:val="00B70775"/>
    <w:rsid w:val="00B73DCD"/>
    <w:rsid w:val="00B74CB9"/>
    <w:rsid w:val="00B82904"/>
    <w:rsid w:val="00B863CD"/>
    <w:rsid w:val="00B91918"/>
    <w:rsid w:val="00B9696C"/>
    <w:rsid w:val="00B96B80"/>
    <w:rsid w:val="00BA0835"/>
    <w:rsid w:val="00BA0EA5"/>
    <w:rsid w:val="00BA236E"/>
    <w:rsid w:val="00BA488B"/>
    <w:rsid w:val="00BA4B34"/>
    <w:rsid w:val="00BB0665"/>
    <w:rsid w:val="00BC034B"/>
    <w:rsid w:val="00BC1B53"/>
    <w:rsid w:val="00BC487C"/>
    <w:rsid w:val="00BC74F3"/>
    <w:rsid w:val="00BD2DC2"/>
    <w:rsid w:val="00BD4E67"/>
    <w:rsid w:val="00BD64D4"/>
    <w:rsid w:val="00BE34E1"/>
    <w:rsid w:val="00BE3B57"/>
    <w:rsid w:val="00C05090"/>
    <w:rsid w:val="00C15C33"/>
    <w:rsid w:val="00C33BD1"/>
    <w:rsid w:val="00C432B0"/>
    <w:rsid w:val="00C44B78"/>
    <w:rsid w:val="00C45777"/>
    <w:rsid w:val="00C470AD"/>
    <w:rsid w:val="00C610CD"/>
    <w:rsid w:val="00C63472"/>
    <w:rsid w:val="00C74575"/>
    <w:rsid w:val="00C814EF"/>
    <w:rsid w:val="00C84A1A"/>
    <w:rsid w:val="00C871DD"/>
    <w:rsid w:val="00C872BC"/>
    <w:rsid w:val="00C873D0"/>
    <w:rsid w:val="00C94ED6"/>
    <w:rsid w:val="00C960DD"/>
    <w:rsid w:val="00C96E1B"/>
    <w:rsid w:val="00CA01FE"/>
    <w:rsid w:val="00CB2600"/>
    <w:rsid w:val="00CD1FCF"/>
    <w:rsid w:val="00CD22BE"/>
    <w:rsid w:val="00CD4274"/>
    <w:rsid w:val="00CD4BEF"/>
    <w:rsid w:val="00CE3099"/>
    <w:rsid w:val="00CF55E4"/>
    <w:rsid w:val="00CF7B89"/>
    <w:rsid w:val="00D06B49"/>
    <w:rsid w:val="00D17409"/>
    <w:rsid w:val="00D21D72"/>
    <w:rsid w:val="00D25C75"/>
    <w:rsid w:val="00D2673C"/>
    <w:rsid w:val="00D32925"/>
    <w:rsid w:val="00D3365F"/>
    <w:rsid w:val="00D35B7D"/>
    <w:rsid w:val="00D41158"/>
    <w:rsid w:val="00D50DFB"/>
    <w:rsid w:val="00D5503C"/>
    <w:rsid w:val="00D55A26"/>
    <w:rsid w:val="00D6072E"/>
    <w:rsid w:val="00D61A4B"/>
    <w:rsid w:val="00D65D49"/>
    <w:rsid w:val="00D7472A"/>
    <w:rsid w:val="00D76009"/>
    <w:rsid w:val="00D90B80"/>
    <w:rsid w:val="00D92615"/>
    <w:rsid w:val="00D95055"/>
    <w:rsid w:val="00D97476"/>
    <w:rsid w:val="00DA1478"/>
    <w:rsid w:val="00DA23CB"/>
    <w:rsid w:val="00DB409D"/>
    <w:rsid w:val="00DC06F4"/>
    <w:rsid w:val="00DC39FE"/>
    <w:rsid w:val="00DC4BBE"/>
    <w:rsid w:val="00DD2C3E"/>
    <w:rsid w:val="00DE1FD5"/>
    <w:rsid w:val="00DE55AD"/>
    <w:rsid w:val="00DF1461"/>
    <w:rsid w:val="00E07A04"/>
    <w:rsid w:val="00E17FCD"/>
    <w:rsid w:val="00E2215B"/>
    <w:rsid w:val="00E23658"/>
    <w:rsid w:val="00E25143"/>
    <w:rsid w:val="00E27F69"/>
    <w:rsid w:val="00E33CFC"/>
    <w:rsid w:val="00E36A49"/>
    <w:rsid w:val="00E41F57"/>
    <w:rsid w:val="00E56D3E"/>
    <w:rsid w:val="00E750B4"/>
    <w:rsid w:val="00E76FAB"/>
    <w:rsid w:val="00E84FEC"/>
    <w:rsid w:val="00E9798B"/>
    <w:rsid w:val="00EA5D47"/>
    <w:rsid w:val="00EC5A88"/>
    <w:rsid w:val="00EC5E11"/>
    <w:rsid w:val="00ED3502"/>
    <w:rsid w:val="00ED7DE5"/>
    <w:rsid w:val="00EE48D2"/>
    <w:rsid w:val="00EF13ED"/>
    <w:rsid w:val="00EF3819"/>
    <w:rsid w:val="00EF4331"/>
    <w:rsid w:val="00EF6C77"/>
    <w:rsid w:val="00EF7E14"/>
    <w:rsid w:val="00F02E0F"/>
    <w:rsid w:val="00F03F6E"/>
    <w:rsid w:val="00F174F4"/>
    <w:rsid w:val="00F24F0A"/>
    <w:rsid w:val="00F2707B"/>
    <w:rsid w:val="00F32D00"/>
    <w:rsid w:val="00F336D8"/>
    <w:rsid w:val="00F4141A"/>
    <w:rsid w:val="00F47776"/>
    <w:rsid w:val="00F50B2B"/>
    <w:rsid w:val="00F64C60"/>
    <w:rsid w:val="00F64CE7"/>
    <w:rsid w:val="00F71EA3"/>
    <w:rsid w:val="00F73925"/>
    <w:rsid w:val="00F7455F"/>
    <w:rsid w:val="00F86652"/>
    <w:rsid w:val="00F9067F"/>
    <w:rsid w:val="00F93792"/>
    <w:rsid w:val="00FA06B8"/>
    <w:rsid w:val="00FB342D"/>
    <w:rsid w:val="00FC2461"/>
    <w:rsid w:val="00FC5A03"/>
    <w:rsid w:val="00FD3C21"/>
    <w:rsid w:val="00FE1292"/>
    <w:rsid w:val="00FE1E0C"/>
    <w:rsid w:val="00FF47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1EA3"/>
    <w:pPr>
      <w:spacing w:line="360" w:lineRule="auto"/>
      <w:jc w:val="both"/>
    </w:pPr>
    <w:rPr>
      <w:rFonts w:ascii="Calibri" w:hAnsi="Calibri"/>
      <w:kern w:val="0"/>
      <w:sz w:val="24"/>
      <w:szCs w:val="24"/>
      <w14:ligatures w14:val="none"/>
    </w:rPr>
  </w:style>
  <w:style w:type="paragraph" w:styleId="Heading1">
    <w:name w:val="heading 1"/>
    <w:basedOn w:val="Normal"/>
    <w:next w:val="Normal"/>
    <w:link w:val="Heading1Char"/>
    <w:uiPriority w:val="2"/>
    <w:qFormat/>
    <w:rsid w:val="00F71E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2"/>
    <w:unhideWhenUsed/>
    <w:qFormat/>
    <w:rsid w:val="00F71E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2"/>
    <w:unhideWhenUsed/>
    <w:qFormat/>
    <w:rsid w:val="00F71EA3"/>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2"/>
    <w:unhideWhenUsed/>
    <w:qFormat/>
    <w:rsid w:val="00F71EA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1EA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71EA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71EA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71EA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1E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BodyText">
    <w:name w:val="[BT] Body Text"/>
    <w:basedOn w:val="Normal"/>
    <w:link w:val="BTBodyTextChar"/>
    <w:uiPriority w:val="2"/>
    <w:qFormat/>
    <w:rsid w:val="00F71EA3"/>
  </w:style>
  <w:style w:type="character" w:customStyle="1" w:styleId="BTBodyTextChar">
    <w:name w:val="[BT] Body Text Char"/>
    <w:basedOn w:val="DefaultParagraphFont"/>
    <w:link w:val="BTBodyText"/>
    <w:uiPriority w:val="2"/>
    <w:rsid w:val="00F71EA3"/>
    <w:rPr>
      <w:rFonts w:ascii="Calibri" w:hAnsi="Calibri"/>
      <w:kern w:val="0"/>
      <w:sz w:val="24"/>
      <w:szCs w:val="24"/>
      <w14:ligatures w14:val="none"/>
    </w:rPr>
  </w:style>
  <w:style w:type="paragraph" w:customStyle="1" w:styleId="BTNSSBodyTextNoSpacingSmall">
    <w:name w:val="[BTNSS] Body Text No Spacing Small"/>
    <w:basedOn w:val="Normal"/>
    <w:link w:val="BTNSSBodyTextNoSpacingSmallChar"/>
    <w:uiPriority w:val="2"/>
    <w:rsid w:val="00F71EA3"/>
    <w:pPr>
      <w:spacing w:after="0" w:line="240" w:lineRule="auto"/>
    </w:pPr>
    <w:rPr>
      <w:sz w:val="8"/>
      <w:szCs w:val="8"/>
    </w:rPr>
  </w:style>
  <w:style w:type="character" w:customStyle="1" w:styleId="BTNSSBodyTextNoSpacingSmallChar">
    <w:name w:val="[BTNSS] Body Text No Spacing Small Char"/>
    <w:basedOn w:val="DefaultParagraphFont"/>
    <w:link w:val="BTNSSBodyTextNoSpacingSmall"/>
    <w:uiPriority w:val="2"/>
    <w:rsid w:val="00F71EA3"/>
    <w:rPr>
      <w:rFonts w:ascii="Calibri" w:hAnsi="Calibri"/>
      <w:kern w:val="0"/>
      <w:sz w:val="8"/>
      <w:szCs w:val="8"/>
      <w14:ligatures w14:val="none"/>
    </w:rPr>
  </w:style>
  <w:style w:type="paragraph" w:customStyle="1" w:styleId="P1-N1Paragraph1-Number1">
    <w:name w:val="[P1-N1] Paragraph 1 - Number 1"/>
    <w:basedOn w:val="BTBodyText"/>
    <w:link w:val="P1-N1Paragraph1-Number1Char"/>
    <w:uiPriority w:val="6"/>
    <w:qFormat/>
    <w:rsid w:val="00F71EA3"/>
    <w:pPr>
      <w:numPr>
        <w:numId w:val="1"/>
      </w:numPr>
    </w:pPr>
  </w:style>
  <w:style w:type="paragraph" w:customStyle="1" w:styleId="P2-B1Paragraph2-Bullet1">
    <w:name w:val="[P2-B1] Paragraph 2 - Bullet 1"/>
    <w:basedOn w:val="BTBodyText"/>
    <w:link w:val="P2-B1Paragraph2-Bullet1Char"/>
    <w:uiPriority w:val="6"/>
    <w:qFormat/>
    <w:rsid w:val="00F71EA3"/>
    <w:pPr>
      <w:numPr>
        <w:ilvl w:val="1"/>
        <w:numId w:val="1"/>
      </w:numPr>
      <w:spacing w:after="120"/>
    </w:pPr>
  </w:style>
  <w:style w:type="character" w:customStyle="1" w:styleId="P1-N1Paragraph1-Number1Char">
    <w:name w:val="[P1-N1] Paragraph 1 - Number 1 Char"/>
    <w:basedOn w:val="BTBodyTextChar"/>
    <w:link w:val="P1-N1Paragraph1-Number1"/>
    <w:uiPriority w:val="6"/>
    <w:rsid w:val="00F71EA3"/>
    <w:rPr>
      <w:rFonts w:ascii="Calibri" w:hAnsi="Calibri"/>
      <w:kern w:val="0"/>
      <w:sz w:val="24"/>
      <w:szCs w:val="24"/>
      <w14:ligatures w14:val="none"/>
    </w:rPr>
  </w:style>
  <w:style w:type="paragraph" w:customStyle="1" w:styleId="P3-B2Paragraph3-Bullet2">
    <w:name w:val="[P3-B2] Paragraph 3 - Bullet 2"/>
    <w:basedOn w:val="BTBodyText"/>
    <w:link w:val="P3-B2Paragraph3-Bullet2Char"/>
    <w:uiPriority w:val="6"/>
    <w:qFormat/>
    <w:rsid w:val="00F71EA3"/>
    <w:pPr>
      <w:numPr>
        <w:ilvl w:val="2"/>
        <w:numId w:val="1"/>
      </w:numPr>
      <w:spacing w:after="120"/>
    </w:pPr>
  </w:style>
  <w:style w:type="character" w:customStyle="1" w:styleId="P2-B1Paragraph2-Bullet1Char">
    <w:name w:val="[P2-B1] Paragraph 2 - Bullet 1 Char"/>
    <w:basedOn w:val="BTBodyTextChar"/>
    <w:link w:val="P2-B1Paragraph2-Bullet1"/>
    <w:uiPriority w:val="6"/>
    <w:rsid w:val="00F71EA3"/>
    <w:rPr>
      <w:rFonts w:ascii="Calibri" w:hAnsi="Calibri"/>
      <w:kern w:val="0"/>
      <w:sz w:val="24"/>
      <w:szCs w:val="24"/>
      <w14:ligatures w14:val="none"/>
    </w:rPr>
  </w:style>
  <w:style w:type="paragraph" w:customStyle="1" w:styleId="P4-B3Paragraph4-Bullet3">
    <w:name w:val="[P4-B3] Paragraph 4 - Bullet 3"/>
    <w:basedOn w:val="BTBodyText"/>
    <w:uiPriority w:val="6"/>
    <w:rsid w:val="00F71EA3"/>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F71EA3"/>
    <w:rPr>
      <w:rFonts w:ascii="Calibri" w:hAnsi="Calibri"/>
      <w:kern w:val="0"/>
      <w:sz w:val="24"/>
      <w:szCs w:val="24"/>
      <w14:ligatures w14:val="none"/>
    </w:rPr>
  </w:style>
  <w:style w:type="paragraph" w:customStyle="1" w:styleId="P5-B4Paragraph5-Bullet4">
    <w:name w:val="[P5-B4] Paragraph 5 - Bullet 4"/>
    <w:basedOn w:val="BTBodyText"/>
    <w:uiPriority w:val="6"/>
    <w:rsid w:val="00F71EA3"/>
    <w:pPr>
      <w:numPr>
        <w:ilvl w:val="4"/>
        <w:numId w:val="1"/>
      </w:numPr>
      <w:spacing w:after="120"/>
    </w:pPr>
  </w:style>
  <w:style w:type="paragraph" w:customStyle="1" w:styleId="P6-B5Paragraph6-Bullet5">
    <w:name w:val="[P6-B5] Paragraph 6 - Bullet 5"/>
    <w:basedOn w:val="BTBodyText"/>
    <w:uiPriority w:val="6"/>
    <w:rsid w:val="00F71EA3"/>
    <w:pPr>
      <w:numPr>
        <w:ilvl w:val="5"/>
        <w:numId w:val="1"/>
      </w:numPr>
      <w:spacing w:after="120"/>
      <w:ind w:left="5104" w:hanging="851"/>
    </w:pPr>
  </w:style>
  <w:style w:type="paragraph" w:customStyle="1" w:styleId="P7-B6Paragraph7-Bullet6">
    <w:name w:val="[P7-B6] Paragraph 7 - Bullet 6"/>
    <w:basedOn w:val="BTBodyText"/>
    <w:uiPriority w:val="6"/>
    <w:rsid w:val="00F71EA3"/>
    <w:pPr>
      <w:numPr>
        <w:ilvl w:val="6"/>
        <w:numId w:val="1"/>
      </w:numPr>
      <w:spacing w:after="120"/>
    </w:pPr>
  </w:style>
  <w:style w:type="paragraph" w:customStyle="1" w:styleId="P8-B7Paragraph8-Bullet7">
    <w:name w:val="[P8-B7] Paragraph 8 - Bullet 7"/>
    <w:basedOn w:val="BTBodyText"/>
    <w:uiPriority w:val="6"/>
    <w:rsid w:val="00F71EA3"/>
    <w:pPr>
      <w:numPr>
        <w:ilvl w:val="7"/>
        <w:numId w:val="1"/>
      </w:numPr>
      <w:spacing w:after="120"/>
      <w:ind w:left="6805" w:hanging="851"/>
    </w:pPr>
  </w:style>
  <w:style w:type="paragraph" w:customStyle="1" w:styleId="P9-B8Paragraph9-Bullet8">
    <w:name w:val="[P9-B8] Paragraph 9 - Bullet 8"/>
    <w:basedOn w:val="BTBodyText"/>
    <w:uiPriority w:val="6"/>
    <w:rsid w:val="00F71EA3"/>
    <w:pPr>
      <w:numPr>
        <w:ilvl w:val="8"/>
        <w:numId w:val="1"/>
      </w:numPr>
      <w:spacing w:after="120"/>
    </w:pPr>
  </w:style>
  <w:style w:type="paragraph" w:customStyle="1" w:styleId="HL1HeadingLevel1">
    <w:name w:val="[HL1] Heading Level 1"/>
    <w:basedOn w:val="Heading1"/>
    <w:next w:val="P1-N1Paragraph1-Number1"/>
    <w:link w:val="HL1HeadingLevel1Char"/>
    <w:uiPriority w:val="4"/>
    <w:qFormat/>
    <w:rsid w:val="00F71EA3"/>
    <w:pPr>
      <w:numPr>
        <w:numId w:val="2"/>
      </w:numPr>
      <w:spacing w:before="0" w:after="160"/>
    </w:pPr>
    <w:rPr>
      <w:rFonts w:ascii="Calibri" w:hAnsi="Calibri"/>
      <w:b/>
      <w:caps/>
      <w:color w:val="auto"/>
      <w:sz w:val="28"/>
    </w:rPr>
  </w:style>
  <w:style w:type="paragraph" w:customStyle="1" w:styleId="HL2HeadingLevel2">
    <w:name w:val="[HL2] Heading Level 2"/>
    <w:basedOn w:val="Heading2"/>
    <w:next w:val="P1-N1Paragraph1-Number1"/>
    <w:link w:val="HL2HeadingLevel2Char"/>
    <w:uiPriority w:val="4"/>
    <w:qFormat/>
    <w:rsid w:val="00F71EA3"/>
    <w:pPr>
      <w:numPr>
        <w:ilvl w:val="1"/>
        <w:numId w:val="2"/>
      </w:numPr>
      <w:spacing w:before="0" w:after="160"/>
    </w:pPr>
    <w:rPr>
      <w:rFonts w:ascii="Calibri" w:hAnsi="Calibri"/>
      <w:b/>
      <w:smallCaps/>
      <w:color w:val="auto"/>
      <w:sz w:val="28"/>
    </w:rPr>
  </w:style>
  <w:style w:type="character" w:customStyle="1" w:styleId="HL1HeadingLevel1Char">
    <w:name w:val="[HL1] Heading Level 1 Char"/>
    <w:basedOn w:val="BTBodyTextChar"/>
    <w:link w:val="HL1HeadingLevel1"/>
    <w:uiPriority w:val="4"/>
    <w:rsid w:val="00F71EA3"/>
    <w:rPr>
      <w:rFonts w:ascii="Calibri" w:eastAsiaTheme="majorEastAsia" w:hAnsi="Calibri" w:cstheme="majorBidi"/>
      <w:b/>
      <w:caps/>
      <w:kern w:val="0"/>
      <w:sz w:val="28"/>
      <w:szCs w:val="32"/>
      <w14:ligatures w14:val="none"/>
    </w:rPr>
  </w:style>
  <w:style w:type="paragraph" w:customStyle="1" w:styleId="HL3HeadingLevel3">
    <w:name w:val="[HL3] Heading Level 3"/>
    <w:basedOn w:val="Heading3"/>
    <w:next w:val="P1-N1Paragraph1-Number1"/>
    <w:uiPriority w:val="4"/>
    <w:qFormat/>
    <w:rsid w:val="00F71EA3"/>
    <w:pPr>
      <w:numPr>
        <w:ilvl w:val="2"/>
        <w:numId w:val="2"/>
      </w:numPr>
      <w:spacing w:before="0" w:after="160"/>
    </w:pPr>
    <w:rPr>
      <w:rFonts w:ascii="Calibri" w:hAnsi="Calibri"/>
      <w:b/>
      <w:color w:val="auto"/>
    </w:rPr>
  </w:style>
  <w:style w:type="character" w:customStyle="1" w:styleId="HL2HeadingLevel2Char">
    <w:name w:val="[HL2] Heading Level 2 Char"/>
    <w:basedOn w:val="BTBodyTextChar"/>
    <w:link w:val="HL2HeadingLevel2"/>
    <w:uiPriority w:val="4"/>
    <w:rsid w:val="00F71EA3"/>
    <w:rPr>
      <w:rFonts w:ascii="Calibri" w:eastAsiaTheme="majorEastAsia" w:hAnsi="Calibri" w:cstheme="majorBidi"/>
      <w:b/>
      <w:smallCaps/>
      <w:kern w:val="0"/>
      <w:sz w:val="28"/>
      <w:szCs w:val="26"/>
      <w14:ligatures w14:val="none"/>
    </w:rPr>
  </w:style>
  <w:style w:type="paragraph" w:customStyle="1" w:styleId="HL4HeadingLevel4">
    <w:name w:val="[HL4] Heading Level 4"/>
    <w:basedOn w:val="Heading4"/>
    <w:next w:val="P1-N1Paragraph1-Number1"/>
    <w:uiPriority w:val="4"/>
    <w:qFormat/>
    <w:rsid w:val="00F71EA3"/>
    <w:pPr>
      <w:numPr>
        <w:ilvl w:val="3"/>
        <w:numId w:val="2"/>
      </w:numPr>
      <w:spacing w:before="0" w:after="160"/>
    </w:pPr>
    <w:rPr>
      <w:rFonts w:ascii="Calibri" w:hAnsi="Calibri"/>
      <w:i w:val="0"/>
      <w:color w:val="auto"/>
      <w:u w:val="single"/>
    </w:rPr>
  </w:style>
  <w:style w:type="paragraph" w:customStyle="1" w:styleId="HL5HeadingLevel5">
    <w:name w:val="[HL5] Heading Level 5"/>
    <w:basedOn w:val="Heading5"/>
    <w:next w:val="P1-N1Paragraph1-Number1"/>
    <w:uiPriority w:val="4"/>
    <w:qFormat/>
    <w:rsid w:val="00F71EA3"/>
    <w:pPr>
      <w:numPr>
        <w:ilvl w:val="4"/>
        <w:numId w:val="2"/>
      </w:numPr>
      <w:spacing w:before="0" w:after="160"/>
    </w:pPr>
    <w:rPr>
      <w:rFonts w:ascii="Calibri" w:hAnsi="Calibri"/>
      <w:i/>
      <w:color w:val="auto"/>
    </w:rPr>
  </w:style>
  <w:style w:type="paragraph" w:customStyle="1" w:styleId="HL6HeadingLevel6">
    <w:name w:val="[HL6] Heading Level 6"/>
    <w:basedOn w:val="Heading6"/>
    <w:next w:val="P1-N1Paragraph1-Number1"/>
    <w:uiPriority w:val="4"/>
    <w:semiHidden/>
    <w:rsid w:val="00F71EA3"/>
    <w:pPr>
      <w:numPr>
        <w:ilvl w:val="5"/>
        <w:numId w:val="2"/>
      </w:numPr>
      <w:spacing w:before="0" w:after="160"/>
    </w:pPr>
    <w:rPr>
      <w:rFonts w:ascii="Calibri" w:hAnsi="Calibri"/>
      <w:color w:val="auto"/>
      <w:u w:val="single"/>
    </w:rPr>
  </w:style>
  <w:style w:type="paragraph" w:customStyle="1" w:styleId="HL7HeadingLevel7">
    <w:name w:val="[HL7] Heading Level 7"/>
    <w:basedOn w:val="Heading7"/>
    <w:next w:val="P1-N1Paragraph1-Number1"/>
    <w:uiPriority w:val="4"/>
    <w:semiHidden/>
    <w:rsid w:val="00F71EA3"/>
    <w:pPr>
      <w:numPr>
        <w:ilvl w:val="6"/>
        <w:numId w:val="2"/>
      </w:numPr>
      <w:spacing w:before="0" w:after="160"/>
    </w:pPr>
    <w:rPr>
      <w:rFonts w:ascii="Calibri" w:hAnsi="Calibri"/>
      <w:color w:val="auto"/>
    </w:rPr>
  </w:style>
  <w:style w:type="paragraph" w:customStyle="1" w:styleId="HL8HeadingLevel8">
    <w:name w:val="[HL8] Heading Level 8"/>
    <w:basedOn w:val="Heading8"/>
    <w:next w:val="P1-N1Paragraph1-Number1"/>
    <w:uiPriority w:val="4"/>
    <w:semiHidden/>
    <w:rsid w:val="00F71EA3"/>
    <w:pPr>
      <w:numPr>
        <w:ilvl w:val="7"/>
        <w:numId w:val="2"/>
      </w:numPr>
      <w:spacing w:before="0" w:after="160"/>
    </w:pPr>
    <w:rPr>
      <w:rFonts w:ascii="Calibri" w:hAnsi="Calibri"/>
      <w:color w:val="auto"/>
      <w:sz w:val="24"/>
      <w:u w:val="single"/>
    </w:rPr>
  </w:style>
  <w:style w:type="paragraph" w:customStyle="1" w:styleId="HL9HeadingLevel9">
    <w:name w:val="[HL9] Heading Level 9"/>
    <w:basedOn w:val="Heading9"/>
    <w:next w:val="P1-N1Paragraph1-Number1"/>
    <w:uiPriority w:val="4"/>
    <w:semiHidden/>
    <w:rsid w:val="00F71EA3"/>
    <w:pPr>
      <w:numPr>
        <w:ilvl w:val="8"/>
        <w:numId w:val="2"/>
      </w:numPr>
      <w:spacing w:before="0" w:after="160"/>
    </w:pPr>
    <w:rPr>
      <w:rFonts w:ascii="Calibri" w:hAnsi="Calibri"/>
      <w:color w:val="auto"/>
      <w:sz w:val="24"/>
    </w:rPr>
  </w:style>
  <w:style w:type="paragraph" w:customStyle="1" w:styleId="SHSectionHeading">
    <w:name w:val="[SH] Section Heading"/>
    <w:basedOn w:val="Heading1"/>
    <w:next w:val="BTBodyText"/>
    <w:link w:val="SHSectionHeadingChar"/>
    <w:uiPriority w:val="12"/>
    <w:qFormat/>
    <w:rsid w:val="00F71EA3"/>
    <w:pPr>
      <w:jc w:val="center"/>
    </w:pPr>
    <w:rPr>
      <w:rFonts w:ascii="Calibri" w:hAnsi="Calibri"/>
      <w:b/>
      <w:caps/>
      <w:sz w:val="24"/>
    </w:rPr>
  </w:style>
  <w:style w:type="character" w:customStyle="1" w:styleId="Heading1Char">
    <w:name w:val="Heading 1 Char"/>
    <w:basedOn w:val="DefaultParagraphFont"/>
    <w:link w:val="Heading1"/>
    <w:uiPriority w:val="9"/>
    <w:rsid w:val="00F71EA3"/>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Normal"/>
    <w:next w:val="Normal"/>
    <w:uiPriority w:val="39"/>
    <w:unhideWhenUsed/>
    <w:qFormat/>
    <w:rsid w:val="00F71EA3"/>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F71EA3"/>
    <w:rPr>
      <w:rFonts w:ascii="Calibri" w:eastAsiaTheme="majorEastAsia" w:hAnsi="Calibri" w:cstheme="majorBidi"/>
      <w:b/>
      <w:caps/>
      <w:color w:val="2F5496" w:themeColor="accent1" w:themeShade="BF"/>
      <w:kern w:val="0"/>
      <w:sz w:val="24"/>
      <w:szCs w:val="32"/>
      <w14:ligatures w14:val="none"/>
    </w:rPr>
  </w:style>
  <w:style w:type="paragraph" w:styleId="TOC1">
    <w:name w:val="toc 1"/>
    <w:basedOn w:val="Normal"/>
    <w:next w:val="Normal"/>
    <w:autoRedefine/>
    <w:uiPriority w:val="39"/>
    <w:unhideWhenUsed/>
    <w:rsid w:val="00F71EA3"/>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F71EA3"/>
    <w:pPr>
      <w:tabs>
        <w:tab w:val="left" w:pos="1276"/>
        <w:tab w:val="right" w:leader="dot" w:pos="9060"/>
      </w:tabs>
      <w:spacing w:before="120" w:after="100" w:line="240" w:lineRule="auto"/>
      <w:ind w:left="1276" w:hanging="851"/>
    </w:pPr>
    <w:rPr>
      <w:b/>
      <w:smallCaps/>
    </w:rPr>
  </w:style>
  <w:style w:type="character" w:styleId="Hyperlink">
    <w:name w:val="Hyperlink"/>
    <w:basedOn w:val="DefaultParagraphFont"/>
    <w:uiPriority w:val="99"/>
    <w:unhideWhenUsed/>
    <w:rsid w:val="00F71EA3"/>
    <w:rPr>
      <w:color w:val="0563C1" w:themeColor="hyperlink"/>
      <w:u w:val="single"/>
    </w:rPr>
  </w:style>
  <w:style w:type="table" w:styleId="TableGrid">
    <w:name w:val="Table Grid"/>
    <w:basedOn w:val="TableNormal"/>
    <w:uiPriority w:val="39"/>
    <w:rsid w:val="00F71EA3"/>
    <w:pPr>
      <w:spacing w:after="0" w:line="240" w:lineRule="auto"/>
      <w:jc w:val="both"/>
    </w:pPr>
    <w:rPr>
      <w:rFonts w:ascii="Calibri" w:hAnsi="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TableText">
    <w:name w:val="[TT] Table Text"/>
    <w:basedOn w:val="BTBodyText"/>
    <w:link w:val="TTTableTextChar"/>
    <w:uiPriority w:val="19"/>
    <w:qFormat/>
    <w:rsid w:val="00F71EA3"/>
    <w:pPr>
      <w:spacing w:before="40" w:after="40" w:line="240" w:lineRule="auto"/>
      <w:jc w:val="left"/>
    </w:pPr>
  </w:style>
  <w:style w:type="paragraph" w:customStyle="1" w:styleId="THTableHeading">
    <w:name w:val="[TH] Table Heading"/>
    <w:basedOn w:val="TTTableText"/>
    <w:link w:val="THTableHeadingChar"/>
    <w:uiPriority w:val="19"/>
    <w:qFormat/>
    <w:rsid w:val="00F71EA3"/>
    <w:rPr>
      <w:b/>
    </w:rPr>
  </w:style>
  <w:style w:type="character" w:customStyle="1" w:styleId="TTTableTextChar">
    <w:name w:val="[TT] Table Text Char"/>
    <w:basedOn w:val="BTBodyTextChar"/>
    <w:link w:val="TTTableText"/>
    <w:uiPriority w:val="19"/>
    <w:rsid w:val="00F71EA3"/>
    <w:rPr>
      <w:rFonts w:ascii="Calibri" w:hAnsi="Calibri"/>
      <w:kern w:val="0"/>
      <w:sz w:val="24"/>
      <w:szCs w:val="24"/>
      <w14:ligatures w14:val="none"/>
    </w:rPr>
  </w:style>
  <w:style w:type="character" w:customStyle="1" w:styleId="THTableHeadingChar">
    <w:name w:val="[TH] Table Heading Char"/>
    <w:basedOn w:val="TTTableTextChar"/>
    <w:link w:val="THTableHeading"/>
    <w:uiPriority w:val="19"/>
    <w:rsid w:val="00F71EA3"/>
    <w:rPr>
      <w:rFonts w:ascii="Calibri" w:hAnsi="Calibri"/>
      <w:b/>
      <w:kern w:val="0"/>
      <w:sz w:val="24"/>
      <w:szCs w:val="24"/>
      <w14:ligatures w14:val="none"/>
    </w:rPr>
  </w:style>
  <w:style w:type="paragraph" w:styleId="Header">
    <w:name w:val="header"/>
    <w:basedOn w:val="Normal"/>
    <w:link w:val="HeaderChar"/>
    <w:uiPriority w:val="99"/>
    <w:unhideWhenUsed/>
    <w:rsid w:val="00F71EA3"/>
    <w:pPr>
      <w:tabs>
        <w:tab w:val="center" w:pos="4536"/>
        <w:tab w:val="right" w:pos="9072"/>
      </w:tabs>
      <w:spacing w:after="0" w:line="240" w:lineRule="auto"/>
    </w:pPr>
    <w:rPr>
      <w:sz w:val="22"/>
    </w:rPr>
  </w:style>
  <w:style w:type="character" w:customStyle="1" w:styleId="HeaderChar">
    <w:name w:val="Header Char"/>
    <w:basedOn w:val="DefaultParagraphFont"/>
    <w:link w:val="Header"/>
    <w:uiPriority w:val="99"/>
    <w:rsid w:val="00F71EA3"/>
    <w:rPr>
      <w:rFonts w:ascii="Calibri" w:hAnsi="Calibri"/>
      <w:kern w:val="0"/>
      <w:szCs w:val="24"/>
      <w14:ligatures w14:val="none"/>
    </w:rPr>
  </w:style>
  <w:style w:type="paragraph" w:styleId="Footer">
    <w:name w:val="footer"/>
    <w:basedOn w:val="Normal"/>
    <w:link w:val="FooterChar"/>
    <w:uiPriority w:val="99"/>
    <w:unhideWhenUsed/>
    <w:rsid w:val="00F71EA3"/>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F71EA3"/>
    <w:rPr>
      <w:rFonts w:ascii="Calibri" w:hAnsi="Calibri"/>
      <w:kern w:val="0"/>
      <w:szCs w:val="24"/>
      <w14:ligatures w14:val="none"/>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Car,Cha"/>
    <w:basedOn w:val="Normal"/>
    <w:link w:val="FootnoteTextChar"/>
    <w:uiPriority w:val="5"/>
    <w:qFormat/>
    <w:rsid w:val="00F71EA3"/>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5"/>
    <w:qFormat/>
    <w:rsid w:val="00F71EA3"/>
    <w:rPr>
      <w:rFonts w:ascii="Calibri" w:hAnsi="Calibri"/>
      <w:kern w:val="0"/>
      <w:sz w:val="18"/>
      <w:szCs w:val="20"/>
      <w14:ligatures w14:val="none"/>
    </w:rPr>
  </w:style>
  <w:style w:type="character" w:styleId="FootnoteReference">
    <w:name w:val="footnote reference"/>
    <w:aliases w:val="A4 Footnote Reference,Ref,de nota al pie,註腳內容,de nota al pie + (Asian) MS Mincho,11 pt,Footnote Reference1,Ref1,de nota al pie1,Style 15,註?腳Ò®é»,11 p,註?腳內—e,-E Fußnotenzeichen,註????腳內—e,f?,註??腳內—e,11,16 Point,Superscript 6 Point"/>
    <w:basedOn w:val="DefaultParagraphFont"/>
    <w:link w:val="CharChar6CharCharCharCharCharChar"/>
    <w:uiPriority w:val="5"/>
    <w:qFormat/>
    <w:rsid w:val="00F71EA3"/>
    <w:rPr>
      <w:rFonts w:ascii="Calibri" w:hAnsi="Calibri"/>
      <w:vertAlign w:val="superscript"/>
    </w:rPr>
  </w:style>
  <w:style w:type="paragraph" w:customStyle="1" w:styleId="WTODTWTODisputeTitle">
    <w:name w:val="[WTODT] WTO Dispute Title"/>
    <w:basedOn w:val="BTBodyText"/>
    <w:link w:val="WTODTWTODisputeTitleChar"/>
    <w:uiPriority w:val="27"/>
    <w:rsid w:val="00F71EA3"/>
    <w:pPr>
      <w:spacing w:line="240" w:lineRule="auto"/>
      <w:jc w:val="center"/>
    </w:pPr>
    <w:rPr>
      <w:b/>
      <w:bCs/>
      <w:smallCaps/>
      <w:sz w:val="40"/>
      <w:szCs w:val="40"/>
    </w:rPr>
  </w:style>
  <w:style w:type="paragraph" w:customStyle="1" w:styleId="DSNDSNumber">
    <w:name w:val="[DSN] DS Number"/>
    <w:basedOn w:val="BTBodyText"/>
    <w:link w:val="DSNDSNumberChar"/>
    <w:uiPriority w:val="27"/>
    <w:rsid w:val="00F71EA3"/>
    <w:pPr>
      <w:spacing w:line="240" w:lineRule="auto"/>
      <w:jc w:val="center"/>
    </w:pPr>
  </w:style>
  <w:style w:type="character" w:customStyle="1" w:styleId="WTODTWTODisputeTitleChar">
    <w:name w:val="[WTODT] WTO Dispute Title Char"/>
    <w:basedOn w:val="BTBodyTextChar"/>
    <w:link w:val="WTODTWTODisputeTitle"/>
    <w:uiPriority w:val="27"/>
    <w:rsid w:val="00F71EA3"/>
    <w:rPr>
      <w:rFonts w:ascii="Calibri" w:hAnsi="Calibri"/>
      <w:b/>
      <w:bCs/>
      <w:smallCaps/>
      <w:kern w:val="0"/>
      <w:sz w:val="40"/>
      <w:szCs w:val="40"/>
      <w14:ligatures w14:val="none"/>
    </w:rPr>
  </w:style>
  <w:style w:type="paragraph" w:customStyle="1" w:styleId="DTDocumentTitle">
    <w:name w:val="[DT] Document Title"/>
    <w:basedOn w:val="BTBodyText"/>
    <w:link w:val="DTDocumentTitleChar"/>
    <w:uiPriority w:val="27"/>
    <w:rsid w:val="00F71EA3"/>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F71EA3"/>
    <w:rPr>
      <w:rFonts w:ascii="Calibri" w:hAnsi="Calibri"/>
      <w:kern w:val="0"/>
      <w:sz w:val="24"/>
      <w:szCs w:val="24"/>
      <w14:ligatures w14:val="none"/>
    </w:rPr>
  </w:style>
  <w:style w:type="paragraph" w:customStyle="1" w:styleId="DDDocumentDate">
    <w:name w:val="[DD] Document Date"/>
    <w:basedOn w:val="BTBodyText"/>
    <w:link w:val="DDDocumentDateChar"/>
    <w:uiPriority w:val="27"/>
    <w:rsid w:val="00F71EA3"/>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F71EA3"/>
    <w:rPr>
      <w:rFonts w:ascii="Calibri" w:hAnsi="Calibri"/>
      <w:b/>
      <w:bCs/>
      <w:smallCaps/>
      <w:kern w:val="0"/>
      <w:sz w:val="36"/>
      <w:szCs w:val="36"/>
      <w14:ligatures w14:val="none"/>
    </w:rPr>
  </w:style>
  <w:style w:type="character" w:customStyle="1" w:styleId="DDDocumentDateChar">
    <w:name w:val="[DD] Document Date Char"/>
    <w:basedOn w:val="BTBodyTextChar"/>
    <w:link w:val="DDDocumentDate"/>
    <w:uiPriority w:val="27"/>
    <w:rsid w:val="00F71EA3"/>
    <w:rPr>
      <w:rFonts w:ascii="Calibri" w:hAnsi="Calibri"/>
      <w:kern w:val="0"/>
      <w:sz w:val="32"/>
      <w:szCs w:val="32"/>
      <w14:ligatures w14:val="none"/>
    </w:rPr>
  </w:style>
  <w:style w:type="paragraph" w:customStyle="1" w:styleId="CharChar6CharCharCharCharCharChar">
    <w:name w:val="Char Char6 Char Char Char Char Char Char"/>
    <w:aliases w:val="Char6 Char Char Char Char Char Char Char"/>
    <w:basedOn w:val="Normal"/>
    <w:link w:val="FootnoteReference"/>
    <w:uiPriority w:val="5"/>
    <w:qFormat/>
    <w:rsid w:val="00F71EA3"/>
    <w:pPr>
      <w:spacing w:after="240"/>
      <w:jc w:val="center"/>
    </w:pPr>
    <w:rPr>
      <w:kern w:val="2"/>
      <w:sz w:val="22"/>
      <w:szCs w:val="22"/>
      <w:vertAlign w:val="superscript"/>
      <w14:ligatures w14:val="standardContextual"/>
    </w:rPr>
  </w:style>
  <w:style w:type="character" w:customStyle="1" w:styleId="Heading2Char">
    <w:name w:val="Heading 2 Char"/>
    <w:basedOn w:val="DefaultParagraphFont"/>
    <w:link w:val="Heading2"/>
    <w:uiPriority w:val="9"/>
    <w:semiHidden/>
    <w:rsid w:val="00F71EA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F71EA3"/>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71EA3"/>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rsid w:val="00F71EA3"/>
    <w:rPr>
      <w:rFonts w:asciiTheme="majorHAnsi" w:eastAsiaTheme="majorEastAsia" w:hAnsiTheme="maj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F71EA3"/>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F71EA3"/>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8Char">
    <w:name w:val="Heading 8 Char"/>
    <w:basedOn w:val="DefaultParagraphFont"/>
    <w:link w:val="Heading8"/>
    <w:uiPriority w:val="9"/>
    <w:semiHidden/>
    <w:rsid w:val="00F71EA3"/>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F71EA3"/>
    <w:rPr>
      <w:rFonts w:asciiTheme="majorHAnsi" w:eastAsiaTheme="majorEastAsia" w:hAnsiTheme="majorHAnsi" w:cstheme="majorBidi"/>
      <w:i/>
      <w:iCs/>
      <w:color w:val="272727" w:themeColor="text1" w:themeTint="D8"/>
      <w:kern w:val="0"/>
      <w:sz w:val="21"/>
      <w:szCs w:val="21"/>
      <w14:ligatures w14:val="none"/>
    </w:rPr>
  </w:style>
  <w:style w:type="character" w:styleId="CommentReference">
    <w:name w:val="annotation reference"/>
    <w:basedOn w:val="DefaultParagraphFont"/>
    <w:uiPriority w:val="99"/>
    <w:semiHidden/>
    <w:unhideWhenUsed/>
    <w:rsid w:val="00806D1B"/>
    <w:rPr>
      <w:sz w:val="16"/>
      <w:szCs w:val="16"/>
    </w:rPr>
  </w:style>
  <w:style w:type="paragraph" w:styleId="CommentText">
    <w:name w:val="annotation text"/>
    <w:basedOn w:val="Normal"/>
    <w:link w:val="CommentTextChar"/>
    <w:uiPriority w:val="99"/>
    <w:unhideWhenUsed/>
    <w:rsid w:val="00806D1B"/>
    <w:pPr>
      <w:spacing w:line="240" w:lineRule="auto"/>
    </w:pPr>
    <w:rPr>
      <w:sz w:val="20"/>
      <w:szCs w:val="20"/>
    </w:rPr>
  </w:style>
  <w:style w:type="character" w:customStyle="1" w:styleId="CommentTextChar">
    <w:name w:val="Comment Text Char"/>
    <w:basedOn w:val="DefaultParagraphFont"/>
    <w:link w:val="CommentText"/>
    <w:uiPriority w:val="99"/>
    <w:rsid w:val="00806D1B"/>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6D1B"/>
    <w:rPr>
      <w:b/>
      <w:bCs/>
    </w:rPr>
  </w:style>
  <w:style w:type="character" w:customStyle="1" w:styleId="CommentSubjectChar">
    <w:name w:val="Comment Subject Char"/>
    <w:basedOn w:val="CommentTextChar"/>
    <w:link w:val="CommentSubject"/>
    <w:uiPriority w:val="99"/>
    <w:semiHidden/>
    <w:rsid w:val="00806D1B"/>
    <w:rPr>
      <w:rFonts w:ascii="Calibri" w:hAnsi="Calibri"/>
      <w:b/>
      <w:bCs/>
      <w:kern w:val="0"/>
      <w:sz w:val="20"/>
      <w:szCs w:val="20"/>
      <w14:ligatures w14:val="none"/>
    </w:rPr>
  </w:style>
  <w:style w:type="paragraph" w:styleId="Revision">
    <w:name w:val="Revision"/>
    <w:hidden/>
    <w:uiPriority w:val="99"/>
    <w:semiHidden/>
    <w:rsid w:val="00671821"/>
    <w:pPr>
      <w:spacing w:after="0" w:line="240" w:lineRule="auto"/>
    </w:pPr>
    <w:rPr>
      <w:rFonts w:ascii="Calibri" w:hAnsi="Calibri"/>
      <w:kern w:val="0"/>
      <w:sz w:val="24"/>
      <w:szCs w:val="24"/>
      <w14:ligatures w14:val="none"/>
    </w:rPr>
  </w:style>
  <w:style w:type="numbering" w:customStyle="1" w:styleId="LegalHeadings">
    <w:name w:val="LegalHeadings"/>
    <w:uiPriority w:val="99"/>
    <w:rsid w:val="0012540F"/>
    <w:pPr>
      <w:numPr>
        <w:numId w:val="8"/>
      </w:numPr>
    </w:pPr>
  </w:style>
  <w:style w:type="paragraph" w:styleId="BodyText">
    <w:name w:val="Body Text"/>
    <w:basedOn w:val="Normal"/>
    <w:link w:val="BodyTextChar"/>
    <w:uiPriority w:val="1"/>
    <w:qFormat/>
    <w:rsid w:val="00072F70"/>
    <w:pPr>
      <w:spacing w:after="240" w:line="240" w:lineRule="auto"/>
    </w:pPr>
    <w:rPr>
      <w:rFonts w:ascii="Verdana" w:eastAsia="Calibri" w:hAnsi="Verdana" w:cs="Times New Roman"/>
      <w:sz w:val="18"/>
      <w:szCs w:val="22"/>
      <w:lang w:val="en-GB"/>
    </w:rPr>
  </w:style>
  <w:style w:type="character" w:customStyle="1" w:styleId="BodyTextChar">
    <w:name w:val="Body Text Char"/>
    <w:basedOn w:val="DefaultParagraphFont"/>
    <w:link w:val="BodyText"/>
    <w:uiPriority w:val="1"/>
    <w:rsid w:val="00072F70"/>
    <w:rPr>
      <w:rFonts w:ascii="Verdana" w:eastAsia="Calibri" w:hAnsi="Verdana" w:cs="Times New Roman"/>
      <w:kern w:val="0"/>
      <w:sz w:val="18"/>
      <w:lang w:val="en-GB"/>
      <w14:ligatures w14:val="none"/>
    </w:rPr>
  </w:style>
  <w:style w:type="paragraph" w:customStyle="1" w:styleId="Quotation">
    <w:name w:val="Quotation"/>
    <w:basedOn w:val="Normal"/>
    <w:uiPriority w:val="5"/>
    <w:qFormat/>
    <w:rsid w:val="00072F70"/>
    <w:pPr>
      <w:spacing w:after="240" w:line="240" w:lineRule="auto"/>
      <w:ind w:left="567" w:right="567"/>
    </w:pPr>
    <w:rPr>
      <w:rFonts w:ascii="Verdana" w:eastAsia="Calibri" w:hAnsi="Verdana" w:cs="Times New Roman"/>
      <w:sz w:val="18"/>
      <w:szCs w:val="18"/>
      <w:lang w:val="en-GB" w:eastAsia="en-GB"/>
    </w:rPr>
  </w:style>
  <w:style w:type="paragraph" w:customStyle="1" w:styleId="Panelquestion">
    <w:name w:val="Panel question"/>
    <w:basedOn w:val="Normal"/>
    <w:next w:val="Panelquestion2"/>
    <w:link w:val="PanelquestionChar"/>
    <w:qFormat/>
    <w:rsid w:val="00072F70"/>
    <w:pPr>
      <w:tabs>
        <w:tab w:val="left" w:pos="426"/>
      </w:tabs>
      <w:spacing w:before="240" w:after="240" w:line="240" w:lineRule="auto"/>
      <w:outlineLvl w:val="2"/>
    </w:pPr>
    <w:rPr>
      <w:rFonts w:ascii="Verdana" w:hAnsi="Verdana"/>
      <w:b/>
      <w:sz w:val="18"/>
      <w:szCs w:val="22"/>
      <w:lang w:val="en-GB"/>
    </w:rPr>
  </w:style>
  <w:style w:type="character" w:customStyle="1" w:styleId="PanelquestionChar">
    <w:name w:val="Panel question Char"/>
    <w:basedOn w:val="DefaultParagraphFont"/>
    <w:link w:val="Panelquestion"/>
    <w:rsid w:val="00072F70"/>
    <w:rPr>
      <w:rFonts w:ascii="Verdana" w:hAnsi="Verdana"/>
      <w:b/>
      <w:kern w:val="0"/>
      <w:sz w:val="18"/>
      <w:lang w:val="en-GB"/>
      <w14:ligatures w14:val="none"/>
    </w:rPr>
  </w:style>
  <w:style w:type="paragraph" w:customStyle="1" w:styleId="Panelquestion2">
    <w:name w:val="Panel question2"/>
    <w:basedOn w:val="BodyText2"/>
    <w:link w:val="Panelquestion2Char"/>
    <w:qFormat/>
    <w:rsid w:val="00072F70"/>
    <w:pPr>
      <w:tabs>
        <w:tab w:val="num" w:pos="360"/>
      </w:tabs>
      <w:spacing w:after="240" w:line="240" w:lineRule="auto"/>
      <w:outlineLvl w:val="3"/>
    </w:pPr>
    <w:rPr>
      <w:rFonts w:ascii="Verdana" w:eastAsia="Calibri" w:hAnsi="Verdana" w:cs="Times New Roman"/>
      <w:b/>
      <w:sz w:val="18"/>
      <w:szCs w:val="22"/>
      <w:lang w:val="en-GB"/>
    </w:rPr>
  </w:style>
  <w:style w:type="paragraph" w:styleId="BodyText2">
    <w:name w:val="Body Text 2"/>
    <w:basedOn w:val="Normal"/>
    <w:link w:val="BodyText2Char"/>
    <w:uiPriority w:val="99"/>
    <w:semiHidden/>
    <w:unhideWhenUsed/>
    <w:rsid w:val="00072F70"/>
    <w:pPr>
      <w:spacing w:after="120" w:line="480" w:lineRule="auto"/>
    </w:pPr>
  </w:style>
  <w:style w:type="character" w:customStyle="1" w:styleId="BodyText2Char">
    <w:name w:val="Body Text 2 Char"/>
    <w:basedOn w:val="DefaultParagraphFont"/>
    <w:link w:val="BodyText2"/>
    <w:uiPriority w:val="99"/>
    <w:semiHidden/>
    <w:rsid w:val="00072F70"/>
    <w:rPr>
      <w:rFonts w:ascii="Calibri" w:hAnsi="Calibri"/>
      <w:kern w:val="0"/>
      <w:sz w:val="24"/>
      <w:szCs w:val="24"/>
      <w14:ligatures w14:val="none"/>
    </w:rPr>
  </w:style>
  <w:style w:type="character" w:customStyle="1" w:styleId="Panelquestion2Char">
    <w:name w:val="Panel question2 Char"/>
    <w:basedOn w:val="BodyText2Char"/>
    <w:link w:val="Panelquestion2"/>
    <w:rsid w:val="00384DE1"/>
    <w:rPr>
      <w:rFonts w:ascii="Verdana" w:eastAsia="Calibri" w:hAnsi="Verdana" w:cs="Times New Roman"/>
      <w:b/>
      <w:kern w:val="0"/>
      <w:sz w:val="18"/>
      <w:szCs w:val="24"/>
      <w:lang w:val="en-GB"/>
      <w14:ligatures w14:val="none"/>
    </w:rPr>
  </w:style>
  <w:style w:type="paragraph" w:customStyle="1" w:styleId="Default">
    <w:name w:val="Default"/>
    <w:rsid w:val="00F64CE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A2E2C-76F2-4073-80BA-2C823E6B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1673</Words>
  <Characters>9094</Characters>
  <Application>Microsoft Office Word</Application>
  <DocSecurity>0</DocSecurity>
  <Lines>189</Lines>
  <Paragraphs>71</Paragraphs>
  <ScaleCrop>false</ScaleCrop>
  <HeadingPairs>
    <vt:vector size="2" baseType="variant">
      <vt:variant>
        <vt:lpstr>Title</vt:lpstr>
      </vt:variant>
      <vt:variant>
        <vt:i4>1</vt:i4>
      </vt:variant>
    </vt:vector>
  </HeadingPairs>
  <TitlesOfParts>
    <vt:vector size="1" baseType="lpstr">
      <vt:lpstr>EUROPEAN UNION – COUNTERVAILING AND ANTI-DUMPING DUTIES ON STAINLESS STEEL COLD-ROLLED FLAT PRODUCTS</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UNION – COUNTERVAILING AND ANTI-DUMPING DUTIES ON STAINLESS STEEL COLD-ROLLED FLAT PRODUCTS FROM INDONESIA</dc:title>
  <dc:subject/>
  <dc:creator/>
  <cp:keywords>[SEC=OFFICIAL]</cp:keywords>
  <dc:description/>
  <cp:lastModifiedBy/>
  <cp:revision>1</cp:revision>
  <dcterms:created xsi:type="dcterms:W3CDTF">2024-05-20T10:21:00Z</dcterms:created>
  <dcterms:modified xsi:type="dcterms:W3CDTF">2024-05-28T05:45:00Z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v=2022.1;a=SHA256;h=704B6114790E9E1F5B2A6499C783E0C6F7ECE992AF31FDC4109FC26A48F504E4</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2024-02-14T09:46:38Z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A2D7AD070E374839968AD2718A981DEA</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776D7340212E2A2C3BA91FE40E2A5F81</vt:lpwstr>
  </property>
  <property fmtid="{D5CDD505-2E9C-101B-9397-08002B2CF9AE}" pid="24" name="PM_Hash_Salt">
    <vt:lpwstr>66E8F1CC73B430F01A2AFBDBCCB5EDA9</vt:lpwstr>
  </property>
  <property fmtid="{D5CDD505-2E9C-101B-9397-08002B2CF9AE}" pid="25" name="PM_Hash_SHA1">
    <vt:lpwstr>18445FDFD27D72A4A3F01B05A30CBD2CC47A9084</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