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4CC2" w14:textId="4C12B212" w:rsidR="00D809BF" w:rsidRPr="001E7224" w:rsidRDefault="00D809BF" w:rsidP="00B91769">
      <w:pPr>
        <w:pStyle w:val="H1-Heading1"/>
        <w:spacing w:before="10560"/>
        <w:ind w:left="1701"/>
      </w:pPr>
      <w:r w:rsidRPr="001E7224">
        <w:t>Australia</w:t>
      </w:r>
      <w:r w:rsidR="00731EB1">
        <w:t xml:space="preserve"> </w:t>
      </w:r>
      <w:r w:rsidRPr="001E7224">
        <w:t>–</w:t>
      </w:r>
      <w:r w:rsidR="00731EB1">
        <w:t xml:space="preserve"> </w:t>
      </w:r>
      <w:r w:rsidR="004413B7">
        <w:t>I</w:t>
      </w:r>
      <w:r w:rsidR="00484BDE">
        <w:t>ndonesia</w:t>
      </w:r>
    </w:p>
    <w:p w14:paraId="55167CC7" w14:textId="77777777" w:rsidR="00D809BF" w:rsidRPr="001E7224" w:rsidRDefault="00D809BF" w:rsidP="00D809BF">
      <w:pPr>
        <w:pStyle w:val="H1-Heading1"/>
        <w:ind w:left="1701"/>
        <w:rPr>
          <w:rFonts w:asciiTheme="majorHAnsi" w:hAnsiTheme="majorHAnsi" w:cstheme="majorHAnsi"/>
          <w:b w:val="0"/>
          <w:bCs w:val="0"/>
        </w:rPr>
      </w:pPr>
      <w:r w:rsidRPr="001E7224">
        <w:rPr>
          <w:rFonts w:asciiTheme="majorHAnsi" w:hAnsiTheme="majorHAnsi" w:cstheme="majorHAnsi"/>
          <w:b w:val="0"/>
          <w:bCs w:val="0"/>
        </w:rPr>
        <w:t xml:space="preserve">Development Partnership </w:t>
      </w:r>
    </w:p>
    <w:p w14:paraId="5ABDB103" w14:textId="14191FCA" w:rsidR="00D809BF" w:rsidRPr="001E7224" w:rsidRDefault="00D809BF" w:rsidP="00D809BF">
      <w:pPr>
        <w:pStyle w:val="H1-Heading1"/>
        <w:ind w:left="1701"/>
        <w:rPr>
          <w:rFonts w:asciiTheme="majorHAnsi" w:hAnsiTheme="majorHAnsi" w:cstheme="majorHAnsi"/>
          <w:b w:val="0"/>
          <w:bCs w:val="0"/>
        </w:rPr>
      </w:pPr>
      <w:r w:rsidRPr="001E7224">
        <w:rPr>
          <w:rFonts w:asciiTheme="majorHAnsi" w:hAnsiTheme="majorHAnsi" w:cstheme="majorHAnsi"/>
          <w:b w:val="0"/>
          <w:bCs w:val="0"/>
        </w:rPr>
        <w:t>Plan 2024–20</w:t>
      </w:r>
      <w:r w:rsidR="00D36F47">
        <w:rPr>
          <w:rFonts w:asciiTheme="majorHAnsi" w:hAnsiTheme="majorHAnsi" w:cstheme="majorHAnsi"/>
          <w:b w:val="0"/>
          <w:bCs w:val="0"/>
        </w:rPr>
        <w:t>28</w:t>
      </w:r>
    </w:p>
    <w:p w14:paraId="6D935B3A" w14:textId="77777777" w:rsidR="00D95F26" w:rsidRDefault="00D95F26">
      <w:pPr>
        <w:spacing w:before="0" w:after="0" w:line="240" w:lineRule="auto"/>
        <w:rPr>
          <w:rFonts w:asciiTheme="majorHAnsi" w:hAnsiTheme="majorHAnsi" w:cstheme="majorHAnsi"/>
          <w:noProof/>
          <w:szCs w:val="21"/>
        </w:rPr>
        <w:sectPr w:rsidR="00D95F26" w:rsidSect="00626D27">
          <w:headerReference w:type="default" r:id="rId8"/>
          <w:footerReference w:type="default" r:id="rId9"/>
          <w:headerReference w:type="first" r:id="rId10"/>
          <w:endnotePr>
            <w:numFmt w:val="decimal"/>
          </w:endnotePr>
          <w:type w:val="continuous"/>
          <w:pgSz w:w="11906" w:h="16838" w:code="9"/>
          <w:pgMar w:top="1418" w:right="851" w:bottom="1276" w:left="851" w:header="340" w:footer="414" w:gutter="0"/>
          <w:cols w:space="720"/>
          <w:noEndnote/>
          <w:titlePg/>
          <w:docGrid w:linePitch="360"/>
        </w:sectPr>
      </w:pPr>
    </w:p>
    <w:p w14:paraId="60E2786B" w14:textId="145E2AB6" w:rsidR="002F5C5E" w:rsidRPr="00FA2C26" w:rsidRDefault="002F5C5E" w:rsidP="00CC7851">
      <w:pPr>
        <w:pStyle w:val="H2-Heading2"/>
      </w:pPr>
      <w:r w:rsidRPr="00FA2C26">
        <w:lastRenderedPageBreak/>
        <w:t xml:space="preserve">Section 1: </w:t>
      </w:r>
      <w:r w:rsidRPr="00CF5050">
        <w:t>Introduction</w:t>
      </w:r>
    </w:p>
    <w:p w14:paraId="20274DDA" w14:textId="5D3A201B" w:rsidR="002F4955" w:rsidRPr="00CF5050" w:rsidRDefault="002F4955" w:rsidP="00773333">
      <w:pPr>
        <w:pStyle w:val="H3-Heading3"/>
      </w:pPr>
      <w:r w:rsidRPr="00CF5050">
        <w:t xml:space="preserve">Australia’s partnership with </w:t>
      </w:r>
      <w:r w:rsidR="00D74741" w:rsidRPr="00CF5050">
        <w:t xml:space="preserve">Indonesia </w:t>
      </w:r>
    </w:p>
    <w:p w14:paraId="654900C6" w14:textId="3DCC255B" w:rsidR="00DA6629" w:rsidRPr="00FA2C26" w:rsidRDefault="00DA6629" w:rsidP="00875E7C">
      <w:pPr>
        <w:rPr>
          <w:rFonts w:cstheme="majorHAnsi"/>
          <w:lang w:eastAsia="en-AU"/>
        </w:rPr>
      </w:pPr>
      <w:r w:rsidRPr="00FA2C26">
        <w:rPr>
          <w:rFonts w:cstheme="majorHAnsi"/>
          <w:lang w:eastAsia="en-AU"/>
        </w:rPr>
        <w:t xml:space="preserve">Australia and Indonesia are close neighbours, strategic </w:t>
      </w:r>
      <w:proofErr w:type="gramStart"/>
      <w:r w:rsidRPr="00FA2C26">
        <w:rPr>
          <w:rFonts w:cstheme="majorHAnsi"/>
          <w:lang w:eastAsia="en-AU"/>
        </w:rPr>
        <w:t>partners</w:t>
      </w:r>
      <w:proofErr w:type="gramEnd"/>
      <w:r w:rsidRPr="00FA2C26">
        <w:rPr>
          <w:rFonts w:cstheme="majorHAnsi"/>
          <w:lang w:eastAsia="en-AU"/>
        </w:rPr>
        <w:t xml:space="preserve"> and friends. </w:t>
      </w:r>
      <w:r w:rsidRPr="00CF5050">
        <w:t>The </w:t>
      </w:r>
      <w:r w:rsidR="00A966EC" w:rsidRPr="00CF5050">
        <w:t>Australia</w:t>
      </w:r>
      <w:r w:rsidR="00A966EC">
        <w:rPr>
          <w:rFonts w:cstheme="majorHAnsi"/>
        </w:rPr>
        <w:t>–</w:t>
      </w:r>
      <w:r w:rsidR="00A966EC" w:rsidRPr="00CF5050">
        <w:t>Indonesia Comprehensive Strategic Partnership</w:t>
      </w:r>
      <w:r w:rsidR="00EF3E11">
        <w:rPr>
          <w:rStyle w:val="EndnoteReference"/>
          <w:rFonts w:cstheme="majorHAnsi"/>
        </w:rPr>
        <w:endnoteReference w:id="2"/>
      </w:r>
      <w:r w:rsidRPr="00FA2C26">
        <w:rPr>
          <w:rFonts w:cstheme="majorHAnsi"/>
          <w:lang w:eastAsia="en-AU"/>
        </w:rPr>
        <w:t xml:space="preserve"> elevates our bilateral relationship and sets an ambitious agenda for deeper and broader cooperation. We are committed to working together to promote peace and stability across the Indo-Pacific region. Our countries continue to draw closer together as partners in economic growth, trade, security, </w:t>
      </w:r>
      <w:proofErr w:type="gramStart"/>
      <w:r w:rsidRPr="00FA2C26">
        <w:rPr>
          <w:rFonts w:cstheme="majorHAnsi"/>
          <w:lang w:eastAsia="en-AU"/>
        </w:rPr>
        <w:t>development</w:t>
      </w:r>
      <w:proofErr w:type="gramEnd"/>
      <w:r w:rsidRPr="00FA2C26">
        <w:rPr>
          <w:rFonts w:cstheme="majorHAnsi"/>
          <w:lang w:eastAsia="en-AU"/>
        </w:rPr>
        <w:t xml:space="preserve"> and education. Our partnership is underpinned by strong and enduring institutional and people-to-people links. </w:t>
      </w:r>
    </w:p>
    <w:p w14:paraId="3CAF902F" w14:textId="5CF13579" w:rsidR="00DA6629" w:rsidRPr="00FA2C26" w:rsidRDefault="00DA6629" w:rsidP="002C6EC4">
      <w:pPr>
        <w:rPr>
          <w:sz w:val="24"/>
          <w:szCs w:val="24"/>
          <w:lang w:eastAsia="en-AU"/>
        </w:rPr>
      </w:pPr>
      <w:r w:rsidRPr="00FA2C26">
        <w:rPr>
          <w:lang w:eastAsia="en-AU"/>
        </w:rPr>
        <w:t>Indonesia and Australia share bright economic growth prospects</w:t>
      </w:r>
      <w:r w:rsidR="000C2AAA">
        <w:rPr>
          <w:lang w:eastAsia="en-AU"/>
        </w:rPr>
        <w:t xml:space="preserve"> and</w:t>
      </w:r>
      <w:r w:rsidR="000C2AAA" w:rsidRPr="00FA2C26">
        <w:rPr>
          <w:lang w:eastAsia="en-AU"/>
        </w:rPr>
        <w:t xml:space="preserve"> </w:t>
      </w:r>
      <w:r w:rsidRPr="00FA2C26">
        <w:rPr>
          <w:lang w:eastAsia="en-AU"/>
        </w:rPr>
        <w:t xml:space="preserve">economic </w:t>
      </w:r>
      <w:proofErr w:type="gramStart"/>
      <w:r w:rsidRPr="00FA2C26">
        <w:rPr>
          <w:lang w:eastAsia="en-AU"/>
        </w:rPr>
        <w:t>complementarity, and</w:t>
      </w:r>
      <w:proofErr w:type="gramEnd"/>
      <w:r w:rsidRPr="00FA2C26">
        <w:rPr>
          <w:lang w:eastAsia="en-AU"/>
        </w:rPr>
        <w:t xml:space="preserve"> are partners in the global transition to net zero. We are committed to deepening trade and investment ties under the </w:t>
      </w:r>
      <w:r w:rsidR="00731CEA" w:rsidRPr="00CF5050">
        <w:t>Indonesia</w:t>
      </w:r>
      <w:r w:rsidR="00731CEA">
        <w:rPr>
          <w:rFonts w:cstheme="majorHAnsi"/>
          <w:lang w:eastAsia="en-AU"/>
        </w:rPr>
        <w:t>–</w:t>
      </w:r>
      <w:r w:rsidR="00731CEA" w:rsidRPr="00CF5050">
        <w:t>Australia Comprehensive Economic Partnership Agreement</w:t>
      </w:r>
      <w:r w:rsidRPr="00FA2C26">
        <w:rPr>
          <w:lang w:eastAsia="en-AU"/>
        </w:rPr>
        <w:t xml:space="preserve"> (IA-CEPA)</w:t>
      </w:r>
      <w:r w:rsidR="00C204DC">
        <w:rPr>
          <w:rStyle w:val="EndnoteReference"/>
          <w:lang w:eastAsia="en-AU"/>
        </w:rPr>
        <w:endnoteReference w:id="3"/>
      </w:r>
      <w:r w:rsidRPr="00FA2C26">
        <w:rPr>
          <w:lang w:eastAsia="en-AU"/>
        </w:rPr>
        <w:t xml:space="preserve"> and </w:t>
      </w:r>
      <w:r w:rsidR="007E000A" w:rsidRPr="00CF5050">
        <w:t>Invested: Australia’s Southeast Asia Economic Strategy to 2040</w:t>
      </w:r>
      <w:r w:rsidR="00CD0ABA">
        <w:rPr>
          <w:rFonts w:cstheme="majorHAnsi"/>
          <w:lang w:eastAsia="en-AU"/>
        </w:rPr>
        <w:t>,</w:t>
      </w:r>
      <w:r w:rsidR="00CD0ABA">
        <w:rPr>
          <w:rStyle w:val="EndnoteReference"/>
          <w:rFonts w:cstheme="majorHAnsi"/>
          <w:lang w:eastAsia="en-AU"/>
        </w:rPr>
        <w:endnoteReference w:id="4"/>
      </w:r>
      <w:r w:rsidRPr="00FA2C26">
        <w:rPr>
          <w:lang w:eastAsia="en-AU"/>
        </w:rPr>
        <w:t xml:space="preserve"> and to supporting Indonesia’s development ambitions as articulated in its </w:t>
      </w:r>
      <w:r w:rsidR="00F51D9E" w:rsidRPr="00CF5050">
        <w:rPr>
          <w:rStyle w:val="Hyperlink"/>
          <w:rFonts w:cstheme="majorHAnsi"/>
          <w:color w:val="auto"/>
          <w:u w:val="none"/>
          <w:lang w:eastAsia="en-AU"/>
        </w:rPr>
        <w:t>N</w:t>
      </w:r>
      <w:r w:rsidR="00355044" w:rsidRPr="00CF5050">
        <w:t xml:space="preserve">ational </w:t>
      </w:r>
      <w:r w:rsidR="00F51D9E">
        <w:rPr>
          <w:rFonts w:cstheme="majorHAnsi"/>
          <w:lang w:eastAsia="en-AU"/>
        </w:rPr>
        <w:t>L</w:t>
      </w:r>
      <w:r w:rsidR="00355044" w:rsidRPr="00CF5050">
        <w:t>ong-</w:t>
      </w:r>
      <w:r w:rsidR="00F51D9E">
        <w:rPr>
          <w:rFonts w:cstheme="majorHAnsi"/>
          <w:lang w:eastAsia="en-AU"/>
        </w:rPr>
        <w:t>T</w:t>
      </w:r>
      <w:r w:rsidR="00355044" w:rsidRPr="00CF5050">
        <w:t xml:space="preserve">erm </w:t>
      </w:r>
      <w:r w:rsidR="00F51D9E">
        <w:rPr>
          <w:rFonts w:cstheme="majorHAnsi"/>
          <w:lang w:eastAsia="en-AU"/>
        </w:rPr>
        <w:t>D</w:t>
      </w:r>
      <w:r w:rsidR="00355044" w:rsidRPr="00CF5050">
        <w:t xml:space="preserve">evelopment </w:t>
      </w:r>
      <w:r w:rsidR="00F51D9E">
        <w:rPr>
          <w:rFonts w:cstheme="majorHAnsi"/>
          <w:lang w:eastAsia="en-AU"/>
        </w:rPr>
        <w:t>P</w:t>
      </w:r>
      <w:r w:rsidR="00355044" w:rsidRPr="00CF5050">
        <w:t>lan 2025</w:t>
      </w:r>
      <w:r w:rsidR="00355044">
        <w:rPr>
          <w:rFonts w:cstheme="majorHAnsi"/>
          <w:lang w:eastAsia="en-AU"/>
        </w:rPr>
        <w:t>–</w:t>
      </w:r>
      <w:r w:rsidR="00355044" w:rsidRPr="00CF5050">
        <w:t>2045</w:t>
      </w:r>
      <w:r w:rsidR="00615B69">
        <w:t xml:space="preserve"> </w:t>
      </w:r>
      <w:r w:rsidR="00D12B18" w:rsidRPr="00CF5050">
        <w:rPr>
          <w:rStyle w:val="Hyperlink"/>
          <w:rFonts w:cstheme="majorHAnsi"/>
          <w:color w:val="auto"/>
          <w:u w:val="none"/>
          <w:lang w:eastAsia="en-AU"/>
        </w:rPr>
        <w:t>–</w:t>
      </w:r>
      <w:r w:rsidR="00615B69" w:rsidRPr="00CF5050">
        <w:rPr>
          <w:rStyle w:val="Hyperlink"/>
          <w:rFonts w:cstheme="majorHAnsi"/>
          <w:color w:val="auto"/>
          <w:u w:val="none"/>
          <w:lang w:eastAsia="en-AU"/>
        </w:rPr>
        <w:t xml:space="preserve"> </w:t>
      </w:r>
      <w:proofErr w:type="spellStart"/>
      <w:r w:rsidR="00615B69" w:rsidRPr="00CF5050">
        <w:rPr>
          <w:rStyle w:val="Hyperlink"/>
          <w:rFonts w:cstheme="majorHAnsi"/>
          <w:i/>
          <w:iCs/>
          <w:color w:val="auto"/>
          <w:u w:val="none"/>
          <w:lang w:eastAsia="en-AU"/>
        </w:rPr>
        <w:t>Rencana</w:t>
      </w:r>
      <w:proofErr w:type="spellEnd"/>
      <w:r w:rsidR="00615B69" w:rsidRPr="00CF5050">
        <w:rPr>
          <w:rStyle w:val="Hyperlink"/>
          <w:rFonts w:cstheme="majorHAnsi"/>
          <w:i/>
          <w:iCs/>
          <w:color w:val="auto"/>
          <w:u w:val="none"/>
          <w:lang w:eastAsia="en-AU"/>
        </w:rPr>
        <w:t xml:space="preserve"> Pembangunan </w:t>
      </w:r>
      <w:proofErr w:type="spellStart"/>
      <w:r w:rsidR="00615B69" w:rsidRPr="00CF5050">
        <w:rPr>
          <w:rStyle w:val="Hyperlink"/>
          <w:rFonts w:cstheme="majorHAnsi"/>
          <w:i/>
          <w:iCs/>
          <w:color w:val="auto"/>
          <w:u w:val="none"/>
          <w:lang w:eastAsia="en-AU"/>
        </w:rPr>
        <w:t>Jangka</w:t>
      </w:r>
      <w:proofErr w:type="spellEnd"/>
      <w:r w:rsidR="00615B69" w:rsidRPr="00CF5050">
        <w:rPr>
          <w:rStyle w:val="Hyperlink"/>
          <w:rFonts w:cstheme="majorHAnsi"/>
          <w:i/>
          <w:iCs/>
          <w:color w:val="auto"/>
          <w:u w:val="none"/>
          <w:lang w:eastAsia="en-AU"/>
        </w:rPr>
        <w:t xml:space="preserve"> Panjang Nasional</w:t>
      </w:r>
      <w:r w:rsidR="00615B69" w:rsidRPr="00CF5050">
        <w:rPr>
          <w:rStyle w:val="Hyperlink"/>
          <w:rFonts w:cstheme="majorHAnsi"/>
          <w:color w:val="auto"/>
          <w:u w:val="none"/>
          <w:lang w:eastAsia="en-AU"/>
        </w:rPr>
        <w:t xml:space="preserve"> </w:t>
      </w:r>
      <w:r w:rsidR="00615B69" w:rsidRPr="00CF5050">
        <w:rPr>
          <w:rStyle w:val="Hyperlink"/>
          <w:rFonts w:cstheme="majorHAnsi"/>
          <w:i/>
          <w:iCs/>
          <w:color w:val="auto"/>
          <w:u w:val="none"/>
          <w:lang w:eastAsia="en-AU"/>
        </w:rPr>
        <w:t>2025</w:t>
      </w:r>
      <w:r w:rsidR="00D12B18" w:rsidRPr="00CF5050">
        <w:rPr>
          <w:rStyle w:val="Hyperlink"/>
          <w:rFonts w:cstheme="majorHAnsi"/>
          <w:i/>
          <w:iCs/>
          <w:color w:val="auto"/>
          <w:u w:val="none"/>
          <w:lang w:eastAsia="en-AU"/>
        </w:rPr>
        <w:t>–</w:t>
      </w:r>
      <w:r w:rsidR="00615B69" w:rsidRPr="00CF5050">
        <w:rPr>
          <w:rStyle w:val="Hyperlink"/>
          <w:rFonts w:cstheme="majorHAnsi"/>
          <w:i/>
          <w:iCs/>
          <w:color w:val="auto"/>
          <w:u w:val="none"/>
          <w:lang w:eastAsia="en-AU"/>
        </w:rPr>
        <w:t>2045</w:t>
      </w:r>
      <w:r w:rsidR="00AE61D1" w:rsidRPr="00CF5050">
        <w:rPr>
          <w:rStyle w:val="Hyperlink"/>
          <w:rFonts w:cstheme="majorHAnsi"/>
          <w:i/>
          <w:iCs/>
          <w:color w:val="auto"/>
          <w:u w:val="none"/>
          <w:lang w:eastAsia="en-AU"/>
        </w:rPr>
        <w:t xml:space="preserve"> </w:t>
      </w:r>
      <w:r w:rsidR="00AE61D1" w:rsidRPr="00CF5050">
        <w:rPr>
          <w:rStyle w:val="Hyperlink"/>
          <w:rFonts w:cstheme="majorHAnsi"/>
          <w:color w:val="auto"/>
          <w:u w:val="none"/>
          <w:lang w:eastAsia="en-AU"/>
        </w:rPr>
        <w:t>(RPJPN)</w:t>
      </w:r>
      <w:r w:rsidRPr="00FA2C26">
        <w:rPr>
          <w:lang w:eastAsia="en-AU"/>
        </w:rPr>
        <w:t>.</w:t>
      </w:r>
      <w:r w:rsidR="00355044">
        <w:rPr>
          <w:rStyle w:val="EndnoteReference"/>
          <w:lang w:eastAsia="en-AU"/>
        </w:rPr>
        <w:endnoteReference w:id="5"/>
      </w:r>
      <w:r w:rsidRPr="00FA2C26">
        <w:rPr>
          <w:lang w:eastAsia="en-AU"/>
        </w:rPr>
        <w:t xml:space="preserve"> As a major economy in the region and globally, Australia sees Indonesia’s success as pivotal to the success of our region. </w:t>
      </w:r>
    </w:p>
    <w:p w14:paraId="39379F42" w14:textId="77777777" w:rsidR="00DA6629" w:rsidRPr="00CF5050" w:rsidRDefault="002F4955" w:rsidP="00773333">
      <w:pPr>
        <w:pStyle w:val="H3-Heading3"/>
      </w:pPr>
      <w:r w:rsidRPr="00CF5050">
        <w:t>Purpose of the Development Partnership Plan</w:t>
      </w:r>
    </w:p>
    <w:p w14:paraId="74D6F2C1" w14:textId="0EA2F0DC" w:rsidR="009C32A5" w:rsidRDefault="009C32A5" w:rsidP="009C32A5">
      <w:pPr>
        <w:rPr>
          <w:color w:val="313E48"/>
          <w:lang w:eastAsia="en-AU"/>
        </w:rPr>
      </w:pPr>
      <w:r w:rsidRPr="6DEF3CB4">
        <w:rPr>
          <w:lang w:eastAsia="en-AU"/>
        </w:rPr>
        <w:t xml:space="preserve">Australia’s </w:t>
      </w:r>
      <w:hyperlink r:id="rId11">
        <w:r w:rsidR="00031BFA" w:rsidRPr="00CF5050">
          <w:rPr>
            <w:rStyle w:val="Hyperlink"/>
          </w:rPr>
          <w:t>I</w:t>
        </w:r>
        <w:r w:rsidRPr="00CF5050">
          <w:rPr>
            <w:rStyle w:val="Hyperlink"/>
          </w:rPr>
          <w:t xml:space="preserve">nternational </w:t>
        </w:r>
        <w:r w:rsidR="00031BFA" w:rsidRPr="00CF5050">
          <w:rPr>
            <w:rStyle w:val="Hyperlink"/>
          </w:rPr>
          <w:t>D</w:t>
        </w:r>
        <w:r w:rsidRPr="00CF5050">
          <w:rPr>
            <w:rStyle w:val="Hyperlink"/>
          </w:rPr>
          <w:t xml:space="preserve">evelopment </w:t>
        </w:r>
        <w:r w:rsidR="00031BFA" w:rsidRPr="00CF5050">
          <w:rPr>
            <w:rStyle w:val="Hyperlink"/>
          </w:rPr>
          <w:t>P</w:t>
        </w:r>
        <w:r w:rsidRPr="00CF5050">
          <w:rPr>
            <w:rStyle w:val="Hyperlink"/>
          </w:rPr>
          <w:t>olicy</w:t>
        </w:r>
      </w:hyperlink>
      <w:r w:rsidRPr="6DEF3CB4">
        <w:rPr>
          <w:lang w:eastAsia="en-AU"/>
        </w:rPr>
        <w:t xml:space="preserve"> presents a long-term vision for how the development program will meet the critical needs of our partners</w:t>
      </w:r>
      <w:r w:rsidRPr="6DEF3CB4">
        <w:rPr>
          <w:rFonts w:eastAsia="Calibri Light"/>
        </w:rPr>
        <w:t>, support sustainable development and help lift people out of poverty</w:t>
      </w:r>
      <w:r w:rsidRPr="6DEF3CB4">
        <w:rPr>
          <w:lang w:eastAsia="en-AU"/>
        </w:rPr>
        <w:t>. Australia seeks relationships based on respect and partnerships that create economic and social value for us all. To achieve this, Australia supports our partners to:</w:t>
      </w:r>
    </w:p>
    <w:p w14:paraId="78EC0C5E" w14:textId="40C94E8C" w:rsidR="00DA6629" w:rsidRPr="00FA2C26" w:rsidRDefault="009C32A5" w:rsidP="00CF5050">
      <w:pPr>
        <w:pStyle w:val="NormalBullets-L1"/>
        <w:numPr>
          <w:ilvl w:val="0"/>
          <w:numId w:val="2"/>
        </w:numPr>
      </w:pPr>
      <w:r>
        <w:t>b</w:t>
      </w:r>
      <w:r w:rsidR="00DA6629" w:rsidRPr="00FA2C26">
        <w:t xml:space="preserve">uild effective, accountable states that drive their own </w:t>
      </w:r>
      <w:proofErr w:type="gramStart"/>
      <w:r w:rsidR="00DA6629" w:rsidRPr="00FA2C26">
        <w:t>development</w:t>
      </w:r>
      <w:proofErr w:type="gramEnd"/>
    </w:p>
    <w:p w14:paraId="12A37A99" w14:textId="05D72635" w:rsidR="00DA6629" w:rsidRPr="00FA2C26" w:rsidRDefault="009C32A5" w:rsidP="00CF5050">
      <w:pPr>
        <w:pStyle w:val="NormalBullets-L1"/>
        <w:numPr>
          <w:ilvl w:val="0"/>
          <w:numId w:val="2"/>
        </w:numPr>
      </w:pPr>
      <w:r>
        <w:t>e</w:t>
      </w:r>
      <w:r w:rsidR="00DA6629" w:rsidRPr="00FA2C26">
        <w:t xml:space="preserve">nhance state and community resilience to external pressures and </w:t>
      </w:r>
      <w:proofErr w:type="gramStart"/>
      <w:r w:rsidR="00DA6629" w:rsidRPr="00FA2C26">
        <w:t>shocks</w:t>
      </w:r>
      <w:proofErr w:type="gramEnd"/>
    </w:p>
    <w:p w14:paraId="24A2EA38" w14:textId="29E16E76" w:rsidR="00DA6629" w:rsidRPr="00FA2C26" w:rsidRDefault="009C32A5" w:rsidP="00CF5050">
      <w:pPr>
        <w:pStyle w:val="NormalBullets-L1"/>
        <w:numPr>
          <w:ilvl w:val="0"/>
          <w:numId w:val="2"/>
        </w:numPr>
      </w:pPr>
      <w:r>
        <w:t>c</w:t>
      </w:r>
      <w:r w:rsidR="00DA6629" w:rsidRPr="00FA2C26">
        <w:t xml:space="preserve">onnect with Australia and regional </w:t>
      </w:r>
      <w:proofErr w:type="gramStart"/>
      <w:r w:rsidR="00DA6629" w:rsidRPr="00FA2C26">
        <w:t>architecture</w:t>
      </w:r>
      <w:proofErr w:type="gramEnd"/>
    </w:p>
    <w:p w14:paraId="19002762" w14:textId="485768FA" w:rsidR="00DA6629" w:rsidRPr="00FA2C26" w:rsidRDefault="009C32A5" w:rsidP="00CF5050">
      <w:pPr>
        <w:pStyle w:val="NormalBullets-L1"/>
        <w:numPr>
          <w:ilvl w:val="0"/>
          <w:numId w:val="2"/>
        </w:numPr>
      </w:pPr>
      <w:r>
        <w:t>g</w:t>
      </w:r>
      <w:r w:rsidR="00DA6629" w:rsidRPr="00FA2C26">
        <w:t>enerate collective action on global challenges that impact us and our region.</w:t>
      </w:r>
    </w:p>
    <w:p w14:paraId="41716414" w14:textId="0AFF9445" w:rsidR="00FB18A1" w:rsidRDefault="00DA6629" w:rsidP="00FB18A1">
      <w:pPr>
        <w:rPr>
          <w:color w:val="313E48"/>
          <w:lang w:eastAsia="en-AU"/>
        </w:rPr>
      </w:pPr>
      <w:r w:rsidRPr="00FA2C26">
        <w:rPr>
          <w:lang w:eastAsia="en-AU"/>
        </w:rPr>
        <w:t xml:space="preserve">The </w:t>
      </w:r>
      <w:r w:rsidRPr="00CF5050">
        <w:t>Australia</w:t>
      </w:r>
      <w:r w:rsidR="009C32A5">
        <w:t>–</w:t>
      </w:r>
      <w:r w:rsidRPr="00CF5050">
        <w:t>Indonesia Development Partnership Plan 2024</w:t>
      </w:r>
      <w:r w:rsidR="004D77D0">
        <w:t>–</w:t>
      </w:r>
      <w:r w:rsidRPr="00CF5050">
        <w:t>2028</w:t>
      </w:r>
      <w:r w:rsidRPr="00FA2C26">
        <w:rPr>
          <w:lang w:eastAsia="en-AU"/>
        </w:rPr>
        <w:t xml:space="preserve"> (DPP) </w:t>
      </w:r>
      <w:r w:rsidR="00827140" w:rsidRPr="4C79EA4E">
        <w:rPr>
          <w:lang w:eastAsia="en-AU"/>
        </w:rPr>
        <w:t xml:space="preserve">translates into action the development priorities Australia shares with </w:t>
      </w:r>
      <w:r w:rsidR="00827140">
        <w:rPr>
          <w:lang w:eastAsia="en-AU"/>
        </w:rPr>
        <w:t xml:space="preserve">Indonesia. </w:t>
      </w:r>
      <w:r w:rsidR="00FB2D14" w:rsidRPr="4C79EA4E">
        <w:rPr>
          <w:lang w:eastAsia="en-AU"/>
        </w:rPr>
        <w:t xml:space="preserve">The DPP sets out agreed objectives, how we will work together to </w:t>
      </w:r>
      <w:r w:rsidR="00A52590">
        <w:rPr>
          <w:lang w:eastAsia="en-AU"/>
        </w:rPr>
        <w:t xml:space="preserve">deliver shared outcomes, </w:t>
      </w:r>
      <w:r w:rsidR="00FB2D14" w:rsidRPr="4C79EA4E">
        <w:rPr>
          <w:lang w:eastAsia="en-AU"/>
        </w:rPr>
        <w:t xml:space="preserve">and how progress will be monitored. </w:t>
      </w:r>
      <w:r w:rsidRPr="00FA2C26">
        <w:rPr>
          <w:lang w:eastAsia="en-AU"/>
        </w:rPr>
        <w:t xml:space="preserve">It also </w:t>
      </w:r>
      <w:r w:rsidR="00FB2D14">
        <w:rPr>
          <w:lang w:eastAsia="en-AU"/>
        </w:rPr>
        <w:t xml:space="preserve">identifies </w:t>
      </w:r>
      <w:r w:rsidR="00A743B7" w:rsidRPr="4C79EA4E">
        <w:rPr>
          <w:lang w:eastAsia="en-AU"/>
        </w:rPr>
        <w:t xml:space="preserve">where Australia can add value to </w:t>
      </w:r>
      <w:r w:rsidR="00A743B7">
        <w:rPr>
          <w:lang w:eastAsia="en-AU"/>
        </w:rPr>
        <w:t xml:space="preserve">Indonesia’s </w:t>
      </w:r>
      <w:r w:rsidR="00A743B7" w:rsidRPr="4C79EA4E">
        <w:rPr>
          <w:lang w:eastAsia="en-AU"/>
        </w:rPr>
        <w:t>national development priorities and</w:t>
      </w:r>
      <w:r w:rsidR="00FB18A1">
        <w:rPr>
          <w:lang w:eastAsia="en-AU"/>
        </w:rPr>
        <w:t xml:space="preserve"> </w:t>
      </w:r>
      <w:r w:rsidR="00FB18A1" w:rsidRPr="4C79EA4E">
        <w:rPr>
          <w:lang w:eastAsia="en-AU"/>
        </w:rPr>
        <w:t xml:space="preserve">how Australia will work with other development actors, ensuring Australia’s contribution to </w:t>
      </w:r>
      <w:r w:rsidR="00FB18A1">
        <w:rPr>
          <w:lang w:eastAsia="en-AU"/>
        </w:rPr>
        <w:t xml:space="preserve">Indonesia’s </w:t>
      </w:r>
      <w:r w:rsidR="00FB18A1" w:rsidRPr="4C79EA4E">
        <w:rPr>
          <w:lang w:eastAsia="en-AU"/>
        </w:rPr>
        <w:t>development ambitions is well-coordinated.</w:t>
      </w:r>
      <w:r w:rsidR="00A52DA6" w:rsidRPr="4C79EA4E" w:rsidDel="00A52DA6">
        <w:rPr>
          <w:lang w:eastAsia="en-AU"/>
        </w:rPr>
        <w:t xml:space="preserve"> </w:t>
      </w:r>
    </w:p>
    <w:p w14:paraId="5F6FBAF7" w14:textId="12E61179" w:rsidR="00DA6629" w:rsidRDefault="00DA6629" w:rsidP="003A1353">
      <w:pPr>
        <w:rPr>
          <w:lang w:eastAsia="en-AU"/>
        </w:rPr>
      </w:pPr>
      <w:r w:rsidRPr="00FA2C26">
        <w:rPr>
          <w:lang w:eastAsia="en-AU"/>
        </w:rPr>
        <w:t xml:space="preserve">The DPP reflects </w:t>
      </w:r>
      <w:r w:rsidRPr="00FA2C26">
        <w:rPr>
          <w:rFonts w:eastAsia="Calibri Light"/>
        </w:rPr>
        <w:t xml:space="preserve">the full spectrum of Australia’s development support – </w:t>
      </w:r>
      <w:r w:rsidR="00AF1132">
        <w:rPr>
          <w:rFonts w:eastAsia="Calibri Light"/>
        </w:rPr>
        <w:t xml:space="preserve">Australian Government </w:t>
      </w:r>
      <w:r w:rsidRPr="00FA2C26">
        <w:rPr>
          <w:lang w:eastAsia="en-AU"/>
        </w:rPr>
        <w:t>bilateral</w:t>
      </w:r>
      <w:r w:rsidR="002C3155">
        <w:rPr>
          <w:lang w:eastAsia="en-AU"/>
        </w:rPr>
        <w:t xml:space="preserve"> </w:t>
      </w:r>
      <w:r w:rsidRPr="00FA2C26">
        <w:rPr>
          <w:lang w:eastAsia="en-AU"/>
        </w:rPr>
        <w:t xml:space="preserve">Official Development Assistance (ODA) </w:t>
      </w:r>
      <w:r w:rsidR="0012756A">
        <w:rPr>
          <w:lang w:eastAsia="en-AU"/>
        </w:rPr>
        <w:t xml:space="preserve">as well as significant regional and global ODA </w:t>
      </w:r>
      <w:r w:rsidRPr="00FA2C26">
        <w:rPr>
          <w:lang w:eastAsia="en-AU"/>
        </w:rPr>
        <w:t>and non-ODA</w:t>
      </w:r>
      <w:r w:rsidR="0068072D">
        <w:rPr>
          <w:lang w:eastAsia="en-AU"/>
        </w:rPr>
        <w:t xml:space="preserve"> development activities.</w:t>
      </w:r>
      <w:r w:rsidR="0068072D" w:rsidRPr="00FA2C26" w:rsidDel="0068072D">
        <w:rPr>
          <w:lang w:eastAsia="en-AU"/>
        </w:rPr>
        <w:t xml:space="preserve"> </w:t>
      </w:r>
      <w:r w:rsidR="00A52DA6" w:rsidRPr="007C499F">
        <w:rPr>
          <w:lang w:eastAsia="en-AU"/>
        </w:rPr>
        <w:t>A commitment to ongoing dialogue and engagement with government</w:t>
      </w:r>
      <w:r w:rsidR="00E07411">
        <w:rPr>
          <w:lang w:eastAsia="en-AU"/>
        </w:rPr>
        <w:t>, civil society representatives</w:t>
      </w:r>
      <w:r w:rsidR="000D506A">
        <w:rPr>
          <w:lang w:eastAsia="en-AU"/>
        </w:rPr>
        <w:t xml:space="preserve"> and </w:t>
      </w:r>
      <w:r w:rsidR="00E07411">
        <w:rPr>
          <w:lang w:eastAsia="en-AU"/>
        </w:rPr>
        <w:t>other development partners</w:t>
      </w:r>
      <w:r w:rsidR="00A52DA6" w:rsidRPr="007C499F">
        <w:rPr>
          <w:lang w:eastAsia="en-AU"/>
        </w:rPr>
        <w:t xml:space="preserve"> in support of a genuine and respectful partnership underpins this DPP. A mid-cycle review of the DPP will be undertaken.</w:t>
      </w:r>
      <w:r w:rsidRPr="00FA2C26">
        <w:rPr>
          <w:lang w:eastAsia="en-AU"/>
        </w:rPr>
        <w:t xml:space="preserve"> </w:t>
      </w:r>
    </w:p>
    <w:p w14:paraId="06CF6737" w14:textId="77777777" w:rsidR="00742DD0" w:rsidRPr="00742DD0" w:rsidRDefault="00742DD0" w:rsidP="00535DC2">
      <w:pPr>
        <w:rPr>
          <w:lang w:eastAsia="en-AU"/>
        </w:rPr>
      </w:pPr>
      <w:r w:rsidRPr="00742DD0">
        <w:rPr>
          <w:lang w:eastAsia="en-AU"/>
        </w:rPr>
        <w:t>The DPP explains how the Australia–Indonesia development partnership meets our shared ambitions, including by:</w:t>
      </w:r>
    </w:p>
    <w:p w14:paraId="5C946D08" w14:textId="58E45461" w:rsidR="00C508F3" w:rsidRDefault="00575BD0" w:rsidP="00CF5050">
      <w:pPr>
        <w:pStyle w:val="NormalBullets-L1"/>
      </w:pPr>
      <w:r>
        <w:t xml:space="preserve">supporting equitable and sustainable economic </w:t>
      </w:r>
      <w:r w:rsidR="008D3611">
        <w:t xml:space="preserve">transformation, </w:t>
      </w:r>
      <w:r w:rsidR="00974C65">
        <w:t>so</w:t>
      </w:r>
      <w:r w:rsidR="008D3611">
        <w:t xml:space="preserve"> the benefits of development are shared by all, including women</w:t>
      </w:r>
      <w:r w:rsidR="00923E2C">
        <w:t xml:space="preserve"> and people with </w:t>
      </w:r>
      <w:proofErr w:type="gramStart"/>
      <w:r w:rsidR="00923E2C">
        <w:t>disabilities</w:t>
      </w:r>
      <w:proofErr w:type="gramEnd"/>
    </w:p>
    <w:p w14:paraId="5DB754F6" w14:textId="04982A1E" w:rsidR="00742DD0" w:rsidRPr="00912292" w:rsidRDefault="00742DD0" w:rsidP="00CF5050">
      <w:pPr>
        <w:pStyle w:val="NormalBullets-L1"/>
      </w:pPr>
      <w:r w:rsidRPr="00742DD0">
        <w:t xml:space="preserve">tackling the causes of climate change, with a focus on </w:t>
      </w:r>
      <w:r w:rsidRPr="00912292">
        <w:t>energy transition, and preparing for and adapting to the impacts of climate change</w:t>
      </w:r>
    </w:p>
    <w:p w14:paraId="5D43531B" w14:textId="77777777" w:rsidR="00742DD0" w:rsidRPr="00912292" w:rsidRDefault="00742DD0" w:rsidP="00CF5050">
      <w:pPr>
        <w:pStyle w:val="NormalBullets-L1"/>
      </w:pPr>
      <w:r w:rsidRPr="00912292">
        <w:lastRenderedPageBreak/>
        <w:t xml:space="preserve">building broader and deeper links </w:t>
      </w:r>
      <w:r w:rsidRPr="000726E9">
        <w:t>between</w:t>
      </w:r>
      <w:r w:rsidRPr="00912292">
        <w:t xml:space="preserve"> Australian and Indonesian institutions as part of our development efforts</w:t>
      </w:r>
    </w:p>
    <w:p w14:paraId="7AD828AB" w14:textId="7BEFFDC4" w:rsidR="00742DD0" w:rsidRPr="00912292" w:rsidRDefault="00742DD0" w:rsidP="00CF5050">
      <w:pPr>
        <w:pStyle w:val="NormalBullets-L1"/>
      </w:pPr>
      <w:r w:rsidRPr="00912292">
        <w:t xml:space="preserve">supporting efforts to ‘crowd in’ additional finance from </w:t>
      </w:r>
      <w:r w:rsidR="00DC0A3C" w:rsidRPr="00912292">
        <w:t>private sector</w:t>
      </w:r>
      <w:r w:rsidR="00DC0A3C">
        <w:t>,</w:t>
      </w:r>
      <w:r w:rsidR="00DC0A3C" w:rsidRPr="00912292">
        <w:t xml:space="preserve"> </w:t>
      </w:r>
      <w:r w:rsidRPr="00912292">
        <w:t xml:space="preserve">international financial </w:t>
      </w:r>
      <w:proofErr w:type="gramStart"/>
      <w:r w:rsidRPr="00912292">
        <w:t>institutions</w:t>
      </w:r>
      <w:proofErr w:type="gramEnd"/>
      <w:r w:rsidRPr="00912292">
        <w:t xml:space="preserve"> and other multilateral </w:t>
      </w:r>
      <w:r w:rsidR="003C637C">
        <w:t>organisations</w:t>
      </w:r>
    </w:p>
    <w:p w14:paraId="519D1D9C" w14:textId="77777777" w:rsidR="00742DD0" w:rsidRPr="00912292" w:rsidRDefault="00742DD0" w:rsidP="00CF5050">
      <w:pPr>
        <w:pStyle w:val="NormalBullets-L1"/>
      </w:pPr>
      <w:r w:rsidRPr="00912292">
        <w:t xml:space="preserve">focusing our infrastructure support on strengthened planning, with the goal of attracting new forms of </w:t>
      </w:r>
      <w:proofErr w:type="gramStart"/>
      <w:r w:rsidRPr="00912292">
        <w:t>finance</w:t>
      </w:r>
      <w:proofErr w:type="gramEnd"/>
    </w:p>
    <w:p w14:paraId="1385BC52" w14:textId="77777777" w:rsidR="00742DD0" w:rsidRPr="00912292" w:rsidRDefault="00742DD0" w:rsidP="00CF5050">
      <w:pPr>
        <w:pStyle w:val="NormalBullets-L1"/>
      </w:pPr>
      <w:r w:rsidRPr="00912292">
        <w:t xml:space="preserve">supporting Indonesia’s Health Transformation Agenda reforms through the design of a new, larger bilateral health program to launch in </w:t>
      </w:r>
      <w:proofErr w:type="gramStart"/>
      <w:r w:rsidRPr="00912292">
        <w:t>2025</w:t>
      </w:r>
      <w:proofErr w:type="gramEnd"/>
    </w:p>
    <w:p w14:paraId="559B7B22" w14:textId="059D04F2" w:rsidR="00D0145E" w:rsidRPr="00CF5050" w:rsidRDefault="00742DD0" w:rsidP="00CF5050">
      <w:pPr>
        <w:pStyle w:val="NormalBullets-L1"/>
      </w:pPr>
      <w:r w:rsidRPr="00912292">
        <w:t>renewing and elevating our commitment to locally le</w:t>
      </w:r>
      <w:r w:rsidRPr="00742DD0">
        <w:t>d development.</w:t>
      </w:r>
    </w:p>
    <w:p w14:paraId="78078B01" w14:textId="77777777" w:rsidR="002F4955" w:rsidRPr="00CF5050" w:rsidRDefault="002F4955" w:rsidP="00773333">
      <w:pPr>
        <w:pStyle w:val="H3-Heading3"/>
      </w:pPr>
      <w:r w:rsidRPr="00CF5050">
        <w:t>Preparing the Development Partnership Plan</w:t>
      </w:r>
    </w:p>
    <w:p w14:paraId="70113C4A" w14:textId="1F391C49" w:rsidR="00DA6629" w:rsidRPr="00FA2C26" w:rsidRDefault="00FE5DA3" w:rsidP="00221EFA">
      <w:pPr>
        <w:rPr>
          <w:szCs w:val="21"/>
          <w:lang w:eastAsia="en-AU"/>
        </w:rPr>
      </w:pPr>
      <w:r w:rsidRPr="00CF5050">
        <w:rPr>
          <w:rFonts w:cstheme="majorHAnsi"/>
          <w:lang w:eastAsia="en-AU"/>
        </w:rPr>
        <w:t xml:space="preserve">This DPP is informed by Indonesia’s </w:t>
      </w:r>
      <w:r w:rsidR="00EE0F7C">
        <w:rPr>
          <w:rFonts w:cstheme="majorHAnsi"/>
          <w:lang w:eastAsia="en-AU"/>
        </w:rPr>
        <w:t>N</w:t>
      </w:r>
      <w:r w:rsidRPr="00CF5050">
        <w:rPr>
          <w:rFonts w:cstheme="majorHAnsi"/>
          <w:lang w:eastAsia="en-AU"/>
        </w:rPr>
        <w:t xml:space="preserve">ational </w:t>
      </w:r>
      <w:r w:rsidR="00EE0F7C">
        <w:rPr>
          <w:rFonts w:cstheme="majorHAnsi"/>
          <w:lang w:eastAsia="en-AU"/>
        </w:rPr>
        <w:t>L</w:t>
      </w:r>
      <w:r w:rsidRPr="00CF5050">
        <w:rPr>
          <w:rFonts w:cstheme="majorHAnsi"/>
          <w:lang w:eastAsia="en-AU"/>
        </w:rPr>
        <w:t>ong</w:t>
      </w:r>
      <w:r w:rsidR="007E77BA">
        <w:rPr>
          <w:rFonts w:cstheme="majorHAnsi"/>
          <w:lang w:eastAsia="en-AU"/>
        </w:rPr>
        <w:t>-</w:t>
      </w:r>
      <w:r w:rsidR="00EE0F7C">
        <w:rPr>
          <w:rFonts w:cstheme="majorHAnsi"/>
          <w:lang w:eastAsia="en-AU"/>
        </w:rPr>
        <w:t>T</w:t>
      </w:r>
      <w:r w:rsidRPr="00CF5050">
        <w:rPr>
          <w:rFonts w:cstheme="majorHAnsi"/>
          <w:lang w:eastAsia="en-AU"/>
        </w:rPr>
        <w:t xml:space="preserve">erm </w:t>
      </w:r>
      <w:r w:rsidR="00EE0F7C">
        <w:rPr>
          <w:rFonts w:cstheme="majorHAnsi"/>
          <w:lang w:eastAsia="en-AU"/>
        </w:rPr>
        <w:t>D</w:t>
      </w:r>
      <w:r w:rsidRPr="00CF5050">
        <w:rPr>
          <w:rFonts w:cstheme="majorHAnsi"/>
          <w:lang w:eastAsia="en-AU"/>
        </w:rPr>
        <w:t xml:space="preserve">evelopment </w:t>
      </w:r>
      <w:r w:rsidR="00EE0F7C">
        <w:rPr>
          <w:rFonts w:cstheme="majorHAnsi"/>
          <w:lang w:eastAsia="en-AU"/>
        </w:rPr>
        <w:t>P</w:t>
      </w:r>
      <w:r w:rsidRPr="00CF5050">
        <w:rPr>
          <w:rFonts w:cstheme="majorHAnsi"/>
          <w:lang w:eastAsia="en-AU"/>
        </w:rPr>
        <w:t>lan 2025</w:t>
      </w:r>
      <w:r w:rsidR="00EE0F7C">
        <w:rPr>
          <w:rFonts w:cstheme="majorHAnsi"/>
          <w:lang w:eastAsia="en-AU"/>
        </w:rPr>
        <w:t>–</w:t>
      </w:r>
      <w:r w:rsidRPr="00CF5050">
        <w:rPr>
          <w:rFonts w:cstheme="majorHAnsi"/>
          <w:lang w:eastAsia="en-AU"/>
        </w:rPr>
        <w:t>2045 (</w:t>
      </w:r>
      <w:r w:rsidR="0079662F">
        <w:rPr>
          <w:rFonts w:cstheme="majorHAnsi"/>
          <w:lang w:eastAsia="en-AU"/>
        </w:rPr>
        <w:t>RPJPN</w:t>
      </w:r>
      <w:r w:rsidR="00E07411">
        <w:rPr>
          <w:rFonts w:cstheme="majorHAnsi"/>
          <w:lang w:eastAsia="en-AU"/>
        </w:rPr>
        <w:t>)</w:t>
      </w:r>
      <w:r w:rsidRPr="00CF5050">
        <w:rPr>
          <w:rFonts w:cstheme="majorHAnsi"/>
          <w:lang w:eastAsia="en-AU"/>
        </w:rPr>
        <w:t xml:space="preserve"> and vision of achieving high-income country status by 2045 </w:t>
      </w:r>
      <w:r w:rsidR="00380D0D">
        <w:rPr>
          <w:rFonts w:cstheme="majorHAnsi"/>
          <w:lang w:eastAsia="en-AU"/>
        </w:rPr>
        <w:t>(</w:t>
      </w:r>
      <w:proofErr w:type="spellStart"/>
      <w:r w:rsidRPr="00CF5050">
        <w:rPr>
          <w:rFonts w:cstheme="majorHAnsi"/>
          <w:i/>
          <w:iCs/>
          <w:lang w:eastAsia="en-AU"/>
        </w:rPr>
        <w:t>Visi</w:t>
      </w:r>
      <w:proofErr w:type="spellEnd"/>
      <w:r w:rsidRPr="00CF5050">
        <w:rPr>
          <w:rFonts w:cstheme="majorHAnsi"/>
          <w:i/>
          <w:iCs/>
          <w:lang w:eastAsia="en-AU"/>
        </w:rPr>
        <w:t xml:space="preserve"> </w:t>
      </w:r>
      <w:r w:rsidR="00B549F3" w:rsidRPr="00CF5050">
        <w:rPr>
          <w:rFonts w:cstheme="majorHAnsi"/>
          <w:i/>
          <w:iCs/>
          <w:lang w:eastAsia="en-AU"/>
        </w:rPr>
        <w:t xml:space="preserve">Indonesia </w:t>
      </w:r>
      <w:proofErr w:type="spellStart"/>
      <w:r w:rsidR="00B549F3" w:rsidRPr="00CF5050">
        <w:rPr>
          <w:rFonts w:cstheme="majorHAnsi"/>
          <w:i/>
          <w:iCs/>
          <w:lang w:eastAsia="en-AU"/>
        </w:rPr>
        <w:t>Emas</w:t>
      </w:r>
      <w:proofErr w:type="spellEnd"/>
      <w:r w:rsidR="00B549F3" w:rsidRPr="00CF5050">
        <w:rPr>
          <w:rFonts w:cstheme="majorHAnsi"/>
          <w:i/>
          <w:iCs/>
          <w:lang w:eastAsia="en-AU"/>
        </w:rPr>
        <w:t xml:space="preserve"> </w:t>
      </w:r>
      <w:r w:rsidRPr="00CF5050">
        <w:rPr>
          <w:rFonts w:cstheme="majorHAnsi"/>
          <w:i/>
          <w:iCs/>
          <w:lang w:eastAsia="en-AU"/>
        </w:rPr>
        <w:t>2045</w:t>
      </w:r>
      <w:r w:rsidRPr="00CF5050">
        <w:rPr>
          <w:rFonts w:cstheme="majorHAnsi"/>
          <w:lang w:eastAsia="en-AU"/>
        </w:rPr>
        <w:t>).</w:t>
      </w:r>
      <w:r w:rsidRPr="00FA2C26">
        <w:rPr>
          <w:rFonts w:cstheme="majorHAnsi"/>
          <w:lang w:eastAsia="en-AU"/>
        </w:rPr>
        <w:t xml:space="preserve"> </w:t>
      </w:r>
      <w:r w:rsidR="00DA6629" w:rsidRPr="00FA2C26">
        <w:rPr>
          <w:lang w:eastAsia="en-AU"/>
        </w:rPr>
        <w:t xml:space="preserve">The DPP is </w:t>
      </w:r>
      <w:r w:rsidR="00DA6629" w:rsidRPr="00FA2C26">
        <w:rPr>
          <w:szCs w:val="21"/>
          <w:lang w:eastAsia="en-AU"/>
        </w:rPr>
        <w:t>underpinned by extensive consultations undertaken from 2022 to 2024 with a broad range of partners</w:t>
      </w:r>
      <w:r w:rsidR="00DD2F98">
        <w:rPr>
          <w:szCs w:val="21"/>
          <w:lang w:eastAsia="en-AU"/>
        </w:rPr>
        <w:t>,</w:t>
      </w:r>
      <w:r w:rsidR="00DA6629" w:rsidRPr="00FA2C26">
        <w:rPr>
          <w:szCs w:val="21"/>
          <w:lang w:eastAsia="en-AU"/>
        </w:rPr>
        <w:t xml:space="preserve"> including government, civil </w:t>
      </w:r>
      <w:proofErr w:type="gramStart"/>
      <w:r w:rsidR="00DA6629" w:rsidRPr="00FA2C26">
        <w:rPr>
          <w:szCs w:val="21"/>
          <w:lang w:eastAsia="en-AU"/>
        </w:rPr>
        <w:t>society</w:t>
      </w:r>
      <w:proofErr w:type="gramEnd"/>
      <w:r w:rsidR="00DA6629" w:rsidRPr="00FA2C26">
        <w:rPr>
          <w:szCs w:val="21"/>
          <w:lang w:eastAsia="en-AU"/>
        </w:rPr>
        <w:t xml:space="preserve"> and other development organisations. </w:t>
      </w:r>
      <w:r w:rsidR="00DD2F98">
        <w:rPr>
          <w:szCs w:val="21"/>
          <w:lang w:eastAsia="en-AU"/>
        </w:rPr>
        <w:t xml:space="preserve">More than </w:t>
      </w:r>
      <w:r w:rsidR="00DA6629" w:rsidRPr="00FA2C26">
        <w:rPr>
          <w:szCs w:val="21"/>
          <w:lang w:eastAsia="en-AU"/>
        </w:rPr>
        <w:t>200</w:t>
      </w:r>
      <w:r w:rsidR="00DD2F98">
        <w:rPr>
          <w:szCs w:val="21"/>
          <w:lang w:eastAsia="en-AU"/>
        </w:rPr>
        <w:t> </w:t>
      </w:r>
      <w:r w:rsidR="00DA6629" w:rsidRPr="00FA2C26">
        <w:rPr>
          <w:szCs w:val="21"/>
          <w:lang w:eastAsia="en-AU"/>
        </w:rPr>
        <w:t>individuals across 135</w:t>
      </w:r>
      <w:r w:rsidR="00DD2F98">
        <w:rPr>
          <w:szCs w:val="21"/>
          <w:lang w:eastAsia="en-AU"/>
        </w:rPr>
        <w:t> </w:t>
      </w:r>
      <w:r w:rsidR="00DA6629" w:rsidRPr="00FA2C26">
        <w:rPr>
          <w:szCs w:val="21"/>
          <w:lang w:eastAsia="en-AU"/>
        </w:rPr>
        <w:t>organisations were consulted in preparing the DPP.</w:t>
      </w:r>
    </w:p>
    <w:p w14:paraId="6042D6DF" w14:textId="40E736DF" w:rsidR="00DA6629" w:rsidRPr="00FA2C26" w:rsidRDefault="00DA6629" w:rsidP="00221EFA">
      <w:pPr>
        <w:rPr>
          <w:i/>
          <w:iCs/>
          <w:lang w:eastAsia="en-AU"/>
        </w:rPr>
      </w:pPr>
      <w:r w:rsidRPr="00FA2C26">
        <w:rPr>
          <w:lang w:eastAsia="en-AU"/>
        </w:rPr>
        <w:t>Senior representatives of the Government of Indonesia</w:t>
      </w:r>
      <w:r w:rsidR="00CD4DAA">
        <w:rPr>
          <w:lang w:eastAsia="en-AU"/>
        </w:rPr>
        <w:t xml:space="preserve"> </w:t>
      </w:r>
      <w:r w:rsidRPr="00FA2C26">
        <w:rPr>
          <w:lang w:eastAsia="en-AU"/>
        </w:rPr>
        <w:t>participated in a high-level small group discussion on the core aspects of this DPP. In consultations, the Government of Indonesia welcomed the flexibility and responsiveness of our partnership, in line with Indonesia’s development priorities and challenges. Maintaining support for service delivery in health and education are important for Indonesia. Our high-quality, international</w:t>
      </w:r>
      <w:r w:rsidR="00ED3791">
        <w:rPr>
          <w:lang w:eastAsia="en-AU"/>
        </w:rPr>
        <w:t xml:space="preserve">ly recognised </w:t>
      </w:r>
      <w:r w:rsidRPr="00FA2C26">
        <w:rPr>
          <w:lang w:eastAsia="en-AU"/>
        </w:rPr>
        <w:t>advice is highly valued. Whil</w:t>
      </w:r>
      <w:r w:rsidR="00231FE1">
        <w:rPr>
          <w:lang w:eastAsia="en-AU"/>
        </w:rPr>
        <w:t>e</w:t>
      </w:r>
      <w:r w:rsidRPr="00FA2C26">
        <w:rPr>
          <w:lang w:eastAsia="en-AU"/>
        </w:rPr>
        <w:t xml:space="preserve"> </w:t>
      </w:r>
      <w:r w:rsidR="00670CC3">
        <w:rPr>
          <w:lang w:eastAsia="en-AU"/>
        </w:rPr>
        <w:t>continuing to value</w:t>
      </w:r>
      <w:r w:rsidR="00670CC3" w:rsidRPr="00FA2C26">
        <w:rPr>
          <w:lang w:eastAsia="en-AU"/>
        </w:rPr>
        <w:t xml:space="preserve"> </w:t>
      </w:r>
      <w:r w:rsidRPr="00FA2C26">
        <w:rPr>
          <w:lang w:eastAsia="en-AU"/>
        </w:rPr>
        <w:t xml:space="preserve">Australia’s grant funding, </w:t>
      </w:r>
      <w:r w:rsidR="00231FE1">
        <w:rPr>
          <w:lang w:eastAsia="en-AU"/>
        </w:rPr>
        <w:t xml:space="preserve">the </w:t>
      </w:r>
      <w:r w:rsidRPr="00FA2C26">
        <w:rPr>
          <w:lang w:eastAsia="en-AU"/>
        </w:rPr>
        <w:t xml:space="preserve">Government of Indonesia </w:t>
      </w:r>
      <w:r w:rsidR="00ED3791">
        <w:rPr>
          <w:lang w:eastAsia="en-AU"/>
        </w:rPr>
        <w:t xml:space="preserve">also </w:t>
      </w:r>
      <w:r w:rsidRPr="00FA2C26">
        <w:rPr>
          <w:lang w:eastAsia="en-AU"/>
        </w:rPr>
        <w:t>expressed interest in accessing blended finance</w:t>
      </w:r>
      <w:r w:rsidR="000B0AA1">
        <w:rPr>
          <w:lang w:eastAsia="en-AU"/>
        </w:rPr>
        <w:t xml:space="preserve"> </w:t>
      </w:r>
      <w:r w:rsidR="00B70F12">
        <w:rPr>
          <w:lang w:eastAsia="en-AU"/>
        </w:rPr>
        <w:t>to meet its development needs, including its energy transition</w:t>
      </w:r>
      <w:r w:rsidRPr="00FA2C26">
        <w:rPr>
          <w:lang w:eastAsia="en-AU"/>
        </w:rPr>
        <w:t xml:space="preserve">. </w:t>
      </w:r>
    </w:p>
    <w:p w14:paraId="7F3A09BE" w14:textId="4D1F43FC" w:rsidR="00DA6629" w:rsidRPr="00FA2C26" w:rsidRDefault="00A15506" w:rsidP="00221EFA">
      <w:pPr>
        <w:rPr>
          <w:lang w:eastAsia="en-AU"/>
        </w:rPr>
      </w:pPr>
      <w:bookmarkStart w:id="0" w:name="_Hlk172554513"/>
      <w:r>
        <w:rPr>
          <w:lang w:eastAsia="en-AU"/>
        </w:rPr>
        <w:t xml:space="preserve">Other development actors, including civil society organisations (CSOs), academics and donor organisations, </w:t>
      </w:r>
      <w:bookmarkEnd w:id="0"/>
      <w:r w:rsidR="00DA6629" w:rsidRPr="00FA2C26">
        <w:rPr>
          <w:lang w:eastAsia="en-AU"/>
        </w:rPr>
        <w:t>provided feedback that Australia should continue to focus on the areas where we have the greatest impact. Emerging issues</w:t>
      </w:r>
      <w:r w:rsidR="00170278">
        <w:rPr>
          <w:lang w:eastAsia="en-AU"/>
        </w:rPr>
        <w:t>,</w:t>
      </w:r>
      <w:r w:rsidR="00DA6629" w:rsidRPr="00FA2C26">
        <w:rPr>
          <w:lang w:eastAsia="en-AU"/>
        </w:rPr>
        <w:t xml:space="preserve"> including the clean energy transition</w:t>
      </w:r>
      <w:r w:rsidR="00672DD4" w:rsidRPr="00FA2C26">
        <w:rPr>
          <w:lang w:eastAsia="en-AU"/>
        </w:rPr>
        <w:t xml:space="preserve"> and </w:t>
      </w:r>
      <w:r w:rsidR="00DA6629" w:rsidRPr="00FA2C26">
        <w:rPr>
          <w:lang w:eastAsia="en-AU"/>
        </w:rPr>
        <w:t>climate finance</w:t>
      </w:r>
      <w:r w:rsidR="00170278">
        <w:rPr>
          <w:lang w:eastAsia="en-AU"/>
        </w:rPr>
        <w:t>,</w:t>
      </w:r>
      <w:r w:rsidR="00DA6629" w:rsidRPr="00FA2C26">
        <w:rPr>
          <w:lang w:eastAsia="en-AU"/>
        </w:rPr>
        <w:t xml:space="preserve"> require a </w:t>
      </w:r>
      <w:r w:rsidR="002C4FAF">
        <w:rPr>
          <w:lang w:eastAsia="en-AU"/>
        </w:rPr>
        <w:t>partnership</w:t>
      </w:r>
      <w:r w:rsidR="002C4FAF" w:rsidRPr="00FA2C26">
        <w:rPr>
          <w:lang w:eastAsia="en-AU"/>
        </w:rPr>
        <w:t xml:space="preserve"> </w:t>
      </w:r>
      <w:r w:rsidR="00DA6629" w:rsidRPr="00FA2C26">
        <w:rPr>
          <w:lang w:eastAsia="en-AU"/>
        </w:rPr>
        <w:t xml:space="preserve">that explores new instruments of development, promotes strong </w:t>
      </w:r>
      <w:proofErr w:type="gramStart"/>
      <w:r w:rsidR="00DA6629" w:rsidRPr="00FA2C26">
        <w:rPr>
          <w:lang w:eastAsia="en-AU"/>
        </w:rPr>
        <w:t>institutions</w:t>
      </w:r>
      <w:proofErr w:type="gramEnd"/>
      <w:r w:rsidR="00DA6629" w:rsidRPr="00FA2C26">
        <w:rPr>
          <w:lang w:eastAsia="en-AU"/>
        </w:rPr>
        <w:t xml:space="preserve"> and enhances human </w:t>
      </w:r>
      <w:r w:rsidR="00EF5823">
        <w:rPr>
          <w:lang w:eastAsia="en-AU"/>
        </w:rPr>
        <w:t>development</w:t>
      </w:r>
      <w:r w:rsidR="00DA6629" w:rsidRPr="00FA2C26">
        <w:rPr>
          <w:lang w:eastAsia="en-AU"/>
        </w:rPr>
        <w:t xml:space="preserve">. </w:t>
      </w:r>
    </w:p>
    <w:p w14:paraId="7094AAF7" w14:textId="4635D8C3" w:rsidR="00DA6629" w:rsidRPr="00FA2C26" w:rsidRDefault="00DA6629" w:rsidP="00221EFA">
      <w:pPr>
        <w:rPr>
          <w:lang w:eastAsia="en-AU"/>
        </w:rPr>
      </w:pPr>
      <w:r w:rsidRPr="00FA2C26">
        <w:rPr>
          <w:lang w:eastAsia="en-AU"/>
        </w:rPr>
        <w:t>All stakeholders expressed enthusiasm for a program-wide focus on locally</w:t>
      </w:r>
      <w:r w:rsidR="000979F4">
        <w:rPr>
          <w:lang w:eastAsia="en-AU"/>
        </w:rPr>
        <w:t xml:space="preserve"> </w:t>
      </w:r>
      <w:r w:rsidRPr="00FA2C26">
        <w:rPr>
          <w:lang w:eastAsia="en-AU"/>
        </w:rPr>
        <w:t xml:space="preserve">led development, </w:t>
      </w:r>
      <w:r w:rsidR="00F8533B">
        <w:rPr>
          <w:lang w:eastAsia="en-AU"/>
        </w:rPr>
        <w:t xml:space="preserve">including </w:t>
      </w:r>
      <w:r w:rsidR="00F8533B" w:rsidRPr="00FA2C26">
        <w:rPr>
          <w:lang w:eastAsia="en-AU"/>
        </w:rPr>
        <w:t>collaborating</w:t>
      </w:r>
      <w:r w:rsidRPr="00FA2C26">
        <w:rPr>
          <w:lang w:eastAsia="en-AU"/>
        </w:rPr>
        <w:t xml:space="preserve"> with Indonesian CSOs, use of Indonesian expertise, and working at the subnational and local level</w:t>
      </w:r>
      <w:r w:rsidR="00345D02">
        <w:rPr>
          <w:lang w:eastAsia="en-AU"/>
        </w:rPr>
        <w:t>s</w:t>
      </w:r>
      <w:r w:rsidRPr="00FA2C26">
        <w:rPr>
          <w:lang w:eastAsia="en-AU"/>
        </w:rPr>
        <w:t xml:space="preserve">. </w:t>
      </w:r>
    </w:p>
    <w:p w14:paraId="45F7DE3E" w14:textId="3DAF6684" w:rsidR="007F40BF" w:rsidRPr="00FA2C26" w:rsidRDefault="006C0BD6" w:rsidP="00221EFA">
      <w:pPr>
        <w:rPr>
          <w:lang w:eastAsia="en-AU"/>
        </w:rPr>
      </w:pPr>
      <w:r w:rsidRPr="00FA2C26">
        <w:rPr>
          <w:lang w:eastAsia="en-AU"/>
        </w:rPr>
        <w:t xml:space="preserve">A summary of the draft </w:t>
      </w:r>
      <w:r w:rsidR="00B94145" w:rsidRPr="00FA2C26">
        <w:rPr>
          <w:lang w:eastAsia="en-AU"/>
        </w:rPr>
        <w:t xml:space="preserve">DPP </w:t>
      </w:r>
      <w:r w:rsidR="00CC4179" w:rsidRPr="00FA2C26">
        <w:rPr>
          <w:lang w:eastAsia="en-AU"/>
        </w:rPr>
        <w:t xml:space="preserve">was </w:t>
      </w:r>
      <w:r w:rsidR="00AF2233" w:rsidRPr="00FA2C26">
        <w:rPr>
          <w:lang w:eastAsia="en-AU"/>
        </w:rPr>
        <w:t xml:space="preserve">provided to </w:t>
      </w:r>
      <w:r w:rsidR="00643CFE">
        <w:rPr>
          <w:lang w:eastAsia="en-AU"/>
        </w:rPr>
        <w:t xml:space="preserve">Indonesia’s development and planning agency, </w:t>
      </w:r>
      <w:proofErr w:type="spellStart"/>
      <w:r w:rsidR="00B94145" w:rsidRPr="00FA2C26">
        <w:rPr>
          <w:lang w:eastAsia="en-AU"/>
        </w:rPr>
        <w:t>Bappenas</w:t>
      </w:r>
      <w:proofErr w:type="spellEnd"/>
      <w:r w:rsidR="00643CFE">
        <w:rPr>
          <w:lang w:eastAsia="en-AU"/>
        </w:rPr>
        <w:t>,</w:t>
      </w:r>
      <w:r w:rsidR="00982E3D" w:rsidRPr="00FA2C26">
        <w:rPr>
          <w:lang w:eastAsia="en-AU"/>
        </w:rPr>
        <w:t xml:space="preserve"> and other Indonesian agencies</w:t>
      </w:r>
      <w:r w:rsidR="00B94145" w:rsidRPr="00FA2C26">
        <w:rPr>
          <w:lang w:eastAsia="en-AU"/>
        </w:rPr>
        <w:t xml:space="preserve"> </w:t>
      </w:r>
      <w:r w:rsidR="001C7B17" w:rsidRPr="00FA2C26">
        <w:rPr>
          <w:lang w:eastAsia="en-AU"/>
        </w:rPr>
        <w:t>ahead of the 2024 Development Senior Officials’ Meeting on 5</w:t>
      </w:r>
      <w:r w:rsidR="00A35E49">
        <w:rPr>
          <w:lang w:eastAsia="en-AU"/>
        </w:rPr>
        <w:t> </w:t>
      </w:r>
      <w:r w:rsidR="001C7B17" w:rsidRPr="00FA2C26">
        <w:rPr>
          <w:lang w:eastAsia="en-AU"/>
        </w:rPr>
        <w:t>July 2024</w:t>
      </w:r>
      <w:r w:rsidR="000B69AF" w:rsidRPr="00FA2C26">
        <w:rPr>
          <w:lang w:eastAsia="en-AU"/>
        </w:rPr>
        <w:t xml:space="preserve">. At the </w:t>
      </w:r>
      <w:r w:rsidR="000676CD">
        <w:rPr>
          <w:lang w:eastAsia="en-AU"/>
        </w:rPr>
        <w:t>meeting</w:t>
      </w:r>
      <w:r w:rsidR="00C364F2" w:rsidRPr="00FA2C26">
        <w:rPr>
          <w:lang w:eastAsia="en-AU"/>
        </w:rPr>
        <w:t>,</w:t>
      </w:r>
      <w:r w:rsidR="00AB5EDA" w:rsidRPr="00FA2C26">
        <w:rPr>
          <w:lang w:eastAsia="en-AU"/>
        </w:rPr>
        <w:t xml:space="preserve"> </w:t>
      </w:r>
      <w:r w:rsidR="00B863DD" w:rsidRPr="00FA2C26">
        <w:rPr>
          <w:lang w:eastAsia="en-AU"/>
        </w:rPr>
        <w:t>the</w:t>
      </w:r>
      <w:r w:rsidR="001741E7" w:rsidRPr="00FA2C26">
        <w:rPr>
          <w:lang w:eastAsia="en-AU"/>
        </w:rPr>
        <w:t xml:space="preserve"> DPP </w:t>
      </w:r>
      <w:r w:rsidR="00B863DD" w:rsidRPr="00FA2C26">
        <w:rPr>
          <w:lang w:eastAsia="en-AU"/>
        </w:rPr>
        <w:t xml:space="preserve">objectives </w:t>
      </w:r>
      <w:r w:rsidR="00654040" w:rsidRPr="00FA2C26">
        <w:rPr>
          <w:lang w:eastAsia="en-AU"/>
        </w:rPr>
        <w:t>were presented</w:t>
      </w:r>
      <w:r w:rsidR="00A15506">
        <w:rPr>
          <w:lang w:eastAsia="en-AU"/>
        </w:rPr>
        <w:t xml:space="preserve"> </w:t>
      </w:r>
      <w:r w:rsidR="00B62A2E">
        <w:rPr>
          <w:lang w:eastAsia="en-AU"/>
        </w:rPr>
        <w:t xml:space="preserve">alongside Indonesia’s development plans and priorities. Senior officials agreed the proposed DPP objectives strongly linked to Indonesia’s </w:t>
      </w:r>
      <w:r w:rsidR="00D15CFE">
        <w:rPr>
          <w:lang w:eastAsia="en-AU"/>
        </w:rPr>
        <w:t xml:space="preserve">long-term </w:t>
      </w:r>
      <w:r w:rsidR="00B62A2E">
        <w:rPr>
          <w:lang w:eastAsia="en-AU"/>
        </w:rPr>
        <w:t xml:space="preserve">development </w:t>
      </w:r>
      <w:r w:rsidR="00D15CFE">
        <w:rPr>
          <w:lang w:eastAsia="en-AU"/>
        </w:rPr>
        <w:t xml:space="preserve">goals </w:t>
      </w:r>
      <w:r w:rsidR="00210C89">
        <w:rPr>
          <w:lang w:eastAsia="en-AU"/>
        </w:rPr>
        <w:t xml:space="preserve">through </w:t>
      </w:r>
      <w:r w:rsidR="0079662F">
        <w:rPr>
          <w:rFonts w:cstheme="majorHAnsi"/>
          <w:lang w:eastAsia="en-AU"/>
        </w:rPr>
        <w:t>RPJPN</w:t>
      </w:r>
      <w:r w:rsidR="00801DF9">
        <w:rPr>
          <w:lang w:eastAsia="en-AU"/>
        </w:rPr>
        <w:t>,</w:t>
      </w:r>
      <w:r w:rsidR="00D15CFE">
        <w:rPr>
          <w:lang w:eastAsia="en-AU"/>
        </w:rPr>
        <w:t xml:space="preserve"> </w:t>
      </w:r>
      <w:r w:rsidR="000B20E2">
        <w:rPr>
          <w:lang w:eastAsia="en-AU"/>
        </w:rPr>
        <w:t xml:space="preserve">and </w:t>
      </w:r>
      <w:r w:rsidR="00801DF9">
        <w:rPr>
          <w:lang w:eastAsia="en-AU"/>
        </w:rPr>
        <w:t xml:space="preserve">the </w:t>
      </w:r>
      <w:r w:rsidR="000B20E2">
        <w:rPr>
          <w:lang w:eastAsia="en-AU"/>
        </w:rPr>
        <w:t>principles outlined in Australia’s International Development Policy.</w:t>
      </w:r>
    </w:p>
    <w:p w14:paraId="126FCA22" w14:textId="1C1BB85B" w:rsidR="00774C98" w:rsidRDefault="00DA6629" w:rsidP="00221EFA">
      <w:pPr>
        <w:rPr>
          <w:lang w:eastAsia="en-AU"/>
        </w:rPr>
      </w:pPr>
      <w:r w:rsidRPr="00FA2C26">
        <w:rPr>
          <w:lang w:eastAsia="en-AU"/>
        </w:rPr>
        <w:t xml:space="preserve">A review of the DPP will be undertaken in 2025 to ensure it is consistent with </w:t>
      </w:r>
      <w:r w:rsidR="00031164">
        <w:rPr>
          <w:lang w:eastAsia="en-AU"/>
        </w:rPr>
        <w:t xml:space="preserve">Indonesia’s </w:t>
      </w:r>
      <w:r w:rsidRPr="00FA2C26">
        <w:rPr>
          <w:lang w:eastAsia="en-AU"/>
        </w:rPr>
        <w:t xml:space="preserve">(forthcoming) </w:t>
      </w:r>
      <w:r w:rsidR="008E5B07">
        <w:rPr>
          <w:lang w:eastAsia="en-AU"/>
        </w:rPr>
        <w:t>N</w:t>
      </w:r>
      <w:r w:rsidRPr="00FA2C26">
        <w:rPr>
          <w:lang w:eastAsia="en-AU"/>
        </w:rPr>
        <w:t>ational Medium-Term Development Plan 2025</w:t>
      </w:r>
      <w:r w:rsidR="00C7483E">
        <w:rPr>
          <w:lang w:eastAsia="en-AU"/>
        </w:rPr>
        <w:t>–</w:t>
      </w:r>
      <w:r w:rsidRPr="00FA2C26">
        <w:rPr>
          <w:lang w:eastAsia="en-AU"/>
        </w:rPr>
        <w:t>2029</w:t>
      </w:r>
      <w:r w:rsidR="008E5B07">
        <w:rPr>
          <w:lang w:eastAsia="en-AU"/>
        </w:rPr>
        <w:t xml:space="preserve"> </w:t>
      </w:r>
      <w:r w:rsidR="0079662F">
        <w:rPr>
          <w:lang w:eastAsia="en-AU"/>
        </w:rPr>
        <w:t>–</w:t>
      </w:r>
      <w:r w:rsidR="000B20E2">
        <w:rPr>
          <w:lang w:eastAsia="en-AU"/>
        </w:rPr>
        <w:t xml:space="preserve"> </w:t>
      </w:r>
      <w:proofErr w:type="spellStart"/>
      <w:r w:rsidR="00D15CFE" w:rsidRPr="00CF5050">
        <w:rPr>
          <w:rStyle w:val="Hyperlink"/>
          <w:rFonts w:cstheme="majorHAnsi"/>
          <w:i/>
          <w:iCs/>
          <w:color w:val="auto"/>
          <w:u w:val="none"/>
          <w:lang w:eastAsia="en-AU"/>
        </w:rPr>
        <w:t>Rencana</w:t>
      </w:r>
      <w:proofErr w:type="spellEnd"/>
      <w:r w:rsidR="00D15CFE" w:rsidRPr="00CF5050">
        <w:rPr>
          <w:rStyle w:val="Hyperlink"/>
          <w:rFonts w:cstheme="majorHAnsi"/>
          <w:i/>
          <w:iCs/>
          <w:color w:val="auto"/>
          <w:u w:val="none"/>
          <w:lang w:eastAsia="en-AU"/>
        </w:rPr>
        <w:t xml:space="preserve"> Pembangunan </w:t>
      </w:r>
      <w:proofErr w:type="spellStart"/>
      <w:r w:rsidR="00D15CFE" w:rsidRPr="00CF5050">
        <w:rPr>
          <w:rStyle w:val="Hyperlink"/>
          <w:rFonts w:cstheme="majorHAnsi"/>
          <w:i/>
          <w:iCs/>
          <w:color w:val="auto"/>
          <w:u w:val="none"/>
          <w:lang w:eastAsia="en-AU"/>
        </w:rPr>
        <w:t>Jangka</w:t>
      </w:r>
      <w:proofErr w:type="spellEnd"/>
      <w:r w:rsidR="00D15CFE" w:rsidRPr="00CF5050">
        <w:rPr>
          <w:rStyle w:val="Hyperlink"/>
          <w:rFonts w:cstheme="majorHAnsi"/>
          <w:i/>
          <w:iCs/>
          <w:color w:val="auto"/>
          <w:u w:val="none"/>
          <w:lang w:eastAsia="en-AU"/>
        </w:rPr>
        <w:t xml:space="preserve"> </w:t>
      </w:r>
      <w:proofErr w:type="spellStart"/>
      <w:r w:rsidR="00D15CFE" w:rsidRPr="00CF5050">
        <w:rPr>
          <w:rStyle w:val="Hyperlink"/>
          <w:rFonts w:cstheme="majorHAnsi"/>
          <w:i/>
          <w:iCs/>
          <w:color w:val="auto"/>
          <w:u w:val="none"/>
          <w:lang w:eastAsia="en-AU"/>
        </w:rPr>
        <w:t>Menen</w:t>
      </w:r>
      <w:r w:rsidR="000B20E2" w:rsidRPr="00CF5050">
        <w:rPr>
          <w:rStyle w:val="Hyperlink"/>
          <w:rFonts w:cstheme="majorHAnsi"/>
          <w:i/>
          <w:iCs/>
          <w:color w:val="auto"/>
          <w:u w:val="none"/>
          <w:lang w:eastAsia="en-AU"/>
        </w:rPr>
        <w:t>gah</w:t>
      </w:r>
      <w:proofErr w:type="spellEnd"/>
      <w:r w:rsidR="00D15CFE" w:rsidRPr="00CF5050">
        <w:rPr>
          <w:rStyle w:val="Hyperlink"/>
          <w:rFonts w:cstheme="majorHAnsi"/>
          <w:i/>
          <w:iCs/>
          <w:color w:val="auto"/>
          <w:u w:val="none"/>
          <w:lang w:eastAsia="en-AU"/>
        </w:rPr>
        <w:t xml:space="preserve"> Nasional</w:t>
      </w:r>
      <w:r w:rsidR="000B20E2" w:rsidRPr="00CF5050">
        <w:rPr>
          <w:rStyle w:val="Hyperlink"/>
          <w:rFonts w:cstheme="majorHAnsi"/>
          <w:i/>
          <w:iCs/>
          <w:color w:val="auto"/>
          <w:u w:val="none"/>
          <w:lang w:eastAsia="en-AU"/>
        </w:rPr>
        <w:t xml:space="preserve"> 2025</w:t>
      </w:r>
      <w:r w:rsidR="007970F6" w:rsidRPr="00CF5050">
        <w:rPr>
          <w:rStyle w:val="Hyperlink"/>
          <w:rFonts w:cstheme="majorHAnsi"/>
          <w:i/>
          <w:iCs/>
          <w:color w:val="auto"/>
          <w:u w:val="none"/>
          <w:lang w:eastAsia="en-AU"/>
        </w:rPr>
        <w:t>–</w:t>
      </w:r>
      <w:r w:rsidR="000B20E2" w:rsidRPr="00CF5050">
        <w:rPr>
          <w:rStyle w:val="Hyperlink"/>
          <w:rFonts w:cstheme="majorHAnsi"/>
          <w:i/>
          <w:iCs/>
          <w:color w:val="auto"/>
          <w:u w:val="none"/>
          <w:lang w:eastAsia="en-AU"/>
        </w:rPr>
        <w:t>2029</w:t>
      </w:r>
      <w:r w:rsidRPr="00FA2C26">
        <w:rPr>
          <w:lang w:eastAsia="en-AU"/>
        </w:rPr>
        <w:t xml:space="preserve">, and new </w:t>
      </w:r>
      <w:r w:rsidR="00AF234B">
        <w:rPr>
          <w:lang w:eastAsia="en-AU"/>
        </w:rPr>
        <w:t xml:space="preserve">priorities of the </w:t>
      </w:r>
      <w:r w:rsidRPr="00FA2C26">
        <w:rPr>
          <w:lang w:eastAsia="en-AU"/>
        </w:rPr>
        <w:t xml:space="preserve">Government of Indonesia. </w:t>
      </w:r>
    </w:p>
    <w:p w14:paraId="15FE954C" w14:textId="77777777" w:rsidR="00774C98" w:rsidRDefault="00774C98">
      <w:pPr>
        <w:spacing w:before="0" w:after="0" w:line="240" w:lineRule="auto"/>
        <w:rPr>
          <w:lang w:eastAsia="en-AU"/>
        </w:rPr>
      </w:pPr>
      <w:r>
        <w:rPr>
          <w:lang w:eastAsia="en-AU"/>
        </w:rPr>
        <w:br w:type="page"/>
      </w:r>
    </w:p>
    <w:p w14:paraId="09793E49" w14:textId="224EB978" w:rsidR="002F4955" w:rsidRPr="00FA2C26" w:rsidRDefault="005F7323" w:rsidP="00CC7851">
      <w:pPr>
        <w:pStyle w:val="H2-Heading2"/>
      </w:pPr>
      <w:r w:rsidRPr="00FA2C26">
        <w:lastRenderedPageBreak/>
        <w:t xml:space="preserve">Section 2: </w:t>
      </w:r>
      <w:r w:rsidR="00DA6629" w:rsidRPr="00FA2C26">
        <w:t xml:space="preserve">Indonesian </w:t>
      </w:r>
      <w:r w:rsidR="00AF234B">
        <w:t>d</w:t>
      </w:r>
      <w:r w:rsidRPr="00FA2C26">
        <w:t xml:space="preserve">evelopment </w:t>
      </w:r>
      <w:r w:rsidR="00AF234B">
        <w:t>c</w:t>
      </w:r>
      <w:r w:rsidRPr="00FA2C26">
        <w:t xml:space="preserve">ontext and Australian </w:t>
      </w:r>
      <w:r w:rsidR="00AF234B">
        <w:t>p</w:t>
      </w:r>
      <w:r w:rsidRPr="00FA2C26">
        <w:t>artnership</w:t>
      </w:r>
    </w:p>
    <w:p w14:paraId="3C3CFE7C" w14:textId="002EEB95" w:rsidR="00DA6629" w:rsidRPr="00FA2C26" w:rsidRDefault="00DA6629" w:rsidP="00AE3D50">
      <w:pPr>
        <w:rPr>
          <w:lang w:eastAsia="en-AU"/>
        </w:rPr>
      </w:pPr>
      <w:r w:rsidRPr="00FA2C26">
        <w:rPr>
          <w:lang w:eastAsia="en-AU"/>
        </w:rPr>
        <w:t>Indonesia’s</w:t>
      </w:r>
      <w:r w:rsidR="000B20E2">
        <w:rPr>
          <w:lang w:eastAsia="en-AU"/>
        </w:rPr>
        <w:t xml:space="preserve"> </w:t>
      </w:r>
      <w:hyperlink r:id="rId12" w:history="1">
        <w:r w:rsidR="000B20E2" w:rsidRPr="00CF5050">
          <w:rPr>
            <w:rStyle w:val="Hyperlink"/>
          </w:rPr>
          <w:t>National Long-Term Development Plan 2025</w:t>
        </w:r>
        <w:r w:rsidR="005E4AB0" w:rsidRPr="00CF5050">
          <w:rPr>
            <w:rStyle w:val="Hyperlink"/>
          </w:rPr>
          <w:t>–</w:t>
        </w:r>
        <w:r w:rsidR="000B20E2" w:rsidRPr="00CF5050">
          <w:rPr>
            <w:rStyle w:val="Hyperlink"/>
          </w:rPr>
          <w:t>2045</w:t>
        </w:r>
      </w:hyperlink>
      <w:r w:rsidR="000B20E2" w:rsidRPr="00CF5050">
        <w:t xml:space="preserve"> </w:t>
      </w:r>
      <w:r w:rsidR="0087767B" w:rsidRPr="00CF5050">
        <w:t>(RPJPN)</w:t>
      </w:r>
      <w:r w:rsidR="00B62440" w:rsidRPr="00CF5050">
        <w:rPr>
          <w:rStyle w:val="Hyperlink"/>
          <w:rFonts w:cstheme="majorHAnsi"/>
          <w:color w:val="auto"/>
          <w:u w:val="none"/>
          <w:lang w:eastAsia="en-AU"/>
        </w:rPr>
        <w:t xml:space="preserve"> and </w:t>
      </w:r>
      <w:proofErr w:type="spellStart"/>
      <w:r w:rsidR="00B62440" w:rsidRPr="00CF5050">
        <w:rPr>
          <w:rStyle w:val="Hyperlink"/>
          <w:rFonts w:cstheme="majorHAnsi"/>
          <w:i/>
          <w:iCs/>
          <w:color w:val="auto"/>
          <w:u w:val="none"/>
          <w:lang w:eastAsia="en-AU"/>
        </w:rPr>
        <w:t>Visi</w:t>
      </w:r>
      <w:proofErr w:type="spellEnd"/>
      <w:r w:rsidR="00B62440" w:rsidRPr="00CF5050">
        <w:rPr>
          <w:rStyle w:val="Hyperlink"/>
          <w:rFonts w:cstheme="majorHAnsi"/>
          <w:i/>
          <w:iCs/>
          <w:color w:val="auto"/>
          <w:u w:val="none"/>
          <w:lang w:eastAsia="en-AU"/>
        </w:rPr>
        <w:t xml:space="preserve"> Indonesia </w:t>
      </w:r>
      <w:proofErr w:type="spellStart"/>
      <w:r w:rsidR="00B62440" w:rsidRPr="00CF5050">
        <w:rPr>
          <w:rStyle w:val="Hyperlink"/>
          <w:rFonts w:cstheme="majorHAnsi"/>
          <w:i/>
          <w:iCs/>
          <w:color w:val="auto"/>
          <w:u w:val="none"/>
          <w:lang w:eastAsia="en-AU"/>
        </w:rPr>
        <w:t>Emas</w:t>
      </w:r>
      <w:proofErr w:type="spellEnd"/>
      <w:r w:rsidR="00B62440" w:rsidRPr="00CF5050">
        <w:rPr>
          <w:rStyle w:val="Hyperlink"/>
          <w:rFonts w:cstheme="majorHAnsi"/>
          <w:i/>
          <w:iCs/>
          <w:color w:val="auto"/>
          <w:u w:val="none"/>
          <w:lang w:eastAsia="en-AU"/>
        </w:rPr>
        <w:t xml:space="preserve"> 2045</w:t>
      </w:r>
      <w:r w:rsidR="0087767B" w:rsidRPr="00CF5050">
        <w:rPr>
          <w:rStyle w:val="Hyperlink"/>
          <w:rFonts w:cstheme="majorHAnsi"/>
          <w:color w:val="auto"/>
          <w:u w:val="none"/>
          <w:lang w:eastAsia="en-AU"/>
        </w:rPr>
        <w:t xml:space="preserve"> </w:t>
      </w:r>
      <w:r w:rsidRPr="00FA2C26">
        <w:rPr>
          <w:lang w:eastAsia="en-AU"/>
        </w:rPr>
        <w:t xml:space="preserve">outline how Indonesia plans to grow and diversify its economy </w:t>
      </w:r>
      <w:r w:rsidR="003F25C8">
        <w:rPr>
          <w:lang w:eastAsia="en-AU"/>
        </w:rPr>
        <w:t xml:space="preserve">to </w:t>
      </w:r>
      <w:r w:rsidRPr="00FA2C26">
        <w:rPr>
          <w:lang w:eastAsia="en-AU"/>
        </w:rPr>
        <w:t>achieve high</w:t>
      </w:r>
      <w:r w:rsidR="00AE3D50">
        <w:rPr>
          <w:lang w:eastAsia="en-AU"/>
        </w:rPr>
        <w:t>-</w:t>
      </w:r>
      <w:r w:rsidRPr="00FA2C26">
        <w:rPr>
          <w:lang w:eastAsia="en-AU"/>
        </w:rPr>
        <w:t xml:space="preserve">income </w:t>
      </w:r>
      <w:r w:rsidR="003F25C8">
        <w:rPr>
          <w:lang w:eastAsia="en-AU"/>
        </w:rPr>
        <w:t xml:space="preserve">country </w:t>
      </w:r>
      <w:r w:rsidRPr="00FA2C26">
        <w:rPr>
          <w:lang w:eastAsia="en-AU"/>
        </w:rPr>
        <w:t xml:space="preserve">status by 2045, while transitioning to renewable energy and building resilience to the impacts of climate change. It envisages an economy that provides more stable and </w:t>
      </w:r>
      <w:proofErr w:type="gramStart"/>
      <w:r w:rsidRPr="00FA2C26">
        <w:rPr>
          <w:lang w:eastAsia="en-AU"/>
        </w:rPr>
        <w:t>higher-paying</w:t>
      </w:r>
      <w:proofErr w:type="gramEnd"/>
      <w:r w:rsidRPr="00FA2C26">
        <w:rPr>
          <w:lang w:eastAsia="en-AU"/>
        </w:rPr>
        <w:t xml:space="preserve"> jobs, and reduces inequality and vulnerability. This long-term development plan will be underpinned by a series of </w:t>
      </w:r>
      <w:r w:rsidR="000C12F6">
        <w:rPr>
          <w:lang w:eastAsia="en-AU"/>
        </w:rPr>
        <w:t>m</w:t>
      </w:r>
      <w:r w:rsidRPr="00FA2C26">
        <w:rPr>
          <w:lang w:eastAsia="en-AU"/>
        </w:rPr>
        <w:t>edium-</w:t>
      </w:r>
      <w:r w:rsidR="000C12F6">
        <w:rPr>
          <w:lang w:eastAsia="en-AU"/>
        </w:rPr>
        <w:t>t</w:t>
      </w:r>
      <w:r w:rsidRPr="00FA2C26">
        <w:rPr>
          <w:lang w:eastAsia="en-AU"/>
        </w:rPr>
        <w:t xml:space="preserve">erm </w:t>
      </w:r>
      <w:r w:rsidR="000C12F6">
        <w:rPr>
          <w:lang w:eastAsia="en-AU"/>
        </w:rPr>
        <w:t>d</w:t>
      </w:r>
      <w:r w:rsidRPr="00FA2C26">
        <w:rPr>
          <w:lang w:eastAsia="en-AU"/>
        </w:rPr>
        <w:t xml:space="preserve">evelopment </w:t>
      </w:r>
      <w:r w:rsidR="000C12F6">
        <w:rPr>
          <w:lang w:eastAsia="en-AU"/>
        </w:rPr>
        <w:t>p</w:t>
      </w:r>
      <w:r w:rsidRPr="00FA2C26">
        <w:rPr>
          <w:lang w:eastAsia="en-AU"/>
        </w:rPr>
        <w:t xml:space="preserve">lans for </w:t>
      </w:r>
      <w:r w:rsidR="000C12F6">
        <w:rPr>
          <w:lang w:eastAsia="en-AU"/>
        </w:rPr>
        <w:t>5</w:t>
      </w:r>
      <w:r w:rsidRPr="00FA2C26">
        <w:rPr>
          <w:lang w:eastAsia="en-AU"/>
        </w:rPr>
        <w:t>-year periods (forthcoming).</w:t>
      </w:r>
    </w:p>
    <w:p w14:paraId="0AFBC17A" w14:textId="5540DB64" w:rsidR="00DA6629" w:rsidRPr="00FA2C26" w:rsidRDefault="00FB044A" w:rsidP="00AF234B">
      <w:pPr>
        <w:rPr>
          <w:lang w:eastAsia="en-AU"/>
        </w:rPr>
      </w:pPr>
      <w:r>
        <w:rPr>
          <w:lang w:eastAsia="en-AU"/>
        </w:rPr>
        <w:t xml:space="preserve">The </w:t>
      </w:r>
      <w:r w:rsidR="00B44313">
        <w:rPr>
          <w:lang w:eastAsia="en-AU"/>
        </w:rPr>
        <w:t>RPJPN</w:t>
      </w:r>
      <w:r w:rsidR="00DA6629" w:rsidRPr="00FA2C26">
        <w:rPr>
          <w:lang w:eastAsia="en-AU"/>
        </w:rPr>
        <w:t xml:space="preserve"> is broadly aligned with </w:t>
      </w:r>
      <w:r w:rsidR="00167829">
        <w:rPr>
          <w:lang w:eastAsia="en-AU"/>
        </w:rPr>
        <w:t>the United Nations S</w:t>
      </w:r>
      <w:r w:rsidR="00DA6629" w:rsidRPr="00FA2C26">
        <w:rPr>
          <w:lang w:eastAsia="en-AU"/>
        </w:rPr>
        <w:t xml:space="preserve">ustainable </w:t>
      </w:r>
      <w:r w:rsidR="00167829">
        <w:rPr>
          <w:lang w:eastAsia="en-AU"/>
        </w:rPr>
        <w:t>D</w:t>
      </w:r>
      <w:r w:rsidR="00DA6629" w:rsidRPr="00FA2C26">
        <w:rPr>
          <w:lang w:eastAsia="en-AU"/>
        </w:rPr>
        <w:t xml:space="preserve">evelopment </w:t>
      </w:r>
      <w:r w:rsidR="00167829">
        <w:rPr>
          <w:lang w:eastAsia="en-AU"/>
        </w:rPr>
        <w:t>G</w:t>
      </w:r>
      <w:r w:rsidR="00DA6629" w:rsidRPr="00FA2C26">
        <w:rPr>
          <w:lang w:eastAsia="en-AU"/>
        </w:rPr>
        <w:t>oals (SDGs) and Indonesia has reaffirmed its commitment to achieving the SDGs, together with development partners.</w:t>
      </w:r>
    </w:p>
    <w:p w14:paraId="773A2468" w14:textId="3464C787" w:rsidR="00DA6629" w:rsidRPr="00FA2C26" w:rsidRDefault="00DA6629" w:rsidP="00AF234B">
      <w:pPr>
        <w:rPr>
          <w:lang w:eastAsia="en-AU"/>
        </w:rPr>
      </w:pPr>
      <w:r w:rsidRPr="00FA2C26">
        <w:rPr>
          <w:lang w:eastAsia="en-AU"/>
        </w:rPr>
        <w:t xml:space="preserve">In </w:t>
      </w:r>
      <w:r w:rsidR="00B44313">
        <w:rPr>
          <w:lang w:eastAsia="en-AU"/>
        </w:rPr>
        <w:t>the RPJPN</w:t>
      </w:r>
      <w:r w:rsidR="003576D2">
        <w:rPr>
          <w:lang w:eastAsia="en-AU"/>
        </w:rPr>
        <w:t>,</w:t>
      </w:r>
      <w:r w:rsidRPr="00FA2C26">
        <w:rPr>
          <w:lang w:eastAsia="en-AU"/>
        </w:rPr>
        <w:t xml:space="preserve"> the Government of Indonesia identifies the following national development pillars:</w:t>
      </w:r>
    </w:p>
    <w:p w14:paraId="0C93A7BD" w14:textId="28DA9B87" w:rsidR="00DA6629" w:rsidRPr="00FA2C26" w:rsidRDefault="00167829" w:rsidP="00AE3D50">
      <w:pPr>
        <w:pStyle w:val="NormalBullets-L1"/>
      </w:pPr>
      <w:r>
        <w:t>s</w:t>
      </w:r>
      <w:r w:rsidR="00DA6629" w:rsidRPr="00FA2C26">
        <w:t xml:space="preserve">ustainable </w:t>
      </w:r>
      <w:r>
        <w:t>e</w:t>
      </w:r>
      <w:r w:rsidR="00DA6629" w:rsidRPr="00FA2C26">
        <w:t xml:space="preserve">conomic </w:t>
      </w:r>
      <w:r>
        <w:t>d</w:t>
      </w:r>
      <w:r w:rsidR="00DA6629" w:rsidRPr="00FA2C26">
        <w:t>evelopment</w:t>
      </w:r>
    </w:p>
    <w:p w14:paraId="1796BE2D" w14:textId="3F9DD51C" w:rsidR="00DA6629" w:rsidRPr="00FA2C26" w:rsidRDefault="00167829" w:rsidP="00AE3D50">
      <w:pPr>
        <w:pStyle w:val="NormalBullets-L1"/>
      </w:pPr>
      <w:r>
        <w:t>h</w:t>
      </w:r>
      <w:r w:rsidR="00DA6629" w:rsidRPr="00FA2C26">
        <w:t xml:space="preserve">uman </w:t>
      </w:r>
      <w:r>
        <w:t>d</w:t>
      </w:r>
      <w:r w:rsidR="00DA6629" w:rsidRPr="00FA2C26">
        <w:t>evelopment</w:t>
      </w:r>
      <w:r w:rsidR="00581E81">
        <w:t xml:space="preserve">, </w:t>
      </w:r>
      <w:proofErr w:type="gramStart"/>
      <w:r w:rsidR="00DA6629" w:rsidRPr="00FA2C26">
        <w:t>science</w:t>
      </w:r>
      <w:proofErr w:type="gramEnd"/>
      <w:r w:rsidR="00DA6629" w:rsidRPr="00FA2C26">
        <w:t xml:space="preserve"> and technology</w:t>
      </w:r>
    </w:p>
    <w:p w14:paraId="0D0A86E3" w14:textId="0568CD95" w:rsidR="00DA6629" w:rsidRDefault="00167829" w:rsidP="00AE3D50">
      <w:pPr>
        <w:pStyle w:val="NormalBullets-L1"/>
      </w:pPr>
      <w:r>
        <w:t>e</w:t>
      </w:r>
      <w:r w:rsidR="00DA6629" w:rsidRPr="00FA2C26">
        <w:t xml:space="preserve">quitable </w:t>
      </w:r>
      <w:r>
        <w:t>d</w:t>
      </w:r>
      <w:r w:rsidR="00DA6629" w:rsidRPr="00FA2C26">
        <w:t>evelopment</w:t>
      </w:r>
    </w:p>
    <w:p w14:paraId="05F60747" w14:textId="6E909073" w:rsidR="00024BE6" w:rsidRPr="00FA2C26" w:rsidRDefault="00024BE6" w:rsidP="00AE3D50">
      <w:pPr>
        <w:pStyle w:val="NormalBullets-L1"/>
      </w:pPr>
      <w:r>
        <w:t xml:space="preserve">strengthening national resilience and governance. </w:t>
      </w:r>
    </w:p>
    <w:p w14:paraId="74F53F5A" w14:textId="56CC4AEF" w:rsidR="00900DB7" w:rsidRPr="00A07FCB" w:rsidRDefault="00D21F5B" w:rsidP="00CF5050">
      <w:pPr>
        <w:rPr>
          <w:rFonts w:asciiTheme="majorHAnsi" w:hAnsiTheme="majorHAnsi" w:cstheme="majorHAnsi"/>
        </w:rPr>
      </w:pPr>
      <w:r>
        <w:t>Australia’s</w:t>
      </w:r>
      <w:r w:rsidR="00F265EC">
        <w:t xml:space="preserve"> long history of engagement </w:t>
      </w:r>
      <w:r>
        <w:t xml:space="preserve">with Indonesia </w:t>
      </w:r>
      <w:r w:rsidR="00F265EC">
        <w:t xml:space="preserve">across a range of </w:t>
      </w:r>
      <w:r w:rsidR="002D551D">
        <w:t>economic, human development</w:t>
      </w:r>
      <w:r w:rsidR="00A9624E">
        <w:t>, research</w:t>
      </w:r>
      <w:r w:rsidR="002D551D">
        <w:t xml:space="preserve"> and governance initiatives </w:t>
      </w:r>
      <w:r w:rsidR="0098117F">
        <w:t xml:space="preserve">positions us well to keep pace with </w:t>
      </w:r>
      <w:r w:rsidR="00444918">
        <w:t xml:space="preserve">Indonesia’s development ambitions. </w:t>
      </w:r>
      <w:r w:rsidR="00F71D20">
        <w:t>The Australia</w:t>
      </w:r>
      <w:r w:rsidR="00C73B39">
        <w:t>–</w:t>
      </w:r>
      <w:r w:rsidR="00F71D20">
        <w:t xml:space="preserve">Indonesia partnership is designed to be responsive and flexible, enabling </w:t>
      </w:r>
      <w:r w:rsidR="00C73B39">
        <w:t xml:space="preserve">both countries </w:t>
      </w:r>
      <w:r w:rsidR="00F71D20">
        <w:t xml:space="preserve">to seize opportunities for collaboration in areas of mutual interest </w:t>
      </w:r>
      <w:r w:rsidR="00846226">
        <w:t>and to build stronger and deeper institutional linkages.</w:t>
      </w:r>
    </w:p>
    <w:p w14:paraId="76EF5669" w14:textId="70E49BB0" w:rsidR="00DA6629" w:rsidRPr="00CF5050" w:rsidRDefault="00DA6629" w:rsidP="00773333">
      <w:pPr>
        <w:pStyle w:val="H3-Heading3"/>
      </w:pPr>
      <w:r w:rsidRPr="00CF5050">
        <w:t xml:space="preserve">Sustainable </w:t>
      </w:r>
      <w:r w:rsidR="00167829" w:rsidRPr="00CF5050">
        <w:t>e</w:t>
      </w:r>
      <w:r w:rsidRPr="00CF5050">
        <w:t xml:space="preserve">conomic </w:t>
      </w:r>
      <w:r w:rsidR="00167829" w:rsidRPr="00CF5050">
        <w:t>d</w:t>
      </w:r>
      <w:r w:rsidRPr="00CF5050">
        <w:t>evelopment</w:t>
      </w:r>
    </w:p>
    <w:p w14:paraId="61AF3829" w14:textId="15CD2427" w:rsidR="00737E87" w:rsidRPr="00FA2C26" w:rsidRDefault="00DA6629" w:rsidP="00167829">
      <w:pPr>
        <w:rPr>
          <w:lang w:eastAsia="en-AU"/>
        </w:rPr>
      </w:pPr>
      <w:r w:rsidRPr="00FA2C26">
        <w:rPr>
          <w:lang w:eastAsia="en-AU"/>
        </w:rPr>
        <w:t>Indonesia’s economy rebounded from COVID-19 with impressive growth of 5.3</w:t>
      </w:r>
      <w:r w:rsidR="00167829">
        <w:rPr>
          <w:lang w:eastAsia="en-AU"/>
        </w:rPr>
        <w:t> </w:t>
      </w:r>
      <w:r w:rsidRPr="00FA2C26">
        <w:rPr>
          <w:lang w:eastAsia="en-AU"/>
        </w:rPr>
        <w:t>per cent in 2022 from 3.7</w:t>
      </w:r>
      <w:r w:rsidR="00167829">
        <w:rPr>
          <w:lang w:eastAsia="en-AU"/>
        </w:rPr>
        <w:t> </w:t>
      </w:r>
      <w:r w:rsidRPr="00FA2C26">
        <w:rPr>
          <w:lang w:eastAsia="en-AU"/>
        </w:rPr>
        <w:t xml:space="preserve">per cent in 2021 and </w:t>
      </w:r>
      <w:r w:rsidR="00167829">
        <w:rPr>
          <w:lang w:eastAsia="en-AU"/>
        </w:rPr>
        <w:t>–</w:t>
      </w:r>
      <w:r w:rsidRPr="00FA2C26">
        <w:rPr>
          <w:lang w:eastAsia="en-AU"/>
        </w:rPr>
        <w:t>2.1</w:t>
      </w:r>
      <w:r w:rsidR="00167829">
        <w:rPr>
          <w:lang w:eastAsia="en-AU"/>
        </w:rPr>
        <w:t> </w:t>
      </w:r>
      <w:r w:rsidRPr="00FA2C26">
        <w:rPr>
          <w:lang w:eastAsia="en-AU"/>
        </w:rPr>
        <w:t>per cent in 2020</w:t>
      </w:r>
      <w:r w:rsidR="00167829">
        <w:rPr>
          <w:lang w:eastAsia="en-AU"/>
        </w:rPr>
        <w:t>.</w:t>
      </w:r>
      <w:r w:rsidR="00737E87" w:rsidRPr="00FA2C26">
        <w:rPr>
          <w:rStyle w:val="EndnoteReference"/>
          <w:rFonts w:cstheme="majorHAnsi"/>
          <w:lang w:eastAsia="en-AU"/>
        </w:rPr>
        <w:endnoteReference w:id="6"/>
      </w:r>
      <w:r w:rsidR="00737E87" w:rsidRPr="00FA2C26">
        <w:rPr>
          <w:lang w:eastAsia="en-AU"/>
        </w:rPr>
        <w:t xml:space="preserve"> To achieve continued, higher growth into the future, Indonesia will focus on investment and economic competitiveness, international trade, and energy and water security, and will place a greater emphasis on manufacturing. Indonesia has committed to </w:t>
      </w:r>
      <w:r w:rsidR="00826271">
        <w:rPr>
          <w:lang w:eastAsia="en-AU"/>
        </w:rPr>
        <w:t xml:space="preserve">a </w:t>
      </w:r>
      <w:r w:rsidR="00737E87" w:rsidRPr="00FA2C26">
        <w:rPr>
          <w:lang w:eastAsia="en-AU"/>
        </w:rPr>
        <w:t xml:space="preserve">renewable energy transition and achieving net zero emissions by 2060. This includes strengthening the legal and regulatory environment for business while bolstering environmental protections and encouraging a transition to </w:t>
      </w:r>
      <w:r w:rsidR="00287851">
        <w:rPr>
          <w:lang w:eastAsia="en-AU"/>
        </w:rPr>
        <w:t>‘</w:t>
      </w:r>
      <w:r w:rsidR="00737E87" w:rsidRPr="00FA2C26">
        <w:rPr>
          <w:lang w:eastAsia="en-AU"/>
        </w:rPr>
        <w:t>green economic development</w:t>
      </w:r>
      <w:r w:rsidR="00287851">
        <w:rPr>
          <w:lang w:eastAsia="en-AU"/>
        </w:rPr>
        <w:t>’</w:t>
      </w:r>
      <w:r w:rsidR="00737E87" w:rsidRPr="00FA2C26">
        <w:rPr>
          <w:lang w:eastAsia="en-AU"/>
        </w:rPr>
        <w:t xml:space="preserve">. Indonesia has a strong appetite for attracting blended finance to help meet its development aspirations, climate commitments and energy transition objectives. </w:t>
      </w:r>
    </w:p>
    <w:p w14:paraId="1A0A663F" w14:textId="756B842A" w:rsidR="00737E87" w:rsidRDefault="00737E87" w:rsidP="00167829">
      <w:pPr>
        <w:rPr>
          <w:lang w:eastAsia="en-AU"/>
        </w:rPr>
      </w:pPr>
      <w:r w:rsidRPr="00FA2C26">
        <w:rPr>
          <w:lang w:eastAsia="en-AU"/>
        </w:rPr>
        <w:t xml:space="preserve">Addressing infrastructure needs is a priority for the </w:t>
      </w:r>
      <w:r w:rsidR="00287851">
        <w:rPr>
          <w:lang w:eastAsia="en-AU"/>
        </w:rPr>
        <w:t xml:space="preserve">Government of </w:t>
      </w:r>
      <w:r w:rsidRPr="00FA2C26">
        <w:rPr>
          <w:lang w:eastAsia="en-AU"/>
        </w:rPr>
        <w:t>Indonesia. By 2040, Indonesia will need US</w:t>
      </w:r>
      <w:r w:rsidR="00734675">
        <w:rPr>
          <w:lang w:eastAsia="en-AU"/>
        </w:rPr>
        <w:t>D</w:t>
      </w:r>
      <w:r w:rsidRPr="00FA2C26">
        <w:rPr>
          <w:lang w:eastAsia="en-AU"/>
        </w:rPr>
        <w:t>1.3</w:t>
      </w:r>
      <w:r w:rsidR="00734675">
        <w:rPr>
          <w:lang w:eastAsia="en-AU"/>
        </w:rPr>
        <w:t> </w:t>
      </w:r>
      <w:r w:rsidRPr="00FA2C26">
        <w:rPr>
          <w:lang w:eastAsia="en-AU"/>
        </w:rPr>
        <w:t>trillion in infrastructure investment to keep pace with economic and demographic changes and to close infrastructure gaps</w:t>
      </w:r>
      <w:r w:rsidR="00734675">
        <w:rPr>
          <w:lang w:eastAsia="en-AU"/>
        </w:rPr>
        <w:t>.</w:t>
      </w:r>
      <w:r w:rsidRPr="00FA2C26">
        <w:rPr>
          <w:rStyle w:val="EndnoteReference"/>
          <w:rFonts w:cstheme="majorHAnsi"/>
          <w:lang w:eastAsia="en-AU"/>
        </w:rPr>
        <w:endnoteReference w:id="7"/>
      </w:r>
      <w:r w:rsidR="00116DC5">
        <w:rPr>
          <w:lang w:eastAsia="en-AU"/>
        </w:rPr>
        <w:t xml:space="preserve"> </w:t>
      </w:r>
      <w:r w:rsidR="00572476">
        <w:rPr>
          <w:lang w:eastAsia="en-AU"/>
        </w:rPr>
        <w:t>Indonesia is experiencing rapid urbanisation with about 55</w:t>
      </w:r>
      <w:r w:rsidR="003B6308">
        <w:rPr>
          <w:lang w:eastAsia="en-AU"/>
        </w:rPr>
        <w:t> per cent</w:t>
      </w:r>
      <w:r w:rsidR="00572476">
        <w:rPr>
          <w:lang w:eastAsia="en-AU"/>
        </w:rPr>
        <w:t xml:space="preserve"> of the population – almost 147</w:t>
      </w:r>
      <w:r w:rsidR="003B6308">
        <w:rPr>
          <w:lang w:eastAsia="en-AU"/>
        </w:rPr>
        <w:t> </w:t>
      </w:r>
      <w:r w:rsidR="00572476">
        <w:rPr>
          <w:lang w:eastAsia="en-AU"/>
        </w:rPr>
        <w:t xml:space="preserve">million people – living in urban areas in 2018, compared </w:t>
      </w:r>
      <w:r w:rsidR="006D2FD2">
        <w:rPr>
          <w:lang w:eastAsia="en-AU"/>
        </w:rPr>
        <w:t xml:space="preserve">with </w:t>
      </w:r>
      <w:r w:rsidR="00572476">
        <w:rPr>
          <w:lang w:eastAsia="en-AU"/>
        </w:rPr>
        <w:t>just 42</w:t>
      </w:r>
      <w:r w:rsidR="003B6308">
        <w:rPr>
          <w:lang w:eastAsia="en-AU"/>
        </w:rPr>
        <w:t xml:space="preserve"> per cent</w:t>
      </w:r>
      <w:r w:rsidR="00572476">
        <w:rPr>
          <w:lang w:eastAsia="en-AU"/>
        </w:rPr>
        <w:t xml:space="preserve"> in 2000</w:t>
      </w:r>
      <w:r w:rsidR="00361130">
        <w:rPr>
          <w:lang w:eastAsia="en-AU"/>
        </w:rPr>
        <w:t>.</w:t>
      </w:r>
      <w:r w:rsidRPr="00FA2C26">
        <w:rPr>
          <w:rStyle w:val="EndnoteReference"/>
          <w:rFonts w:cstheme="majorHAnsi"/>
          <w:lang w:eastAsia="en-AU"/>
        </w:rPr>
        <w:endnoteReference w:id="8"/>
      </w:r>
      <w:r w:rsidRPr="00FA2C26">
        <w:rPr>
          <w:lang w:eastAsia="en-AU"/>
        </w:rPr>
        <w:t xml:space="preserve"> The Government </w:t>
      </w:r>
      <w:r w:rsidR="00B47400">
        <w:rPr>
          <w:lang w:eastAsia="en-AU"/>
        </w:rPr>
        <w:t xml:space="preserve">of Indonesia </w:t>
      </w:r>
      <w:r w:rsidRPr="00FA2C26">
        <w:rPr>
          <w:lang w:eastAsia="en-AU"/>
        </w:rPr>
        <w:t xml:space="preserve">hopes to harness the incredible diversity of its archipelago to promote growth in Indonesia’s regions, including through establishing a new </w:t>
      </w:r>
      <w:r w:rsidR="007B7F5E">
        <w:rPr>
          <w:lang w:eastAsia="en-AU"/>
        </w:rPr>
        <w:t xml:space="preserve">national </w:t>
      </w:r>
      <w:r w:rsidRPr="00FA2C26">
        <w:rPr>
          <w:lang w:eastAsia="en-AU"/>
        </w:rPr>
        <w:t>capital city ‘Nusantara’ in Kalimantan</w:t>
      </w:r>
      <w:r w:rsidRPr="0032667D">
        <w:rPr>
          <w:lang w:eastAsia="en-AU"/>
        </w:rPr>
        <w:t>.</w:t>
      </w:r>
      <w:r w:rsidR="00D31AEA" w:rsidRPr="00CF5050">
        <w:rPr>
          <w:lang w:eastAsia="en-AU"/>
        </w:rPr>
        <w:t xml:space="preserve"> </w:t>
      </w:r>
      <w:r w:rsidR="0030672F" w:rsidRPr="00D91928">
        <w:rPr>
          <w:lang w:eastAsia="en-AU"/>
        </w:rPr>
        <w:t>Australia will focus infrastructure support on strengthened planning to be implemented through a new phase of bilateral infrastructure support from 2026.</w:t>
      </w:r>
    </w:p>
    <w:p w14:paraId="1C014133" w14:textId="625226D9" w:rsidR="00737E87" w:rsidRDefault="00737E87" w:rsidP="00167829">
      <w:pPr>
        <w:rPr>
          <w:lang w:eastAsia="en-AU"/>
        </w:rPr>
      </w:pPr>
      <w:r w:rsidRPr="00FA2C26">
        <w:rPr>
          <w:lang w:eastAsia="en-AU"/>
        </w:rPr>
        <w:t xml:space="preserve">Indonesia wants to maximise opportunities from digitalisation and the digital </w:t>
      </w:r>
      <w:proofErr w:type="gramStart"/>
      <w:r w:rsidRPr="00FA2C26">
        <w:rPr>
          <w:lang w:eastAsia="en-AU"/>
        </w:rPr>
        <w:t>economy</w:t>
      </w:r>
      <w:r w:rsidR="00170A1E">
        <w:rPr>
          <w:lang w:eastAsia="en-AU"/>
        </w:rPr>
        <w:t>,</w:t>
      </w:r>
      <w:r w:rsidRPr="00FA2C26">
        <w:rPr>
          <w:lang w:eastAsia="en-AU"/>
        </w:rPr>
        <w:t xml:space="preserve"> and</w:t>
      </w:r>
      <w:proofErr w:type="gramEnd"/>
      <w:r w:rsidRPr="00FA2C26">
        <w:rPr>
          <w:lang w:eastAsia="en-AU"/>
        </w:rPr>
        <w:t xml:space="preserve"> is already a leader in the region in terms of online trading platforms, financial services, media and travel. The pandemic accelerated uptake of digital technology and proved a key factor in Indonesia’s economic resilience. </w:t>
      </w:r>
    </w:p>
    <w:p w14:paraId="530C2192" w14:textId="014CB11F" w:rsidR="003A6727" w:rsidRDefault="00421B68" w:rsidP="00167829">
      <w:pPr>
        <w:rPr>
          <w:lang w:eastAsia="en-AU"/>
        </w:rPr>
      </w:pPr>
      <w:r>
        <w:rPr>
          <w:lang w:eastAsia="en-AU"/>
        </w:rPr>
        <w:t xml:space="preserve">Indonesia’s economic </w:t>
      </w:r>
      <w:r w:rsidR="00FD7370">
        <w:rPr>
          <w:lang w:eastAsia="en-AU"/>
        </w:rPr>
        <w:t>growth</w:t>
      </w:r>
      <w:r>
        <w:rPr>
          <w:lang w:eastAsia="en-AU"/>
        </w:rPr>
        <w:t xml:space="preserve"> </w:t>
      </w:r>
      <w:r w:rsidR="00921538">
        <w:rPr>
          <w:lang w:eastAsia="en-AU"/>
        </w:rPr>
        <w:t>is stimulating</w:t>
      </w:r>
      <w:r>
        <w:rPr>
          <w:lang w:eastAsia="en-AU"/>
        </w:rPr>
        <w:t xml:space="preserve"> high demand for goods and services. </w:t>
      </w:r>
      <w:r w:rsidR="00621687">
        <w:rPr>
          <w:lang w:eastAsia="en-AU"/>
        </w:rPr>
        <w:t>It</w:t>
      </w:r>
      <w:r>
        <w:rPr>
          <w:lang w:eastAsia="en-AU"/>
        </w:rPr>
        <w:t xml:space="preserve"> is an important market for Australian exports, including agricultural products, </w:t>
      </w:r>
      <w:proofErr w:type="gramStart"/>
      <w:r>
        <w:rPr>
          <w:lang w:eastAsia="en-AU"/>
        </w:rPr>
        <w:t>minerals</w:t>
      </w:r>
      <w:proofErr w:type="gramEnd"/>
      <w:r>
        <w:rPr>
          <w:lang w:eastAsia="en-AU"/>
        </w:rPr>
        <w:t xml:space="preserve"> and education services.</w:t>
      </w:r>
      <w:r w:rsidR="005F13A7">
        <w:rPr>
          <w:lang w:eastAsia="en-AU"/>
        </w:rPr>
        <w:t xml:space="preserve"> Indonesia has a large and </w:t>
      </w:r>
      <w:r w:rsidR="005F13A7">
        <w:rPr>
          <w:lang w:eastAsia="en-AU"/>
        </w:rPr>
        <w:lastRenderedPageBreak/>
        <w:t xml:space="preserve">growing consumer class and is a leader in creative and digital commerce. Our development partnership gives us an opportunity to </w:t>
      </w:r>
      <w:r w:rsidR="00FD7370">
        <w:rPr>
          <w:lang w:eastAsia="en-AU"/>
        </w:rPr>
        <w:t>develop</w:t>
      </w:r>
      <w:r w:rsidR="001624B0">
        <w:rPr>
          <w:lang w:eastAsia="en-AU"/>
        </w:rPr>
        <w:t xml:space="preserve"> our two-way trade through economic cooperation programs, poverty reduction efforts that increase local spending capacity, and standards-setting activities that reduce the costs of trade.</w:t>
      </w:r>
    </w:p>
    <w:p w14:paraId="1C69A174" w14:textId="1CC74F4A" w:rsidR="00737E87" w:rsidRPr="00CF5050" w:rsidRDefault="00737E87" w:rsidP="00773333">
      <w:pPr>
        <w:pStyle w:val="H3-Heading3"/>
      </w:pPr>
      <w:r w:rsidRPr="00CF5050">
        <w:t xml:space="preserve">Human </w:t>
      </w:r>
      <w:r w:rsidR="00C921B6" w:rsidRPr="00CF5050">
        <w:t>d</w:t>
      </w:r>
      <w:r w:rsidRPr="00CF5050">
        <w:t xml:space="preserve">evelopment </w:t>
      </w:r>
    </w:p>
    <w:p w14:paraId="31D10049" w14:textId="4149A338" w:rsidR="006E5F0F" w:rsidRDefault="00737E87" w:rsidP="00C921B6">
      <w:pPr>
        <w:rPr>
          <w:lang w:eastAsia="en-AU"/>
        </w:rPr>
      </w:pPr>
      <w:r w:rsidRPr="00FA2C26">
        <w:rPr>
          <w:lang w:eastAsia="en-AU"/>
        </w:rPr>
        <w:t>Indonesia identifies health and education as key to achieving its development and economic growth ambitions</w:t>
      </w:r>
      <w:r w:rsidR="00C309D7">
        <w:rPr>
          <w:lang w:eastAsia="en-AU"/>
        </w:rPr>
        <w:t xml:space="preserve"> and </w:t>
      </w:r>
      <w:r w:rsidRPr="00FA2C26">
        <w:rPr>
          <w:lang w:eastAsia="en-AU"/>
        </w:rPr>
        <w:t>has embarked on ambitious and wide-ranging health and education reforms</w:t>
      </w:r>
      <w:r w:rsidR="008248CD">
        <w:rPr>
          <w:lang w:eastAsia="en-AU"/>
        </w:rPr>
        <w:t xml:space="preserve">. </w:t>
      </w:r>
      <w:r w:rsidR="00203327" w:rsidRPr="00FA2C26">
        <w:rPr>
          <w:lang w:eastAsia="en-AU"/>
        </w:rPr>
        <w:t xml:space="preserve">Indonesia is focused on strengthening </w:t>
      </w:r>
      <w:r w:rsidR="00203327">
        <w:rPr>
          <w:lang w:eastAsia="en-AU"/>
        </w:rPr>
        <w:t xml:space="preserve">its </w:t>
      </w:r>
      <w:r w:rsidR="00203327" w:rsidRPr="00FA2C26">
        <w:rPr>
          <w:lang w:eastAsia="en-AU"/>
        </w:rPr>
        <w:t>health systems, including preventi</w:t>
      </w:r>
      <w:r w:rsidR="00203327">
        <w:rPr>
          <w:lang w:eastAsia="en-AU"/>
        </w:rPr>
        <w:t>ve</w:t>
      </w:r>
      <w:r w:rsidR="00203327" w:rsidRPr="00FA2C26">
        <w:rPr>
          <w:lang w:eastAsia="en-AU"/>
        </w:rPr>
        <w:t xml:space="preserve"> and primary care, and reducing stunting from 22</w:t>
      </w:r>
      <w:r w:rsidR="00203327">
        <w:rPr>
          <w:lang w:eastAsia="en-AU"/>
        </w:rPr>
        <w:t> </w:t>
      </w:r>
      <w:r w:rsidR="00203327" w:rsidRPr="00FA2C26">
        <w:rPr>
          <w:lang w:eastAsia="en-AU"/>
        </w:rPr>
        <w:t>per cent to 5</w:t>
      </w:r>
      <w:r w:rsidR="00203327">
        <w:rPr>
          <w:lang w:eastAsia="en-AU"/>
        </w:rPr>
        <w:t> </w:t>
      </w:r>
      <w:r w:rsidR="00203327" w:rsidRPr="00FA2C26">
        <w:rPr>
          <w:lang w:eastAsia="en-AU"/>
        </w:rPr>
        <w:t>per cent by 2045.</w:t>
      </w:r>
      <w:r w:rsidR="00203327">
        <w:rPr>
          <w:lang w:eastAsia="en-AU"/>
        </w:rPr>
        <w:t xml:space="preserve"> </w:t>
      </w:r>
      <w:r w:rsidR="008248CD">
        <w:rPr>
          <w:lang w:eastAsia="en-AU"/>
        </w:rPr>
        <w:t xml:space="preserve">It </w:t>
      </w:r>
      <w:r w:rsidRPr="00FA2C26">
        <w:rPr>
          <w:lang w:eastAsia="en-AU"/>
        </w:rPr>
        <w:t>has welcomed support from development partners</w:t>
      </w:r>
      <w:r w:rsidR="00965801">
        <w:rPr>
          <w:lang w:eastAsia="en-AU"/>
        </w:rPr>
        <w:t>, including Australia,</w:t>
      </w:r>
      <w:r w:rsidRPr="00FA2C26">
        <w:rPr>
          <w:lang w:eastAsia="en-AU"/>
        </w:rPr>
        <w:t xml:space="preserve"> to achieve its aims. </w:t>
      </w:r>
    </w:p>
    <w:p w14:paraId="7DAD9204" w14:textId="5674FA41" w:rsidR="00DC1E77" w:rsidRDefault="00CC69F7" w:rsidP="00C921B6">
      <w:pPr>
        <w:rPr>
          <w:lang w:eastAsia="en-AU"/>
        </w:rPr>
      </w:pPr>
      <w:r>
        <w:rPr>
          <w:lang w:eastAsia="en-AU"/>
        </w:rPr>
        <w:t xml:space="preserve">Health systems strengthening in Indonesia </w:t>
      </w:r>
      <w:r w:rsidR="009E0698">
        <w:rPr>
          <w:lang w:eastAsia="en-AU"/>
        </w:rPr>
        <w:t>contributes to regional and global health security</w:t>
      </w:r>
      <w:r w:rsidR="00CB2072">
        <w:rPr>
          <w:lang w:eastAsia="en-AU"/>
        </w:rPr>
        <w:t xml:space="preserve"> and </w:t>
      </w:r>
      <w:r w:rsidR="007B3EF2">
        <w:rPr>
          <w:lang w:eastAsia="en-AU"/>
        </w:rPr>
        <w:t>the ability of the</w:t>
      </w:r>
      <w:r w:rsidR="008358F6">
        <w:rPr>
          <w:lang w:eastAsia="en-AU"/>
        </w:rPr>
        <w:t xml:space="preserve"> global health architecture </w:t>
      </w:r>
      <w:r w:rsidR="00083556">
        <w:rPr>
          <w:lang w:eastAsia="en-AU"/>
        </w:rPr>
        <w:t>to respond to</w:t>
      </w:r>
      <w:r w:rsidR="008358F6">
        <w:rPr>
          <w:lang w:eastAsia="en-AU"/>
        </w:rPr>
        <w:t xml:space="preserve"> future </w:t>
      </w:r>
      <w:r w:rsidR="00B251B3">
        <w:rPr>
          <w:lang w:eastAsia="en-AU"/>
        </w:rPr>
        <w:t>health pandemics.</w:t>
      </w:r>
      <w:r>
        <w:rPr>
          <w:lang w:eastAsia="en-AU"/>
        </w:rPr>
        <w:t xml:space="preserve"> </w:t>
      </w:r>
      <w:r w:rsidR="00F366CE">
        <w:rPr>
          <w:lang w:eastAsia="en-AU"/>
        </w:rPr>
        <w:t>The Australian partnership works with Indonesia to support</w:t>
      </w:r>
      <w:r w:rsidR="00466EBC">
        <w:rPr>
          <w:lang w:eastAsia="en-AU"/>
        </w:rPr>
        <w:t xml:space="preserve"> its health systems strengthening, and </w:t>
      </w:r>
      <w:r w:rsidR="004C1A9D">
        <w:rPr>
          <w:lang w:eastAsia="en-AU"/>
        </w:rPr>
        <w:t>its</w:t>
      </w:r>
      <w:r w:rsidR="00466EBC">
        <w:rPr>
          <w:lang w:eastAsia="en-AU"/>
        </w:rPr>
        <w:t xml:space="preserve"> regional health leadership role.</w:t>
      </w:r>
    </w:p>
    <w:p w14:paraId="4C9D6D3B" w14:textId="11892C69" w:rsidR="00B27D18" w:rsidRDefault="00737E87" w:rsidP="00FB044A">
      <w:pPr>
        <w:rPr>
          <w:lang w:eastAsia="en-AU"/>
        </w:rPr>
      </w:pPr>
      <w:r w:rsidRPr="00DC1E77">
        <w:rPr>
          <w:lang w:eastAsia="en-AU"/>
        </w:rPr>
        <w:t>In education, having made gains on access and gender parity, Indonesia is now focused on strengthening the quality of learning outcomes and improving its educational rankings compared with other countries in the region.</w:t>
      </w:r>
      <w:r w:rsidR="008E75DC" w:rsidRPr="00DC1E77">
        <w:rPr>
          <w:lang w:eastAsia="en-AU"/>
        </w:rPr>
        <w:t xml:space="preserve"> </w:t>
      </w:r>
      <w:r w:rsidR="00FB044A">
        <w:rPr>
          <w:lang w:eastAsia="en-AU"/>
        </w:rPr>
        <w:t xml:space="preserve">The RPJPN </w:t>
      </w:r>
      <w:r w:rsidRPr="00DC1E77">
        <w:rPr>
          <w:lang w:eastAsia="en-AU"/>
        </w:rPr>
        <w:t xml:space="preserve">articulates the importance Indonesia places on harnessing science and innovation. Indonesia will boost its spending on research and development with the goal of becoming a science hub within the region </w:t>
      </w:r>
      <w:r w:rsidR="003A2FDE" w:rsidRPr="00DC1E77">
        <w:rPr>
          <w:lang w:eastAsia="en-AU"/>
        </w:rPr>
        <w:t>by</w:t>
      </w:r>
      <w:r w:rsidR="003A2FDE">
        <w:rPr>
          <w:lang w:eastAsia="en-AU"/>
        </w:rPr>
        <w:t> </w:t>
      </w:r>
      <w:r w:rsidRPr="00DC1E77">
        <w:rPr>
          <w:lang w:eastAsia="en-AU"/>
        </w:rPr>
        <w:t xml:space="preserve">2045. </w:t>
      </w:r>
    </w:p>
    <w:p w14:paraId="53C1406F" w14:textId="6FDDF844" w:rsidR="00345C42" w:rsidRPr="00CF5050" w:rsidRDefault="00345C42" w:rsidP="00CF5050">
      <w:pPr>
        <w:rPr>
          <w:b/>
          <w:bCs/>
          <w:lang w:eastAsia="en-AU"/>
        </w:rPr>
      </w:pPr>
      <w:r w:rsidRPr="00CF5050">
        <w:rPr>
          <w:lang w:eastAsia="en-AU"/>
        </w:rPr>
        <w:t xml:space="preserve">As highlighted in Invested: Australia’s Southeast Asia Economic Strategy to 2040, </w:t>
      </w:r>
      <w:r w:rsidR="007B4CC3">
        <w:rPr>
          <w:lang w:eastAsia="en-AU"/>
        </w:rPr>
        <w:t xml:space="preserve">the needs of </w:t>
      </w:r>
      <w:r w:rsidRPr="00CF5050">
        <w:rPr>
          <w:lang w:eastAsia="en-AU"/>
        </w:rPr>
        <w:t>a growing middle class</w:t>
      </w:r>
      <w:r w:rsidR="007B4CC3">
        <w:rPr>
          <w:lang w:eastAsia="en-AU"/>
        </w:rPr>
        <w:t xml:space="preserve"> and a</w:t>
      </w:r>
      <w:r w:rsidRPr="00CF5050">
        <w:rPr>
          <w:lang w:eastAsia="en-AU"/>
        </w:rPr>
        <w:t xml:space="preserve"> youthful</w:t>
      </w:r>
      <w:r w:rsidR="00E836CC">
        <w:rPr>
          <w:lang w:eastAsia="en-AU"/>
        </w:rPr>
        <w:t>,</w:t>
      </w:r>
      <w:r w:rsidRPr="00CF5050">
        <w:rPr>
          <w:lang w:eastAsia="en-AU"/>
        </w:rPr>
        <w:t xml:space="preserve"> evolving workforce will continue to drive strong demand for education services in Southeast Asia, including Indonesia. Australian universities are capitalising on this opportunity by opening campuses in Indonesia. Continued investment in research partnerships, education</w:t>
      </w:r>
      <w:r w:rsidR="00E836CC">
        <w:rPr>
          <w:lang w:eastAsia="en-AU"/>
        </w:rPr>
        <w:t xml:space="preserve"> and</w:t>
      </w:r>
      <w:r w:rsidRPr="00CF5050">
        <w:rPr>
          <w:lang w:eastAsia="en-AU"/>
        </w:rPr>
        <w:t xml:space="preserve"> scholarships and alumni will help drive enduring institutional and people-to-people links. Collaborative research projects will drive innovation and raise Australia’s international profile in science and technology research.</w:t>
      </w:r>
    </w:p>
    <w:p w14:paraId="4BE30573" w14:textId="318A3C52" w:rsidR="00737E87" w:rsidRPr="00CF5050" w:rsidRDefault="00737E87" w:rsidP="00773333">
      <w:pPr>
        <w:pStyle w:val="H3-Heading3"/>
      </w:pPr>
      <w:r w:rsidRPr="00CF5050">
        <w:t xml:space="preserve">Equitable </w:t>
      </w:r>
      <w:r w:rsidR="00EA5745" w:rsidRPr="00CF5050">
        <w:t>d</w:t>
      </w:r>
      <w:r w:rsidRPr="00CF5050">
        <w:t>evelopment</w:t>
      </w:r>
    </w:p>
    <w:p w14:paraId="751C82C7" w14:textId="0FB78E65" w:rsidR="00737E87" w:rsidRDefault="00737E87" w:rsidP="00C35C17">
      <w:pPr>
        <w:rPr>
          <w:lang w:eastAsia="en-AU"/>
        </w:rPr>
      </w:pPr>
      <w:r w:rsidRPr="00FA2C26">
        <w:rPr>
          <w:lang w:eastAsia="en-AU"/>
        </w:rPr>
        <w:t xml:space="preserve">Indonesia will continue its focus on accelerating poverty </w:t>
      </w:r>
      <w:proofErr w:type="gramStart"/>
      <w:r w:rsidRPr="00FA2C26">
        <w:rPr>
          <w:lang w:eastAsia="en-AU"/>
        </w:rPr>
        <w:t xml:space="preserve">eradication, </w:t>
      </w:r>
      <w:r w:rsidR="00C35C17">
        <w:rPr>
          <w:lang w:eastAsia="en-AU"/>
        </w:rPr>
        <w:t>and</w:t>
      </w:r>
      <w:proofErr w:type="gramEnd"/>
      <w:r w:rsidR="00C35C17">
        <w:rPr>
          <w:lang w:eastAsia="en-AU"/>
        </w:rPr>
        <w:t xml:space="preserve"> </w:t>
      </w:r>
      <w:r w:rsidRPr="00FA2C26">
        <w:rPr>
          <w:lang w:eastAsia="en-AU"/>
        </w:rPr>
        <w:t xml:space="preserve">plans to eliminate poverty by 2045 (using its own national poverty target as a measure). </w:t>
      </w:r>
      <w:r w:rsidR="00FB044A">
        <w:rPr>
          <w:lang w:eastAsia="en-AU"/>
        </w:rPr>
        <w:t xml:space="preserve">The RPJPN </w:t>
      </w:r>
      <w:r w:rsidRPr="00FA2C26">
        <w:rPr>
          <w:lang w:eastAsia="en-AU"/>
        </w:rPr>
        <w:t xml:space="preserve">prioritises equity for Indonesians across the archipelago and </w:t>
      </w:r>
      <w:r w:rsidR="00CD465B">
        <w:rPr>
          <w:lang w:eastAsia="en-AU"/>
        </w:rPr>
        <w:t xml:space="preserve">the </w:t>
      </w:r>
      <w:r w:rsidR="00CD465B" w:rsidRPr="00FA2C26">
        <w:rPr>
          <w:lang w:eastAsia="en-AU"/>
        </w:rPr>
        <w:t>reduc</w:t>
      </w:r>
      <w:r w:rsidR="00CD465B">
        <w:rPr>
          <w:lang w:eastAsia="en-AU"/>
        </w:rPr>
        <w:t xml:space="preserve">tion of </w:t>
      </w:r>
      <w:r w:rsidRPr="00FA2C26">
        <w:rPr>
          <w:lang w:eastAsia="en-AU"/>
        </w:rPr>
        <w:t xml:space="preserve">regional disparities caused by uneven economic growth and lack of access to infrastructure. Indonesia has established minimum service standards to address differences in </w:t>
      </w:r>
      <w:r w:rsidR="00996D00">
        <w:rPr>
          <w:lang w:eastAsia="en-AU"/>
        </w:rPr>
        <w:t xml:space="preserve">the </w:t>
      </w:r>
      <w:proofErr w:type="gramStart"/>
      <w:r w:rsidRPr="00FA2C26">
        <w:rPr>
          <w:lang w:eastAsia="en-AU"/>
        </w:rPr>
        <w:t>quality of service</w:t>
      </w:r>
      <w:proofErr w:type="gramEnd"/>
      <w:r w:rsidRPr="00FA2C26">
        <w:rPr>
          <w:lang w:eastAsia="en-AU"/>
        </w:rPr>
        <w:t xml:space="preserve"> delivery across provinces</w:t>
      </w:r>
      <w:r w:rsidRPr="0032667D">
        <w:rPr>
          <w:lang w:eastAsia="en-AU"/>
        </w:rPr>
        <w:t xml:space="preserve">. </w:t>
      </w:r>
    </w:p>
    <w:p w14:paraId="6DB41F37" w14:textId="6361C6F9" w:rsidR="00893F90" w:rsidRDefault="00893F90" w:rsidP="00893F90">
      <w:pPr>
        <w:rPr>
          <w:lang w:eastAsia="en-AU"/>
        </w:rPr>
      </w:pPr>
      <w:r>
        <w:rPr>
          <w:lang w:eastAsia="en-AU"/>
        </w:rPr>
        <w:t xml:space="preserve">Indonesia’s equitable </w:t>
      </w:r>
      <w:r w:rsidR="003C4331">
        <w:rPr>
          <w:lang w:eastAsia="en-AU"/>
        </w:rPr>
        <w:t xml:space="preserve">and sustainable </w:t>
      </w:r>
      <w:r>
        <w:rPr>
          <w:lang w:eastAsia="en-AU"/>
        </w:rPr>
        <w:t xml:space="preserve">development is fundamental to Australia’s objectives for a peaceful, </w:t>
      </w:r>
      <w:proofErr w:type="gramStart"/>
      <w:r>
        <w:rPr>
          <w:lang w:eastAsia="en-AU"/>
        </w:rPr>
        <w:t>stable</w:t>
      </w:r>
      <w:proofErr w:type="gramEnd"/>
      <w:r>
        <w:rPr>
          <w:lang w:eastAsia="en-AU"/>
        </w:rPr>
        <w:t xml:space="preserve"> and prosperous region where countries can reach their potential because all their peoples can reach their potential. </w:t>
      </w:r>
      <w:r w:rsidR="00962A33">
        <w:rPr>
          <w:lang w:eastAsia="en-AU"/>
        </w:rPr>
        <w:t xml:space="preserve">Australia’s approach to sustainable </w:t>
      </w:r>
      <w:r w:rsidR="00586B54">
        <w:rPr>
          <w:lang w:eastAsia="en-AU"/>
        </w:rPr>
        <w:t xml:space="preserve">and equitable </w:t>
      </w:r>
      <w:r w:rsidR="00962A33">
        <w:rPr>
          <w:lang w:eastAsia="en-AU"/>
        </w:rPr>
        <w:t xml:space="preserve">development will reflect our interests, </w:t>
      </w:r>
      <w:proofErr w:type="gramStart"/>
      <w:r w:rsidR="00962A33">
        <w:rPr>
          <w:lang w:eastAsia="en-AU"/>
        </w:rPr>
        <w:t>values</w:t>
      </w:r>
      <w:proofErr w:type="gramEnd"/>
      <w:r w:rsidR="00962A33">
        <w:rPr>
          <w:lang w:eastAsia="en-AU"/>
        </w:rPr>
        <w:t xml:space="preserve"> and endur</w:t>
      </w:r>
      <w:r w:rsidR="00586B54">
        <w:rPr>
          <w:lang w:eastAsia="en-AU"/>
        </w:rPr>
        <w:t xml:space="preserve">ing connections to the region. </w:t>
      </w:r>
      <w:r>
        <w:rPr>
          <w:lang w:eastAsia="en-AU"/>
        </w:rPr>
        <w:t xml:space="preserve">Through </w:t>
      </w:r>
      <w:r w:rsidR="005C545D">
        <w:rPr>
          <w:lang w:eastAsia="en-AU"/>
        </w:rPr>
        <w:t xml:space="preserve">our </w:t>
      </w:r>
      <w:r>
        <w:rPr>
          <w:lang w:eastAsia="en-AU"/>
        </w:rPr>
        <w:t xml:space="preserve">development partnership, we work to improve essential services that are foundational for tackling poverty and inequality, expanding economic </w:t>
      </w:r>
      <w:proofErr w:type="gramStart"/>
      <w:r>
        <w:rPr>
          <w:lang w:eastAsia="en-AU"/>
        </w:rPr>
        <w:t>mobility</w:t>
      </w:r>
      <w:proofErr w:type="gramEnd"/>
      <w:r>
        <w:rPr>
          <w:lang w:eastAsia="en-AU"/>
        </w:rPr>
        <w:t xml:space="preserve"> and driving sustainable growth. </w:t>
      </w:r>
      <w:r w:rsidR="007A668D">
        <w:rPr>
          <w:lang w:eastAsia="en-AU"/>
        </w:rPr>
        <w:t xml:space="preserve">We </w:t>
      </w:r>
      <w:r>
        <w:rPr>
          <w:lang w:eastAsia="en-AU"/>
        </w:rPr>
        <w:t xml:space="preserve">work with Indonesia in a range of locations to </w:t>
      </w:r>
      <w:r w:rsidR="00A47696">
        <w:rPr>
          <w:lang w:eastAsia="en-AU"/>
        </w:rPr>
        <w:t xml:space="preserve">test new ideas to strengthen government systems, </w:t>
      </w:r>
      <w:r>
        <w:rPr>
          <w:lang w:eastAsia="en-AU"/>
        </w:rPr>
        <w:t xml:space="preserve">reduce regional disparities and leverage the strengths of Indonesia’s diversity. </w:t>
      </w:r>
    </w:p>
    <w:p w14:paraId="42F870C9" w14:textId="7A24CDE3" w:rsidR="00737E87" w:rsidRPr="00CF5050" w:rsidRDefault="00737E87" w:rsidP="00773333">
      <w:pPr>
        <w:pStyle w:val="H3-Heading3"/>
      </w:pPr>
      <w:r w:rsidRPr="00CF5050">
        <w:t xml:space="preserve">Resilience and </w:t>
      </w:r>
      <w:r w:rsidR="00996D00" w:rsidRPr="00CF5050">
        <w:t>g</w:t>
      </w:r>
      <w:r w:rsidRPr="00CF5050">
        <w:t>overnance</w:t>
      </w:r>
    </w:p>
    <w:p w14:paraId="0B419896" w14:textId="2AF5D687" w:rsidR="00737E87" w:rsidRDefault="00737E87" w:rsidP="00996D00">
      <w:pPr>
        <w:rPr>
          <w:lang w:eastAsia="en-AU"/>
        </w:rPr>
      </w:pPr>
      <w:r w:rsidRPr="00FA2C26">
        <w:rPr>
          <w:lang w:eastAsia="en-AU"/>
        </w:rPr>
        <w:t xml:space="preserve">Successive Indonesian administrations have prioritised bureaucratic and public sector reform. As outlined in </w:t>
      </w:r>
      <w:r w:rsidR="00FB044A">
        <w:rPr>
          <w:lang w:eastAsia="en-AU"/>
        </w:rPr>
        <w:t>the RPJPN</w:t>
      </w:r>
      <w:r w:rsidRPr="00FA2C26">
        <w:rPr>
          <w:lang w:eastAsia="en-AU"/>
        </w:rPr>
        <w:t>, Indonesia</w:t>
      </w:r>
      <w:r w:rsidR="00996D00">
        <w:rPr>
          <w:lang w:eastAsia="en-AU"/>
        </w:rPr>
        <w:t>’s</w:t>
      </w:r>
      <w:r w:rsidRPr="00FA2C26">
        <w:rPr>
          <w:lang w:eastAsia="en-AU"/>
        </w:rPr>
        <w:t xml:space="preserve"> long-term development plans </w:t>
      </w:r>
      <w:r w:rsidR="00996D00">
        <w:rPr>
          <w:lang w:eastAsia="en-AU"/>
        </w:rPr>
        <w:t xml:space="preserve">to </w:t>
      </w:r>
      <w:r w:rsidRPr="00FA2C26">
        <w:rPr>
          <w:lang w:eastAsia="en-AU"/>
        </w:rPr>
        <w:t>further strengthen the country’s law and justice system and combat corruption remain key priorities. Indonesian security agencies have responded strongly to the terrorism threat, although challenges persist. Where radicalisation does occur, Indonesia has a range of national de-radicalisation programs that aim to support community reintegration</w:t>
      </w:r>
      <w:r w:rsidRPr="00803445">
        <w:rPr>
          <w:lang w:eastAsia="en-AU"/>
        </w:rPr>
        <w:t>.</w:t>
      </w:r>
      <w:r w:rsidR="005D7681" w:rsidRPr="003C4D80">
        <w:rPr>
          <w:lang w:eastAsia="en-AU"/>
        </w:rPr>
        <w:t xml:space="preserve"> </w:t>
      </w:r>
    </w:p>
    <w:p w14:paraId="3D62B3FE" w14:textId="438435E5" w:rsidR="00991DC7" w:rsidRPr="00FA2C26" w:rsidRDefault="00991DC7" w:rsidP="00991DC7">
      <w:pPr>
        <w:rPr>
          <w:lang w:eastAsia="en-AU"/>
        </w:rPr>
      </w:pPr>
      <w:r w:rsidRPr="00CF5050">
        <w:rPr>
          <w:lang w:eastAsia="en-AU"/>
        </w:rPr>
        <w:t>Australia is well</w:t>
      </w:r>
      <w:r w:rsidR="00D0390E">
        <w:rPr>
          <w:lang w:eastAsia="en-AU"/>
        </w:rPr>
        <w:t xml:space="preserve"> placed</w:t>
      </w:r>
      <w:r w:rsidRPr="00CF5050">
        <w:rPr>
          <w:lang w:eastAsia="en-AU"/>
        </w:rPr>
        <w:t xml:space="preserve"> to support Indonesia’s priorities for resilient, </w:t>
      </w:r>
      <w:proofErr w:type="gramStart"/>
      <w:r w:rsidRPr="00CF5050">
        <w:rPr>
          <w:lang w:eastAsia="en-AU"/>
        </w:rPr>
        <w:t>transparent</w:t>
      </w:r>
      <w:proofErr w:type="gramEnd"/>
      <w:r w:rsidRPr="00CF5050">
        <w:rPr>
          <w:lang w:eastAsia="en-AU"/>
        </w:rPr>
        <w:t xml:space="preserve"> and accountable institutions and governance. We share deep, historical institutional links with Indonesia across courts, law enforcement, criminal </w:t>
      </w:r>
      <w:proofErr w:type="gramStart"/>
      <w:r w:rsidRPr="00CF5050">
        <w:rPr>
          <w:lang w:eastAsia="en-AU"/>
        </w:rPr>
        <w:lastRenderedPageBreak/>
        <w:t>justice</w:t>
      </w:r>
      <w:proofErr w:type="gramEnd"/>
      <w:r w:rsidRPr="00CF5050">
        <w:rPr>
          <w:lang w:eastAsia="en-AU"/>
        </w:rPr>
        <w:t xml:space="preserve"> and efforts to counter violent extremism. Our development partnership supports extensive government-to-government cooperation and provides an opportunity to share technical expertise and work together to strengthen public institutions. Supporting Indonesia’s resilience and governance priorities contributes to Australia’s goal of promoting stability and security in the region.</w:t>
      </w:r>
    </w:p>
    <w:p w14:paraId="73D60303" w14:textId="26FCFE36" w:rsidR="00737E87" w:rsidRPr="00CF5050" w:rsidRDefault="00737E87" w:rsidP="00773333">
      <w:pPr>
        <w:pStyle w:val="H3-Heading3"/>
      </w:pPr>
      <w:r w:rsidRPr="00CF5050">
        <w:t>Climate change</w:t>
      </w:r>
    </w:p>
    <w:p w14:paraId="4E85FB53" w14:textId="254493A8" w:rsidR="00737E87" w:rsidRPr="00FA2C26" w:rsidRDefault="00737E87" w:rsidP="00365022">
      <w:pPr>
        <w:rPr>
          <w:b/>
          <w:bCs/>
          <w:lang w:eastAsia="en-AU"/>
        </w:rPr>
      </w:pPr>
      <w:r w:rsidRPr="00FA2C26">
        <w:rPr>
          <w:lang w:eastAsia="en-AU"/>
        </w:rPr>
        <w:t>Climate change</w:t>
      </w:r>
      <w:r w:rsidRPr="00FA2C26">
        <w:rPr>
          <w:b/>
          <w:bCs/>
          <w:lang w:eastAsia="en-AU"/>
        </w:rPr>
        <w:t xml:space="preserve"> </w:t>
      </w:r>
      <w:r w:rsidRPr="00FA2C26">
        <w:rPr>
          <w:lang w:eastAsia="en-AU"/>
        </w:rPr>
        <w:t>will impact all sectors. The Asian Development Bank estimates that, without effective global climate action, climate change could cost Indonesia between 2.5</w:t>
      </w:r>
      <w:r w:rsidR="000B195F">
        <w:rPr>
          <w:lang w:eastAsia="en-AU"/>
        </w:rPr>
        <w:t> </w:t>
      </w:r>
      <w:r w:rsidRPr="00FA2C26">
        <w:rPr>
          <w:lang w:eastAsia="en-AU"/>
        </w:rPr>
        <w:t>per cent and 7</w:t>
      </w:r>
      <w:r w:rsidR="000B195F">
        <w:rPr>
          <w:lang w:eastAsia="en-AU"/>
        </w:rPr>
        <w:t> </w:t>
      </w:r>
      <w:r w:rsidRPr="00FA2C26">
        <w:rPr>
          <w:lang w:eastAsia="en-AU"/>
        </w:rPr>
        <w:t>per cent of GDP by 2100</w:t>
      </w:r>
      <w:r w:rsidR="000B195F">
        <w:rPr>
          <w:lang w:eastAsia="en-AU"/>
        </w:rPr>
        <w:t>.</w:t>
      </w:r>
      <w:r w:rsidRPr="00FA2C26">
        <w:rPr>
          <w:rStyle w:val="EndnoteReference"/>
          <w:rFonts w:cstheme="majorHAnsi"/>
          <w:szCs w:val="21"/>
          <w:lang w:eastAsia="en-AU"/>
        </w:rPr>
        <w:endnoteReference w:id="9"/>
      </w:r>
      <w:r w:rsidRPr="00FA2C26">
        <w:rPr>
          <w:lang w:eastAsia="en-AU"/>
        </w:rPr>
        <w:t xml:space="preserve"> Indonesia has invested in its disaster risk management systems and is seen as a leader in the region</w:t>
      </w:r>
      <w:r w:rsidR="0096431F">
        <w:rPr>
          <w:lang w:eastAsia="en-AU"/>
        </w:rPr>
        <w:t>.</w:t>
      </w:r>
      <w:r w:rsidRPr="00FA2C26">
        <w:rPr>
          <w:rStyle w:val="EndnoteReference"/>
          <w:rFonts w:cstheme="majorHAnsi"/>
          <w:lang w:eastAsia="en-AU"/>
        </w:rPr>
        <w:endnoteReference w:id="10"/>
      </w:r>
    </w:p>
    <w:p w14:paraId="05076DAE" w14:textId="6A81F292" w:rsidR="00737E87" w:rsidRPr="00FA2C26" w:rsidRDefault="00737E87" w:rsidP="00365022">
      <w:pPr>
        <w:rPr>
          <w:lang w:eastAsia="en-AU"/>
        </w:rPr>
      </w:pPr>
      <w:r w:rsidRPr="00FA2C26">
        <w:rPr>
          <w:lang w:eastAsia="en-AU"/>
        </w:rPr>
        <w:t>Indonesia’s high population density in hazard</w:t>
      </w:r>
      <w:r w:rsidR="00BE50A5">
        <w:rPr>
          <w:lang w:eastAsia="en-AU"/>
        </w:rPr>
        <w:t>-</w:t>
      </w:r>
      <w:r w:rsidRPr="00FA2C26">
        <w:rPr>
          <w:lang w:eastAsia="en-AU"/>
        </w:rPr>
        <w:t xml:space="preserve">prone areas and dependence on a natural resource-based economy make it highly vulnerable to climate change impacts. The risks of food insecurity, coastal population displacement and damage to the economy may compound and cascade to intensify and extend </w:t>
      </w:r>
      <w:r w:rsidR="00582E16">
        <w:rPr>
          <w:lang w:eastAsia="en-AU"/>
        </w:rPr>
        <w:t xml:space="preserve">these effects. </w:t>
      </w:r>
    </w:p>
    <w:p w14:paraId="09076D7A" w14:textId="1643B464" w:rsidR="00737E87" w:rsidRPr="00FA2C26" w:rsidRDefault="00737E87" w:rsidP="00365022">
      <w:pPr>
        <w:rPr>
          <w:lang w:eastAsia="en-AU"/>
        </w:rPr>
      </w:pPr>
      <w:r w:rsidRPr="00FA2C26">
        <w:rPr>
          <w:lang w:eastAsia="en-AU"/>
        </w:rPr>
        <w:t xml:space="preserve">Indonesia and Australia face common challenges in transitioning </w:t>
      </w:r>
      <w:r w:rsidR="004425B2">
        <w:rPr>
          <w:lang w:eastAsia="en-AU"/>
        </w:rPr>
        <w:t xml:space="preserve">our </w:t>
      </w:r>
      <w:r w:rsidRPr="00FA2C26">
        <w:rPr>
          <w:lang w:eastAsia="en-AU"/>
        </w:rPr>
        <w:t>respective economies to net zero. Our development program will support Indonesia to adapt its energy sectors to scale renewable energy and balance this transformation with development goals and societal expectations to ensure a just transition. Both countries recognise that innovative approaches are needed to drive the transition. This offers opportunities to catalyse public and private investment in technology, develop new businesses and industries, share knowledge and innovation, and build the human capital needed to service the rapidly growing green economy.</w:t>
      </w:r>
    </w:p>
    <w:p w14:paraId="7CFF9CCF" w14:textId="6CFEE160" w:rsidR="00737E87" w:rsidRDefault="00737E87" w:rsidP="00365022">
      <w:r w:rsidRPr="00FA2C26">
        <w:rPr>
          <w:lang w:eastAsia="en-AU"/>
        </w:rPr>
        <w:t>Indonesia has prioritised climate change and has set goals and targets towards net zero that rank among the region’s most ambitious.</w:t>
      </w:r>
      <w:r w:rsidRPr="00FA2C26">
        <w:t xml:space="preserve"> </w:t>
      </w:r>
      <w:r w:rsidRPr="00FA2C26">
        <w:rPr>
          <w:lang w:eastAsia="en-AU"/>
        </w:rPr>
        <w:t xml:space="preserve">At the same time, Indonesia emphasises poverty reduction, inclusion and achieving developed status, closely tied to </w:t>
      </w:r>
      <w:r w:rsidR="002351A6" w:rsidRPr="00FA2C26">
        <w:rPr>
          <w:lang w:eastAsia="en-AU"/>
        </w:rPr>
        <w:t>climate</w:t>
      </w:r>
      <w:r w:rsidR="002351A6">
        <w:rPr>
          <w:lang w:eastAsia="en-AU"/>
        </w:rPr>
        <w:t>-</w:t>
      </w:r>
      <w:r w:rsidRPr="00FA2C26">
        <w:rPr>
          <w:lang w:eastAsia="en-AU"/>
        </w:rPr>
        <w:t>positive action. The Long-Term Strategy for Low Carbon and Climate Resilience 2050</w:t>
      </w:r>
      <w:r w:rsidR="00531CFA" w:rsidRPr="00FA2C26">
        <w:rPr>
          <w:vertAlign w:val="superscript"/>
        </w:rPr>
        <w:endnoteReference w:id="11"/>
      </w:r>
      <w:r w:rsidRPr="00FA2C26">
        <w:rPr>
          <w:lang w:eastAsia="en-AU"/>
        </w:rPr>
        <w:t xml:space="preserve"> and the Presidential Decree on Renewable Energy in September 2022 set the framework for the promotion of low</w:t>
      </w:r>
      <w:r w:rsidR="0008024A">
        <w:rPr>
          <w:lang w:eastAsia="en-AU"/>
        </w:rPr>
        <w:t xml:space="preserve"> carbon</w:t>
      </w:r>
      <w:r w:rsidRPr="00FA2C26">
        <w:rPr>
          <w:lang w:eastAsia="en-AU"/>
        </w:rPr>
        <w:t xml:space="preserve"> development and renewable energy. Indonesia has committed to a just energy transition in line with the Paris Agreement, which recognises the rights of vulnerable groups and gender equality in climate action.</w:t>
      </w:r>
      <w:r w:rsidR="00582E16">
        <w:rPr>
          <w:lang w:eastAsia="en-AU"/>
        </w:rPr>
        <w:t xml:space="preserve"> </w:t>
      </w:r>
      <w:r w:rsidR="00A83F62" w:rsidRPr="001601CC">
        <w:t>Australia offers substantial and quickly evolving capability in energy transition</w:t>
      </w:r>
      <w:r w:rsidR="00A83F62">
        <w:t xml:space="preserve"> including in </w:t>
      </w:r>
      <w:r w:rsidR="00A83F62" w:rsidRPr="001601CC">
        <w:t>policy and regulatory reform</w:t>
      </w:r>
      <w:r w:rsidR="00A83F62">
        <w:t xml:space="preserve">, </w:t>
      </w:r>
      <w:r w:rsidR="00A83F62" w:rsidRPr="001601CC">
        <w:t>finance</w:t>
      </w:r>
      <w:r w:rsidR="00A83F62">
        <w:t xml:space="preserve">, </w:t>
      </w:r>
      <w:r w:rsidR="00A83F62" w:rsidRPr="001601CC">
        <w:t xml:space="preserve">technical </w:t>
      </w:r>
      <w:proofErr w:type="gramStart"/>
      <w:r w:rsidR="00A83F62" w:rsidRPr="001601CC">
        <w:t>assistance</w:t>
      </w:r>
      <w:proofErr w:type="gramEnd"/>
      <w:r w:rsidR="00A83F62" w:rsidRPr="001601CC">
        <w:t xml:space="preserve"> and energy efficiency. The </w:t>
      </w:r>
      <w:r w:rsidR="00A83F62">
        <w:t>Australia</w:t>
      </w:r>
      <w:r w:rsidR="00535272">
        <w:t>–</w:t>
      </w:r>
      <w:r w:rsidR="00A83F62">
        <w:t xml:space="preserve">Indonesia </w:t>
      </w:r>
      <w:r w:rsidR="00A83F62" w:rsidRPr="001601CC">
        <w:t>Climate and Infrastructure Partnership</w:t>
      </w:r>
      <w:r w:rsidR="00842C73">
        <w:t xml:space="preserve"> </w:t>
      </w:r>
      <w:r w:rsidR="00A83F62" w:rsidRPr="001601CC">
        <w:t>will build a long-term platform for cooperation on energy transition.</w:t>
      </w:r>
    </w:p>
    <w:p w14:paraId="37B76588" w14:textId="3AB332BA" w:rsidR="00872C67" w:rsidRPr="00C20182" w:rsidRDefault="00872C67" w:rsidP="00872C67">
      <w:pPr>
        <w:pStyle w:val="H3-Heading3"/>
        <w:pBdr>
          <w:top w:val="single" w:sz="4" w:space="1" w:color="auto"/>
          <w:left w:val="single" w:sz="4" w:space="4" w:color="auto"/>
          <w:bottom w:val="single" w:sz="4" w:space="1" w:color="auto"/>
          <w:right w:val="single" w:sz="4" w:space="4" w:color="auto"/>
        </w:pBdr>
        <w:spacing w:before="120" w:after="0"/>
      </w:pPr>
      <w:r>
        <w:t xml:space="preserve">Australia’s </w:t>
      </w:r>
      <w:r w:rsidR="00755948">
        <w:t>energy transition</w:t>
      </w:r>
      <w:r>
        <w:t xml:space="preserve"> cooperation with Indonesia</w:t>
      </w:r>
    </w:p>
    <w:p w14:paraId="2C258DA3" w14:textId="034C3D79" w:rsidR="00872C67" w:rsidRPr="00FA2C26" w:rsidRDefault="00872C67" w:rsidP="00872C67">
      <w:pPr>
        <w:keepLines/>
        <w:pBdr>
          <w:top w:val="single" w:sz="4" w:space="1" w:color="auto"/>
          <w:left w:val="single" w:sz="4" w:space="4" w:color="auto"/>
          <w:bottom w:val="single" w:sz="4" w:space="1" w:color="auto"/>
          <w:right w:val="single" w:sz="4" w:space="4" w:color="auto"/>
        </w:pBdr>
        <w:spacing w:before="0"/>
      </w:pPr>
      <w:r w:rsidRPr="00C20182">
        <w:t>The Australia</w:t>
      </w:r>
      <w:r>
        <w:t>–</w:t>
      </w:r>
      <w:r w:rsidRPr="00C20182">
        <w:t>Indonesia Climate and Infrastructure Partnership</w:t>
      </w:r>
      <w:r>
        <w:t xml:space="preserve"> </w:t>
      </w:r>
      <w:r w:rsidRPr="00C20182">
        <w:t>(2022</w:t>
      </w:r>
      <w:r>
        <w:t>–</w:t>
      </w:r>
      <w:r w:rsidRPr="00C20182">
        <w:t>27), is an AUD200</w:t>
      </w:r>
      <w:r>
        <w:t> </w:t>
      </w:r>
      <w:r w:rsidRPr="00C20182">
        <w:t xml:space="preserve">million investment that will deepen bilateral cooperation on reducing emissions and promoting clean energy systems and industries to accelerate the </w:t>
      </w:r>
      <w:r>
        <w:t xml:space="preserve">transition to </w:t>
      </w:r>
      <w:r w:rsidRPr="00C20182">
        <w:t xml:space="preserve">net zero. </w:t>
      </w:r>
      <w:r>
        <w:t>The Climate and Infrastructure Partnership</w:t>
      </w:r>
      <w:r w:rsidRPr="00C20182">
        <w:t xml:space="preserve"> will use innovative finance mechanisms such as Australian Development Investments to increase investment in climate-positive businesses and build the pipeline of climate</w:t>
      </w:r>
      <w:r>
        <w:t xml:space="preserve"> resilient</w:t>
      </w:r>
      <w:r w:rsidRPr="00C20182">
        <w:t xml:space="preserve"> infrastructure projects. Use of blended finance explicitly responds to a key area of interest for the Government of Indonesia, as was seen during DPP consultations. This finance is complemented by technical assistance and expanded government-to-government partnerships that support Indonesia’s efforts to progress its sustainable finance and energy transition agenda.</w:t>
      </w:r>
    </w:p>
    <w:p w14:paraId="2D320CF4" w14:textId="5E380DE0" w:rsidR="00737E87" w:rsidRPr="00CF5050" w:rsidRDefault="00737E87" w:rsidP="00773333">
      <w:pPr>
        <w:pStyle w:val="H3-Heading3"/>
      </w:pPr>
      <w:r w:rsidRPr="00CF5050">
        <w:t xml:space="preserve">Gender </w:t>
      </w:r>
      <w:r w:rsidR="00FC241E" w:rsidRPr="00CF5050">
        <w:t>e</w:t>
      </w:r>
      <w:r w:rsidRPr="00CF5050">
        <w:t xml:space="preserve">quality, </w:t>
      </w:r>
      <w:proofErr w:type="gramStart"/>
      <w:r w:rsidR="00FC241E" w:rsidRPr="00CF5050">
        <w:t>d</w:t>
      </w:r>
      <w:r w:rsidRPr="00CF5050">
        <w:t>isability</w:t>
      </w:r>
      <w:proofErr w:type="gramEnd"/>
      <w:r w:rsidRPr="00CF5050">
        <w:t xml:space="preserve"> and </w:t>
      </w:r>
      <w:r w:rsidR="00FC241E" w:rsidRPr="00CF5050">
        <w:t>s</w:t>
      </w:r>
      <w:r w:rsidRPr="00CF5050">
        <w:t xml:space="preserve">ocial </w:t>
      </w:r>
      <w:r w:rsidR="00FC241E" w:rsidRPr="00CF5050">
        <w:t>i</w:t>
      </w:r>
      <w:r w:rsidRPr="00CF5050">
        <w:t>nclusion (GEDSI)</w:t>
      </w:r>
    </w:p>
    <w:p w14:paraId="56AFF7B6" w14:textId="5A3FDA55" w:rsidR="00737E87" w:rsidRPr="00FA2C26" w:rsidRDefault="00737E87" w:rsidP="00531CFA">
      <w:pPr>
        <w:rPr>
          <w:lang w:eastAsia="en-AU"/>
        </w:rPr>
      </w:pPr>
      <w:r w:rsidRPr="00FA2C26">
        <w:rPr>
          <w:lang w:eastAsia="en-AU"/>
        </w:rPr>
        <w:t xml:space="preserve">Indonesia is committed to ‘leave no one behind’, including in addressing the needs of women, children, people with </w:t>
      </w:r>
      <w:r w:rsidR="00723619" w:rsidRPr="00FA2C26">
        <w:rPr>
          <w:lang w:eastAsia="en-AU"/>
        </w:rPr>
        <w:t>disabilit</w:t>
      </w:r>
      <w:r w:rsidR="00723619">
        <w:rPr>
          <w:lang w:eastAsia="en-AU"/>
        </w:rPr>
        <w:t>y</w:t>
      </w:r>
      <w:r w:rsidRPr="00FA2C26">
        <w:rPr>
          <w:lang w:eastAsia="en-AU"/>
        </w:rPr>
        <w:t xml:space="preserve">, the elderly and </w:t>
      </w:r>
      <w:proofErr w:type="spellStart"/>
      <w:r w:rsidRPr="00FA2C26">
        <w:rPr>
          <w:i/>
          <w:iCs/>
          <w:lang w:eastAsia="en-AU"/>
        </w:rPr>
        <w:t>adat</w:t>
      </w:r>
      <w:proofErr w:type="spellEnd"/>
      <w:r w:rsidRPr="00FA2C26">
        <w:rPr>
          <w:lang w:eastAsia="en-AU"/>
        </w:rPr>
        <w:t xml:space="preserve"> (traditional) communities. </w:t>
      </w:r>
      <w:r w:rsidR="00FB044A">
        <w:rPr>
          <w:lang w:eastAsia="en-AU"/>
        </w:rPr>
        <w:t>The RP</w:t>
      </w:r>
      <w:r w:rsidR="00B2514A">
        <w:rPr>
          <w:lang w:eastAsia="en-AU"/>
        </w:rPr>
        <w:t xml:space="preserve">JPN </w:t>
      </w:r>
      <w:r w:rsidRPr="00FA2C26">
        <w:rPr>
          <w:lang w:eastAsia="en-AU"/>
        </w:rPr>
        <w:t xml:space="preserve">maintains a priority focus on inclusive communities and gender equality. More broadly, Indonesia is aware that enabling all Indonesians to participate in and benefit from Indonesia’s development is central to achieving </w:t>
      </w:r>
      <w:r w:rsidR="00E264B2">
        <w:rPr>
          <w:lang w:eastAsia="en-AU"/>
        </w:rPr>
        <w:t xml:space="preserve">the objectives of </w:t>
      </w:r>
      <w:r w:rsidR="00B2514A">
        <w:rPr>
          <w:lang w:eastAsia="en-AU"/>
        </w:rPr>
        <w:t>the RPJPN</w:t>
      </w:r>
      <w:r w:rsidRPr="00FA2C26">
        <w:rPr>
          <w:lang w:eastAsia="en-AU"/>
        </w:rPr>
        <w:t xml:space="preserve">. This includes work to strengthen access to services, create economic opportunities, facilitate community involvement in development planning, and address gender-based violence. </w:t>
      </w:r>
      <w:r w:rsidR="00A75793">
        <w:rPr>
          <w:lang w:eastAsia="en-AU"/>
        </w:rPr>
        <w:t>Australia w</w:t>
      </w:r>
      <w:r w:rsidR="003C4D80">
        <w:rPr>
          <w:lang w:eastAsia="en-AU"/>
        </w:rPr>
        <w:t>ill continue to w</w:t>
      </w:r>
      <w:r w:rsidR="00A75793">
        <w:rPr>
          <w:lang w:eastAsia="en-AU"/>
        </w:rPr>
        <w:t xml:space="preserve">ork in partnership with </w:t>
      </w:r>
      <w:r w:rsidR="00DF6DB4">
        <w:rPr>
          <w:lang w:eastAsia="en-AU"/>
        </w:rPr>
        <w:t xml:space="preserve">the Government </w:t>
      </w:r>
      <w:r w:rsidR="006D3BE5">
        <w:rPr>
          <w:lang w:eastAsia="en-AU"/>
        </w:rPr>
        <w:lastRenderedPageBreak/>
        <w:t xml:space="preserve">of </w:t>
      </w:r>
      <w:r w:rsidR="00A75793">
        <w:rPr>
          <w:lang w:eastAsia="en-AU"/>
        </w:rPr>
        <w:t xml:space="preserve">Indonesia, civil </w:t>
      </w:r>
      <w:proofErr w:type="gramStart"/>
      <w:r w:rsidR="00A75793">
        <w:rPr>
          <w:lang w:eastAsia="en-AU"/>
        </w:rPr>
        <w:t>society</w:t>
      </w:r>
      <w:proofErr w:type="gramEnd"/>
      <w:r w:rsidR="00A75793">
        <w:rPr>
          <w:lang w:eastAsia="en-AU"/>
        </w:rPr>
        <w:t xml:space="preserve"> and communities to encourage inclusion across Indonesia</w:t>
      </w:r>
      <w:r w:rsidR="002645C5">
        <w:rPr>
          <w:lang w:eastAsia="en-AU"/>
        </w:rPr>
        <w:t xml:space="preserve">’s sociocultural, economic and political development, and equal distribution </w:t>
      </w:r>
      <w:r w:rsidR="001B4CDA">
        <w:rPr>
          <w:lang w:eastAsia="en-AU"/>
        </w:rPr>
        <w:t xml:space="preserve">of development gains. </w:t>
      </w:r>
    </w:p>
    <w:p w14:paraId="55D00FAA" w14:textId="2DFFCBEA" w:rsidR="00737E87" w:rsidRPr="00FA2C26" w:rsidRDefault="00737E87" w:rsidP="00CF5050">
      <w:pPr>
        <w:rPr>
          <w:rFonts w:eastAsiaTheme="majorEastAsia" w:cstheme="majorHAnsi"/>
          <w:b/>
          <w:bCs/>
          <w:sz w:val="36"/>
          <w:szCs w:val="32"/>
        </w:rPr>
      </w:pPr>
      <w:r w:rsidRPr="00FA2C26">
        <w:rPr>
          <w:lang w:eastAsia="en-AU"/>
        </w:rPr>
        <w:t xml:space="preserve">National policy frameworks support gender equality and inclusion objectives, and efforts are underway to translate these policies into action. This is supported by Indonesia’s work to embed a gender mainstreaming approach </w:t>
      </w:r>
      <w:r w:rsidR="003C40B3">
        <w:rPr>
          <w:lang w:eastAsia="en-AU"/>
        </w:rPr>
        <w:t>in</w:t>
      </w:r>
      <w:r w:rsidRPr="00FA2C26">
        <w:rPr>
          <w:lang w:eastAsia="en-AU"/>
        </w:rPr>
        <w:t>to policy development and implementation, and collaborate with civil society to advance gender equality, disability rights, food security and social inclusion.</w:t>
      </w:r>
      <w:r w:rsidR="00EB12BE">
        <w:rPr>
          <w:lang w:eastAsia="en-AU"/>
        </w:rPr>
        <w:t xml:space="preserve"> </w:t>
      </w:r>
      <w:r w:rsidR="006F23F2">
        <w:rPr>
          <w:lang w:eastAsia="en-AU"/>
        </w:rPr>
        <w:t xml:space="preserve">Australia </w:t>
      </w:r>
      <w:r w:rsidR="00F26D21">
        <w:rPr>
          <w:lang w:eastAsia="en-AU"/>
        </w:rPr>
        <w:t>has mainstreamed GEDSI objectives across all investments in the Australia</w:t>
      </w:r>
      <w:r w:rsidR="00553A44">
        <w:rPr>
          <w:lang w:eastAsia="en-AU"/>
        </w:rPr>
        <w:t>–</w:t>
      </w:r>
      <w:r w:rsidR="00F26D21">
        <w:rPr>
          <w:lang w:eastAsia="en-AU"/>
        </w:rPr>
        <w:t xml:space="preserve">Indonesia </w:t>
      </w:r>
      <w:r w:rsidR="006C7D1B">
        <w:rPr>
          <w:lang w:eastAsia="en-AU"/>
        </w:rPr>
        <w:t xml:space="preserve">bilateral development cooperation program. </w:t>
      </w:r>
      <w:r w:rsidR="00872CA7">
        <w:rPr>
          <w:lang w:eastAsia="en-AU"/>
        </w:rPr>
        <w:t xml:space="preserve">We work in areas based on shared priorities and </w:t>
      </w:r>
      <w:r w:rsidR="00EB12BE">
        <w:rPr>
          <w:lang w:eastAsia="en-AU"/>
        </w:rPr>
        <w:t>are well placed to continue this support</w:t>
      </w:r>
      <w:r w:rsidR="00A83F62">
        <w:rPr>
          <w:lang w:eastAsia="en-AU"/>
        </w:rPr>
        <w:t>.</w:t>
      </w:r>
      <w:r w:rsidR="00EB12BE">
        <w:rPr>
          <w:lang w:eastAsia="en-AU"/>
        </w:rPr>
        <w:t xml:space="preserve"> </w:t>
      </w:r>
      <w:r w:rsidRPr="00FA2C26">
        <w:rPr>
          <w:rFonts w:cstheme="majorHAnsi"/>
        </w:rPr>
        <w:br w:type="page"/>
      </w:r>
    </w:p>
    <w:p w14:paraId="6938626A" w14:textId="7F0CCD74" w:rsidR="00737E87" w:rsidRPr="00FA2C26" w:rsidRDefault="00737E87" w:rsidP="00CC7851">
      <w:pPr>
        <w:pStyle w:val="H2-Heading2"/>
      </w:pPr>
      <w:r w:rsidRPr="00FA2C26">
        <w:lastRenderedPageBreak/>
        <w:t xml:space="preserve">Section 3: Joint objectives of the Australia–Indonesia </w:t>
      </w:r>
      <w:r w:rsidR="008503D1">
        <w:t>d</w:t>
      </w:r>
      <w:r w:rsidRPr="00FA2C26">
        <w:t>evelopment</w:t>
      </w:r>
      <w:r w:rsidR="00DC0B97">
        <w:t> </w:t>
      </w:r>
      <w:r w:rsidR="008503D1">
        <w:t>p</w:t>
      </w:r>
      <w:r w:rsidRPr="00FA2C26">
        <w:t>artnership </w:t>
      </w:r>
    </w:p>
    <w:p w14:paraId="62B76628" w14:textId="4E5C022C" w:rsidR="00737E87" w:rsidRPr="00CF5050" w:rsidRDefault="00737E87" w:rsidP="008503D1">
      <w:r w:rsidRPr="00FA2C26">
        <w:rPr>
          <w:lang w:eastAsia="en-AU"/>
        </w:rPr>
        <w:t>The overarching goal for the Australia</w:t>
      </w:r>
      <w:r w:rsidR="008503D1">
        <w:rPr>
          <w:lang w:eastAsia="en-AU"/>
        </w:rPr>
        <w:t>–</w:t>
      </w:r>
      <w:r w:rsidRPr="00FA2C26">
        <w:rPr>
          <w:lang w:eastAsia="en-AU"/>
        </w:rPr>
        <w:t xml:space="preserve">Indonesia development partnership is to support the </w:t>
      </w:r>
      <w:r w:rsidR="004C183B">
        <w:rPr>
          <w:lang w:eastAsia="en-AU"/>
        </w:rPr>
        <w:t xml:space="preserve">efforts of the </w:t>
      </w:r>
      <w:r w:rsidR="008503D1">
        <w:rPr>
          <w:lang w:eastAsia="en-AU"/>
        </w:rPr>
        <w:t xml:space="preserve">Government of </w:t>
      </w:r>
      <w:r w:rsidRPr="00FA2C26">
        <w:rPr>
          <w:lang w:eastAsia="en-AU"/>
        </w:rPr>
        <w:t xml:space="preserve">Indonesia to promote prosperity, </w:t>
      </w:r>
      <w:proofErr w:type="gramStart"/>
      <w:r w:rsidRPr="00FA2C26">
        <w:rPr>
          <w:lang w:eastAsia="en-AU"/>
        </w:rPr>
        <w:t>stability</w:t>
      </w:r>
      <w:proofErr w:type="gramEnd"/>
      <w:r w:rsidRPr="00FA2C26">
        <w:rPr>
          <w:lang w:eastAsia="en-AU"/>
        </w:rPr>
        <w:t xml:space="preserve"> and resilience, with strong links between our two </w:t>
      </w:r>
      <w:r w:rsidR="004C183B">
        <w:rPr>
          <w:lang w:eastAsia="en-AU"/>
        </w:rPr>
        <w:t>countries</w:t>
      </w:r>
      <w:r w:rsidRPr="00FA2C26">
        <w:rPr>
          <w:lang w:eastAsia="en-AU"/>
        </w:rPr>
        <w:t xml:space="preserve">. Our three development partnership objectives, and how we will work together to progress each objective, </w:t>
      </w:r>
      <w:r w:rsidR="004C183B">
        <w:rPr>
          <w:lang w:eastAsia="en-AU"/>
        </w:rPr>
        <w:t xml:space="preserve">are </w:t>
      </w:r>
      <w:r w:rsidRPr="00FA2C26">
        <w:rPr>
          <w:lang w:eastAsia="en-AU"/>
        </w:rPr>
        <w:t>summarised in Table 1. These objectives reflect the principles and priorities agreed to by Australia and Indonesia as set out in the Indonesia</w:t>
      </w:r>
      <w:r w:rsidR="00020CF3">
        <w:rPr>
          <w:lang w:eastAsia="en-AU"/>
        </w:rPr>
        <w:t>–</w:t>
      </w:r>
      <w:r w:rsidRPr="00FA2C26">
        <w:rPr>
          <w:lang w:eastAsia="en-AU"/>
        </w:rPr>
        <w:t>Australia Comprehensive Strategic Partnership and support the priorities presented in Indonesia</w:t>
      </w:r>
      <w:r w:rsidR="00D660C9">
        <w:rPr>
          <w:lang w:eastAsia="en-AU"/>
        </w:rPr>
        <w:t xml:space="preserve">’s </w:t>
      </w:r>
      <w:r w:rsidR="00B2514A">
        <w:rPr>
          <w:lang w:eastAsia="en-AU"/>
        </w:rPr>
        <w:t>RPJPN</w:t>
      </w:r>
      <w:r w:rsidRPr="00FA2C26">
        <w:rPr>
          <w:lang w:eastAsia="en-AU"/>
        </w:rPr>
        <w:t>.</w:t>
      </w:r>
      <w:r w:rsidR="00F92CDE">
        <w:rPr>
          <w:rStyle w:val="EndnoteReference"/>
          <w:lang w:eastAsia="en-AU"/>
        </w:rPr>
        <w:endnoteReference w:id="12"/>
      </w:r>
      <w:r w:rsidRPr="00FA2C26">
        <w:rPr>
          <w:lang w:eastAsia="en-AU"/>
        </w:rPr>
        <w:t xml:space="preserve"> </w:t>
      </w:r>
    </w:p>
    <w:p w14:paraId="30D708D7" w14:textId="54A0E136" w:rsidR="00737E87" w:rsidRPr="00FA2C26" w:rsidRDefault="00737E87" w:rsidP="008503D1">
      <w:pPr>
        <w:rPr>
          <w:lang w:eastAsia="en-AU"/>
        </w:rPr>
      </w:pPr>
      <w:r w:rsidRPr="00FA2C26">
        <w:rPr>
          <w:lang w:eastAsia="en-AU"/>
        </w:rPr>
        <w:t>Australia and Indonesia have a long history of working together on shared development priorities, including the longest running scholarship program in Indonesia (more than 70</w:t>
      </w:r>
      <w:r w:rsidR="00F92CDE">
        <w:rPr>
          <w:lang w:eastAsia="en-AU"/>
        </w:rPr>
        <w:t> </w:t>
      </w:r>
      <w:r w:rsidRPr="00FA2C26">
        <w:rPr>
          <w:lang w:eastAsia="en-AU"/>
        </w:rPr>
        <w:t>years). We work in true partnership, through locally</w:t>
      </w:r>
      <w:r w:rsidR="00F92CDE">
        <w:rPr>
          <w:lang w:eastAsia="en-AU"/>
        </w:rPr>
        <w:t xml:space="preserve"> </w:t>
      </w:r>
      <w:r w:rsidRPr="00FA2C26">
        <w:rPr>
          <w:lang w:eastAsia="en-AU"/>
        </w:rPr>
        <w:t xml:space="preserve">led development with government, civil </w:t>
      </w:r>
      <w:proofErr w:type="gramStart"/>
      <w:r w:rsidRPr="00FA2C26">
        <w:rPr>
          <w:lang w:eastAsia="en-AU"/>
        </w:rPr>
        <w:t>society</w:t>
      </w:r>
      <w:proofErr w:type="gramEnd"/>
      <w:r w:rsidRPr="00FA2C26">
        <w:rPr>
          <w:lang w:eastAsia="en-AU"/>
        </w:rPr>
        <w:t xml:space="preserve"> and private sector partners. Our partnership has evolved to keep pace with Indonesia’s rapid development and policy ambition. This has meant that over time our partnership has transitioned from building infrastructure and service-focused programs to technical assistance and</w:t>
      </w:r>
      <w:r w:rsidR="00F92CDE">
        <w:rPr>
          <w:lang w:eastAsia="en-AU"/>
        </w:rPr>
        <w:t>,</w:t>
      </w:r>
      <w:r w:rsidRPr="00FA2C26">
        <w:rPr>
          <w:lang w:eastAsia="en-AU"/>
        </w:rPr>
        <w:t xml:space="preserve"> in some cases</w:t>
      </w:r>
      <w:r w:rsidR="00F92CDE">
        <w:rPr>
          <w:lang w:eastAsia="en-AU"/>
        </w:rPr>
        <w:t>,</w:t>
      </w:r>
      <w:r w:rsidRPr="00FA2C26">
        <w:rPr>
          <w:lang w:eastAsia="en-AU"/>
        </w:rPr>
        <w:t xml:space="preserve"> grant support to organisations. This transition recognises Indonesia’s leadership, policy ambition and capacity, and provides an opportunity for us to work together on mutual priorities and continue to strengthen our relationships and understanding of each other. It also represents a deliberate shift over time, which follows a locally</w:t>
      </w:r>
      <w:r w:rsidR="00F92CDE">
        <w:rPr>
          <w:lang w:eastAsia="en-AU"/>
        </w:rPr>
        <w:t xml:space="preserve"> </w:t>
      </w:r>
      <w:r w:rsidRPr="00FA2C26">
        <w:rPr>
          <w:lang w:eastAsia="en-AU"/>
        </w:rPr>
        <w:t xml:space="preserve">led development approach: less direct delivery of services and goods by Australia, and </w:t>
      </w:r>
      <w:r w:rsidR="0050693A">
        <w:rPr>
          <w:lang w:eastAsia="en-AU"/>
        </w:rPr>
        <w:t xml:space="preserve">in its place </w:t>
      </w:r>
      <w:r w:rsidR="00115AEF">
        <w:rPr>
          <w:lang w:eastAsia="en-AU"/>
        </w:rPr>
        <w:t xml:space="preserve">more </w:t>
      </w:r>
      <w:r w:rsidRPr="00FA2C26">
        <w:rPr>
          <w:lang w:eastAsia="en-AU"/>
        </w:rPr>
        <w:t xml:space="preserve">support </w:t>
      </w:r>
      <w:r w:rsidR="00B84EF3">
        <w:rPr>
          <w:lang w:eastAsia="en-AU"/>
        </w:rPr>
        <w:t>for Indonesia’s</w:t>
      </w:r>
      <w:r w:rsidRPr="00FA2C26">
        <w:rPr>
          <w:lang w:eastAsia="en-AU"/>
        </w:rPr>
        <w:t xml:space="preserve"> </w:t>
      </w:r>
      <w:r w:rsidR="008B7B2F">
        <w:rPr>
          <w:lang w:eastAsia="en-AU"/>
        </w:rPr>
        <w:t>development planning and policymaking</w:t>
      </w:r>
      <w:r w:rsidRPr="00FA2C26">
        <w:rPr>
          <w:lang w:eastAsia="en-AU"/>
        </w:rPr>
        <w:t xml:space="preserve">, </w:t>
      </w:r>
      <w:r w:rsidR="0050693A">
        <w:rPr>
          <w:lang w:eastAsia="en-AU"/>
        </w:rPr>
        <w:t xml:space="preserve">especially </w:t>
      </w:r>
      <w:r w:rsidRPr="00FA2C26">
        <w:rPr>
          <w:lang w:eastAsia="en-AU"/>
        </w:rPr>
        <w:t>through high</w:t>
      </w:r>
      <w:r w:rsidR="0050693A">
        <w:rPr>
          <w:lang w:eastAsia="en-AU"/>
        </w:rPr>
        <w:t>-</w:t>
      </w:r>
      <w:r w:rsidRPr="00FA2C26">
        <w:rPr>
          <w:lang w:eastAsia="en-AU"/>
        </w:rPr>
        <w:t xml:space="preserve">quality advice. </w:t>
      </w:r>
    </w:p>
    <w:p w14:paraId="447AE0B2" w14:textId="2AD8F9E7" w:rsidR="00737E87" w:rsidRPr="00FA2C26" w:rsidRDefault="00737E87" w:rsidP="008503D1">
      <w:pPr>
        <w:rPr>
          <w:lang w:eastAsia="en-AU"/>
        </w:rPr>
      </w:pPr>
      <w:r w:rsidRPr="00FA2C26">
        <w:rPr>
          <w:lang w:eastAsia="en-AU"/>
        </w:rPr>
        <w:t xml:space="preserve">A hallmark of Australia’s development program in Indonesia is our responsiveness and flexibility. We </w:t>
      </w:r>
      <w:proofErr w:type="gramStart"/>
      <w:r w:rsidRPr="00FA2C26">
        <w:rPr>
          <w:lang w:eastAsia="en-AU"/>
        </w:rPr>
        <w:t>are able to</w:t>
      </w:r>
      <w:proofErr w:type="gramEnd"/>
      <w:r w:rsidRPr="00FA2C26">
        <w:rPr>
          <w:lang w:eastAsia="en-AU"/>
        </w:rPr>
        <w:t xml:space="preserve"> seize opportunities for collaboration that are in the mutual interest of both countries. Our investments also provide a positive mechanism to engage broadly with the Government </w:t>
      </w:r>
      <w:r w:rsidR="0050693A">
        <w:rPr>
          <w:lang w:eastAsia="en-AU"/>
        </w:rPr>
        <w:t xml:space="preserve">of Indonesia </w:t>
      </w:r>
      <w:r w:rsidRPr="00FA2C26">
        <w:rPr>
          <w:lang w:eastAsia="en-AU"/>
        </w:rPr>
        <w:t xml:space="preserve">at national, </w:t>
      </w:r>
      <w:proofErr w:type="gramStart"/>
      <w:r w:rsidRPr="00FA2C26">
        <w:rPr>
          <w:lang w:eastAsia="en-AU"/>
        </w:rPr>
        <w:t>provincial</w:t>
      </w:r>
      <w:proofErr w:type="gramEnd"/>
      <w:r w:rsidRPr="00FA2C26">
        <w:rPr>
          <w:lang w:eastAsia="en-AU"/>
        </w:rPr>
        <w:t xml:space="preserve"> and local levels, and with diverse stakeholder groups.</w:t>
      </w:r>
    </w:p>
    <w:p w14:paraId="390AD62B" w14:textId="347E2BB3" w:rsidR="00737E87" w:rsidRPr="00FA2C26" w:rsidRDefault="00737E87" w:rsidP="008503D1">
      <w:pPr>
        <w:rPr>
          <w:lang w:eastAsia="en-AU"/>
        </w:rPr>
      </w:pPr>
      <w:r w:rsidRPr="00FA2C26">
        <w:rPr>
          <w:lang w:eastAsia="en-AU"/>
        </w:rPr>
        <w:t>The Australian development program in Indonesia is broad-based</w:t>
      </w:r>
      <w:r w:rsidR="0050693A">
        <w:rPr>
          <w:lang w:eastAsia="en-AU"/>
        </w:rPr>
        <w:t>,</w:t>
      </w:r>
      <w:r w:rsidRPr="00FA2C26">
        <w:rPr>
          <w:lang w:eastAsia="en-AU"/>
        </w:rPr>
        <w:t xml:space="preserve"> both geographically and in terms of sectors. This is deliberate. Working across a broad range of sectors and with a mix of partners maximises opportunities to work on mutual priorities and build partnerships </w:t>
      </w:r>
      <w:r w:rsidR="0050693A">
        <w:rPr>
          <w:lang w:eastAsia="en-AU"/>
        </w:rPr>
        <w:t xml:space="preserve">that </w:t>
      </w:r>
      <w:r w:rsidRPr="00FA2C26">
        <w:rPr>
          <w:lang w:eastAsia="en-AU"/>
        </w:rPr>
        <w:t>can be utilised by both countries to strengthen our relationship. It gives us greater flexibility to respond to emerging priorities, with pre-existing relationships and programs across sectors. This DPP identif</w:t>
      </w:r>
      <w:r w:rsidR="00116D32">
        <w:rPr>
          <w:lang w:eastAsia="en-AU"/>
        </w:rPr>
        <w:t>ies</w:t>
      </w:r>
      <w:r w:rsidRPr="00FA2C26">
        <w:rPr>
          <w:lang w:eastAsia="en-AU"/>
        </w:rPr>
        <w:t xml:space="preserve"> opportunities to transition out of some programs and areas of support over time. The review of the DPP in 2025 will provide a further opportunity to discuss and articulate any further shifts </w:t>
      </w:r>
      <w:r w:rsidR="006F4D9A">
        <w:rPr>
          <w:lang w:eastAsia="en-AU"/>
        </w:rPr>
        <w:t xml:space="preserve">in the </w:t>
      </w:r>
      <w:r w:rsidRPr="00FA2C26">
        <w:rPr>
          <w:lang w:eastAsia="en-AU"/>
        </w:rPr>
        <w:t xml:space="preserve">priorities of </w:t>
      </w:r>
      <w:r w:rsidR="006F4D9A">
        <w:rPr>
          <w:lang w:eastAsia="en-AU"/>
        </w:rPr>
        <w:t xml:space="preserve">the </w:t>
      </w:r>
      <w:r w:rsidR="008B7B2F">
        <w:rPr>
          <w:lang w:eastAsia="en-AU"/>
        </w:rPr>
        <w:t xml:space="preserve">incoming </w:t>
      </w:r>
      <w:r w:rsidR="006F4D9A">
        <w:rPr>
          <w:lang w:eastAsia="en-AU"/>
        </w:rPr>
        <w:t xml:space="preserve">Government of </w:t>
      </w:r>
      <w:r w:rsidRPr="00FA2C26">
        <w:rPr>
          <w:lang w:eastAsia="en-AU"/>
        </w:rPr>
        <w:t xml:space="preserve">Indonesia. </w:t>
      </w:r>
    </w:p>
    <w:p w14:paraId="6FC710BA" w14:textId="675F512F" w:rsidR="00737E87" w:rsidRPr="00FA2C26" w:rsidRDefault="00737E87" w:rsidP="008503D1">
      <w:pPr>
        <w:rPr>
          <w:lang w:eastAsia="en-AU"/>
        </w:rPr>
      </w:pPr>
      <w:r w:rsidRPr="00FA2C26">
        <w:rPr>
          <w:lang w:eastAsia="en-AU"/>
        </w:rPr>
        <w:t xml:space="preserve">Australia’s development program works at national, </w:t>
      </w:r>
      <w:proofErr w:type="gramStart"/>
      <w:r w:rsidRPr="00FA2C26">
        <w:rPr>
          <w:lang w:eastAsia="en-AU"/>
        </w:rPr>
        <w:t>subnational</w:t>
      </w:r>
      <w:proofErr w:type="gramEnd"/>
      <w:r w:rsidRPr="00FA2C26">
        <w:rPr>
          <w:lang w:eastAsia="en-AU"/>
        </w:rPr>
        <w:t xml:space="preserve"> and local level</w:t>
      </w:r>
      <w:r w:rsidR="006E1482">
        <w:rPr>
          <w:lang w:eastAsia="en-AU"/>
        </w:rPr>
        <w:t>s</w:t>
      </w:r>
      <w:r w:rsidRPr="00FA2C26">
        <w:rPr>
          <w:lang w:eastAsia="en-AU"/>
        </w:rPr>
        <w:t xml:space="preserve">, and will continue to do so. Choices about which provinces to work in are made in partnership with </w:t>
      </w:r>
      <w:r w:rsidR="006E1482">
        <w:rPr>
          <w:lang w:eastAsia="en-AU"/>
        </w:rPr>
        <w:t xml:space="preserve">the </w:t>
      </w:r>
      <w:r w:rsidRPr="00FA2C26">
        <w:rPr>
          <w:lang w:eastAsia="en-AU"/>
        </w:rPr>
        <w:t>Government of Indonesia and reflect a variety of development factors in provinces, including human development or minimum service standards, geographic proximity to Australia, and local leadership.</w:t>
      </w:r>
    </w:p>
    <w:p w14:paraId="42D998FF" w14:textId="0F8CC7E3" w:rsidR="00737E87" w:rsidRPr="00FA2C26" w:rsidRDefault="00737E87" w:rsidP="008503D1">
      <w:pPr>
        <w:rPr>
          <w:lang w:eastAsia="en-AU"/>
        </w:rPr>
      </w:pPr>
      <w:r w:rsidRPr="00FA2C26">
        <w:rPr>
          <w:lang w:eastAsia="en-AU"/>
        </w:rPr>
        <w:t xml:space="preserve">Our development partnership in Indonesia already encompasses strong engagement </w:t>
      </w:r>
      <w:r w:rsidR="005D7A32">
        <w:rPr>
          <w:lang w:eastAsia="en-AU"/>
        </w:rPr>
        <w:t xml:space="preserve">across the Australian Government, </w:t>
      </w:r>
      <w:proofErr w:type="gramStart"/>
      <w:r w:rsidRPr="00FA2C26">
        <w:rPr>
          <w:lang w:eastAsia="en-AU"/>
        </w:rPr>
        <w:t>including</w:t>
      </w:r>
      <w:r w:rsidR="00E66026">
        <w:rPr>
          <w:lang w:eastAsia="en-AU"/>
        </w:rPr>
        <w:t>:</w:t>
      </w:r>
      <w:proofErr w:type="gramEnd"/>
      <w:r w:rsidR="00E66026">
        <w:rPr>
          <w:lang w:eastAsia="en-AU"/>
        </w:rPr>
        <w:t xml:space="preserve"> </w:t>
      </w:r>
      <w:r w:rsidR="00AB25DF">
        <w:rPr>
          <w:lang w:eastAsia="en-AU"/>
        </w:rPr>
        <w:t>Australian Public Service</w:t>
      </w:r>
      <w:r w:rsidRPr="00FA2C26">
        <w:rPr>
          <w:lang w:eastAsia="en-AU"/>
        </w:rPr>
        <w:t xml:space="preserve"> partnerships; involvement of law and justice institutions including courts and police; </w:t>
      </w:r>
      <w:r w:rsidR="00AB25DF">
        <w:rPr>
          <w:lang w:eastAsia="en-AU"/>
        </w:rPr>
        <w:t xml:space="preserve">and </w:t>
      </w:r>
      <w:r w:rsidRPr="00FA2C26">
        <w:rPr>
          <w:lang w:eastAsia="en-AU"/>
        </w:rPr>
        <w:t xml:space="preserve">collaboration with organisations such as </w:t>
      </w:r>
      <w:r w:rsidR="00376A2B">
        <w:rPr>
          <w:lang w:eastAsia="en-AU"/>
        </w:rPr>
        <w:t>Australia’s</w:t>
      </w:r>
      <w:r w:rsidR="00376A2B" w:rsidRPr="00161E56">
        <w:rPr>
          <w:lang w:eastAsia="en-AU"/>
        </w:rPr>
        <w:t xml:space="preserve"> </w:t>
      </w:r>
      <w:r w:rsidR="00376A2B" w:rsidRPr="00FA2C26">
        <w:rPr>
          <w:lang w:eastAsia="en-AU"/>
        </w:rPr>
        <w:t>Commonwealth Scientific and Industrial Research Organisation</w:t>
      </w:r>
      <w:r w:rsidR="00376A2B">
        <w:rPr>
          <w:lang w:eastAsia="en-AU"/>
        </w:rPr>
        <w:t xml:space="preserve"> (</w:t>
      </w:r>
      <w:r w:rsidRPr="00FA2C26">
        <w:rPr>
          <w:lang w:eastAsia="en-AU"/>
        </w:rPr>
        <w:t>CSIRO</w:t>
      </w:r>
      <w:r w:rsidR="00376A2B">
        <w:rPr>
          <w:lang w:eastAsia="en-AU"/>
        </w:rPr>
        <w:t>)</w:t>
      </w:r>
      <w:r w:rsidRPr="00FA2C26">
        <w:rPr>
          <w:lang w:eastAsia="en-AU"/>
        </w:rPr>
        <w:t xml:space="preserve">. We intend to increase </w:t>
      </w:r>
      <w:r w:rsidR="00F821AC">
        <w:rPr>
          <w:lang w:eastAsia="en-AU"/>
        </w:rPr>
        <w:t xml:space="preserve">engagement across the Australian Government further </w:t>
      </w:r>
      <w:r w:rsidRPr="00FA2C26">
        <w:rPr>
          <w:lang w:eastAsia="en-AU"/>
        </w:rPr>
        <w:t xml:space="preserve">over time, as we consciously seek to build institutional links and strengthen partnerships between people. </w:t>
      </w:r>
    </w:p>
    <w:p w14:paraId="30CF37FE" w14:textId="5B6BA9B2" w:rsidR="00737E87" w:rsidRPr="00FA2C26" w:rsidRDefault="00737E87" w:rsidP="00CF5050">
      <w:pPr>
        <w:keepNext/>
        <w:rPr>
          <w:lang w:eastAsia="en-AU"/>
        </w:rPr>
      </w:pPr>
      <w:r w:rsidRPr="00FA2C26">
        <w:rPr>
          <w:lang w:eastAsia="en-AU"/>
        </w:rPr>
        <w:t>To meet our shared ambitio</w:t>
      </w:r>
      <w:r w:rsidR="00376A2B">
        <w:rPr>
          <w:lang w:eastAsia="en-AU"/>
        </w:rPr>
        <w:t>n</w:t>
      </w:r>
      <w:r w:rsidRPr="00FA2C26">
        <w:rPr>
          <w:lang w:eastAsia="en-AU"/>
        </w:rPr>
        <w:t>s with Indonesia, the objectives of the Australia</w:t>
      </w:r>
      <w:r w:rsidR="004658C6">
        <w:rPr>
          <w:lang w:eastAsia="en-AU"/>
        </w:rPr>
        <w:t>–</w:t>
      </w:r>
      <w:r w:rsidRPr="00FA2C26">
        <w:rPr>
          <w:lang w:eastAsia="en-AU"/>
        </w:rPr>
        <w:t xml:space="preserve">Indonesia </w:t>
      </w:r>
      <w:r w:rsidR="004658C6">
        <w:rPr>
          <w:lang w:eastAsia="en-AU"/>
        </w:rPr>
        <w:t>d</w:t>
      </w:r>
      <w:r w:rsidRPr="00FA2C26">
        <w:rPr>
          <w:lang w:eastAsia="en-AU"/>
        </w:rPr>
        <w:t xml:space="preserve">evelopment </w:t>
      </w:r>
      <w:r w:rsidR="004658C6">
        <w:rPr>
          <w:lang w:eastAsia="en-AU"/>
        </w:rPr>
        <w:t>p</w:t>
      </w:r>
      <w:r w:rsidRPr="00FA2C26">
        <w:rPr>
          <w:lang w:eastAsia="en-AU"/>
        </w:rPr>
        <w:t>artnership will adapt in the following ways</w:t>
      </w:r>
      <w:r w:rsidR="00B750FF">
        <w:rPr>
          <w:lang w:eastAsia="en-AU"/>
        </w:rPr>
        <w:t>.</w:t>
      </w:r>
    </w:p>
    <w:p w14:paraId="619986B7" w14:textId="748F99F0" w:rsidR="00737E87" w:rsidRPr="00FA2C26" w:rsidRDefault="00737E87" w:rsidP="008503D1">
      <w:pPr>
        <w:pStyle w:val="NormalBullets-L1"/>
      </w:pPr>
      <w:r w:rsidRPr="00CF5050">
        <w:rPr>
          <w:b/>
          <w:bCs/>
        </w:rPr>
        <w:t>Tackling the causes of climate change, with a focus on energy transition, and preparing for and adapting to the impacts of climate change.</w:t>
      </w:r>
      <w:r w:rsidRPr="00FA2C26">
        <w:t xml:space="preserve"> </w:t>
      </w:r>
      <w:r w:rsidR="003B596D">
        <w:t xml:space="preserve">Climate change action </w:t>
      </w:r>
      <w:r w:rsidRPr="00FA2C26">
        <w:t>will be taken forward by the new Australia</w:t>
      </w:r>
      <w:r w:rsidR="00742066">
        <w:t>–</w:t>
      </w:r>
      <w:r w:rsidRPr="00FA2C26">
        <w:t>Indonesia Climate and Infrastructure Partnership</w:t>
      </w:r>
      <w:r w:rsidR="000B52EF">
        <w:t xml:space="preserve"> </w:t>
      </w:r>
      <w:r w:rsidRPr="00FA2C26">
        <w:t xml:space="preserve">(AUD200 million over </w:t>
      </w:r>
      <w:r w:rsidR="00742066">
        <w:t>5 </w:t>
      </w:r>
      <w:r w:rsidRPr="00FA2C26">
        <w:t>years)</w:t>
      </w:r>
      <w:r w:rsidR="004312BB">
        <w:t>,</w:t>
      </w:r>
      <w:r w:rsidRPr="00FA2C26">
        <w:t xml:space="preserve"> which will include blended finance and increase the pipeline of climate</w:t>
      </w:r>
      <w:r w:rsidR="00EB432C">
        <w:t>-</w:t>
      </w:r>
      <w:r w:rsidRPr="00FA2C26">
        <w:t xml:space="preserve">ready infrastructure projects. </w:t>
      </w:r>
      <w:r w:rsidR="00A45041">
        <w:t xml:space="preserve">These projects </w:t>
      </w:r>
      <w:r w:rsidR="00A45041" w:rsidRPr="00621B8B">
        <w:t xml:space="preserve">will </w:t>
      </w:r>
      <w:r w:rsidR="00A45041" w:rsidRPr="00CF5050">
        <w:rPr>
          <w:rFonts w:eastAsia="Times New Roman"/>
        </w:rPr>
        <w:t xml:space="preserve">deepen bilateral </w:t>
      </w:r>
      <w:r w:rsidR="00A45041" w:rsidRPr="00CF5050">
        <w:rPr>
          <w:rFonts w:eastAsia="Times New Roman"/>
        </w:rPr>
        <w:lastRenderedPageBreak/>
        <w:t xml:space="preserve">cooperation on reducing emissions and promoting clean energy systems and industries to accelerate the </w:t>
      </w:r>
      <w:r w:rsidR="004312BB">
        <w:rPr>
          <w:rFonts w:eastAsia="Times New Roman"/>
        </w:rPr>
        <w:t xml:space="preserve">transition to </w:t>
      </w:r>
      <w:r w:rsidR="00A45041" w:rsidRPr="00CF5050">
        <w:rPr>
          <w:rFonts w:eastAsia="Times New Roman"/>
        </w:rPr>
        <w:t>net zero</w:t>
      </w:r>
      <w:r w:rsidR="00A45041" w:rsidRPr="00CF5050">
        <w:rPr>
          <w:rFonts w:eastAsia="Times New Roman"/>
          <w:i/>
          <w:iCs/>
        </w:rPr>
        <w:t>.</w:t>
      </w:r>
      <w:r w:rsidR="00A45041">
        <w:rPr>
          <w:rFonts w:eastAsia="Times New Roman"/>
          <w:i/>
          <w:iCs/>
          <w:sz w:val="24"/>
          <w:szCs w:val="24"/>
        </w:rPr>
        <w:t xml:space="preserve"> </w:t>
      </w:r>
      <w:r w:rsidRPr="00FA2C26">
        <w:t xml:space="preserve">We will also ensure that climate change risks are considered across the entirety of the development partnership, </w:t>
      </w:r>
      <w:r w:rsidR="00632F4C" w:rsidRPr="00FA2C26">
        <w:t xml:space="preserve">through </w:t>
      </w:r>
      <w:r w:rsidRPr="00FA2C26">
        <w:t xml:space="preserve">both the inclusion of climate commitments in new programs and </w:t>
      </w:r>
      <w:r w:rsidR="00EB432C">
        <w:t xml:space="preserve">the </w:t>
      </w:r>
      <w:r w:rsidR="00EB432C" w:rsidRPr="00FA2C26">
        <w:t>incorporat</w:t>
      </w:r>
      <w:r w:rsidR="00EB432C">
        <w:t>ion</w:t>
      </w:r>
      <w:r w:rsidR="00EB432C" w:rsidRPr="00FA2C26">
        <w:t xml:space="preserve"> </w:t>
      </w:r>
      <w:r w:rsidR="00EB432C">
        <w:t xml:space="preserve">of </w:t>
      </w:r>
      <w:r w:rsidRPr="00FA2C26">
        <w:t xml:space="preserve">climate considerations into existing programs. Australia and Indonesia will work in partnership to develop policies that respond to climate change and use innovative finance mechanisms to increase investment in climate-positive businesses. Use of blended finance explicitly responds to a key area of interest for </w:t>
      </w:r>
      <w:r w:rsidR="008C4B89">
        <w:t xml:space="preserve">the </w:t>
      </w:r>
      <w:r w:rsidRPr="00FA2C26">
        <w:t>Government of Indonesia, as was seen during DPP</w:t>
      </w:r>
      <w:r w:rsidR="008C4B89">
        <w:t> </w:t>
      </w:r>
      <w:r w:rsidRPr="00FA2C26">
        <w:t>consultations.</w:t>
      </w:r>
    </w:p>
    <w:p w14:paraId="69BE7B1E" w14:textId="6EE4F9DA" w:rsidR="00737E87" w:rsidRPr="00FA2C26" w:rsidRDefault="00737E87" w:rsidP="008503D1">
      <w:pPr>
        <w:pStyle w:val="NormalBullets-L1"/>
      </w:pPr>
      <w:r w:rsidRPr="00FA2C26">
        <w:rPr>
          <w:b/>
          <w:bCs/>
        </w:rPr>
        <w:t>Building broader and deeper links between Australian and Indonesian institutions as part of our development efforts.</w:t>
      </w:r>
      <w:r w:rsidRPr="00FA2C26">
        <w:t xml:space="preserve"> The development program already supports institutional links with 20</w:t>
      </w:r>
      <w:r w:rsidR="008C4B89">
        <w:t> </w:t>
      </w:r>
      <w:r w:rsidRPr="00FA2C26">
        <w:t xml:space="preserve">Australian public sector institutions. We will deepen these existing institutional links, especially in health and education, clean </w:t>
      </w:r>
      <w:proofErr w:type="gramStart"/>
      <w:r w:rsidRPr="00FA2C26">
        <w:t>energy</w:t>
      </w:r>
      <w:proofErr w:type="gramEnd"/>
      <w:r w:rsidRPr="00FA2C26">
        <w:t xml:space="preserve"> and climate finance, and develop new relationships in science, innovation</w:t>
      </w:r>
      <w:r w:rsidR="00AE3901">
        <w:t xml:space="preserve"> and</w:t>
      </w:r>
      <w:r w:rsidR="00AE3901" w:rsidRPr="00FA2C26">
        <w:t xml:space="preserve"> </w:t>
      </w:r>
      <w:r w:rsidRPr="00FA2C26">
        <w:t xml:space="preserve">industry, and between research institutions from both countries. </w:t>
      </w:r>
    </w:p>
    <w:p w14:paraId="74811A2D" w14:textId="2377E0FD" w:rsidR="00737E87" w:rsidRPr="00FA2C26" w:rsidRDefault="00737E87" w:rsidP="008503D1">
      <w:pPr>
        <w:pStyle w:val="NormalBullets-L1"/>
      </w:pPr>
      <w:r w:rsidRPr="00FA2C26">
        <w:rPr>
          <w:b/>
          <w:bCs/>
        </w:rPr>
        <w:t>Supporting efforts to ‘crowd in’ additional finance</w:t>
      </w:r>
      <w:r w:rsidRPr="00CF5050">
        <w:rPr>
          <w:b/>
          <w:bCs/>
        </w:rPr>
        <w:t xml:space="preserve"> from </w:t>
      </w:r>
      <w:r w:rsidR="0055682D" w:rsidRPr="00CF5050">
        <w:rPr>
          <w:b/>
          <w:bCs/>
        </w:rPr>
        <w:t>private sector</w:t>
      </w:r>
      <w:r w:rsidR="0055682D">
        <w:rPr>
          <w:b/>
          <w:bCs/>
        </w:rPr>
        <w:t>,</w:t>
      </w:r>
      <w:r w:rsidR="0055682D" w:rsidRPr="00CF5050">
        <w:rPr>
          <w:b/>
          <w:bCs/>
        </w:rPr>
        <w:t xml:space="preserve"> </w:t>
      </w:r>
      <w:r w:rsidRPr="00CF5050">
        <w:rPr>
          <w:b/>
          <w:bCs/>
        </w:rPr>
        <w:t xml:space="preserve">international financial </w:t>
      </w:r>
      <w:proofErr w:type="gramStart"/>
      <w:r w:rsidRPr="00CF5050">
        <w:rPr>
          <w:b/>
          <w:bCs/>
        </w:rPr>
        <w:t>institutions</w:t>
      </w:r>
      <w:proofErr w:type="gramEnd"/>
      <w:r w:rsidRPr="00CF5050">
        <w:rPr>
          <w:b/>
          <w:bCs/>
        </w:rPr>
        <w:t xml:space="preserve"> and other multilateral institutions.</w:t>
      </w:r>
      <w:r w:rsidRPr="00FA2C26">
        <w:t xml:space="preserve"> </w:t>
      </w:r>
      <w:r w:rsidR="004D69E3">
        <w:t xml:space="preserve">Supporting the </w:t>
      </w:r>
      <w:r w:rsidR="001A2E55">
        <w:t>‘crowding in’</w:t>
      </w:r>
      <w:r w:rsidR="004D69E3">
        <w:t xml:space="preserve"> of additional financ</w:t>
      </w:r>
      <w:r w:rsidR="00B558EE">
        <w:t>e</w:t>
      </w:r>
      <w:r w:rsidR="004D69E3">
        <w:t xml:space="preserve"> </w:t>
      </w:r>
      <w:r w:rsidRPr="00FA2C26">
        <w:t xml:space="preserve">will be done by using our development assistance as a catalyst or multiplier, and increasingly co-funding activities with the Government of Indonesia. We will pursue this aim across all sectors, but with a particular focus on climate and energy transition, infrastructure, </w:t>
      </w:r>
      <w:proofErr w:type="gramStart"/>
      <w:r w:rsidRPr="00FA2C26">
        <w:t>health</w:t>
      </w:r>
      <w:proofErr w:type="gramEnd"/>
      <w:r w:rsidRPr="00FA2C26">
        <w:t xml:space="preserve"> and education – where Indonesia will need to catalyse significant financing to achieve </w:t>
      </w:r>
      <w:r w:rsidR="00B03134">
        <w:t xml:space="preserve">the objectives of </w:t>
      </w:r>
      <w:r w:rsidR="00862025">
        <w:t>the RPJPN</w:t>
      </w:r>
      <w:r w:rsidRPr="00FA2C26">
        <w:t xml:space="preserve">. </w:t>
      </w:r>
    </w:p>
    <w:p w14:paraId="0E22CDA2" w14:textId="65CD621A" w:rsidR="00737E87" w:rsidRPr="001371E0" w:rsidRDefault="00737E87" w:rsidP="008503D1">
      <w:pPr>
        <w:pStyle w:val="NormalBullets-L1"/>
      </w:pPr>
      <w:r w:rsidRPr="001371E0">
        <w:rPr>
          <w:b/>
          <w:bCs/>
        </w:rPr>
        <w:t>Focusing our infrastructure support</w:t>
      </w:r>
      <w:r w:rsidRPr="001371E0">
        <w:t xml:space="preserve"> </w:t>
      </w:r>
      <w:r w:rsidRPr="00CF5050">
        <w:rPr>
          <w:b/>
          <w:bCs/>
        </w:rPr>
        <w:t>on strengthened planning, with the goal of attracting new forms of finance.</w:t>
      </w:r>
      <w:r w:rsidRPr="001371E0">
        <w:t xml:space="preserve"> </w:t>
      </w:r>
      <w:r w:rsidR="00B03134" w:rsidRPr="001371E0">
        <w:t xml:space="preserve">The focus on strengthened planning </w:t>
      </w:r>
      <w:r w:rsidRPr="001371E0">
        <w:t>will be implemented through a new phase of bilateral infrastructure support starting in 2026.</w:t>
      </w:r>
    </w:p>
    <w:p w14:paraId="31C35587" w14:textId="19327140" w:rsidR="00737E87" w:rsidRPr="00FA2C26" w:rsidRDefault="00737E87" w:rsidP="00426324">
      <w:pPr>
        <w:pStyle w:val="NormalBullets-L1"/>
      </w:pPr>
      <w:r w:rsidRPr="00CF5050">
        <w:rPr>
          <w:b/>
          <w:bCs/>
        </w:rPr>
        <w:t>Supporting Indonesia’s Health Transformation Agenda reforms</w:t>
      </w:r>
      <w:r w:rsidR="00B03134" w:rsidRPr="00A7669E">
        <w:rPr>
          <w:b/>
          <w:bCs/>
        </w:rPr>
        <w:t>.</w:t>
      </w:r>
      <w:r w:rsidRPr="00FA2C26">
        <w:t xml:space="preserve"> </w:t>
      </w:r>
      <w:r w:rsidR="00B03134">
        <w:t xml:space="preserve">Support will be provided through </w:t>
      </w:r>
      <w:r w:rsidRPr="00FA2C26">
        <w:t xml:space="preserve">the design of </w:t>
      </w:r>
      <w:r w:rsidRPr="00CF5050">
        <w:t>a new, larger bilateral health program</w:t>
      </w:r>
      <w:r w:rsidRPr="00FA2C26">
        <w:t xml:space="preserve"> to launch in 2025, which will support health security</w:t>
      </w:r>
      <w:r w:rsidR="00481217">
        <w:t xml:space="preserve"> and </w:t>
      </w:r>
      <w:r w:rsidRPr="00FA2C26">
        <w:t>other health priorities</w:t>
      </w:r>
      <w:r w:rsidR="003E28F0">
        <w:t>,</w:t>
      </w:r>
      <w:r w:rsidRPr="00FA2C26">
        <w:t xml:space="preserve"> such as nutrition. This program will strengthen institutional links including in One Health</w:t>
      </w:r>
      <w:r w:rsidR="00A7669E">
        <w:t xml:space="preserve"> </w:t>
      </w:r>
      <w:r w:rsidR="00FC3801">
        <w:t xml:space="preserve">(an </w:t>
      </w:r>
      <w:r w:rsidR="004244C2">
        <w:t xml:space="preserve">integrated </w:t>
      </w:r>
      <w:r w:rsidR="00FC3801">
        <w:t xml:space="preserve">approach </w:t>
      </w:r>
      <w:r w:rsidR="009F15FB">
        <w:t>for human</w:t>
      </w:r>
      <w:r w:rsidR="00FC3801">
        <w:t xml:space="preserve">, </w:t>
      </w:r>
      <w:proofErr w:type="gramStart"/>
      <w:r w:rsidR="00FC3801">
        <w:t>animal</w:t>
      </w:r>
      <w:proofErr w:type="gramEnd"/>
      <w:r w:rsidR="00FC3801">
        <w:t xml:space="preserve"> and </w:t>
      </w:r>
      <w:r w:rsidR="004244C2">
        <w:t>environmental</w:t>
      </w:r>
      <w:r w:rsidR="00FC3801">
        <w:t xml:space="preserve"> health). </w:t>
      </w:r>
      <w:r w:rsidRPr="00FA2C26">
        <w:t xml:space="preserve">This program will also represent a consolidation of multiple health investments into a </w:t>
      </w:r>
      <w:r w:rsidR="00AC1865">
        <w:t xml:space="preserve">single, </w:t>
      </w:r>
      <w:proofErr w:type="gramStart"/>
      <w:r w:rsidRPr="00FA2C26">
        <w:t>larger</w:t>
      </w:r>
      <w:proofErr w:type="gramEnd"/>
      <w:r w:rsidRPr="00FA2C26">
        <w:t xml:space="preserve"> </w:t>
      </w:r>
      <w:r w:rsidR="00AC1865">
        <w:t xml:space="preserve">and </w:t>
      </w:r>
      <w:r w:rsidRPr="00FA2C26">
        <w:t>more efficient platform.</w:t>
      </w:r>
    </w:p>
    <w:p w14:paraId="0DFCC24F" w14:textId="542DED6D" w:rsidR="00737E87" w:rsidRPr="00FA2C26" w:rsidRDefault="00737E87" w:rsidP="008503D1">
      <w:pPr>
        <w:pStyle w:val="NormalBullets-L1"/>
      </w:pPr>
      <w:r w:rsidRPr="00FA2C26">
        <w:rPr>
          <w:b/>
          <w:bCs/>
        </w:rPr>
        <w:t>Renewing and elevating our commitment to locally</w:t>
      </w:r>
      <w:r w:rsidR="00AC1865">
        <w:rPr>
          <w:b/>
          <w:bCs/>
        </w:rPr>
        <w:t xml:space="preserve"> </w:t>
      </w:r>
      <w:r w:rsidRPr="00FA2C26">
        <w:rPr>
          <w:b/>
          <w:bCs/>
        </w:rPr>
        <w:t>led development</w:t>
      </w:r>
      <w:r w:rsidR="00AC1865">
        <w:rPr>
          <w:b/>
          <w:bCs/>
        </w:rPr>
        <w:t>.</w:t>
      </w:r>
      <w:r w:rsidR="00AC1865" w:rsidRPr="00CF5050">
        <w:t xml:space="preserve"> This commitment will be demonstrated </w:t>
      </w:r>
      <w:r w:rsidRPr="00FA2C26">
        <w:t xml:space="preserve">by engaging with a range of stakeholder groups, including government, civil </w:t>
      </w:r>
      <w:proofErr w:type="gramStart"/>
      <w:r w:rsidRPr="00FA2C26">
        <w:t>society</w:t>
      </w:r>
      <w:proofErr w:type="gramEnd"/>
      <w:r w:rsidRPr="00FA2C26">
        <w:t xml:space="preserve"> and private sector actors.</w:t>
      </w:r>
    </w:p>
    <w:p w14:paraId="3715A535" w14:textId="7F05EC84" w:rsidR="00ED0451" w:rsidRPr="00FA2C26" w:rsidRDefault="00B97882" w:rsidP="00284E39">
      <w:pPr>
        <w:pStyle w:val="NormalBullets-L1"/>
      </w:pPr>
      <w:r w:rsidRPr="00CF5050">
        <w:rPr>
          <w:b/>
          <w:bCs/>
        </w:rPr>
        <w:t xml:space="preserve">Consolidating resources. </w:t>
      </w:r>
      <w:r w:rsidR="00737E87" w:rsidRPr="00FA2C26">
        <w:t xml:space="preserve">Exiting from </w:t>
      </w:r>
      <w:r>
        <w:t xml:space="preserve">some </w:t>
      </w:r>
      <w:r w:rsidR="00737E87" w:rsidRPr="00FA2C26">
        <w:t xml:space="preserve">programs at the culmination of existing contracts and grants </w:t>
      </w:r>
      <w:r>
        <w:t xml:space="preserve">will </w:t>
      </w:r>
      <w:r w:rsidR="00737E87" w:rsidRPr="00FA2C26">
        <w:t xml:space="preserve">enable consolidation of resources </w:t>
      </w:r>
      <w:r w:rsidR="004C7235">
        <w:t>for</w:t>
      </w:r>
      <w:r w:rsidR="00737E87" w:rsidRPr="00FA2C26">
        <w:t xml:space="preserve"> flagship programs and create headroom to pursue new priorities with the Government of Indonesia from 2024</w:t>
      </w:r>
      <w:r w:rsidR="00EE4DF7">
        <w:t>–</w:t>
      </w:r>
      <w:r w:rsidR="00737E87" w:rsidRPr="00FA2C26">
        <w:t>25</w:t>
      </w:r>
      <w:r w:rsidR="00001C22">
        <w:t>. We will</w:t>
      </w:r>
      <w:r w:rsidR="00B750FF">
        <w:t>:</w:t>
      </w:r>
    </w:p>
    <w:p w14:paraId="6BDDD12C" w14:textId="214F9132" w:rsidR="00B750FF" w:rsidRDefault="00737E87" w:rsidP="00ED0451">
      <w:pPr>
        <w:pStyle w:val="NormalBullets-L2"/>
      </w:pPr>
      <w:r w:rsidRPr="00FA2C26">
        <w:t>exit from the</w:t>
      </w:r>
      <w:r w:rsidRPr="00001C22">
        <w:rPr>
          <w:b/>
          <w:bCs/>
        </w:rPr>
        <w:t xml:space="preserve"> </w:t>
      </w:r>
      <w:r w:rsidRPr="00FA2C26">
        <w:t>current major market systems development program as it concludes in December 2024</w:t>
      </w:r>
    </w:p>
    <w:p w14:paraId="43137611" w14:textId="1AFAA577" w:rsidR="00737E87" w:rsidRPr="00FA2C26" w:rsidRDefault="00737E87" w:rsidP="00ED0451">
      <w:pPr>
        <w:pStyle w:val="NormalBullets-L2"/>
      </w:pPr>
      <w:r w:rsidRPr="00FA2C26">
        <w:t>exit from two smaller bilateral health agreements as they come to their conclusion</w:t>
      </w:r>
      <w:r w:rsidR="009D22C5">
        <w:t>,</w:t>
      </w:r>
      <w:r w:rsidRPr="00FA2C26">
        <w:t xml:space="preserve"> also in 2024</w:t>
      </w:r>
      <w:r w:rsidR="00B750FF">
        <w:t>.</w:t>
      </w:r>
    </w:p>
    <w:p w14:paraId="48356165" w14:textId="5C79E366" w:rsidR="00737E87" w:rsidRPr="00FA2C26" w:rsidRDefault="00737E87" w:rsidP="008503D1">
      <w:pPr>
        <w:pStyle w:val="NormalBullets-L1"/>
      </w:pPr>
      <w:r w:rsidRPr="00CF5050">
        <w:rPr>
          <w:b/>
          <w:bCs/>
        </w:rPr>
        <w:t>At the mid-</w:t>
      </w:r>
      <w:r w:rsidR="00567268" w:rsidRPr="00CF5050">
        <w:rPr>
          <w:b/>
          <w:bCs/>
        </w:rPr>
        <w:t xml:space="preserve">cycle </w:t>
      </w:r>
      <w:r w:rsidRPr="00CF5050">
        <w:rPr>
          <w:b/>
          <w:bCs/>
        </w:rPr>
        <w:t>review, identify if there are further investments that can be resized and/or significantly redesigned or reallocated.</w:t>
      </w:r>
      <w:r w:rsidRPr="00FA2C26">
        <w:t xml:space="preserve"> This will include programs in social protection and </w:t>
      </w:r>
      <w:r w:rsidR="003C73C6">
        <w:t>disaster risk reduction</w:t>
      </w:r>
      <w:r w:rsidRPr="00FA2C26">
        <w:t xml:space="preserve">, where we will need to consider investment scale, geographic scope (applicable to </w:t>
      </w:r>
      <w:r w:rsidR="003C73C6">
        <w:t>disaster risk reduction</w:t>
      </w:r>
      <w:r w:rsidRPr="00FA2C26">
        <w:t xml:space="preserve">) and approach. </w:t>
      </w:r>
    </w:p>
    <w:p w14:paraId="5D7B1781" w14:textId="35C29FF5" w:rsidR="00737E87" w:rsidRPr="00FA2C26" w:rsidRDefault="00737E87" w:rsidP="008503D1">
      <w:pPr>
        <w:pStyle w:val="NormalBullets-L1"/>
        <w:rPr>
          <w:rFonts w:eastAsia="Times New Roman"/>
        </w:rPr>
      </w:pPr>
      <w:r w:rsidRPr="00CF5050">
        <w:rPr>
          <w:b/>
          <w:bCs/>
        </w:rPr>
        <w:t>Work across programs to determine how best our partnership can contribute to new and emerging priorities</w:t>
      </w:r>
      <w:r w:rsidR="003C73C6">
        <w:t>.</w:t>
      </w:r>
      <w:r w:rsidRPr="00FA2C26">
        <w:t xml:space="preserve"> </w:t>
      </w:r>
      <w:r w:rsidR="003C73C6">
        <w:t xml:space="preserve">New and emerging priorities may include, </w:t>
      </w:r>
      <w:r w:rsidRPr="00FA2C26">
        <w:t>for example</w:t>
      </w:r>
      <w:r w:rsidR="003C73C6">
        <w:t>,</w:t>
      </w:r>
      <w:r w:rsidRPr="00FA2C26">
        <w:t xml:space="preserve"> electric vehicles or food security and nutrition. </w:t>
      </w:r>
    </w:p>
    <w:p w14:paraId="79D9501F" w14:textId="067F4802" w:rsidR="00737E87" w:rsidRDefault="00737E87" w:rsidP="008503D1">
      <w:pPr>
        <w:pStyle w:val="NormalBullets-L1"/>
      </w:pPr>
      <w:r w:rsidRPr="00CF5050">
        <w:rPr>
          <w:b/>
          <w:bCs/>
        </w:rPr>
        <w:t xml:space="preserve">Work with </w:t>
      </w:r>
      <w:r w:rsidR="00BE786A">
        <w:rPr>
          <w:b/>
          <w:bCs/>
        </w:rPr>
        <w:t xml:space="preserve">the </w:t>
      </w:r>
      <w:r w:rsidRPr="00CF5050">
        <w:rPr>
          <w:b/>
          <w:bCs/>
        </w:rPr>
        <w:t xml:space="preserve">Indonesian </w:t>
      </w:r>
      <w:r w:rsidR="00BE786A">
        <w:rPr>
          <w:b/>
          <w:bCs/>
        </w:rPr>
        <w:t xml:space="preserve">Agency for International Development (Indonesian </w:t>
      </w:r>
      <w:r w:rsidRPr="00CF5050">
        <w:rPr>
          <w:b/>
          <w:bCs/>
        </w:rPr>
        <w:t>AID</w:t>
      </w:r>
      <w:r w:rsidR="00BE786A">
        <w:rPr>
          <w:b/>
          <w:bCs/>
        </w:rPr>
        <w:t>)</w:t>
      </w:r>
      <w:r w:rsidR="000F4DC8">
        <w:rPr>
          <w:b/>
          <w:bCs/>
        </w:rPr>
        <w:t>.</w:t>
      </w:r>
      <w:r w:rsidRPr="00FA2C26">
        <w:t xml:space="preserve"> </w:t>
      </w:r>
      <w:r w:rsidR="006D34C3">
        <w:t xml:space="preserve">We will work </w:t>
      </w:r>
      <w:r w:rsidRPr="00FA2C26">
        <w:t xml:space="preserve">trilaterally </w:t>
      </w:r>
      <w:r w:rsidR="006D34C3">
        <w:t xml:space="preserve">with Indonesian AID </w:t>
      </w:r>
      <w:r w:rsidRPr="00FA2C26">
        <w:t xml:space="preserve">and </w:t>
      </w:r>
      <w:r w:rsidR="006D34C3">
        <w:t xml:space="preserve">ensure </w:t>
      </w:r>
      <w:r w:rsidRPr="00FA2C26">
        <w:t xml:space="preserve">two-way learning as fellow international development partners. </w:t>
      </w:r>
    </w:p>
    <w:p w14:paraId="794EBFC6" w14:textId="3E8E9B3E" w:rsidR="00737E87" w:rsidRPr="007A160D" w:rsidRDefault="00737E87" w:rsidP="00CF5050">
      <w:pPr>
        <w:pStyle w:val="Tabletitle"/>
        <w:spacing w:before="120" w:after="0"/>
      </w:pPr>
      <w:bookmarkStart w:id="1" w:name="_Hlk158127910"/>
      <w:r w:rsidRPr="004009C5">
        <w:lastRenderedPageBreak/>
        <w:t>Table 1: Australia</w:t>
      </w:r>
      <w:r w:rsidR="007D01A8">
        <w:t>–</w:t>
      </w:r>
      <w:r w:rsidRPr="004009C5">
        <w:t xml:space="preserve">Indonesia </w:t>
      </w:r>
      <w:r w:rsidR="007D01A8">
        <w:t>d</w:t>
      </w:r>
      <w:r w:rsidRPr="004009C5">
        <w:t xml:space="preserve">evelopment </w:t>
      </w:r>
      <w:r w:rsidR="007D01A8">
        <w:t>p</w:t>
      </w:r>
      <w:r w:rsidRPr="004009C5">
        <w:t>artnership</w:t>
      </w:r>
    </w:p>
    <w:p w14:paraId="49DBDA96" w14:textId="77777777" w:rsidR="00737E87" w:rsidRPr="00315090" w:rsidRDefault="00737E87" w:rsidP="00CF5050">
      <w:pPr>
        <w:keepNext/>
        <w:spacing w:before="120" w:after="120"/>
        <w:rPr>
          <w:b/>
          <w:bCs/>
          <w:lang w:eastAsia="en-AU"/>
        </w:rPr>
      </w:pPr>
      <w:r w:rsidRPr="00315090">
        <w:rPr>
          <w:b/>
          <w:bCs/>
          <w:lang w:eastAsia="en-AU"/>
        </w:rPr>
        <w:t xml:space="preserve">Goal: A prosperous, </w:t>
      </w:r>
      <w:proofErr w:type="gramStart"/>
      <w:r w:rsidRPr="00315090">
        <w:rPr>
          <w:b/>
          <w:bCs/>
          <w:lang w:eastAsia="en-AU"/>
        </w:rPr>
        <w:t>resilient</w:t>
      </w:r>
      <w:proofErr w:type="gramEnd"/>
      <w:r w:rsidRPr="00315090">
        <w:rPr>
          <w:b/>
          <w:bCs/>
          <w:lang w:eastAsia="en-AU"/>
        </w:rPr>
        <w:t xml:space="preserve"> and stable Indonesia </w:t>
      </w:r>
    </w:p>
    <w:tbl>
      <w:tblPr>
        <w:tblStyle w:val="ListTable3-Accent1"/>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stralia–Indonesia development partnership"/>
        <w:tblDescription w:val="The objectives, outcomes and focus areas to support the goal of a prosperous, resilient and stable Indonesia"/>
      </w:tblPr>
      <w:tblGrid>
        <w:gridCol w:w="1270"/>
        <w:gridCol w:w="2972"/>
        <w:gridCol w:w="2972"/>
        <w:gridCol w:w="2970"/>
      </w:tblGrid>
      <w:tr w:rsidR="00676301" w:rsidRPr="00F5008D" w14:paraId="5B822956" w14:textId="77777777" w:rsidTr="00776CEA">
        <w:trPr>
          <w:cnfStyle w:val="100000000000" w:firstRow="1" w:lastRow="0" w:firstColumn="0" w:lastColumn="0" w:oddVBand="0" w:evenVBand="0" w:oddHBand="0" w:evenHBand="0" w:firstRowFirstColumn="0" w:firstRowLastColumn="0" w:lastRowFirstColumn="0" w:lastRowLastColumn="0"/>
          <w:cantSplit/>
          <w:trHeight w:val="205"/>
        </w:trPr>
        <w:tc>
          <w:tcPr>
            <w:cnfStyle w:val="001000000100" w:firstRow="0" w:lastRow="0" w:firstColumn="1" w:lastColumn="0" w:oddVBand="0" w:evenVBand="0" w:oddHBand="0" w:evenHBand="0" w:firstRowFirstColumn="1" w:firstRowLastColumn="0" w:lastRowFirstColumn="0" w:lastRowLastColumn="0"/>
            <w:tcW w:w="624" w:type="pct"/>
            <w:tcBorders>
              <w:bottom w:val="none" w:sz="0" w:space="0" w:color="auto"/>
              <w:right w:val="none" w:sz="0" w:space="0" w:color="auto"/>
            </w:tcBorders>
            <w:shd w:val="clear" w:color="auto" w:fill="3A586E"/>
            <w:tcMar>
              <w:left w:w="108" w:type="dxa"/>
              <w:right w:w="108" w:type="dxa"/>
            </w:tcMar>
          </w:tcPr>
          <w:p w14:paraId="6CACAB48" w14:textId="77777777" w:rsidR="00737E87" w:rsidRPr="00CF5050" w:rsidRDefault="00737E87" w:rsidP="00F5008D">
            <w:pPr>
              <w:pStyle w:val="TableBodyCopy"/>
              <w:rPr>
                <w:color w:val="FFFFFF" w:themeColor="background1"/>
                <w:lang w:eastAsia="en-AU"/>
              </w:rPr>
            </w:pPr>
            <w:r w:rsidRPr="00CF5050">
              <w:rPr>
                <w:color w:val="FFFFFF" w:themeColor="background1"/>
                <w:lang w:eastAsia="en-AU"/>
              </w:rPr>
              <w:t>Objective</w:t>
            </w:r>
          </w:p>
        </w:tc>
        <w:tc>
          <w:tcPr>
            <w:tcW w:w="1459" w:type="pct"/>
            <w:shd w:val="clear" w:color="auto" w:fill="D6E8D2"/>
            <w:tcMar>
              <w:left w:w="108" w:type="dxa"/>
              <w:right w:w="108" w:type="dxa"/>
            </w:tcMar>
          </w:tcPr>
          <w:p w14:paraId="7B397CEB" w14:textId="77777777" w:rsidR="003D448F" w:rsidRPr="00166E7B" w:rsidRDefault="00737E87" w:rsidP="00F5008D">
            <w:pPr>
              <w:pStyle w:val="TableBodyCopy"/>
              <w:cnfStyle w:val="100000000000" w:firstRow="1" w:lastRow="0" w:firstColumn="0" w:lastColumn="0" w:oddVBand="0" w:evenVBand="0" w:oddHBand="0" w:evenHBand="0" w:firstRowFirstColumn="0" w:firstRowLastColumn="0" w:lastRowFirstColumn="0" w:lastRowLastColumn="0"/>
              <w:rPr>
                <w:b w:val="0"/>
                <w:bCs w:val="0"/>
              </w:rPr>
            </w:pPr>
            <w:r w:rsidRPr="000A15EA">
              <w:rPr>
                <w:b w:val="0"/>
                <w:bCs w:val="0"/>
              </w:rPr>
              <w:t>Objective 1:</w:t>
            </w:r>
          </w:p>
          <w:p w14:paraId="3733E550" w14:textId="69B66014" w:rsidR="00737E87" w:rsidRPr="000A15EA" w:rsidRDefault="006A27F0" w:rsidP="00AA6202">
            <w:pPr>
              <w:pStyle w:val="TableBodyCopy"/>
              <w:cnfStyle w:val="100000000000" w:firstRow="1" w:lastRow="0" w:firstColumn="0" w:lastColumn="0" w:oddVBand="0" w:evenVBand="0" w:oddHBand="0" w:evenHBand="0" w:firstRowFirstColumn="0" w:firstRowLastColumn="0" w:lastRowFirstColumn="0" w:lastRowLastColumn="0"/>
              <w:rPr>
                <w:b w:val="0"/>
                <w:bCs w:val="0"/>
                <w:lang w:eastAsia="en-AU"/>
              </w:rPr>
            </w:pPr>
            <w:r>
              <w:rPr>
                <w:b w:val="0"/>
                <w:bCs w:val="0"/>
              </w:rPr>
              <w:t>E</w:t>
            </w:r>
            <w:r w:rsidR="00737E87" w:rsidRPr="000A15EA">
              <w:rPr>
                <w:b w:val="0"/>
                <w:bCs w:val="0"/>
              </w:rPr>
              <w:t xml:space="preserve">quitable and </w:t>
            </w:r>
            <w:r w:rsidR="003D448F">
              <w:rPr>
                <w:b w:val="0"/>
                <w:bCs w:val="0"/>
              </w:rPr>
              <w:t>s</w:t>
            </w:r>
            <w:r w:rsidR="00737E87" w:rsidRPr="000A15EA">
              <w:rPr>
                <w:b w:val="0"/>
                <w:bCs w:val="0"/>
              </w:rPr>
              <w:t xml:space="preserve">ustainable </w:t>
            </w:r>
            <w:r w:rsidR="003D448F">
              <w:rPr>
                <w:b w:val="0"/>
                <w:bCs w:val="0"/>
              </w:rPr>
              <w:t>e</w:t>
            </w:r>
            <w:r w:rsidR="00737E87" w:rsidRPr="000A15EA">
              <w:rPr>
                <w:b w:val="0"/>
                <w:bCs w:val="0"/>
              </w:rPr>
              <w:t xml:space="preserve">conomic </w:t>
            </w:r>
            <w:r w:rsidR="003D448F">
              <w:rPr>
                <w:b w:val="0"/>
                <w:bCs w:val="0"/>
              </w:rPr>
              <w:t>t</w:t>
            </w:r>
            <w:r w:rsidR="00737E87" w:rsidRPr="000A15EA">
              <w:rPr>
                <w:b w:val="0"/>
                <w:bCs w:val="0"/>
              </w:rPr>
              <w:t>ransformation</w:t>
            </w:r>
          </w:p>
        </w:tc>
        <w:tc>
          <w:tcPr>
            <w:tcW w:w="1459" w:type="pct"/>
            <w:shd w:val="clear" w:color="auto" w:fill="FBEED2"/>
            <w:tcMar>
              <w:left w:w="108" w:type="dxa"/>
              <w:right w:w="108" w:type="dxa"/>
            </w:tcMar>
          </w:tcPr>
          <w:p w14:paraId="5006CCDC" w14:textId="77777777" w:rsidR="003D448F" w:rsidRDefault="00737E87" w:rsidP="00F5008D">
            <w:pPr>
              <w:pStyle w:val="TableBodyCopy"/>
              <w:cnfStyle w:val="100000000000" w:firstRow="1" w:lastRow="0" w:firstColumn="0" w:lastColumn="0" w:oddVBand="0" w:evenVBand="0" w:oddHBand="0" w:evenHBand="0" w:firstRowFirstColumn="0" w:firstRowLastColumn="0" w:lastRowFirstColumn="0" w:lastRowLastColumn="0"/>
              <w:rPr>
                <w:lang w:eastAsia="en-AU"/>
              </w:rPr>
            </w:pPr>
            <w:r w:rsidRPr="000A15EA">
              <w:rPr>
                <w:b w:val="0"/>
                <w:bCs w:val="0"/>
                <w:lang w:eastAsia="en-AU"/>
              </w:rPr>
              <w:t>Objective 2:</w:t>
            </w:r>
          </w:p>
          <w:p w14:paraId="5CF10727" w14:textId="31C5A100" w:rsidR="00737E87" w:rsidRPr="000A15EA" w:rsidRDefault="00737E87" w:rsidP="00AA6202">
            <w:pPr>
              <w:pStyle w:val="TableBodyCopy"/>
              <w:cnfStyle w:val="100000000000" w:firstRow="1" w:lastRow="0" w:firstColumn="0" w:lastColumn="0" w:oddVBand="0" w:evenVBand="0" w:oddHBand="0" w:evenHBand="0" w:firstRowFirstColumn="0" w:firstRowLastColumn="0" w:lastRowFirstColumn="0" w:lastRowLastColumn="0"/>
              <w:rPr>
                <w:b w:val="0"/>
                <w:bCs w:val="0"/>
                <w:lang w:eastAsia="en-AU"/>
              </w:rPr>
            </w:pPr>
            <w:r w:rsidRPr="000A15EA">
              <w:rPr>
                <w:b w:val="0"/>
                <w:bCs w:val="0"/>
              </w:rPr>
              <w:t>Climate</w:t>
            </w:r>
            <w:r w:rsidR="00237A82">
              <w:rPr>
                <w:b w:val="0"/>
                <w:bCs w:val="0"/>
              </w:rPr>
              <w:t xml:space="preserve"> </w:t>
            </w:r>
            <w:r w:rsidR="003D448F">
              <w:rPr>
                <w:b w:val="0"/>
                <w:bCs w:val="0"/>
              </w:rPr>
              <w:t>r</w:t>
            </w:r>
            <w:r w:rsidRPr="000A15EA">
              <w:rPr>
                <w:b w:val="0"/>
                <w:bCs w:val="0"/>
              </w:rPr>
              <w:t xml:space="preserve">esilient </w:t>
            </w:r>
            <w:r w:rsidR="003D448F">
              <w:rPr>
                <w:b w:val="0"/>
                <w:bCs w:val="0"/>
              </w:rPr>
              <w:t>c</w:t>
            </w:r>
            <w:r w:rsidRPr="000A15EA">
              <w:rPr>
                <w:b w:val="0"/>
                <w:bCs w:val="0"/>
              </w:rPr>
              <w:t>ommunities</w:t>
            </w:r>
            <w:r w:rsidRPr="000A15EA">
              <w:rPr>
                <w:b w:val="0"/>
                <w:bCs w:val="0"/>
                <w:lang w:eastAsia="en-AU"/>
              </w:rPr>
              <w:t xml:space="preserve"> </w:t>
            </w:r>
          </w:p>
        </w:tc>
        <w:tc>
          <w:tcPr>
            <w:tcW w:w="1458" w:type="pct"/>
            <w:shd w:val="clear" w:color="auto" w:fill="F0DBD4"/>
            <w:tcMar>
              <w:left w:w="108" w:type="dxa"/>
              <w:right w:w="108" w:type="dxa"/>
            </w:tcMar>
          </w:tcPr>
          <w:p w14:paraId="7612D35F" w14:textId="77777777" w:rsidR="00225EE3" w:rsidRDefault="00737E87" w:rsidP="00F5008D">
            <w:pPr>
              <w:pStyle w:val="TableBodyCopy"/>
              <w:cnfStyle w:val="100000000000" w:firstRow="1" w:lastRow="0" w:firstColumn="0" w:lastColumn="0" w:oddVBand="0" w:evenVBand="0" w:oddHBand="0" w:evenHBand="0" w:firstRowFirstColumn="0" w:firstRowLastColumn="0" w:lastRowFirstColumn="0" w:lastRowLastColumn="0"/>
              <w:rPr>
                <w:lang w:eastAsia="en-AU"/>
              </w:rPr>
            </w:pPr>
            <w:r w:rsidRPr="000A15EA">
              <w:rPr>
                <w:b w:val="0"/>
                <w:bCs w:val="0"/>
                <w:lang w:eastAsia="en-AU"/>
              </w:rPr>
              <w:t>Objective 3:</w:t>
            </w:r>
          </w:p>
          <w:p w14:paraId="25AC3BE3" w14:textId="70757A87" w:rsidR="00737E87" w:rsidRPr="000A15EA" w:rsidRDefault="00737E87" w:rsidP="00AA6202">
            <w:pPr>
              <w:pStyle w:val="TableBodyCopy"/>
              <w:cnfStyle w:val="100000000000" w:firstRow="1" w:lastRow="0" w:firstColumn="0" w:lastColumn="0" w:oddVBand="0" w:evenVBand="0" w:oddHBand="0" w:evenHBand="0" w:firstRowFirstColumn="0" w:firstRowLastColumn="0" w:lastRowFirstColumn="0" w:lastRowLastColumn="0"/>
              <w:rPr>
                <w:b w:val="0"/>
                <w:bCs w:val="0"/>
                <w:lang w:eastAsia="en-AU"/>
              </w:rPr>
            </w:pPr>
            <w:r w:rsidRPr="000A15EA">
              <w:rPr>
                <w:b w:val="0"/>
                <w:bCs w:val="0"/>
              </w:rPr>
              <w:t xml:space="preserve">Strong </w:t>
            </w:r>
            <w:r w:rsidR="003D448F">
              <w:rPr>
                <w:b w:val="0"/>
                <w:bCs w:val="0"/>
              </w:rPr>
              <w:t>i</w:t>
            </w:r>
            <w:r w:rsidRPr="000A15EA">
              <w:rPr>
                <w:b w:val="0"/>
                <w:bCs w:val="0"/>
              </w:rPr>
              <w:t>nstitutions</w:t>
            </w:r>
            <w:r w:rsidRPr="000A15EA">
              <w:rPr>
                <w:b w:val="0"/>
                <w:bCs w:val="0"/>
                <w:lang w:eastAsia="en-AU"/>
              </w:rPr>
              <w:t xml:space="preserve"> </w:t>
            </w:r>
          </w:p>
        </w:tc>
      </w:tr>
      <w:tr w:rsidR="00676301" w:rsidRPr="00E667AD" w14:paraId="584ED231" w14:textId="77777777" w:rsidTr="00776CEA">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624" w:type="pct"/>
            <w:tcBorders>
              <w:top w:val="none" w:sz="0" w:space="0" w:color="auto"/>
              <w:bottom w:val="none" w:sz="0" w:space="0" w:color="auto"/>
              <w:right w:val="none" w:sz="0" w:space="0" w:color="auto"/>
            </w:tcBorders>
            <w:shd w:val="clear" w:color="auto" w:fill="3A586E"/>
            <w:tcMar>
              <w:left w:w="108" w:type="dxa"/>
              <w:right w:w="108" w:type="dxa"/>
            </w:tcMar>
          </w:tcPr>
          <w:p w14:paraId="2B78B916" w14:textId="77777777" w:rsidR="00737E87" w:rsidRPr="00CF5050" w:rsidRDefault="00737E87" w:rsidP="00E667AD">
            <w:pPr>
              <w:pStyle w:val="TableBodyCopy"/>
              <w:rPr>
                <w:rFonts w:eastAsia="Times New Roman" w:cs="Calibri"/>
                <w:color w:val="FFFFFF" w:themeColor="background1"/>
                <w:lang w:eastAsia="en-AU"/>
              </w:rPr>
            </w:pPr>
            <w:r w:rsidRPr="00CF5050">
              <w:rPr>
                <w:rFonts w:eastAsia="Times New Roman" w:cs="Calibri"/>
                <w:color w:val="FFFFFF" w:themeColor="background1"/>
                <w:lang w:eastAsia="en-AU"/>
              </w:rPr>
              <w:t>Outcomes</w:t>
            </w:r>
          </w:p>
        </w:tc>
        <w:tc>
          <w:tcPr>
            <w:tcW w:w="1459" w:type="pct"/>
            <w:tcBorders>
              <w:top w:val="none" w:sz="0" w:space="0" w:color="auto"/>
              <w:bottom w:val="none" w:sz="0" w:space="0" w:color="auto"/>
            </w:tcBorders>
            <w:shd w:val="clear" w:color="auto" w:fill="D6E8D2"/>
            <w:tcMar>
              <w:left w:w="108" w:type="dxa"/>
              <w:right w:w="108" w:type="dxa"/>
            </w:tcMar>
          </w:tcPr>
          <w:p w14:paraId="5909F343" w14:textId="77777777" w:rsidR="00C13B0C" w:rsidRDefault="00737E87" w:rsidP="00595231">
            <w:pPr>
              <w:pStyle w:val="TableBodyCopy"/>
              <w:cnfStyle w:val="000000100000" w:firstRow="0" w:lastRow="0" w:firstColumn="0" w:lastColumn="0" w:oddVBand="0" w:evenVBand="0" w:oddHBand="1" w:evenHBand="0" w:firstRowFirstColumn="0" w:firstRowLastColumn="0" w:lastRowFirstColumn="0" w:lastRowLastColumn="0"/>
            </w:pPr>
            <w:r w:rsidRPr="000A15EA">
              <w:t>Outcome 1.1</w:t>
            </w:r>
          </w:p>
          <w:p w14:paraId="51614999" w14:textId="6FB87865" w:rsidR="00737E87" w:rsidRPr="00A07F94" w:rsidRDefault="00737E87" w:rsidP="00A07F94">
            <w:pPr>
              <w:pStyle w:val="TableBodyCopy"/>
              <w:cnfStyle w:val="000000100000" w:firstRow="0" w:lastRow="0" w:firstColumn="0" w:lastColumn="0" w:oddVBand="0" w:evenVBand="0" w:oddHBand="1" w:evenHBand="0" w:firstRowFirstColumn="0" w:firstRowLastColumn="0" w:lastRowFirstColumn="0" w:lastRowLastColumn="0"/>
              <w:rPr>
                <w:rFonts w:cstheme="minorHAnsi"/>
              </w:rPr>
            </w:pPr>
            <w:r w:rsidRPr="00A07F94">
              <w:rPr>
                <w:rFonts w:cstheme="minorHAnsi"/>
              </w:rPr>
              <w:t xml:space="preserve">Sustainable and equitable economic growth is supported, including in trade, investment and </w:t>
            </w:r>
            <w:proofErr w:type="gramStart"/>
            <w:r w:rsidRPr="00A07F94">
              <w:rPr>
                <w:rFonts w:cstheme="minorHAnsi"/>
              </w:rPr>
              <w:t>innovation</w:t>
            </w:r>
            <w:proofErr w:type="gramEnd"/>
          </w:p>
          <w:p w14:paraId="2AE098C9" w14:textId="118E58C4" w:rsidR="00C13B0C" w:rsidRPr="00D96835" w:rsidRDefault="00737E87" w:rsidP="00E667AD">
            <w:pPr>
              <w:pStyle w:val="TableBodyCopy"/>
              <w:cnfStyle w:val="000000100000" w:firstRow="0" w:lastRow="0" w:firstColumn="0" w:lastColumn="0" w:oddVBand="0" w:evenVBand="0" w:oddHBand="1" w:evenHBand="0" w:firstRowFirstColumn="0" w:firstRowLastColumn="0" w:lastRowFirstColumn="0" w:lastRowLastColumn="0"/>
            </w:pPr>
            <w:r w:rsidRPr="00D96835">
              <w:t>Outcome 1.2</w:t>
            </w:r>
          </w:p>
          <w:p w14:paraId="75FBFC42" w14:textId="295E89FE" w:rsidR="00737E87" w:rsidRPr="00D96835" w:rsidRDefault="00737E87" w:rsidP="00D96835">
            <w:pPr>
              <w:pStyle w:val="TableBodyCopy"/>
              <w:cnfStyle w:val="000000100000" w:firstRow="0" w:lastRow="0" w:firstColumn="0" w:lastColumn="0" w:oddVBand="0" w:evenVBand="0" w:oddHBand="1" w:evenHBand="0" w:firstRowFirstColumn="0" w:firstRowLastColumn="0" w:lastRowFirstColumn="0" w:lastRowLastColumn="0"/>
              <w:rPr>
                <w:rFonts w:cstheme="minorHAnsi"/>
              </w:rPr>
            </w:pPr>
            <w:r w:rsidRPr="00D96835">
              <w:rPr>
                <w:rFonts w:cstheme="minorHAnsi"/>
              </w:rPr>
              <w:t xml:space="preserve">Human development, governance, service delivery, and gender and disability equality are </w:t>
            </w:r>
            <w:proofErr w:type="gramStart"/>
            <w:r w:rsidRPr="00D96835">
              <w:rPr>
                <w:rFonts w:cstheme="minorHAnsi"/>
              </w:rPr>
              <w:t>strengthened</w:t>
            </w:r>
            <w:proofErr w:type="gramEnd"/>
          </w:p>
          <w:p w14:paraId="65774EA0" w14:textId="17BE415D" w:rsidR="00C13B0C" w:rsidRDefault="00737E87" w:rsidP="00C742DC">
            <w:pPr>
              <w:pStyle w:val="TableBodyCopy"/>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0A15EA">
              <w:rPr>
                <w:rFonts w:eastAsia="Times New Roman" w:cs="Calibri"/>
                <w:lang w:eastAsia="en-AU"/>
              </w:rPr>
              <w:t>Outcome 1.3</w:t>
            </w:r>
          </w:p>
          <w:p w14:paraId="6CB3274D" w14:textId="591DC0B9" w:rsidR="00737E87" w:rsidRPr="000A15EA" w:rsidRDefault="00737E87" w:rsidP="00D96835">
            <w:pPr>
              <w:pStyle w:val="TableBodyCopy"/>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D96835">
              <w:rPr>
                <w:rFonts w:cstheme="minorHAnsi"/>
              </w:rPr>
              <w:t xml:space="preserve">Citizens, including vulnerable groups, benefit from improved governance, public financial management, </w:t>
            </w:r>
            <w:proofErr w:type="gramStart"/>
            <w:r w:rsidRPr="00D96835">
              <w:rPr>
                <w:rFonts w:cstheme="minorHAnsi"/>
              </w:rPr>
              <w:t>infrastructure</w:t>
            </w:r>
            <w:proofErr w:type="gramEnd"/>
            <w:r w:rsidRPr="00D96835">
              <w:rPr>
                <w:rFonts w:cstheme="minorHAnsi"/>
              </w:rPr>
              <w:t xml:space="preserve"> and services</w:t>
            </w:r>
          </w:p>
        </w:tc>
        <w:tc>
          <w:tcPr>
            <w:tcW w:w="1459" w:type="pct"/>
            <w:tcBorders>
              <w:top w:val="none" w:sz="0" w:space="0" w:color="auto"/>
              <w:bottom w:val="none" w:sz="0" w:space="0" w:color="auto"/>
            </w:tcBorders>
            <w:shd w:val="clear" w:color="auto" w:fill="FBEED2"/>
            <w:tcMar>
              <w:left w:w="108" w:type="dxa"/>
              <w:right w:w="108" w:type="dxa"/>
            </w:tcMar>
          </w:tcPr>
          <w:p w14:paraId="5942A9F1" w14:textId="018219F2" w:rsidR="00C13B0C" w:rsidRDefault="00737E87" w:rsidP="00E667AD">
            <w:pPr>
              <w:pStyle w:val="TableBodyCopy"/>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0A15EA">
              <w:rPr>
                <w:rFonts w:eastAsia="Times New Roman" w:cs="Calibri"/>
                <w:lang w:eastAsia="en-AU"/>
              </w:rPr>
              <w:t>Outcome 2.1</w:t>
            </w:r>
          </w:p>
          <w:p w14:paraId="2FF7A00C" w14:textId="24BC97E6" w:rsidR="00737E87" w:rsidRPr="00D96835" w:rsidRDefault="00737E87" w:rsidP="00D96835">
            <w:pPr>
              <w:pStyle w:val="TableBodyCopy"/>
              <w:cnfStyle w:val="000000100000" w:firstRow="0" w:lastRow="0" w:firstColumn="0" w:lastColumn="0" w:oddVBand="0" w:evenVBand="0" w:oddHBand="1" w:evenHBand="0" w:firstRowFirstColumn="0" w:firstRowLastColumn="0" w:lastRowFirstColumn="0" w:lastRowLastColumn="0"/>
              <w:rPr>
                <w:rFonts w:cstheme="minorHAnsi"/>
              </w:rPr>
            </w:pPr>
            <w:r w:rsidRPr="00D96835">
              <w:rPr>
                <w:rFonts w:cstheme="minorHAnsi"/>
              </w:rPr>
              <w:t>Climate adaptation and resilience is strengthened, including at the community level, and through climate</w:t>
            </w:r>
            <w:r w:rsidR="00C742DC" w:rsidRPr="00D96835">
              <w:rPr>
                <w:rFonts w:cstheme="minorHAnsi"/>
              </w:rPr>
              <w:t xml:space="preserve"> </w:t>
            </w:r>
            <w:r w:rsidRPr="00D96835">
              <w:rPr>
                <w:rFonts w:cstheme="minorHAnsi"/>
              </w:rPr>
              <w:t xml:space="preserve">resilient </w:t>
            </w:r>
            <w:proofErr w:type="gramStart"/>
            <w:r w:rsidRPr="00D96835">
              <w:rPr>
                <w:rFonts w:cstheme="minorHAnsi"/>
              </w:rPr>
              <w:t>infrastructure</w:t>
            </w:r>
            <w:proofErr w:type="gramEnd"/>
          </w:p>
          <w:p w14:paraId="7B1B3AF5" w14:textId="6976234F" w:rsidR="00C13B0C" w:rsidRDefault="00737E87" w:rsidP="00E667AD">
            <w:pPr>
              <w:pStyle w:val="TableBodyCopy"/>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0A15EA">
              <w:rPr>
                <w:rFonts w:eastAsia="Times New Roman" w:cs="Calibri"/>
                <w:lang w:eastAsia="en-AU"/>
              </w:rPr>
              <w:t>Outcome 2.2</w:t>
            </w:r>
          </w:p>
          <w:p w14:paraId="1DB365A9" w14:textId="2367EB68" w:rsidR="00737E87" w:rsidRPr="000A15EA" w:rsidRDefault="00737E87" w:rsidP="00D96835">
            <w:pPr>
              <w:pStyle w:val="TableBodyCopy"/>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D96835">
              <w:rPr>
                <w:rFonts w:cstheme="minorHAnsi"/>
              </w:rPr>
              <w:t>Indonesia’s clean energy transition and economic decarbonisation is supported in line with Indonesia’s medium-term targets and long-term goals</w:t>
            </w:r>
          </w:p>
        </w:tc>
        <w:tc>
          <w:tcPr>
            <w:tcW w:w="1458" w:type="pct"/>
            <w:tcBorders>
              <w:top w:val="none" w:sz="0" w:space="0" w:color="auto"/>
              <w:bottom w:val="none" w:sz="0" w:space="0" w:color="auto"/>
            </w:tcBorders>
            <w:shd w:val="clear" w:color="auto" w:fill="F0DBD4"/>
            <w:tcMar>
              <w:left w:w="108" w:type="dxa"/>
              <w:right w:w="108" w:type="dxa"/>
            </w:tcMar>
          </w:tcPr>
          <w:p w14:paraId="0C778E3E" w14:textId="06AD7F93" w:rsidR="00C13B0C" w:rsidRDefault="00737E87" w:rsidP="00E667AD">
            <w:pPr>
              <w:pStyle w:val="TableBodyCopy"/>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0A15EA">
              <w:rPr>
                <w:rFonts w:eastAsia="Times New Roman" w:cs="Calibri"/>
                <w:lang w:eastAsia="en-AU"/>
              </w:rPr>
              <w:t>Outcome 3.1</w:t>
            </w:r>
          </w:p>
          <w:p w14:paraId="064FBF4B" w14:textId="4903EE36" w:rsidR="00737E87" w:rsidRPr="00D96835" w:rsidRDefault="00737E87" w:rsidP="00D96835">
            <w:pPr>
              <w:pStyle w:val="TableBodyCopy"/>
              <w:cnfStyle w:val="000000100000" w:firstRow="0" w:lastRow="0" w:firstColumn="0" w:lastColumn="0" w:oddVBand="0" w:evenVBand="0" w:oddHBand="1" w:evenHBand="0" w:firstRowFirstColumn="0" w:firstRowLastColumn="0" w:lastRowFirstColumn="0" w:lastRowLastColumn="0"/>
              <w:rPr>
                <w:rFonts w:cstheme="minorHAnsi"/>
              </w:rPr>
            </w:pPr>
            <w:r w:rsidRPr="00D96835">
              <w:rPr>
                <w:rFonts w:cstheme="minorHAnsi"/>
              </w:rPr>
              <w:t xml:space="preserve">Inclusive and transparent institutions are supported, including law and justice, aligned with Indonesia’s medium-term targets and long-term </w:t>
            </w:r>
            <w:proofErr w:type="gramStart"/>
            <w:r w:rsidRPr="00D96835">
              <w:rPr>
                <w:rFonts w:cstheme="minorHAnsi"/>
              </w:rPr>
              <w:t>goals</w:t>
            </w:r>
            <w:proofErr w:type="gramEnd"/>
          </w:p>
          <w:p w14:paraId="14B08292" w14:textId="0407A534" w:rsidR="00C13B0C" w:rsidRDefault="00737E87" w:rsidP="00E667AD">
            <w:pPr>
              <w:pStyle w:val="TableBodyCopy"/>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0A15EA">
              <w:rPr>
                <w:rFonts w:eastAsia="Times New Roman" w:cs="Calibri"/>
                <w:lang w:eastAsia="en-AU"/>
              </w:rPr>
              <w:t>Outcome 3.2</w:t>
            </w:r>
          </w:p>
          <w:p w14:paraId="54C78123" w14:textId="345960D5" w:rsidR="00737E87" w:rsidRPr="00D96835" w:rsidRDefault="00737E87" w:rsidP="00D96835">
            <w:pPr>
              <w:pStyle w:val="TableBodyCopy"/>
              <w:cnfStyle w:val="000000100000" w:firstRow="0" w:lastRow="0" w:firstColumn="0" w:lastColumn="0" w:oddVBand="0" w:evenVBand="0" w:oddHBand="1" w:evenHBand="0" w:firstRowFirstColumn="0" w:firstRowLastColumn="0" w:lastRowFirstColumn="0" w:lastRowLastColumn="0"/>
              <w:rPr>
                <w:rFonts w:cstheme="minorHAnsi"/>
              </w:rPr>
            </w:pPr>
            <w:r w:rsidRPr="00D96835">
              <w:rPr>
                <w:rFonts w:cstheme="minorHAnsi"/>
              </w:rPr>
              <w:t xml:space="preserve">Indonesia’s democracy is supported, including through constructive engagement, policy dialogue and knowledge sharing across government, communities, civil society, research organisations and </w:t>
            </w:r>
            <w:proofErr w:type="gramStart"/>
            <w:r w:rsidRPr="00D96835">
              <w:rPr>
                <w:rFonts w:cstheme="minorHAnsi"/>
              </w:rPr>
              <w:t>media</w:t>
            </w:r>
            <w:proofErr w:type="gramEnd"/>
          </w:p>
          <w:p w14:paraId="35788FC8" w14:textId="6D931119" w:rsidR="00C13B0C" w:rsidRDefault="00737E87" w:rsidP="00E667AD">
            <w:pPr>
              <w:pStyle w:val="TableBodyCopy"/>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0A15EA">
              <w:rPr>
                <w:rFonts w:eastAsia="Times New Roman" w:cs="Calibri"/>
                <w:lang w:eastAsia="en-AU"/>
              </w:rPr>
              <w:t>Outcome 3.3</w:t>
            </w:r>
          </w:p>
          <w:p w14:paraId="3DF76E4A" w14:textId="3E03D6DB" w:rsidR="00737E87" w:rsidRPr="000A15EA" w:rsidRDefault="00737E87" w:rsidP="00D96835">
            <w:pPr>
              <w:pStyle w:val="TableBodyCopy"/>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D96835">
              <w:rPr>
                <w:rFonts w:cstheme="minorHAnsi"/>
              </w:rPr>
              <w:t>Institutional links between Australian and Indonesian public sector institutions are stronger and continuing to grow</w:t>
            </w:r>
          </w:p>
        </w:tc>
      </w:tr>
      <w:tr w:rsidR="00676301" w:rsidRPr="00CA1A47" w14:paraId="5D21CDE9" w14:textId="77777777" w:rsidTr="00776CEA">
        <w:trPr>
          <w:trHeight w:val="1101"/>
        </w:trPr>
        <w:tc>
          <w:tcPr>
            <w:cnfStyle w:val="001000000000" w:firstRow="0" w:lastRow="0" w:firstColumn="1" w:lastColumn="0" w:oddVBand="0" w:evenVBand="0" w:oddHBand="0" w:evenHBand="0" w:firstRowFirstColumn="0" w:firstRowLastColumn="0" w:lastRowFirstColumn="0" w:lastRowLastColumn="0"/>
            <w:tcW w:w="624" w:type="pct"/>
            <w:tcBorders>
              <w:right w:val="none" w:sz="0" w:space="0" w:color="auto"/>
            </w:tcBorders>
            <w:shd w:val="clear" w:color="auto" w:fill="3A586E"/>
            <w:tcMar>
              <w:left w:w="108" w:type="dxa"/>
              <w:right w:w="108" w:type="dxa"/>
            </w:tcMar>
          </w:tcPr>
          <w:p w14:paraId="62E27C50" w14:textId="77777777" w:rsidR="00737E87" w:rsidRPr="00CF5050" w:rsidRDefault="00737E87" w:rsidP="00CA1A47">
            <w:pPr>
              <w:pStyle w:val="TableBodyCopy"/>
              <w:rPr>
                <w:rFonts w:eastAsia="Times New Roman" w:cs="Calibri"/>
                <w:color w:val="FFFFFF" w:themeColor="background1"/>
                <w:lang w:eastAsia="en-AU"/>
              </w:rPr>
            </w:pPr>
            <w:r w:rsidRPr="00CF5050">
              <w:rPr>
                <w:rFonts w:eastAsia="Times New Roman" w:cs="Calibri"/>
                <w:color w:val="FFFFFF" w:themeColor="background1"/>
                <w:lang w:eastAsia="en-AU"/>
              </w:rPr>
              <w:t>Focus areas</w:t>
            </w:r>
          </w:p>
        </w:tc>
        <w:tc>
          <w:tcPr>
            <w:tcW w:w="1459" w:type="pct"/>
            <w:shd w:val="clear" w:color="auto" w:fill="D6E8D2"/>
            <w:tcMar>
              <w:left w:w="108" w:type="dxa"/>
              <w:right w:w="108" w:type="dxa"/>
            </w:tcMar>
          </w:tcPr>
          <w:p w14:paraId="5F8BACDB" w14:textId="77777777" w:rsidR="00B17691" w:rsidRPr="00FB2621" w:rsidRDefault="00B17691" w:rsidP="00B45EA3">
            <w:pPr>
              <w:pStyle w:val="TableBodyCopy"/>
              <w:cnfStyle w:val="000000000000" w:firstRow="0" w:lastRow="0" w:firstColumn="0" w:lastColumn="0" w:oddVBand="0" w:evenVBand="0" w:oddHBand="0" w:evenHBand="0" w:firstRowFirstColumn="0" w:firstRowLastColumn="0" w:lastRowFirstColumn="0" w:lastRowLastColumn="0"/>
            </w:pPr>
            <w:r w:rsidRPr="00FB2621">
              <w:t>Objective 1 focus areas</w:t>
            </w:r>
          </w:p>
          <w:p w14:paraId="4B304252" w14:textId="34566341" w:rsidR="00B17691" w:rsidRDefault="00737E87" w:rsidP="008432B3">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Economic </w:t>
            </w:r>
            <w:r w:rsidR="00B17691">
              <w:t>g</w:t>
            </w:r>
            <w:r w:rsidRPr="000A15EA">
              <w:t>overnance</w:t>
            </w:r>
          </w:p>
          <w:p w14:paraId="4132046D" w14:textId="0809B0EE" w:rsidR="00B17691" w:rsidRDefault="00737E87" w:rsidP="008432B3">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Trade and </w:t>
            </w:r>
            <w:r w:rsidR="00B17691">
              <w:t>i</w:t>
            </w:r>
            <w:r w:rsidRPr="000A15EA">
              <w:t>nvestment</w:t>
            </w:r>
          </w:p>
          <w:p w14:paraId="3A17FB24" w14:textId="6F864895" w:rsidR="00B17691" w:rsidRDefault="00737E87" w:rsidP="008432B3">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Education</w:t>
            </w:r>
          </w:p>
          <w:p w14:paraId="462D81FA" w14:textId="1E90B690" w:rsidR="00B17691" w:rsidRDefault="00737E87" w:rsidP="008432B3">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Research and </w:t>
            </w:r>
            <w:proofErr w:type="gramStart"/>
            <w:r w:rsidR="00B17691">
              <w:t>i</w:t>
            </w:r>
            <w:r w:rsidRPr="000A15EA">
              <w:t>nnovation</w:t>
            </w:r>
            <w:proofErr w:type="gramEnd"/>
          </w:p>
          <w:p w14:paraId="34A1F4C6" w14:textId="64019B97" w:rsidR="00B17691" w:rsidRDefault="00737E87" w:rsidP="008432B3">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Secure </w:t>
            </w:r>
            <w:r w:rsidR="00B17691">
              <w:t>j</w:t>
            </w:r>
            <w:r w:rsidRPr="000A15EA">
              <w:t>obs</w:t>
            </w:r>
          </w:p>
          <w:p w14:paraId="0367B893" w14:textId="2CBADF46" w:rsidR="00B17691" w:rsidRDefault="00737E87" w:rsidP="008432B3">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Digital </w:t>
            </w:r>
            <w:r w:rsidR="00B17691">
              <w:t>t</w:t>
            </w:r>
            <w:r w:rsidRPr="000A15EA">
              <w:t>ransformation</w:t>
            </w:r>
          </w:p>
          <w:p w14:paraId="05731B67" w14:textId="606A7424" w:rsidR="00B17691" w:rsidRDefault="00737E87" w:rsidP="008432B3">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Health</w:t>
            </w:r>
          </w:p>
          <w:p w14:paraId="5F11E3D4" w14:textId="002BE14B" w:rsidR="00B17691" w:rsidRDefault="00737E87" w:rsidP="008432B3">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Social </w:t>
            </w:r>
            <w:r w:rsidR="00B17691">
              <w:t>p</w:t>
            </w:r>
            <w:r w:rsidRPr="000A15EA">
              <w:t>rotection</w:t>
            </w:r>
          </w:p>
          <w:p w14:paraId="173EFDF2" w14:textId="5DCA8673" w:rsidR="00B17691" w:rsidRDefault="00737E87" w:rsidP="008432B3">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Decentralised </w:t>
            </w:r>
            <w:r w:rsidR="00B17691">
              <w:t>g</w:t>
            </w:r>
            <w:r w:rsidRPr="000A15EA">
              <w:t xml:space="preserve">overnance and </w:t>
            </w:r>
            <w:r w:rsidR="00B17691">
              <w:t>b</w:t>
            </w:r>
            <w:r w:rsidRPr="000A15EA">
              <w:t xml:space="preserve">asic </w:t>
            </w:r>
            <w:r w:rsidR="00B17691">
              <w:t>s</w:t>
            </w:r>
            <w:r w:rsidRPr="000A15EA">
              <w:t xml:space="preserve">ervice </w:t>
            </w:r>
            <w:r w:rsidR="00B17691">
              <w:t>d</w:t>
            </w:r>
            <w:r w:rsidRPr="000A15EA">
              <w:t>elivery</w:t>
            </w:r>
          </w:p>
          <w:p w14:paraId="4C97B903" w14:textId="77777777" w:rsidR="00B17691" w:rsidRDefault="00737E87" w:rsidP="008432B3">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GEDSI</w:t>
            </w:r>
          </w:p>
          <w:p w14:paraId="784F0E21" w14:textId="115A7C78" w:rsidR="00B17691" w:rsidRDefault="00737E87" w:rsidP="008432B3">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Civil </w:t>
            </w:r>
            <w:r w:rsidR="00B17691">
              <w:t>s</w:t>
            </w:r>
            <w:r w:rsidRPr="000A15EA">
              <w:t>ociety</w:t>
            </w:r>
          </w:p>
          <w:p w14:paraId="25C7F317" w14:textId="5765B047" w:rsidR="00737E87" w:rsidRPr="000A15EA" w:rsidRDefault="00B17691" w:rsidP="008432B3">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t>S</w:t>
            </w:r>
            <w:r w:rsidR="00737E87" w:rsidRPr="000A15EA">
              <w:t>cholarships</w:t>
            </w:r>
          </w:p>
        </w:tc>
        <w:tc>
          <w:tcPr>
            <w:tcW w:w="1459" w:type="pct"/>
            <w:shd w:val="clear" w:color="auto" w:fill="FBEED2"/>
            <w:tcMar>
              <w:left w:w="108" w:type="dxa"/>
              <w:right w:w="108" w:type="dxa"/>
            </w:tcMar>
          </w:tcPr>
          <w:p w14:paraId="1752C021" w14:textId="04D97828" w:rsidR="00B17691" w:rsidRPr="00776CEA" w:rsidRDefault="00B17691" w:rsidP="00B45EA3">
            <w:pPr>
              <w:pStyle w:val="TableBodyCopy"/>
              <w:cnfStyle w:val="000000000000" w:firstRow="0" w:lastRow="0" w:firstColumn="0" w:lastColumn="0" w:oddVBand="0" w:evenVBand="0" w:oddHBand="0" w:evenHBand="0" w:firstRowFirstColumn="0" w:firstRowLastColumn="0" w:lastRowFirstColumn="0" w:lastRowLastColumn="0"/>
            </w:pPr>
            <w:r w:rsidRPr="00776CEA">
              <w:t>Objective 2 focus areas</w:t>
            </w:r>
          </w:p>
          <w:p w14:paraId="3435465D" w14:textId="68EB03E7" w:rsidR="00EC13C0"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Energy </w:t>
            </w:r>
            <w:r w:rsidR="00EC13C0">
              <w:t>t</w:t>
            </w:r>
            <w:r w:rsidRPr="000A15EA">
              <w:t xml:space="preserve">ransition and </w:t>
            </w:r>
            <w:r w:rsidR="00EC13C0">
              <w:t>c</w:t>
            </w:r>
            <w:r w:rsidRPr="000A15EA">
              <w:t xml:space="preserve">limate and </w:t>
            </w:r>
            <w:r w:rsidR="00EC13C0">
              <w:t>i</w:t>
            </w:r>
            <w:r w:rsidRPr="000A15EA">
              <w:t xml:space="preserve">nfrastructure </w:t>
            </w:r>
            <w:r w:rsidR="00EC13C0">
              <w:t>p</w:t>
            </w:r>
            <w:r w:rsidRPr="000A15EA">
              <w:t>artnership</w:t>
            </w:r>
          </w:p>
          <w:p w14:paraId="4394AA5B" w14:textId="0CE47223" w:rsidR="00EC13C0"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Civil </w:t>
            </w:r>
            <w:r w:rsidR="00EC13C0">
              <w:t>s</w:t>
            </w:r>
            <w:r w:rsidRPr="000A15EA">
              <w:t xml:space="preserve">ociety </w:t>
            </w:r>
            <w:r w:rsidR="00EC13C0">
              <w:t>s</w:t>
            </w:r>
            <w:r w:rsidRPr="000A15EA">
              <w:t>trengthening</w:t>
            </w:r>
          </w:p>
          <w:p w14:paraId="54A6A5FE" w14:textId="4C069DAA" w:rsidR="00FC6CEB"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Animal/</w:t>
            </w:r>
            <w:r w:rsidR="00FC6CEB">
              <w:t>h</w:t>
            </w:r>
            <w:r w:rsidRPr="000A15EA">
              <w:t xml:space="preserve">uman </w:t>
            </w:r>
            <w:r w:rsidR="00FC6CEB">
              <w:t>h</w:t>
            </w:r>
            <w:r w:rsidRPr="000A15EA">
              <w:t xml:space="preserve">ealth </w:t>
            </w:r>
            <w:r w:rsidR="00FC6CEB">
              <w:t>s</w:t>
            </w:r>
            <w:r w:rsidRPr="000A15EA">
              <w:t xml:space="preserve">ervices and </w:t>
            </w:r>
            <w:r w:rsidR="00FC6CEB">
              <w:t>b</w:t>
            </w:r>
            <w:r w:rsidRPr="000A15EA">
              <w:t>iosecurity</w:t>
            </w:r>
          </w:p>
          <w:p w14:paraId="042E0208" w14:textId="6C73C0B0" w:rsidR="00FC6CEB"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Climate </w:t>
            </w:r>
            <w:r w:rsidR="00FC6CEB">
              <w:t>c</w:t>
            </w:r>
            <w:r w:rsidRPr="000A15EA">
              <w:t xml:space="preserve">hange </w:t>
            </w:r>
            <w:r w:rsidR="00FC6CEB">
              <w:t>a</w:t>
            </w:r>
            <w:r w:rsidRPr="000A15EA">
              <w:t xml:space="preserve">daptation and </w:t>
            </w:r>
            <w:r w:rsidR="00FC6CEB">
              <w:t>c</w:t>
            </w:r>
            <w:r w:rsidRPr="000A15EA">
              <w:t>limate</w:t>
            </w:r>
            <w:r w:rsidR="00FC6CEB">
              <w:t xml:space="preserve"> r</w:t>
            </w:r>
            <w:r w:rsidRPr="000A15EA">
              <w:t xml:space="preserve">esilient </w:t>
            </w:r>
            <w:r w:rsidR="00FC6CEB">
              <w:t>i</w:t>
            </w:r>
            <w:r w:rsidRPr="000A15EA">
              <w:t>nfrastructure</w:t>
            </w:r>
          </w:p>
          <w:p w14:paraId="1C21BBBC" w14:textId="4AEF52A7" w:rsidR="00FC6CEB"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Disaster </w:t>
            </w:r>
            <w:r w:rsidR="00FC6CEB">
              <w:t>p</w:t>
            </w:r>
            <w:r w:rsidRPr="000A15EA">
              <w:t xml:space="preserve">reparedness and </w:t>
            </w:r>
            <w:r w:rsidR="00FC6CEB">
              <w:t>r</w:t>
            </w:r>
            <w:r w:rsidRPr="000A15EA">
              <w:t xml:space="preserve">esponse </w:t>
            </w:r>
            <w:r w:rsidR="00FC6CEB">
              <w:t>c</w:t>
            </w:r>
            <w:r w:rsidRPr="000A15EA">
              <w:t>apacity</w:t>
            </w:r>
          </w:p>
          <w:p w14:paraId="298E0D45" w14:textId="4D40301E" w:rsidR="00FC6CEB"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GEDSI </w:t>
            </w:r>
          </w:p>
          <w:p w14:paraId="02C56DA9" w14:textId="3282D8EC" w:rsidR="00737E87" w:rsidRPr="000A15EA"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Civil </w:t>
            </w:r>
            <w:r w:rsidR="00FC6CEB">
              <w:t>s</w:t>
            </w:r>
            <w:r w:rsidRPr="000A15EA">
              <w:t>ociety</w:t>
            </w:r>
          </w:p>
        </w:tc>
        <w:tc>
          <w:tcPr>
            <w:tcW w:w="1458" w:type="pct"/>
            <w:shd w:val="clear" w:color="auto" w:fill="F0DBD4"/>
            <w:tcMar>
              <w:left w:w="108" w:type="dxa"/>
              <w:right w:w="108" w:type="dxa"/>
            </w:tcMar>
          </w:tcPr>
          <w:p w14:paraId="339063A1" w14:textId="4B1C4814" w:rsidR="00B17691" w:rsidRDefault="00B17691" w:rsidP="00B45EA3">
            <w:pPr>
              <w:pStyle w:val="TableBodyCopy"/>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Pr>
                <w:rFonts w:eastAsia="Times New Roman" w:cs="Calibri"/>
                <w:lang w:eastAsia="en-AU"/>
              </w:rPr>
              <w:t>Objective 3 focus areas</w:t>
            </w:r>
          </w:p>
          <w:p w14:paraId="1D6D2918" w14:textId="60C8B065" w:rsidR="0092715C"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Justice</w:t>
            </w:r>
          </w:p>
          <w:p w14:paraId="35AEA805" w14:textId="0E240AA8" w:rsidR="0092715C"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Transparency</w:t>
            </w:r>
          </w:p>
          <w:p w14:paraId="19C024D7" w14:textId="2F990BC5" w:rsidR="0092715C"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Civil </w:t>
            </w:r>
            <w:r w:rsidR="0092715C">
              <w:t>s</w:t>
            </w:r>
            <w:r w:rsidRPr="000A15EA">
              <w:t xml:space="preserve">ociety </w:t>
            </w:r>
            <w:r w:rsidR="0092715C">
              <w:t>p</w:t>
            </w:r>
            <w:r w:rsidRPr="000A15EA">
              <w:t>articipation</w:t>
            </w:r>
          </w:p>
          <w:p w14:paraId="3B2CC0C8" w14:textId="5356DF4D" w:rsidR="0092715C"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Democratic </w:t>
            </w:r>
            <w:r w:rsidR="0092715C">
              <w:t>s</w:t>
            </w:r>
            <w:r w:rsidRPr="000A15EA">
              <w:t>trengthening</w:t>
            </w:r>
          </w:p>
          <w:p w14:paraId="52782D49" w14:textId="037E17A7" w:rsidR="0092715C"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Religious </w:t>
            </w:r>
            <w:r w:rsidR="0092715C">
              <w:t>t</w:t>
            </w:r>
            <w:r w:rsidRPr="000A15EA">
              <w:t>olerance</w:t>
            </w:r>
          </w:p>
          <w:p w14:paraId="3AAE2233" w14:textId="1118AA33" w:rsidR="0092715C"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Cyber </w:t>
            </w:r>
            <w:r w:rsidR="0092715C">
              <w:t>s</w:t>
            </w:r>
            <w:r w:rsidRPr="000A15EA">
              <w:t>ecurity</w:t>
            </w:r>
          </w:p>
          <w:p w14:paraId="784549CA" w14:textId="3A8703E1" w:rsidR="0092715C"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Mis</w:t>
            </w:r>
            <w:r w:rsidR="0092715C">
              <w:t>information</w:t>
            </w:r>
            <w:r w:rsidRPr="000A15EA">
              <w:t xml:space="preserve"> and </w:t>
            </w:r>
            <w:r w:rsidR="0092715C">
              <w:t>d</w:t>
            </w:r>
            <w:r w:rsidRPr="000A15EA">
              <w:t>isinformation</w:t>
            </w:r>
          </w:p>
          <w:p w14:paraId="43378C9A" w14:textId="68ACB3AA" w:rsidR="0092715C"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Maritime </w:t>
            </w:r>
            <w:r w:rsidR="0092715C">
              <w:t>c</w:t>
            </w:r>
            <w:r w:rsidRPr="000A15EA">
              <w:t>ooperation</w:t>
            </w:r>
          </w:p>
          <w:p w14:paraId="18789938" w14:textId="1B2FA62B" w:rsidR="00C85B65"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Counterterrorism</w:t>
            </w:r>
            <w:r w:rsidR="00C85B65">
              <w:t xml:space="preserve"> and</w:t>
            </w:r>
            <w:r w:rsidR="00C85B65" w:rsidRPr="000A15EA">
              <w:t xml:space="preserve"> </w:t>
            </w:r>
            <w:r w:rsidR="00C85B65">
              <w:t>c</w:t>
            </w:r>
            <w:r w:rsidRPr="000A15EA">
              <w:t xml:space="preserve">ountering </w:t>
            </w:r>
            <w:r w:rsidR="00C85B65">
              <w:t>v</w:t>
            </w:r>
            <w:r w:rsidRPr="000A15EA">
              <w:t xml:space="preserve">iolent </w:t>
            </w:r>
            <w:r w:rsidR="00C85B65">
              <w:t>e</w:t>
            </w:r>
            <w:r w:rsidRPr="000A15EA">
              <w:t>xtremism</w:t>
            </w:r>
          </w:p>
          <w:p w14:paraId="389AA095" w14:textId="0E068396" w:rsidR="00C85B65"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Regional </w:t>
            </w:r>
            <w:r w:rsidR="00C85B65">
              <w:t>l</w:t>
            </w:r>
            <w:r w:rsidRPr="000A15EA">
              <w:t>eadership</w:t>
            </w:r>
          </w:p>
          <w:p w14:paraId="26C97431" w14:textId="3D086073" w:rsidR="005622A2"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Trilateral </w:t>
            </w:r>
            <w:r w:rsidR="005622A2">
              <w:t>e</w:t>
            </w:r>
            <w:r w:rsidRPr="000A15EA">
              <w:t>ngagement</w:t>
            </w:r>
          </w:p>
          <w:p w14:paraId="6E6C7B09" w14:textId="25C06A4A" w:rsidR="005622A2"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GEDSI</w:t>
            </w:r>
          </w:p>
          <w:p w14:paraId="6B0C97A0" w14:textId="61BA5E90" w:rsidR="00737E87" w:rsidRPr="000A15EA" w:rsidRDefault="00737E87" w:rsidP="00776CEA">
            <w:pPr>
              <w:pStyle w:val="Tablebullet"/>
              <w:keepLines w:val="0"/>
              <w:tabs>
                <w:tab w:val="num" w:pos="720"/>
              </w:tabs>
              <w:ind w:left="357"/>
              <w:cnfStyle w:val="000000000000" w:firstRow="0" w:lastRow="0" w:firstColumn="0" w:lastColumn="0" w:oddVBand="0" w:evenVBand="0" w:oddHBand="0" w:evenHBand="0" w:firstRowFirstColumn="0" w:firstRowLastColumn="0" w:lastRowFirstColumn="0" w:lastRowLastColumn="0"/>
            </w:pPr>
            <w:r w:rsidRPr="000A15EA">
              <w:t xml:space="preserve">Research and </w:t>
            </w:r>
            <w:r w:rsidR="005622A2">
              <w:t>i</w:t>
            </w:r>
            <w:r w:rsidRPr="000A15EA">
              <w:t>nnovation and scholarships</w:t>
            </w:r>
          </w:p>
        </w:tc>
      </w:tr>
    </w:tbl>
    <w:p w14:paraId="72D7F9A7" w14:textId="62915EF2" w:rsidR="00776CEA" w:rsidRDefault="00776CEA" w:rsidP="00AC3ED7">
      <w:pPr>
        <w:rPr>
          <w:b/>
          <w:bCs/>
          <w:lang w:eastAsia="en-AU"/>
        </w:rPr>
      </w:pPr>
      <w:r>
        <w:rPr>
          <w:lang w:eastAsia="en-AU"/>
        </w:rPr>
        <w:br w:type="page"/>
      </w:r>
    </w:p>
    <w:p w14:paraId="44CDCE16" w14:textId="0D2C2D71" w:rsidR="00AC3ED7" w:rsidRDefault="00AC3ED7" w:rsidP="00AC3ED7">
      <w:pPr>
        <w:rPr>
          <w:b/>
          <w:bCs/>
          <w:lang w:eastAsia="en-AU"/>
        </w:rPr>
      </w:pPr>
      <w:r w:rsidRPr="00AC3ED7">
        <w:rPr>
          <w:b/>
          <w:bCs/>
          <w:lang w:eastAsia="en-AU"/>
        </w:rPr>
        <w:lastRenderedPageBreak/>
        <w:t xml:space="preserve">Ways of </w:t>
      </w:r>
      <w:r>
        <w:rPr>
          <w:b/>
          <w:bCs/>
          <w:lang w:eastAsia="en-AU"/>
        </w:rPr>
        <w:t>w</w:t>
      </w:r>
      <w:r w:rsidRPr="00AC3ED7">
        <w:rPr>
          <w:b/>
          <w:bCs/>
          <w:lang w:eastAsia="en-AU"/>
        </w:rPr>
        <w:t>orking</w:t>
      </w:r>
    </w:p>
    <w:p w14:paraId="26124D58" w14:textId="0CF4F08B" w:rsidR="00EE6589" w:rsidRPr="00787486" w:rsidRDefault="00C4210E" w:rsidP="00EE6589">
      <w:pPr>
        <w:rPr>
          <w:lang w:eastAsia="en-AU"/>
        </w:rPr>
      </w:pPr>
      <w:r>
        <w:rPr>
          <w:lang w:eastAsia="en-AU"/>
        </w:rPr>
        <w:t>We will work together t</w:t>
      </w:r>
      <w:r w:rsidR="00EE6589">
        <w:rPr>
          <w:lang w:eastAsia="en-AU"/>
        </w:rPr>
        <w:t>o progress the objectives set out in Table 1 through:</w:t>
      </w:r>
    </w:p>
    <w:p w14:paraId="2667FD7B" w14:textId="0CFB271C" w:rsidR="00AC3ED7" w:rsidRPr="00CA1A47" w:rsidRDefault="00EE6589" w:rsidP="00EE6589">
      <w:pPr>
        <w:pStyle w:val="NormalBullets-L1"/>
      </w:pPr>
      <w:r>
        <w:t>r</w:t>
      </w:r>
      <w:r w:rsidR="00AC3ED7" w:rsidRPr="00CA1A47">
        <w:t xml:space="preserve">esponsive, </w:t>
      </w:r>
      <w:proofErr w:type="gramStart"/>
      <w:r w:rsidR="00AC3ED7" w:rsidRPr="00CA1A47">
        <w:t>flexible</w:t>
      </w:r>
      <w:proofErr w:type="gramEnd"/>
      <w:r w:rsidR="00AC3ED7" w:rsidRPr="00CA1A47">
        <w:t xml:space="preserve"> and innovative</w:t>
      </w:r>
      <w:r w:rsidR="00A72314">
        <w:t xml:space="preserve"> approaches</w:t>
      </w:r>
    </w:p>
    <w:p w14:paraId="7E742934" w14:textId="2BBCBAAC" w:rsidR="00AC3ED7" w:rsidRPr="00CA1A47" w:rsidRDefault="00BD093E" w:rsidP="00EE6589">
      <w:pPr>
        <w:pStyle w:val="NormalBullets-L1"/>
      </w:pPr>
      <w:r>
        <w:t xml:space="preserve">placing </w:t>
      </w:r>
      <w:r w:rsidR="00EE6589">
        <w:t>c</w:t>
      </w:r>
      <w:r w:rsidR="00AC3ED7" w:rsidRPr="00CA1A47">
        <w:t xml:space="preserve">limate change mitigation, </w:t>
      </w:r>
      <w:proofErr w:type="gramStart"/>
      <w:r w:rsidR="00AC3ED7" w:rsidRPr="00CA1A47">
        <w:t>adaptation</w:t>
      </w:r>
      <w:proofErr w:type="gramEnd"/>
      <w:r w:rsidR="00AC3ED7" w:rsidRPr="00CA1A47">
        <w:t xml:space="preserve"> and resilience at the heart of our partnership </w:t>
      </w:r>
    </w:p>
    <w:p w14:paraId="495DA1B5" w14:textId="377D0658" w:rsidR="00AC3ED7" w:rsidRPr="00CA1A47" w:rsidRDefault="00EE6589" w:rsidP="00EE6589">
      <w:pPr>
        <w:pStyle w:val="NormalBullets-L1"/>
      </w:pPr>
      <w:r>
        <w:t>e</w:t>
      </w:r>
      <w:r w:rsidR="00AC3ED7" w:rsidRPr="00CA1A47">
        <w:t xml:space="preserve">nhanced institutional linkages and people-to-people </w:t>
      </w:r>
      <w:proofErr w:type="gramStart"/>
      <w:r w:rsidR="00AC3ED7" w:rsidRPr="00CA1A47">
        <w:t>links</w:t>
      </w:r>
      <w:proofErr w:type="gramEnd"/>
      <w:r w:rsidR="00AC3ED7" w:rsidRPr="00CA1A47">
        <w:t xml:space="preserve"> </w:t>
      </w:r>
    </w:p>
    <w:p w14:paraId="2811734C" w14:textId="0252187A" w:rsidR="00AC3ED7" w:rsidRPr="00CA1A47" w:rsidRDefault="00EE6589" w:rsidP="00EE6589">
      <w:pPr>
        <w:pStyle w:val="NormalBullets-L1"/>
      </w:pPr>
      <w:r>
        <w:t>c</w:t>
      </w:r>
      <w:r w:rsidR="00AC3ED7" w:rsidRPr="00CA1A47">
        <w:t>rowding in</w:t>
      </w:r>
      <w:r w:rsidR="00BD093E">
        <w:t xml:space="preserve"> </w:t>
      </w:r>
      <w:r w:rsidR="00AC3ED7" w:rsidRPr="00CA1A47">
        <w:t>financing</w:t>
      </w:r>
      <w:r w:rsidR="00F245D9">
        <w:t>,</w:t>
      </w:r>
      <w:r w:rsidR="00AC3ED7" w:rsidRPr="00CA1A47">
        <w:t xml:space="preserve"> including blended finance and co-financing </w:t>
      </w:r>
    </w:p>
    <w:p w14:paraId="4080FC95" w14:textId="658DA2C3" w:rsidR="00AC3ED7" w:rsidRPr="00CA1A47" w:rsidRDefault="00EE6589" w:rsidP="00EE6589">
      <w:pPr>
        <w:pStyle w:val="NormalBullets-L1"/>
      </w:pPr>
      <w:r>
        <w:t>t</w:t>
      </w:r>
      <w:r w:rsidR="00AC3ED7" w:rsidRPr="00CA1A47">
        <w:t>ransparent, locally</w:t>
      </w:r>
      <w:r w:rsidR="00626EA0">
        <w:t xml:space="preserve"> </w:t>
      </w:r>
      <w:proofErr w:type="gramStart"/>
      <w:r w:rsidR="00AC3ED7" w:rsidRPr="00CA1A47">
        <w:t>led</w:t>
      </w:r>
      <w:proofErr w:type="gramEnd"/>
      <w:r w:rsidR="00AC3ED7" w:rsidRPr="00CA1A47">
        <w:t xml:space="preserve"> and inclusive </w:t>
      </w:r>
      <w:r w:rsidR="00266315">
        <w:t xml:space="preserve">approaches, </w:t>
      </w:r>
      <w:r w:rsidR="00AC3ED7" w:rsidRPr="00CA1A47">
        <w:t>with a focus on gender equality, disability equity and social inclusion</w:t>
      </w:r>
    </w:p>
    <w:p w14:paraId="2F66AF08" w14:textId="3A74B9B0" w:rsidR="00AC3ED7" w:rsidRPr="00CA1A47" w:rsidRDefault="00EE6589" w:rsidP="00EE6589">
      <w:pPr>
        <w:pStyle w:val="NormalBullets-L1"/>
      </w:pPr>
      <w:r>
        <w:t>e</w:t>
      </w:r>
      <w:r w:rsidR="00AC3ED7" w:rsidRPr="00CA1A47">
        <w:t xml:space="preserve">nhancing public awareness of our strong and positive partnership </w:t>
      </w:r>
    </w:p>
    <w:p w14:paraId="115583A6" w14:textId="683F0373" w:rsidR="00AC3ED7" w:rsidRPr="00CA1A47" w:rsidRDefault="00AC3ED7" w:rsidP="00EE6589">
      <w:pPr>
        <w:pStyle w:val="NormalBullets-L1"/>
      </w:pPr>
      <w:r w:rsidRPr="00CA1A47">
        <w:t>evidence</w:t>
      </w:r>
      <w:r w:rsidR="00266315">
        <w:t>-informed approaches</w:t>
      </w:r>
      <w:r w:rsidRPr="00CA1A47">
        <w:t xml:space="preserve">, with strong monitoring and evaluation </w:t>
      </w:r>
    </w:p>
    <w:p w14:paraId="18A8448F" w14:textId="0D699B51" w:rsidR="00AC3ED7" w:rsidRPr="00CA1A47" w:rsidRDefault="00EE6589" w:rsidP="00EE6589">
      <w:pPr>
        <w:pStyle w:val="NormalBullets-L1"/>
      </w:pPr>
      <w:r>
        <w:t>p</w:t>
      </w:r>
      <w:r w:rsidR="00AC3ED7" w:rsidRPr="00CA1A47">
        <w:t xml:space="preserve">artnering with Indonesia to share knowledge from the bilateral partnership </w:t>
      </w:r>
      <w:r w:rsidR="00831E79">
        <w:t>with</w:t>
      </w:r>
      <w:r w:rsidR="00831E79" w:rsidRPr="00CA1A47">
        <w:t xml:space="preserve"> </w:t>
      </w:r>
      <w:r w:rsidR="00AC3ED7" w:rsidRPr="00CA1A47">
        <w:t>our region, including through cooperation with Indonesian AID and in multilateral forums and trilateral development activities.</w:t>
      </w:r>
    </w:p>
    <w:bookmarkEnd w:id="1"/>
    <w:p w14:paraId="3433C0B2" w14:textId="59157ECB" w:rsidR="00737E87" w:rsidRPr="00CF5050" w:rsidRDefault="00737E87" w:rsidP="0005636B">
      <w:pPr>
        <w:pStyle w:val="H3-Heading3"/>
      </w:pPr>
      <w:r w:rsidRPr="0005636B">
        <w:t xml:space="preserve">Objective 1: </w:t>
      </w:r>
      <w:r w:rsidR="00210C89" w:rsidRPr="00773333">
        <w:t>E</w:t>
      </w:r>
      <w:r w:rsidRPr="0005636B">
        <w:t>quitable and sustainable economic transformation</w:t>
      </w:r>
    </w:p>
    <w:p w14:paraId="38CB3408" w14:textId="37500A0F" w:rsidR="00737E87" w:rsidRPr="00FA2C26" w:rsidRDefault="00737E87" w:rsidP="00D261F9">
      <w:pPr>
        <w:rPr>
          <w:lang w:eastAsia="en-AU"/>
        </w:rPr>
      </w:pPr>
      <w:r w:rsidRPr="00FA2C26">
        <w:rPr>
          <w:lang w:eastAsia="en-AU"/>
        </w:rPr>
        <w:t xml:space="preserve">Objective 1 contributes to the following focus areas of </w:t>
      </w:r>
      <w:r w:rsidR="009F210F">
        <w:rPr>
          <w:lang w:eastAsia="en-AU"/>
        </w:rPr>
        <w:t xml:space="preserve">Australia’s </w:t>
      </w:r>
      <w:r w:rsidR="00031BFA">
        <w:rPr>
          <w:lang w:eastAsia="en-AU"/>
        </w:rPr>
        <w:t>I</w:t>
      </w:r>
      <w:r w:rsidR="00E54574">
        <w:rPr>
          <w:lang w:eastAsia="en-AU"/>
        </w:rPr>
        <w:t xml:space="preserve">nternational </w:t>
      </w:r>
      <w:r w:rsidR="00031BFA">
        <w:rPr>
          <w:lang w:eastAsia="en-AU"/>
        </w:rPr>
        <w:t>D</w:t>
      </w:r>
      <w:r w:rsidR="00E54574">
        <w:rPr>
          <w:lang w:eastAsia="en-AU"/>
        </w:rPr>
        <w:t xml:space="preserve">evelopment </w:t>
      </w:r>
      <w:r w:rsidR="00031BFA">
        <w:rPr>
          <w:lang w:eastAsia="en-AU"/>
        </w:rPr>
        <w:t>P</w:t>
      </w:r>
      <w:r w:rsidR="00E54574">
        <w:rPr>
          <w:lang w:eastAsia="en-AU"/>
        </w:rPr>
        <w:t>olicy</w:t>
      </w:r>
      <w:r w:rsidRPr="00FA2C26">
        <w:rPr>
          <w:lang w:eastAsia="en-AU"/>
        </w:rPr>
        <w:t>:</w:t>
      </w:r>
    </w:p>
    <w:p w14:paraId="6697E8F3" w14:textId="24848599" w:rsidR="00737E87" w:rsidRPr="00FA2C26" w:rsidRDefault="003C543E" w:rsidP="00D261F9">
      <w:pPr>
        <w:pStyle w:val="NormalBullets-L1"/>
      </w:pPr>
      <w:r>
        <w:t>b</w:t>
      </w:r>
      <w:r w:rsidR="00737E87" w:rsidRPr="00FA2C26">
        <w:t>uild effective, accountable states that drive their own development (</w:t>
      </w:r>
      <w:r w:rsidR="0038676F">
        <w:t>p</w:t>
      </w:r>
      <w:r w:rsidR="00737E87" w:rsidRPr="00FA2C26">
        <w:t>rimary)</w:t>
      </w:r>
    </w:p>
    <w:p w14:paraId="6CD0AE82" w14:textId="7F772BDB" w:rsidR="00737E87" w:rsidRPr="00FA2C26" w:rsidRDefault="003C543E" w:rsidP="00D261F9">
      <w:pPr>
        <w:pStyle w:val="NormalBullets-L1"/>
      </w:pPr>
      <w:r>
        <w:t>e</w:t>
      </w:r>
      <w:r w:rsidR="00737E87" w:rsidRPr="00FA2C26">
        <w:t>nhance state and community resilience to external pressures and shocks (</w:t>
      </w:r>
      <w:r w:rsidR="0038676F">
        <w:t>s</w:t>
      </w:r>
      <w:r w:rsidR="00737E87" w:rsidRPr="00FA2C26">
        <w:t>econdary)</w:t>
      </w:r>
    </w:p>
    <w:p w14:paraId="1CC39136" w14:textId="6DF0A5E4" w:rsidR="00737E87" w:rsidRPr="00FA2C26" w:rsidRDefault="003C543E" w:rsidP="00D261F9">
      <w:pPr>
        <w:pStyle w:val="NormalBullets-L1"/>
      </w:pPr>
      <w:r>
        <w:t>c</w:t>
      </w:r>
      <w:r w:rsidR="00737E87" w:rsidRPr="00FA2C26">
        <w:t>onnect with Australia and regional architecture (</w:t>
      </w:r>
      <w:r w:rsidR="0038676F">
        <w:t>s</w:t>
      </w:r>
      <w:r w:rsidR="00737E87" w:rsidRPr="00FA2C26">
        <w:t>econdary)</w:t>
      </w:r>
      <w:r w:rsidR="003E5B43">
        <w:t>.</w:t>
      </w:r>
    </w:p>
    <w:p w14:paraId="15A69252" w14:textId="55B5EAEC" w:rsidR="00737E87" w:rsidRPr="00FA2C26" w:rsidRDefault="00737E87" w:rsidP="00D261F9">
      <w:pPr>
        <w:rPr>
          <w:lang w:eastAsia="en-AU"/>
        </w:rPr>
      </w:pPr>
      <w:r w:rsidRPr="00FA2C26">
        <w:rPr>
          <w:lang w:eastAsia="en-AU"/>
        </w:rPr>
        <w:t>Australia is committed to working with Indonesia to support sustainable economic transformation and to better integrate our two economies for mutual benefit. We will do so both through ODA investments and through non-ODA investments, such as identifying and supporting government and business leaders and entrepreneurs</w:t>
      </w:r>
      <w:r w:rsidR="000156AD">
        <w:rPr>
          <w:lang w:eastAsia="en-AU"/>
        </w:rPr>
        <w:t>,</w:t>
      </w:r>
      <w:r w:rsidRPr="00FA2C26">
        <w:rPr>
          <w:lang w:eastAsia="en-AU"/>
        </w:rPr>
        <w:t xml:space="preserve"> and through encouraging greater trade and investment ties between our countries.</w:t>
      </w:r>
    </w:p>
    <w:p w14:paraId="32481521" w14:textId="59641441" w:rsidR="00737E87" w:rsidRPr="00FA2C26" w:rsidRDefault="00737E87" w:rsidP="00D261F9">
      <w:pPr>
        <w:rPr>
          <w:lang w:eastAsia="en-AU"/>
        </w:rPr>
      </w:pPr>
      <w:r w:rsidRPr="00FA2C26">
        <w:rPr>
          <w:lang w:eastAsia="en-AU"/>
        </w:rPr>
        <w:t xml:space="preserve">We support Indonesia’s economic transformation through a range of investments in economic governance, trade, infrastructure, </w:t>
      </w:r>
      <w:proofErr w:type="gramStart"/>
      <w:r w:rsidRPr="00FA2C26">
        <w:rPr>
          <w:lang w:eastAsia="en-AU"/>
        </w:rPr>
        <w:t>research</w:t>
      </w:r>
      <w:proofErr w:type="gramEnd"/>
      <w:r w:rsidRPr="00FA2C26">
        <w:rPr>
          <w:lang w:eastAsia="en-AU"/>
        </w:rPr>
        <w:t xml:space="preserve"> and innovation. We will redouble efforts to encourage sustainable and inclusive economic development, including women’s workforce participation, to safeguard economic and financial stability and to foster a robust private sector that creates high-value jobs. We will provide support to Indonesia’s digital transformation, </w:t>
      </w:r>
      <w:proofErr w:type="gramStart"/>
      <w:r w:rsidRPr="00FA2C26">
        <w:rPr>
          <w:lang w:eastAsia="en-AU"/>
        </w:rPr>
        <w:t>research</w:t>
      </w:r>
      <w:proofErr w:type="gramEnd"/>
      <w:r w:rsidRPr="00FA2C26">
        <w:rPr>
          <w:lang w:eastAsia="en-AU"/>
        </w:rPr>
        <w:t xml:space="preserve"> and innovation agenda, including through government-to-government partnerships such as between </w:t>
      </w:r>
      <w:r w:rsidR="00113037">
        <w:rPr>
          <w:lang w:eastAsia="en-AU"/>
        </w:rPr>
        <w:t xml:space="preserve">Australia’s </w:t>
      </w:r>
      <w:r w:rsidRPr="00FA2C26">
        <w:rPr>
          <w:lang w:eastAsia="en-AU"/>
        </w:rPr>
        <w:t xml:space="preserve">CSIRO and key Indonesian science and research agencies. </w:t>
      </w:r>
      <w:r w:rsidR="00BE4F63" w:rsidRPr="00BE4F63">
        <w:rPr>
          <w:lang w:eastAsia="en-AU"/>
        </w:rPr>
        <w:t>We are also establishing a Southeast Asia and Australia Government-to-Government Partnerships (SEAG2G) program. It will support Australian agencies to build, sustain and influence relationships with counterparts in the region, share knowledge and tools</w:t>
      </w:r>
      <w:r w:rsidR="00B503DE">
        <w:rPr>
          <w:lang w:eastAsia="en-AU"/>
        </w:rPr>
        <w:t>,</w:t>
      </w:r>
      <w:r w:rsidR="00BE4F63" w:rsidRPr="00BE4F63">
        <w:rPr>
          <w:lang w:eastAsia="en-AU"/>
        </w:rPr>
        <w:t xml:space="preserve"> and build policy and technical capability across four priority themes</w:t>
      </w:r>
      <w:r w:rsidR="00B503DE">
        <w:rPr>
          <w:lang w:eastAsia="en-AU"/>
        </w:rPr>
        <w:t>:</w:t>
      </w:r>
      <w:r w:rsidR="00BE4F63" w:rsidRPr="00BE4F63">
        <w:rPr>
          <w:lang w:eastAsia="en-AU"/>
        </w:rPr>
        <w:t xml:space="preserve"> </w:t>
      </w:r>
      <w:r w:rsidR="00B503DE">
        <w:rPr>
          <w:lang w:eastAsia="en-AU"/>
        </w:rPr>
        <w:t>c</w:t>
      </w:r>
      <w:r w:rsidR="00BE4F63" w:rsidRPr="00BE4F63">
        <w:rPr>
          <w:lang w:eastAsia="en-AU"/>
        </w:rPr>
        <w:t xml:space="preserve">limate </w:t>
      </w:r>
      <w:r w:rsidR="00B503DE">
        <w:rPr>
          <w:lang w:eastAsia="en-AU"/>
        </w:rPr>
        <w:t>c</w:t>
      </w:r>
      <w:r w:rsidR="00BE4F63" w:rsidRPr="00BE4F63">
        <w:rPr>
          <w:lang w:eastAsia="en-AU"/>
        </w:rPr>
        <w:t xml:space="preserve">hange and </w:t>
      </w:r>
      <w:r w:rsidR="00B503DE">
        <w:rPr>
          <w:lang w:eastAsia="en-AU"/>
        </w:rPr>
        <w:t>e</w:t>
      </w:r>
      <w:r w:rsidR="00BE4F63" w:rsidRPr="00BE4F63">
        <w:rPr>
          <w:lang w:eastAsia="en-AU"/>
        </w:rPr>
        <w:t xml:space="preserve">nergy </w:t>
      </w:r>
      <w:r w:rsidR="00B503DE">
        <w:rPr>
          <w:lang w:eastAsia="en-AU"/>
        </w:rPr>
        <w:t>t</w:t>
      </w:r>
      <w:r w:rsidR="00BE4F63" w:rsidRPr="00BE4F63">
        <w:rPr>
          <w:lang w:eastAsia="en-AU"/>
        </w:rPr>
        <w:t>ransition</w:t>
      </w:r>
      <w:r w:rsidR="00D81685">
        <w:rPr>
          <w:lang w:eastAsia="en-AU"/>
        </w:rPr>
        <w:t>;</w:t>
      </w:r>
      <w:r w:rsidR="00BE4F63" w:rsidRPr="00BE4F63">
        <w:rPr>
          <w:lang w:eastAsia="en-AU"/>
        </w:rPr>
        <w:t xml:space="preserve"> </w:t>
      </w:r>
      <w:r w:rsidR="00D81685">
        <w:rPr>
          <w:lang w:eastAsia="en-AU"/>
        </w:rPr>
        <w:t>e</w:t>
      </w:r>
      <w:r w:rsidR="00BE4F63" w:rsidRPr="00BE4F63">
        <w:rPr>
          <w:lang w:eastAsia="en-AU"/>
        </w:rPr>
        <w:t xml:space="preserve">ducation and </w:t>
      </w:r>
      <w:r w:rsidR="00D81685">
        <w:rPr>
          <w:lang w:eastAsia="en-AU"/>
        </w:rPr>
        <w:t>s</w:t>
      </w:r>
      <w:r w:rsidR="00BE4F63" w:rsidRPr="00BE4F63">
        <w:rPr>
          <w:lang w:eastAsia="en-AU"/>
        </w:rPr>
        <w:t>kills</w:t>
      </w:r>
      <w:r w:rsidR="00D81685">
        <w:rPr>
          <w:lang w:eastAsia="en-AU"/>
        </w:rPr>
        <w:t>;</w:t>
      </w:r>
      <w:r w:rsidR="00BE4F63" w:rsidRPr="00BE4F63">
        <w:rPr>
          <w:lang w:eastAsia="en-AU"/>
        </w:rPr>
        <w:t xml:space="preserve"> </w:t>
      </w:r>
      <w:r w:rsidR="00D81685">
        <w:rPr>
          <w:lang w:eastAsia="en-AU"/>
        </w:rPr>
        <w:t>s</w:t>
      </w:r>
      <w:r w:rsidR="00BE4F63" w:rsidRPr="00BE4F63">
        <w:rPr>
          <w:lang w:eastAsia="en-AU"/>
        </w:rPr>
        <w:t xml:space="preserve">ustainable </w:t>
      </w:r>
      <w:r w:rsidR="00D81685">
        <w:rPr>
          <w:lang w:eastAsia="en-AU"/>
        </w:rPr>
        <w:t>a</w:t>
      </w:r>
      <w:r w:rsidR="00BE4F63" w:rsidRPr="00BE4F63">
        <w:rPr>
          <w:lang w:eastAsia="en-AU"/>
        </w:rPr>
        <w:t xml:space="preserve">griculture and </w:t>
      </w:r>
      <w:r w:rsidR="00D81685">
        <w:rPr>
          <w:lang w:eastAsia="en-AU"/>
        </w:rPr>
        <w:t>f</w:t>
      </w:r>
      <w:r w:rsidR="00BE4F63" w:rsidRPr="00BE4F63">
        <w:rPr>
          <w:lang w:eastAsia="en-AU"/>
        </w:rPr>
        <w:t xml:space="preserve">ood </w:t>
      </w:r>
      <w:r w:rsidR="00D81685">
        <w:rPr>
          <w:lang w:eastAsia="en-AU"/>
        </w:rPr>
        <w:t>s</w:t>
      </w:r>
      <w:r w:rsidR="00BE4F63" w:rsidRPr="00BE4F63">
        <w:rPr>
          <w:lang w:eastAsia="en-AU"/>
        </w:rPr>
        <w:t>ecurity</w:t>
      </w:r>
      <w:r w:rsidR="00D81685">
        <w:rPr>
          <w:lang w:eastAsia="en-AU"/>
        </w:rPr>
        <w:t>;</w:t>
      </w:r>
      <w:r w:rsidR="00BE4F63" w:rsidRPr="00BE4F63">
        <w:rPr>
          <w:lang w:eastAsia="en-AU"/>
        </w:rPr>
        <w:t xml:space="preserve"> and </w:t>
      </w:r>
      <w:r w:rsidR="00D81685">
        <w:rPr>
          <w:lang w:eastAsia="en-AU"/>
        </w:rPr>
        <w:t>e</w:t>
      </w:r>
      <w:r w:rsidR="00BE4F63" w:rsidRPr="00BE4F63">
        <w:rPr>
          <w:lang w:eastAsia="en-AU"/>
        </w:rPr>
        <w:t xml:space="preserve">ffective and </w:t>
      </w:r>
      <w:r w:rsidR="00D81685">
        <w:rPr>
          <w:lang w:eastAsia="en-AU"/>
        </w:rPr>
        <w:t>i</w:t>
      </w:r>
      <w:r w:rsidR="00BE4F63" w:rsidRPr="00BE4F63">
        <w:rPr>
          <w:lang w:eastAsia="en-AU"/>
        </w:rPr>
        <w:t xml:space="preserve">nclusive </w:t>
      </w:r>
      <w:r w:rsidR="00D81685">
        <w:rPr>
          <w:lang w:eastAsia="en-AU"/>
        </w:rPr>
        <w:t>p</w:t>
      </w:r>
      <w:r w:rsidR="00BE4F63" w:rsidRPr="00BE4F63">
        <w:rPr>
          <w:lang w:eastAsia="en-AU"/>
        </w:rPr>
        <w:t xml:space="preserve">ublic </w:t>
      </w:r>
      <w:r w:rsidR="00D81685">
        <w:rPr>
          <w:lang w:eastAsia="en-AU"/>
        </w:rPr>
        <w:t>i</w:t>
      </w:r>
      <w:r w:rsidR="00BE4F63" w:rsidRPr="00BE4F63">
        <w:rPr>
          <w:lang w:eastAsia="en-AU"/>
        </w:rPr>
        <w:t>nstitutions.</w:t>
      </w:r>
    </w:p>
    <w:p w14:paraId="125F5574" w14:textId="2F00950E" w:rsidR="00737E87" w:rsidRPr="00FA2C26" w:rsidRDefault="00737E87" w:rsidP="00D261F9">
      <w:pPr>
        <w:rPr>
          <w:lang w:eastAsia="en-AU"/>
        </w:rPr>
      </w:pPr>
      <w:r w:rsidRPr="00FA2C26">
        <w:rPr>
          <w:lang w:eastAsia="en-AU"/>
        </w:rPr>
        <w:t xml:space="preserve">In line with </w:t>
      </w:r>
      <w:r w:rsidR="00D2005B">
        <w:rPr>
          <w:lang w:eastAsia="en-AU"/>
        </w:rPr>
        <w:t xml:space="preserve">Invested: </w:t>
      </w:r>
      <w:r w:rsidRPr="00FA2C26">
        <w:rPr>
          <w:lang w:eastAsia="en-AU"/>
        </w:rPr>
        <w:t>Australia’s Southeast Asia Economic Strategy to 2040,</w:t>
      </w:r>
      <w:r w:rsidR="00D2005B">
        <w:rPr>
          <w:rStyle w:val="EndnoteReference"/>
          <w:lang w:eastAsia="en-AU"/>
        </w:rPr>
        <w:endnoteReference w:id="13"/>
      </w:r>
      <w:r w:rsidRPr="00FA2C26">
        <w:rPr>
          <w:lang w:eastAsia="en-AU"/>
        </w:rPr>
        <w:t xml:space="preserve"> Australia will work with Indonesia through </w:t>
      </w:r>
      <w:r w:rsidR="00D2005B">
        <w:rPr>
          <w:lang w:eastAsia="en-AU"/>
        </w:rPr>
        <w:t xml:space="preserve">engagement across the </w:t>
      </w:r>
      <w:r w:rsidRPr="00FA2C26">
        <w:rPr>
          <w:lang w:eastAsia="en-AU"/>
        </w:rPr>
        <w:t xml:space="preserve">Australian </w:t>
      </w:r>
      <w:r w:rsidR="00D2005B">
        <w:rPr>
          <w:lang w:eastAsia="en-AU"/>
        </w:rPr>
        <w:t>G</w:t>
      </w:r>
      <w:r w:rsidR="00D2005B" w:rsidRPr="00FA2C26">
        <w:rPr>
          <w:lang w:eastAsia="en-AU"/>
        </w:rPr>
        <w:t xml:space="preserve">overnment </w:t>
      </w:r>
      <w:r w:rsidRPr="00FA2C26">
        <w:rPr>
          <w:lang w:eastAsia="en-AU"/>
        </w:rPr>
        <w:t xml:space="preserve">to foster significantly expanded commercial links, which will advance mutual prosperity and security. Technical advisory support and government relationships, such as between the Australian </w:t>
      </w:r>
      <w:r w:rsidR="00942CA1">
        <w:rPr>
          <w:lang w:eastAsia="en-AU"/>
        </w:rPr>
        <w:t xml:space="preserve">Government Department of the </w:t>
      </w:r>
      <w:r w:rsidRPr="00FA2C26">
        <w:rPr>
          <w:lang w:eastAsia="en-AU"/>
        </w:rPr>
        <w:t xml:space="preserve">Treasury and Australian Taxation Office and counterpart Indonesian agencies, will be delivered concurrently to maximise effectiveness and sustainability. We will support Indonesia’s continuing economic integration with the region and beyond, including its ambitions to accede to the Organisation for Economic Co-operation and Development (OECD). </w:t>
      </w:r>
    </w:p>
    <w:p w14:paraId="6E5DFB09" w14:textId="44631772" w:rsidR="00737E87" w:rsidRPr="00FA2C26" w:rsidRDefault="00737E87" w:rsidP="00D261F9">
      <w:pPr>
        <w:rPr>
          <w:lang w:eastAsia="en-AU"/>
        </w:rPr>
      </w:pPr>
      <w:r w:rsidRPr="00FA2C26">
        <w:rPr>
          <w:lang w:eastAsia="en-AU"/>
        </w:rPr>
        <w:t xml:space="preserve">Australia will work with Indonesia to strengthen our strategic economic cooperation for mutual benefit. We have signed a Memorandum of Understanding (MoU) establishing an electric vehicles collaboration mechanism between </w:t>
      </w:r>
      <w:r w:rsidRPr="00FA2C26">
        <w:rPr>
          <w:lang w:eastAsia="en-AU"/>
        </w:rPr>
        <w:lastRenderedPageBreak/>
        <w:t xml:space="preserve">Australia and Indonesia to work together on mapping electric vehicle supply chains, joint scientific and research studies, and fostering new business-to-business links. </w:t>
      </w:r>
    </w:p>
    <w:p w14:paraId="0D98A1E5" w14:textId="288756B1" w:rsidR="00737E87" w:rsidRPr="00FA2C26" w:rsidRDefault="00737E87" w:rsidP="00D261F9">
      <w:pPr>
        <w:rPr>
          <w:lang w:eastAsia="en-AU"/>
        </w:rPr>
      </w:pPr>
      <w:r w:rsidRPr="00FA2C26">
        <w:rPr>
          <w:lang w:eastAsia="en-AU"/>
        </w:rPr>
        <w:t>We will also support Indonesia’s human development and service delivery efforts – recognising that these are key to stable and equitable economic growth. In Indonesia’s decentralised system of government, provincial and local governments have significant responsibilities for service delivery and have differing levels of capacity across Indonesia. We are working in partnership with central agencies and key provincial governments to boost their public financial management and meet minimum service delivery standards. In education, we are working in partnership with the Government of Indonesia to boost the quality of teaching, curriculum and learning outcomes in primary schools, and have catalysed additional new finance from the Global Partnership for Education.</w:t>
      </w:r>
      <w:r w:rsidR="00EE3F2A">
        <w:rPr>
          <w:rStyle w:val="EndnoteReference"/>
          <w:lang w:eastAsia="en-AU"/>
        </w:rPr>
        <w:endnoteReference w:id="14"/>
      </w:r>
      <w:r w:rsidRPr="00FA2C26">
        <w:rPr>
          <w:lang w:eastAsia="en-AU"/>
        </w:rPr>
        <w:t xml:space="preserve"> </w:t>
      </w:r>
    </w:p>
    <w:p w14:paraId="4F897C18" w14:textId="29412C37" w:rsidR="00737E87" w:rsidRPr="00FA2C26" w:rsidRDefault="00737E87" w:rsidP="00D261F9">
      <w:pPr>
        <w:rPr>
          <w:lang w:eastAsia="en-AU"/>
        </w:rPr>
      </w:pPr>
      <w:r w:rsidRPr="00FA2C26">
        <w:rPr>
          <w:lang w:eastAsia="en-AU"/>
        </w:rPr>
        <w:t xml:space="preserve">We are redesigning our bilateral health investment to support health systems strengthening, </w:t>
      </w:r>
      <w:r w:rsidR="008255B9">
        <w:rPr>
          <w:lang w:eastAsia="en-AU"/>
        </w:rPr>
        <w:t>and</w:t>
      </w:r>
      <w:r w:rsidR="008255B9" w:rsidRPr="00FA2C26">
        <w:rPr>
          <w:lang w:eastAsia="en-AU"/>
        </w:rPr>
        <w:t xml:space="preserve"> </w:t>
      </w:r>
      <w:r w:rsidR="0018630B">
        <w:rPr>
          <w:lang w:eastAsia="en-AU"/>
        </w:rPr>
        <w:t>exploring options</w:t>
      </w:r>
      <w:r w:rsidR="0018630B" w:rsidRPr="00FA2C26">
        <w:rPr>
          <w:lang w:eastAsia="en-AU"/>
        </w:rPr>
        <w:t xml:space="preserve"> </w:t>
      </w:r>
      <w:r w:rsidRPr="00FA2C26">
        <w:rPr>
          <w:lang w:eastAsia="en-AU"/>
        </w:rPr>
        <w:t>to work in new areas</w:t>
      </w:r>
      <w:r w:rsidR="00EB4EA8">
        <w:rPr>
          <w:lang w:eastAsia="en-AU"/>
        </w:rPr>
        <w:t>,</w:t>
      </w:r>
      <w:r w:rsidRPr="00FA2C26">
        <w:rPr>
          <w:lang w:eastAsia="en-AU"/>
        </w:rPr>
        <w:t xml:space="preserve"> such as nutrition and health promotion. We recognise </w:t>
      </w:r>
      <w:r w:rsidR="00EB4EA8">
        <w:rPr>
          <w:lang w:eastAsia="en-AU"/>
        </w:rPr>
        <w:t xml:space="preserve">that </w:t>
      </w:r>
      <w:r w:rsidRPr="00FA2C26">
        <w:rPr>
          <w:lang w:eastAsia="en-AU"/>
        </w:rPr>
        <w:t>new priorities such as food security a</w:t>
      </w:r>
      <w:r w:rsidR="0049189C">
        <w:rPr>
          <w:lang w:eastAsia="en-AU"/>
        </w:rPr>
        <w:t>re</w:t>
      </w:r>
      <w:r w:rsidRPr="00FA2C26">
        <w:rPr>
          <w:lang w:eastAsia="en-AU"/>
        </w:rPr>
        <w:t xml:space="preserve"> likely flagship initiatives of the incoming Indonesian administration and will look to support them across our development partnership. </w:t>
      </w:r>
    </w:p>
    <w:p w14:paraId="293F7AC4" w14:textId="66A12807" w:rsidR="00737E87" w:rsidRPr="00FA2C26" w:rsidRDefault="00737E87" w:rsidP="00D261F9">
      <w:pPr>
        <w:rPr>
          <w:lang w:eastAsia="en-AU"/>
        </w:rPr>
      </w:pPr>
      <w:r w:rsidRPr="00FA2C26">
        <w:rPr>
          <w:lang w:eastAsia="en-AU"/>
        </w:rPr>
        <w:t xml:space="preserve">Our scholarships program will continue to support Indonesia’s human resource development across a range of sectors. </w:t>
      </w:r>
    </w:p>
    <w:p w14:paraId="5CCA3C8D" w14:textId="4449FE8A" w:rsidR="00737E87" w:rsidRPr="00FA2C26" w:rsidRDefault="00737E87" w:rsidP="00D261F9">
      <w:pPr>
        <w:rPr>
          <w:lang w:eastAsia="en-AU"/>
        </w:rPr>
      </w:pPr>
      <w:r w:rsidRPr="00FA2C26">
        <w:rPr>
          <w:lang w:eastAsia="en-AU"/>
        </w:rPr>
        <w:t xml:space="preserve">We will work with a range of Indonesian stakeholders to promote transparent and effective governance, including </w:t>
      </w:r>
      <w:r w:rsidR="00570835">
        <w:rPr>
          <w:lang w:eastAsia="en-AU"/>
        </w:rPr>
        <w:t xml:space="preserve">by </w:t>
      </w:r>
      <w:r w:rsidRPr="00FA2C26">
        <w:rPr>
          <w:lang w:eastAsia="en-AU"/>
        </w:rPr>
        <w:t xml:space="preserve">strengthening decentralised governance systems and civil society engagement and </w:t>
      </w:r>
      <w:r w:rsidR="00570835">
        <w:rPr>
          <w:lang w:eastAsia="en-AU"/>
        </w:rPr>
        <w:t xml:space="preserve">by </w:t>
      </w:r>
      <w:r w:rsidRPr="00FA2C26">
        <w:rPr>
          <w:lang w:eastAsia="en-AU"/>
        </w:rPr>
        <w:t xml:space="preserve">removing barriers to participation. We will also work with stakeholders to address regional disparities, including </w:t>
      </w:r>
      <w:r w:rsidR="00570835">
        <w:rPr>
          <w:lang w:eastAsia="en-AU"/>
        </w:rPr>
        <w:t xml:space="preserve">by </w:t>
      </w:r>
      <w:r w:rsidRPr="00FA2C26">
        <w:rPr>
          <w:lang w:eastAsia="en-AU"/>
        </w:rPr>
        <w:t>strengthening institutions, the flow of resources, public finance management and governance capability at a national and subnational level.</w:t>
      </w:r>
    </w:p>
    <w:p w14:paraId="715C4459" w14:textId="6C21603D" w:rsidR="00737E87" w:rsidRPr="00FA2C26" w:rsidRDefault="00737E87" w:rsidP="00D261F9">
      <w:pPr>
        <w:rPr>
          <w:lang w:eastAsia="en-AU"/>
        </w:rPr>
      </w:pPr>
      <w:r w:rsidRPr="00FA2C26">
        <w:rPr>
          <w:lang w:eastAsia="en-AU"/>
        </w:rPr>
        <w:t>We support Indonesia’s ambition for vulnerable groups to be able to access services safely and share in Indonesia’s economic growth. We have provided technical assistance to advance GEDSI where it is most effective economically, including supporting the development of childcare policies, and supporting capacity building for women to establish and manage businesses. Regional</w:t>
      </w:r>
      <w:r w:rsidR="00984BAE">
        <w:rPr>
          <w:lang w:eastAsia="en-AU"/>
        </w:rPr>
        <w:t xml:space="preserve"> gender equality</w:t>
      </w:r>
      <w:r w:rsidRPr="00FA2C26">
        <w:rPr>
          <w:lang w:eastAsia="en-AU"/>
        </w:rPr>
        <w:t xml:space="preserve"> initiatives, </w:t>
      </w:r>
      <w:r w:rsidR="007248F9">
        <w:rPr>
          <w:lang w:eastAsia="en-AU"/>
        </w:rPr>
        <w:t>including</w:t>
      </w:r>
      <w:r w:rsidR="00172F71">
        <w:rPr>
          <w:lang w:eastAsia="en-AU"/>
        </w:rPr>
        <w:t xml:space="preserve"> those</w:t>
      </w:r>
      <w:r w:rsidR="00250B27">
        <w:rPr>
          <w:lang w:eastAsia="en-AU"/>
        </w:rPr>
        <w:t xml:space="preserve"> </w:t>
      </w:r>
      <w:r w:rsidR="0049189C">
        <w:rPr>
          <w:lang w:eastAsia="en-AU"/>
        </w:rPr>
        <w:t>with the</w:t>
      </w:r>
      <w:r w:rsidRPr="00FA2C26">
        <w:rPr>
          <w:lang w:eastAsia="en-AU"/>
        </w:rPr>
        <w:t xml:space="preserve"> </w:t>
      </w:r>
      <w:r w:rsidR="00E32F4D">
        <w:rPr>
          <w:lang w:eastAsia="en-AU"/>
        </w:rPr>
        <w:t>Association of Southeast Asia</w:t>
      </w:r>
      <w:r w:rsidR="006A5500">
        <w:rPr>
          <w:lang w:eastAsia="en-AU"/>
        </w:rPr>
        <w:t>n</w:t>
      </w:r>
      <w:r w:rsidR="00E32F4D">
        <w:rPr>
          <w:lang w:eastAsia="en-AU"/>
        </w:rPr>
        <w:t xml:space="preserve"> Nations (</w:t>
      </w:r>
      <w:r w:rsidRPr="00FA2C26">
        <w:rPr>
          <w:lang w:eastAsia="en-AU"/>
        </w:rPr>
        <w:t>ASEAN</w:t>
      </w:r>
      <w:r w:rsidR="00E32F4D">
        <w:rPr>
          <w:lang w:eastAsia="en-AU"/>
        </w:rPr>
        <w:t>)</w:t>
      </w:r>
      <w:r w:rsidRPr="00FA2C26">
        <w:rPr>
          <w:lang w:eastAsia="en-AU"/>
        </w:rPr>
        <w:t xml:space="preserve">, will also contribute to resilient, </w:t>
      </w:r>
      <w:proofErr w:type="gramStart"/>
      <w:r w:rsidRPr="00FA2C26">
        <w:rPr>
          <w:lang w:eastAsia="en-AU"/>
        </w:rPr>
        <w:t>inclusive</w:t>
      </w:r>
      <w:proofErr w:type="gramEnd"/>
      <w:r w:rsidRPr="00FA2C26">
        <w:rPr>
          <w:lang w:eastAsia="en-AU"/>
        </w:rPr>
        <w:t xml:space="preserve"> and sustainable economic growth in Indonesia. </w:t>
      </w:r>
    </w:p>
    <w:p w14:paraId="7BB708F5" w14:textId="788F8A85" w:rsidR="00737E87" w:rsidRPr="00FA2C26" w:rsidRDefault="00737E87" w:rsidP="00D261F9">
      <w:pPr>
        <w:rPr>
          <w:lang w:eastAsia="en-AU"/>
        </w:rPr>
      </w:pPr>
      <w:r w:rsidRPr="00FA2C26">
        <w:rPr>
          <w:lang w:eastAsia="en-AU"/>
        </w:rPr>
        <w:t xml:space="preserve">Australia will continue partnering with development banks such as the World Bank to support the </w:t>
      </w:r>
      <w:r w:rsidR="001039D8">
        <w:rPr>
          <w:lang w:eastAsia="en-AU"/>
        </w:rPr>
        <w:t xml:space="preserve">Government of </w:t>
      </w:r>
      <w:r w:rsidRPr="00FA2C26">
        <w:rPr>
          <w:lang w:eastAsia="en-AU"/>
        </w:rPr>
        <w:t xml:space="preserve">Indonesia’s efforts to increase inclusive economic growth, including to access concessional financing for sustainable infrastructure. We will also empower vulnerable groups to ensure equitable economic gains by adopting a flexible partnership approach with </w:t>
      </w:r>
      <w:r w:rsidR="00A9490E">
        <w:rPr>
          <w:lang w:eastAsia="en-AU"/>
        </w:rPr>
        <w:t>CSOs</w:t>
      </w:r>
      <w:r w:rsidRPr="00FA2C26">
        <w:rPr>
          <w:lang w:eastAsia="en-AU"/>
        </w:rPr>
        <w:t>, strengthening our locally</w:t>
      </w:r>
      <w:r w:rsidR="00676DDD">
        <w:rPr>
          <w:lang w:eastAsia="en-AU"/>
        </w:rPr>
        <w:t xml:space="preserve"> </w:t>
      </w:r>
      <w:r w:rsidRPr="00FA2C26">
        <w:rPr>
          <w:lang w:eastAsia="en-AU"/>
        </w:rPr>
        <w:t xml:space="preserve">led approach to Indonesia’s sustainable economic growth. </w:t>
      </w:r>
    </w:p>
    <w:p w14:paraId="37DF9E4F" w14:textId="70CA5753" w:rsidR="00737E87" w:rsidRPr="00FA2C26" w:rsidRDefault="00737E87" w:rsidP="00D261F9">
      <w:pPr>
        <w:rPr>
          <w:lang w:eastAsia="en-AU"/>
        </w:rPr>
      </w:pPr>
      <w:r w:rsidRPr="00FA2C26">
        <w:rPr>
          <w:lang w:eastAsia="en-AU"/>
        </w:rPr>
        <w:t xml:space="preserve">We will re-examine programs and sectors as program cycles are due for </w:t>
      </w:r>
      <w:proofErr w:type="gramStart"/>
      <w:r w:rsidRPr="00FA2C26">
        <w:rPr>
          <w:lang w:eastAsia="en-AU"/>
        </w:rPr>
        <w:t>renewal</w:t>
      </w:r>
      <w:r w:rsidR="00354AA5">
        <w:rPr>
          <w:lang w:eastAsia="en-AU"/>
        </w:rPr>
        <w:t>,</w:t>
      </w:r>
      <w:r w:rsidRPr="00FA2C26">
        <w:rPr>
          <w:lang w:eastAsia="en-AU"/>
        </w:rPr>
        <w:t xml:space="preserve"> and</w:t>
      </w:r>
      <w:proofErr w:type="gramEnd"/>
      <w:r w:rsidRPr="00FA2C26">
        <w:rPr>
          <w:lang w:eastAsia="en-AU"/>
        </w:rPr>
        <w:t xml:space="preserve"> consolidate or exit where appropriate. At the end of 2024, we will cease the market systems development program as it has already achieved its objectives of increasing the livelihood of smallholder farmers in target </w:t>
      </w:r>
      <w:proofErr w:type="gramStart"/>
      <w:r w:rsidRPr="00FA2C26">
        <w:rPr>
          <w:lang w:eastAsia="en-AU"/>
        </w:rPr>
        <w:t>areas, and</w:t>
      </w:r>
      <w:proofErr w:type="gramEnd"/>
      <w:r w:rsidRPr="00FA2C26">
        <w:rPr>
          <w:lang w:eastAsia="en-AU"/>
        </w:rPr>
        <w:t xml:space="preserve"> </w:t>
      </w:r>
      <w:r w:rsidR="00523391">
        <w:rPr>
          <w:lang w:eastAsia="en-AU"/>
        </w:rPr>
        <w:t xml:space="preserve">has laid </w:t>
      </w:r>
      <w:r w:rsidRPr="00FA2C26">
        <w:rPr>
          <w:lang w:eastAsia="en-AU"/>
        </w:rPr>
        <w:t xml:space="preserve">a solid basis for sustainable continuation by farmers and the private sector. In addition, we will exit from </w:t>
      </w:r>
      <w:r w:rsidR="00991899">
        <w:rPr>
          <w:lang w:eastAsia="en-AU"/>
        </w:rPr>
        <w:t xml:space="preserve">some </w:t>
      </w:r>
      <w:r w:rsidRPr="00FA2C26">
        <w:rPr>
          <w:lang w:eastAsia="en-AU"/>
        </w:rPr>
        <w:t xml:space="preserve">smaller health investments in favour of a larger, more </w:t>
      </w:r>
      <w:proofErr w:type="gramStart"/>
      <w:r w:rsidRPr="00FA2C26">
        <w:rPr>
          <w:lang w:eastAsia="en-AU"/>
        </w:rPr>
        <w:t>ambitious</w:t>
      </w:r>
      <w:proofErr w:type="gramEnd"/>
      <w:r w:rsidRPr="00FA2C26">
        <w:rPr>
          <w:lang w:eastAsia="en-AU"/>
        </w:rPr>
        <w:t xml:space="preserve"> and more efficient health program that enhances institutional links and supports the Government of Indonesia’s Health Transformation Agenda. </w:t>
      </w:r>
    </w:p>
    <w:p w14:paraId="612B1E38" w14:textId="132B7E28" w:rsidR="00737E87" w:rsidRPr="00CF5050" w:rsidRDefault="00737E87" w:rsidP="00773333">
      <w:pPr>
        <w:pStyle w:val="H3-Heading3"/>
      </w:pPr>
      <w:r w:rsidRPr="00CF5050">
        <w:t xml:space="preserve">Objective 2: Climate </w:t>
      </w:r>
      <w:r w:rsidR="00D261F9" w:rsidRPr="00CF5050">
        <w:t>r</w:t>
      </w:r>
      <w:r w:rsidRPr="00CF5050">
        <w:t xml:space="preserve">esilient </w:t>
      </w:r>
      <w:r w:rsidR="00D261F9" w:rsidRPr="00CF5050">
        <w:t>c</w:t>
      </w:r>
      <w:r w:rsidRPr="00CF5050">
        <w:t xml:space="preserve">ommunities </w:t>
      </w:r>
    </w:p>
    <w:p w14:paraId="6DBA8117" w14:textId="06936EF2" w:rsidR="00737E87" w:rsidRPr="00FA2C26" w:rsidRDefault="00737E87" w:rsidP="00BF28DA">
      <w:r w:rsidRPr="00FA2C26">
        <w:t xml:space="preserve">Objective 2 contributes to the following focus areas of </w:t>
      </w:r>
      <w:r w:rsidR="0071715A">
        <w:t>Australia’s International Development Policy</w:t>
      </w:r>
      <w:r w:rsidRPr="00FA2C26">
        <w:t>:</w:t>
      </w:r>
    </w:p>
    <w:p w14:paraId="26F74837" w14:textId="536D33AC" w:rsidR="00737E87" w:rsidRPr="00FA2C26" w:rsidRDefault="0071715A" w:rsidP="00BF28DA">
      <w:pPr>
        <w:pStyle w:val="NormalBullets-L1"/>
      </w:pPr>
      <w:r>
        <w:t>e</w:t>
      </w:r>
      <w:r w:rsidR="00737E87" w:rsidRPr="00FA2C26">
        <w:t>nhance state and community resilience to external pressures and shocks (</w:t>
      </w:r>
      <w:r>
        <w:t>p</w:t>
      </w:r>
      <w:r w:rsidR="00737E87" w:rsidRPr="00FA2C26">
        <w:t>rimary)</w:t>
      </w:r>
    </w:p>
    <w:p w14:paraId="779A3F5E" w14:textId="633C4AAE" w:rsidR="00737E87" w:rsidRPr="00FA2C26" w:rsidRDefault="0071715A" w:rsidP="00BF28DA">
      <w:pPr>
        <w:pStyle w:val="NormalBullets-L1"/>
      </w:pPr>
      <w:r>
        <w:t>b</w:t>
      </w:r>
      <w:r w:rsidR="00737E87" w:rsidRPr="00FA2C26">
        <w:t>uild effective, accountable states that drive their own development (</w:t>
      </w:r>
      <w:r>
        <w:t>s</w:t>
      </w:r>
      <w:r w:rsidR="00737E87" w:rsidRPr="00FA2C26">
        <w:t>econdary)</w:t>
      </w:r>
    </w:p>
    <w:p w14:paraId="737DEDBC" w14:textId="65F68DC0" w:rsidR="00737E87" w:rsidRPr="00FA2C26" w:rsidRDefault="0071715A" w:rsidP="00BF28DA">
      <w:pPr>
        <w:pStyle w:val="NormalBullets-L1"/>
      </w:pPr>
      <w:r>
        <w:t>g</w:t>
      </w:r>
      <w:r w:rsidR="00737E87" w:rsidRPr="00FA2C26">
        <w:t>enerate collective action on global challenges that impact us and our region (</w:t>
      </w:r>
      <w:r>
        <w:t>s</w:t>
      </w:r>
      <w:r w:rsidR="00737E87" w:rsidRPr="00FA2C26">
        <w:t>econdary)</w:t>
      </w:r>
      <w:r w:rsidR="00E038E5">
        <w:t>.</w:t>
      </w:r>
    </w:p>
    <w:p w14:paraId="4116376A" w14:textId="6A3F2E79" w:rsidR="00737E87" w:rsidRPr="00FA2C26" w:rsidRDefault="00737E87" w:rsidP="00BF28DA">
      <w:pPr>
        <w:rPr>
          <w:lang w:eastAsia="en-AU"/>
        </w:rPr>
      </w:pPr>
      <w:r w:rsidRPr="00FA2C26">
        <w:rPr>
          <w:lang w:eastAsia="en-AU"/>
        </w:rPr>
        <w:lastRenderedPageBreak/>
        <w:t>The Australia</w:t>
      </w:r>
      <w:r w:rsidR="00E038E5">
        <w:rPr>
          <w:lang w:eastAsia="en-AU"/>
        </w:rPr>
        <w:t>–</w:t>
      </w:r>
      <w:r w:rsidRPr="00FA2C26">
        <w:rPr>
          <w:lang w:eastAsia="en-AU"/>
        </w:rPr>
        <w:t>Indonesia Climate and Infrastructure Partnership</w:t>
      </w:r>
      <w:r w:rsidR="002F63F1">
        <w:rPr>
          <w:lang w:eastAsia="en-AU"/>
        </w:rPr>
        <w:t xml:space="preserve"> </w:t>
      </w:r>
      <w:r w:rsidRPr="00FA2C26">
        <w:rPr>
          <w:lang w:eastAsia="en-AU"/>
        </w:rPr>
        <w:t>will be the centrepiece of our support for Indonesia’s energy transition and will deploy blended finance mechanisms to crowd</w:t>
      </w:r>
      <w:r w:rsidR="0008024A">
        <w:rPr>
          <w:lang w:eastAsia="en-AU"/>
        </w:rPr>
        <w:t xml:space="preserve"> </w:t>
      </w:r>
      <w:r w:rsidRPr="00FA2C26">
        <w:rPr>
          <w:lang w:eastAsia="en-AU"/>
        </w:rPr>
        <w:t>in private sector finance. Our bilateral infrastructure programming will increasingly focus on supporting Indonesia to develop and build climate resilient infrastructure and climate-smart urban transportation, which will in turn encourage greater private sector investment in Indonesian infrastructure projects. We will continue to partner on improving water management, including under the renewed MoU on water resources planning cooperation.</w:t>
      </w:r>
    </w:p>
    <w:p w14:paraId="0C58A990" w14:textId="2F226C4C" w:rsidR="00737E87" w:rsidRPr="00FA2C26" w:rsidRDefault="00737E87" w:rsidP="00BF28DA">
      <w:pPr>
        <w:rPr>
          <w:lang w:eastAsia="en-AU"/>
        </w:rPr>
      </w:pPr>
      <w:r w:rsidRPr="00FA2C26">
        <w:rPr>
          <w:lang w:eastAsia="en-AU"/>
        </w:rPr>
        <w:t xml:space="preserve">Climate risks will be considered across the entirety of the development partnership, both through the inclusion of climate commitments in new programs and incorporating climate change into existing programs. Disaster preparedness activities will be adapted to support government and communities in effectively mitigating for and responding to climate-related disasters and economic shocks. </w:t>
      </w:r>
    </w:p>
    <w:p w14:paraId="406DBACD" w14:textId="566479D6" w:rsidR="00737E87" w:rsidRPr="00FA2C26" w:rsidRDefault="00737E87" w:rsidP="00BF28DA">
      <w:pPr>
        <w:rPr>
          <w:lang w:eastAsia="en-AU"/>
        </w:rPr>
      </w:pPr>
      <w:r w:rsidRPr="00FA2C26">
        <w:rPr>
          <w:lang w:eastAsia="en-AU"/>
        </w:rPr>
        <w:t>We will help Indonesia to prepare for climate</w:t>
      </w:r>
      <w:r w:rsidR="00B120A5">
        <w:rPr>
          <w:lang w:eastAsia="en-AU"/>
        </w:rPr>
        <w:t>-</w:t>
      </w:r>
      <w:r w:rsidRPr="00FA2C26">
        <w:rPr>
          <w:lang w:eastAsia="en-AU"/>
        </w:rPr>
        <w:t>related disasters, including hydrometeorological (floods, storms, heatwaves)</w:t>
      </w:r>
      <w:r w:rsidR="00363C3E">
        <w:rPr>
          <w:lang w:eastAsia="en-AU"/>
        </w:rPr>
        <w:t>,</w:t>
      </w:r>
      <w:r w:rsidRPr="00FA2C26">
        <w:rPr>
          <w:lang w:eastAsia="en-AU"/>
        </w:rPr>
        <w:t xml:space="preserve"> climatological (droughts, wildfires) and geophysical (earthquakes and volcanic eruptions)</w:t>
      </w:r>
      <w:r w:rsidR="00012708">
        <w:rPr>
          <w:lang w:eastAsia="en-AU"/>
        </w:rPr>
        <w:t xml:space="preserve"> disasters</w:t>
      </w:r>
      <w:r w:rsidRPr="00FA2C26">
        <w:rPr>
          <w:lang w:eastAsia="en-AU"/>
        </w:rPr>
        <w:t>. These disasters cause human death</w:t>
      </w:r>
      <w:r w:rsidR="00817A58">
        <w:rPr>
          <w:lang w:eastAsia="en-AU"/>
        </w:rPr>
        <w:t>s</w:t>
      </w:r>
      <w:r w:rsidRPr="00FA2C26">
        <w:rPr>
          <w:lang w:eastAsia="en-AU"/>
        </w:rPr>
        <w:t xml:space="preserve"> and illness</w:t>
      </w:r>
      <w:r w:rsidR="000317E5">
        <w:rPr>
          <w:lang w:eastAsia="en-AU"/>
        </w:rPr>
        <w:t>,</w:t>
      </w:r>
      <w:r w:rsidRPr="00FA2C26">
        <w:rPr>
          <w:lang w:eastAsia="en-AU"/>
        </w:rPr>
        <w:t xml:space="preserve"> as well as economic and ecological damage through acute and chronic events. Climate change also extends health risks for humans and animals due to food, </w:t>
      </w:r>
      <w:proofErr w:type="gramStart"/>
      <w:r w:rsidRPr="00FA2C26">
        <w:rPr>
          <w:lang w:eastAsia="en-AU"/>
        </w:rPr>
        <w:t>water</w:t>
      </w:r>
      <w:proofErr w:type="gramEnd"/>
      <w:r w:rsidRPr="00FA2C26">
        <w:rPr>
          <w:lang w:eastAsia="en-AU"/>
        </w:rPr>
        <w:t xml:space="preserve"> and vector</w:t>
      </w:r>
      <w:r w:rsidR="000A36F7">
        <w:rPr>
          <w:lang w:eastAsia="en-AU"/>
        </w:rPr>
        <w:t>-</w:t>
      </w:r>
      <w:r w:rsidRPr="00FA2C26">
        <w:rPr>
          <w:lang w:eastAsia="en-AU"/>
        </w:rPr>
        <w:t xml:space="preserve">borne diseases, including zoonoses such as </w:t>
      </w:r>
      <w:r w:rsidR="006869A1">
        <w:rPr>
          <w:lang w:eastAsia="en-AU"/>
        </w:rPr>
        <w:t>severe acute respiratory syndrome (</w:t>
      </w:r>
      <w:r w:rsidRPr="00FA2C26">
        <w:rPr>
          <w:lang w:eastAsia="en-AU"/>
        </w:rPr>
        <w:t>SARS</w:t>
      </w:r>
      <w:r w:rsidR="006869A1">
        <w:rPr>
          <w:lang w:eastAsia="en-AU"/>
        </w:rPr>
        <w:t>)</w:t>
      </w:r>
      <w:r w:rsidRPr="00FA2C26">
        <w:rPr>
          <w:lang w:eastAsia="en-AU"/>
        </w:rPr>
        <w:t xml:space="preserve"> and COVID-19. These disasters and hazards can interact to increase intensity, </w:t>
      </w:r>
      <w:proofErr w:type="gramStart"/>
      <w:r w:rsidRPr="00FA2C26">
        <w:rPr>
          <w:lang w:eastAsia="en-AU"/>
        </w:rPr>
        <w:t>duration</w:t>
      </w:r>
      <w:proofErr w:type="gramEnd"/>
      <w:r w:rsidRPr="00FA2C26">
        <w:rPr>
          <w:lang w:eastAsia="en-AU"/>
        </w:rPr>
        <w:t xml:space="preserve"> or scale of impact. </w:t>
      </w:r>
    </w:p>
    <w:p w14:paraId="4CA41ADF" w14:textId="67A2E8F9" w:rsidR="00737E87" w:rsidRPr="00FA2C26" w:rsidRDefault="00737E87" w:rsidP="00BF28DA">
      <w:pPr>
        <w:rPr>
          <w:lang w:eastAsia="en-AU"/>
        </w:rPr>
      </w:pPr>
      <w:r w:rsidRPr="00FA2C26">
        <w:rPr>
          <w:lang w:eastAsia="en-AU"/>
        </w:rPr>
        <w:t>We are also providing technical support to develop climate</w:t>
      </w:r>
      <w:r w:rsidR="003978EE">
        <w:rPr>
          <w:lang w:eastAsia="en-AU"/>
        </w:rPr>
        <w:t>-</w:t>
      </w:r>
      <w:r w:rsidRPr="00FA2C26">
        <w:rPr>
          <w:lang w:eastAsia="en-AU"/>
        </w:rPr>
        <w:t xml:space="preserve">adaptive social protection policies. We will look for opportunities to bring in expertise, including from Australian public and private sector organisations, to build the capacity of Indonesian systems to deliver climate products and services to communities. </w:t>
      </w:r>
    </w:p>
    <w:p w14:paraId="4EA7B307" w14:textId="2B7E369E" w:rsidR="00737E87" w:rsidRPr="00FA2C26" w:rsidRDefault="00737E87" w:rsidP="00BF28DA">
      <w:pPr>
        <w:rPr>
          <w:lang w:eastAsia="en-AU"/>
        </w:rPr>
      </w:pPr>
      <w:r w:rsidRPr="00FA2C26">
        <w:rPr>
          <w:lang w:eastAsia="en-AU"/>
        </w:rPr>
        <w:t>We will identify opportunities to work with other development partners, multilateral</w:t>
      </w:r>
      <w:r w:rsidR="00E15377">
        <w:rPr>
          <w:lang w:eastAsia="en-AU"/>
        </w:rPr>
        <w:t xml:space="preserve"> </w:t>
      </w:r>
      <w:proofErr w:type="gramStart"/>
      <w:r w:rsidR="00E15377">
        <w:rPr>
          <w:lang w:eastAsia="en-AU"/>
        </w:rPr>
        <w:t>organisation</w:t>
      </w:r>
      <w:r w:rsidR="00A31C29">
        <w:rPr>
          <w:lang w:eastAsia="en-AU"/>
        </w:rPr>
        <w:t>s</w:t>
      </w:r>
      <w:proofErr w:type="gramEnd"/>
      <w:r w:rsidRPr="00FA2C26">
        <w:rPr>
          <w:lang w:eastAsia="en-AU"/>
        </w:rPr>
        <w:t xml:space="preserve"> and </w:t>
      </w:r>
      <w:r w:rsidR="00466F00">
        <w:rPr>
          <w:lang w:eastAsia="en-AU"/>
        </w:rPr>
        <w:t xml:space="preserve">United Nations </w:t>
      </w:r>
      <w:r w:rsidRPr="00FA2C26">
        <w:rPr>
          <w:lang w:eastAsia="en-AU"/>
        </w:rPr>
        <w:t>agencies to support Indonesia’s climate finance and energy transition needs.</w:t>
      </w:r>
    </w:p>
    <w:p w14:paraId="128C0177" w14:textId="015CFA5D" w:rsidR="00737E87" w:rsidRPr="00FA2C26" w:rsidRDefault="00737E87" w:rsidP="00BF28DA">
      <w:pPr>
        <w:rPr>
          <w:lang w:eastAsia="en-AU"/>
        </w:rPr>
      </w:pPr>
      <w:r w:rsidRPr="00FA2C26">
        <w:rPr>
          <w:lang w:eastAsia="en-AU"/>
        </w:rPr>
        <w:t>We will work to ensure our climate and GEDSI objectives go hand</w:t>
      </w:r>
      <w:r w:rsidR="00466F00">
        <w:rPr>
          <w:lang w:eastAsia="en-AU"/>
        </w:rPr>
        <w:t xml:space="preserve"> </w:t>
      </w:r>
      <w:r w:rsidRPr="00FA2C26">
        <w:rPr>
          <w:lang w:eastAsia="en-AU"/>
        </w:rPr>
        <w:t>in</w:t>
      </w:r>
      <w:r w:rsidR="00466F00">
        <w:rPr>
          <w:lang w:eastAsia="en-AU"/>
        </w:rPr>
        <w:t xml:space="preserve"> </w:t>
      </w:r>
      <w:r w:rsidRPr="00FA2C26">
        <w:rPr>
          <w:lang w:eastAsia="en-AU"/>
        </w:rPr>
        <w:t>hand, including through expanding government partnerships and social inclusion initiatives aimed at ensuring women, people with disabilit</w:t>
      </w:r>
      <w:r w:rsidR="003535FB">
        <w:rPr>
          <w:lang w:eastAsia="en-AU"/>
        </w:rPr>
        <w:t>y</w:t>
      </w:r>
      <w:r w:rsidRPr="00FA2C26">
        <w:rPr>
          <w:lang w:eastAsia="en-AU"/>
        </w:rPr>
        <w:t xml:space="preserve"> and vulnerable groups benefit from Indonesia’s clean energy transition.</w:t>
      </w:r>
    </w:p>
    <w:p w14:paraId="2020F79E" w14:textId="229721C3" w:rsidR="00737E87" w:rsidRPr="00FA2C26" w:rsidRDefault="00737E87" w:rsidP="00BF28DA">
      <w:pPr>
        <w:rPr>
          <w:lang w:eastAsia="en-AU"/>
        </w:rPr>
      </w:pPr>
      <w:r w:rsidRPr="00FA2C26">
        <w:rPr>
          <w:lang w:eastAsia="en-AU"/>
        </w:rPr>
        <w:t xml:space="preserve">We recognise the important contributions of regional programs to achieving this objective, including in agriculture and food security. We will work with global partners, including international </w:t>
      </w:r>
      <w:r w:rsidR="003535FB">
        <w:rPr>
          <w:lang w:eastAsia="en-AU"/>
        </w:rPr>
        <w:t>non</w:t>
      </w:r>
      <w:r w:rsidR="00F62094">
        <w:rPr>
          <w:lang w:eastAsia="en-AU"/>
        </w:rPr>
        <w:t>-</w:t>
      </w:r>
      <w:r w:rsidR="003535FB">
        <w:rPr>
          <w:lang w:eastAsia="en-AU"/>
        </w:rPr>
        <w:t>governmental organisations (</w:t>
      </w:r>
      <w:r w:rsidRPr="00FA2C26">
        <w:rPr>
          <w:lang w:eastAsia="en-AU"/>
        </w:rPr>
        <w:t>NGOs</w:t>
      </w:r>
      <w:r w:rsidR="003535FB">
        <w:rPr>
          <w:lang w:eastAsia="en-AU"/>
        </w:rPr>
        <w:t>)</w:t>
      </w:r>
      <w:r w:rsidRPr="00FA2C26">
        <w:rPr>
          <w:lang w:eastAsia="en-AU"/>
        </w:rPr>
        <w:t xml:space="preserve">, </w:t>
      </w:r>
      <w:r w:rsidR="006B2A90">
        <w:rPr>
          <w:lang w:eastAsia="en-AU"/>
        </w:rPr>
        <w:t>United Nations</w:t>
      </w:r>
      <w:r w:rsidR="006B2A90" w:rsidRPr="00FA2C26">
        <w:rPr>
          <w:lang w:eastAsia="en-AU"/>
        </w:rPr>
        <w:t xml:space="preserve"> </w:t>
      </w:r>
      <w:r w:rsidRPr="00FA2C26">
        <w:rPr>
          <w:lang w:eastAsia="en-AU"/>
        </w:rPr>
        <w:t>agencies and multilateral development banks to maximise benefits to Indonesia and to support Indonesia in sharing its insights and knowledge in engaging with regional and global initiatives.</w:t>
      </w:r>
    </w:p>
    <w:p w14:paraId="49839855" w14:textId="1AF6EF16" w:rsidR="00737E87" w:rsidRPr="00773333" w:rsidRDefault="00737E87" w:rsidP="00CF5050">
      <w:pPr>
        <w:pStyle w:val="H3-Heading3"/>
      </w:pPr>
      <w:r w:rsidRPr="00773333">
        <w:t xml:space="preserve">Objective 3: Strong </w:t>
      </w:r>
      <w:r w:rsidR="007D01A8" w:rsidRPr="00773333">
        <w:t>i</w:t>
      </w:r>
      <w:r w:rsidRPr="00773333">
        <w:t>nstitutions</w:t>
      </w:r>
    </w:p>
    <w:p w14:paraId="35EEF0ED" w14:textId="1F8F640E" w:rsidR="00737E87" w:rsidRPr="00FA2C26" w:rsidRDefault="00737E87" w:rsidP="009F7CBE">
      <w:r w:rsidRPr="00FA2C26">
        <w:t xml:space="preserve">Objective 3 contributes to the following focus areas of </w:t>
      </w:r>
      <w:r w:rsidR="009F7CBE">
        <w:t>Australia’s International Development Policy</w:t>
      </w:r>
      <w:r w:rsidRPr="00FA2C26">
        <w:t>:</w:t>
      </w:r>
    </w:p>
    <w:p w14:paraId="2A9D883E" w14:textId="64C9283D" w:rsidR="00737E87" w:rsidRPr="00FA2C26" w:rsidRDefault="009F7CBE" w:rsidP="009F7CBE">
      <w:pPr>
        <w:pStyle w:val="NormalBullets-L1"/>
      </w:pPr>
      <w:r>
        <w:t>c</w:t>
      </w:r>
      <w:r w:rsidR="00737E87" w:rsidRPr="00FA2C26">
        <w:t>onnect with Australia and regional architecture (</w:t>
      </w:r>
      <w:r w:rsidR="001669BA">
        <w:t>p</w:t>
      </w:r>
      <w:r w:rsidR="00737E87" w:rsidRPr="00FA2C26">
        <w:t>rimary)</w:t>
      </w:r>
    </w:p>
    <w:p w14:paraId="78808BAF" w14:textId="33D46D0D" w:rsidR="00737E87" w:rsidRPr="00FA2C26" w:rsidRDefault="001669BA" w:rsidP="009F7CBE">
      <w:pPr>
        <w:pStyle w:val="NormalBullets-L1"/>
      </w:pPr>
      <w:r>
        <w:t>b</w:t>
      </w:r>
      <w:r w:rsidR="00737E87" w:rsidRPr="00FA2C26">
        <w:t>uild effective, accountable states that drive their own development (</w:t>
      </w:r>
      <w:r>
        <w:t>p</w:t>
      </w:r>
      <w:r w:rsidR="00737E87" w:rsidRPr="00FA2C26">
        <w:t>rimary)</w:t>
      </w:r>
    </w:p>
    <w:p w14:paraId="767BBE9E" w14:textId="7849F6CC" w:rsidR="00737E87" w:rsidRPr="00FA2C26" w:rsidRDefault="001669BA" w:rsidP="009F7CBE">
      <w:pPr>
        <w:pStyle w:val="NormalBullets-L1"/>
      </w:pPr>
      <w:r>
        <w:t>g</w:t>
      </w:r>
      <w:r w:rsidR="00737E87" w:rsidRPr="00FA2C26">
        <w:t>enerate collective action on global challenges that impact us and our region (</w:t>
      </w:r>
      <w:r>
        <w:t>s</w:t>
      </w:r>
      <w:r w:rsidR="00737E87" w:rsidRPr="00FA2C26">
        <w:t>econdary)</w:t>
      </w:r>
      <w:r w:rsidR="00050D0E">
        <w:t>.</w:t>
      </w:r>
    </w:p>
    <w:p w14:paraId="044CB1F5" w14:textId="6C3F180D" w:rsidR="00737E87" w:rsidRPr="00FA2C26" w:rsidRDefault="00737E87" w:rsidP="009F7CBE">
      <w:pPr>
        <w:rPr>
          <w:lang w:eastAsia="en-AU"/>
        </w:rPr>
      </w:pPr>
      <w:r w:rsidRPr="00FA2C26">
        <w:rPr>
          <w:lang w:eastAsia="en-AU"/>
        </w:rPr>
        <w:t xml:space="preserve">Indo-Pacific stability and security are crucial to achieving Indonesian and regional development objectives and to maintaining and protecting Indonesia’s hard won development gains. Indonesia and Australia have partnered over many years, building strong institutional linkages and capability through bilateral, </w:t>
      </w:r>
      <w:proofErr w:type="gramStart"/>
      <w:r w:rsidRPr="00FA2C26">
        <w:rPr>
          <w:lang w:eastAsia="en-AU"/>
        </w:rPr>
        <w:t>regional</w:t>
      </w:r>
      <w:proofErr w:type="gramEnd"/>
      <w:r w:rsidRPr="00FA2C26">
        <w:rPr>
          <w:lang w:eastAsia="en-AU"/>
        </w:rPr>
        <w:t xml:space="preserve"> and global engagement</w:t>
      </w:r>
      <w:r w:rsidR="003958AB">
        <w:rPr>
          <w:lang w:eastAsia="en-AU"/>
        </w:rPr>
        <w:t>,</w:t>
      </w:r>
      <w:r w:rsidRPr="00FA2C26">
        <w:rPr>
          <w:lang w:eastAsia="en-AU"/>
        </w:rPr>
        <w:t xml:space="preserve"> both through the development partnership and through a range of government-to-government and other institutional partnerships.</w:t>
      </w:r>
    </w:p>
    <w:p w14:paraId="0D53AF8A" w14:textId="3A9594A1" w:rsidR="00737E87" w:rsidRPr="00FA2C26" w:rsidRDefault="00737E87" w:rsidP="009F7CBE">
      <w:pPr>
        <w:rPr>
          <w:lang w:eastAsia="en-AU"/>
        </w:rPr>
      </w:pPr>
      <w:r w:rsidRPr="00FA2C26">
        <w:rPr>
          <w:lang w:eastAsia="en-AU"/>
        </w:rPr>
        <w:t xml:space="preserve">Through this development partnership plan, Australia and Indonesia commit to working together to support Indonesia’s objectives of maintaining transparent and accountable justice institutions, reforming the criminal justice </w:t>
      </w:r>
      <w:proofErr w:type="gramStart"/>
      <w:r w:rsidRPr="00FA2C26">
        <w:rPr>
          <w:lang w:eastAsia="en-AU"/>
        </w:rPr>
        <w:t>system</w:t>
      </w:r>
      <w:proofErr w:type="gramEnd"/>
      <w:r w:rsidRPr="00FA2C26">
        <w:rPr>
          <w:lang w:eastAsia="en-AU"/>
        </w:rPr>
        <w:t xml:space="preserve"> and ensuring equal access to justice for women, girls and people with disabilit</w:t>
      </w:r>
      <w:r w:rsidR="003958AB">
        <w:rPr>
          <w:lang w:eastAsia="en-AU"/>
        </w:rPr>
        <w:t>y</w:t>
      </w:r>
      <w:r w:rsidRPr="00FA2C26">
        <w:rPr>
          <w:lang w:eastAsia="en-AU"/>
        </w:rPr>
        <w:t>. We will also work together with other regional partners, including ASEAN</w:t>
      </w:r>
      <w:r w:rsidR="00516F57">
        <w:rPr>
          <w:lang w:eastAsia="en-AU"/>
        </w:rPr>
        <w:t xml:space="preserve"> M</w:t>
      </w:r>
      <w:r w:rsidRPr="00FA2C26">
        <w:rPr>
          <w:lang w:eastAsia="en-AU"/>
        </w:rPr>
        <w:t xml:space="preserve">ember </w:t>
      </w:r>
      <w:r w:rsidR="00516F57">
        <w:rPr>
          <w:lang w:eastAsia="en-AU"/>
        </w:rPr>
        <w:t>S</w:t>
      </w:r>
      <w:r w:rsidRPr="00FA2C26">
        <w:rPr>
          <w:lang w:eastAsia="en-AU"/>
        </w:rPr>
        <w:t>tates, to counter violent extremism, support de-</w:t>
      </w:r>
      <w:r w:rsidRPr="00FA2C26">
        <w:rPr>
          <w:lang w:eastAsia="en-AU"/>
        </w:rPr>
        <w:lastRenderedPageBreak/>
        <w:t>radicalisation and address transnational crime, including people smuggling and human trafficking, cybersecurity threats and the threat of mis</w:t>
      </w:r>
      <w:r w:rsidR="00DA3BCC">
        <w:rPr>
          <w:lang w:eastAsia="en-AU"/>
        </w:rPr>
        <w:t>information</w:t>
      </w:r>
      <w:r w:rsidRPr="00FA2C26">
        <w:rPr>
          <w:lang w:eastAsia="en-AU"/>
        </w:rPr>
        <w:t xml:space="preserve"> and disinformation. </w:t>
      </w:r>
    </w:p>
    <w:p w14:paraId="5E820910" w14:textId="097EAA78" w:rsidR="00737E87" w:rsidRPr="00FA2C26" w:rsidRDefault="00737E87" w:rsidP="009F7CBE">
      <w:pPr>
        <w:rPr>
          <w:lang w:eastAsia="en-AU"/>
        </w:rPr>
      </w:pPr>
      <w:r w:rsidRPr="00FA2C26">
        <w:rPr>
          <w:lang w:eastAsia="en-AU"/>
        </w:rPr>
        <w:t xml:space="preserve">Encouraging inclusive participation in democratic processes will be a key focus area of the partnership, including building the capacity of government and </w:t>
      </w:r>
      <w:r w:rsidR="00D02F69">
        <w:rPr>
          <w:lang w:eastAsia="en-AU"/>
        </w:rPr>
        <w:t>CSOs</w:t>
      </w:r>
      <w:r w:rsidRPr="00FA2C26">
        <w:rPr>
          <w:lang w:eastAsia="en-AU"/>
        </w:rPr>
        <w:t xml:space="preserve"> to work together </w:t>
      </w:r>
      <w:r w:rsidR="007C03DB">
        <w:rPr>
          <w:lang w:eastAsia="en-AU"/>
        </w:rPr>
        <w:t xml:space="preserve">to </w:t>
      </w:r>
      <w:r w:rsidRPr="00FA2C26">
        <w:rPr>
          <w:lang w:eastAsia="en-AU"/>
        </w:rPr>
        <w:t>increas</w:t>
      </w:r>
      <w:r w:rsidR="007C03DB">
        <w:rPr>
          <w:lang w:eastAsia="en-AU"/>
        </w:rPr>
        <w:t>e</w:t>
      </w:r>
      <w:r w:rsidRPr="00FA2C26">
        <w:rPr>
          <w:lang w:eastAsia="en-AU"/>
        </w:rPr>
        <w:t xml:space="preserve"> inclusive participation. </w:t>
      </w:r>
      <w:r w:rsidR="00F43784">
        <w:rPr>
          <w:lang w:eastAsia="en-AU"/>
        </w:rPr>
        <w:t xml:space="preserve">Participatory and evidence-informed policy dialogue will support achievement of this objective. Engagement will span across a broad range of stakeholders, including government, civil society, </w:t>
      </w:r>
      <w:proofErr w:type="gramStart"/>
      <w:r w:rsidR="00F43784">
        <w:rPr>
          <w:lang w:eastAsia="en-AU"/>
        </w:rPr>
        <w:t>media</w:t>
      </w:r>
      <w:proofErr w:type="gramEnd"/>
      <w:r w:rsidR="00F43784">
        <w:rPr>
          <w:lang w:eastAsia="en-AU"/>
        </w:rPr>
        <w:t xml:space="preserve"> </w:t>
      </w:r>
      <w:r w:rsidR="00D96C1D">
        <w:rPr>
          <w:lang w:eastAsia="en-AU"/>
        </w:rPr>
        <w:t>and community groups. Particular attention will be given to ensuring broad participation, including from women, people with disabilit</w:t>
      </w:r>
      <w:r w:rsidR="00FD1FA7">
        <w:rPr>
          <w:lang w:eastAsia="en-AU"/>
        </w:rPr>
        <w:t>y</w:t>
      </w:r>
      <w:r w:rsidR="00D96C1D">
        <w:rPr>
          <w:lang w:eastAsia="en-AU"/>
        </w:rPr>
        <w:t xml:space="preserve">, </w:t>
      </w:r>
      <w:proofErr w:type="gramStart"/>
      <w:r w:rsidR="00D96C1D">
        <w:rPr>
          <w:lang w:eastAsia="en-AU"/>
        </w:rPr>
        <w:t>youth</w:t>
      </w:r>
      <w:proofErr w:type="gramEnd"/>
      <w:r w:rsidR="00D96C1D">
        <w:rPr>
          <w:lang w:eastAsia="en-AU"/>
        </w:rPr>
        <w:t xml:space="preserve"> and </w:t>
      </w:r>
      <w:r w:rsidR="00CD7407">
        <w:rPr>
          <w:lang w:eastAsia="en-AU"/>
        </w:rPr>
        <w:t>vulnerable groups.</w:t>
      </w:r>
    </w:p>
    <w:p w14:paraId="3DA2930A" w14:textId="5B5E68AD" w:rsidR="00737E87" w:rsidRPr="00FA2C26" w:rsidRDefault="00737E87" w:rsidP="009F7CBE">
      <w:pPr>
        <w:rPr>
          <w:lang w:eastAsia="en-AU"/>
        </w:rPr>
      </w:pPr>
      <w:r w:rsidRPr="00FA2C26">
        <w:rPr>
          <w:lang w:eastAsia="en-AU"/>
        </w:rPr>
        <w:t>Australia and Indonesia have worked together for many years on promoting religious tolerance and a mutual understanding of each other’s country. Through our partnership, we will further strengthen ties by promoting people-to-people exchanges aimed at building mutual understanding of the rich cultural diversity of Indonesia and Australia. We will promote knowledge sharing and encourage more</w:t>
      </w:r>
      <w:r w:rsidR="009B2640">
        <w:rPr>
          <w:lang w:eastAsia="en-AU"/>
        </w:rPr>
        <w:t>-</w:t>
      </w:r>
      <w:r w:rsidRPr="00FA2C26">
        <w:rPr>
          <w:lang w:eastAsia="en-AU"/>
        </w:rPr>
        <w:t xml:space="preserve">informed media coverage in both countries. We will build and strengthen institutional linkages, promote professional, cultural and youth exchange programs and contribute to Indonesian language teaching, </w:t>
      </w:r>
      <w:proofErr w:type="gramStart"/>
      <w:r w:rsidRPr="00FA2C26">
        <w:rPr>
          <w:lang w:eastAsia="en-AU"/>
        </w:rPr>
        <w:t>research</w:t>
      </w:r>
      <w:proofErr w:type="gramEnd"/>
      <w:r w:rsidRPr="00FA2C26">
        <w:rPr>
          <w:lang w:eastAsia="en-AU"/>
        </w:rPr>
        <w:t xml:space="preserve"> and cultural outreach in Australia to promote a deeper understanding of Indonesia among future leaders of the bilateral relationship. Scholarships and other people-to-people and institutional linkages are part of this. </w:t>
      </w:r>
    </w:p>
    <w:p w14:paraId="20EFB383" w14:textId="44154A41" w:rsidR="00737E87" w:rsidRPr="00FA2C26" w:rsidRDefault="00737E87" w:rsidP="009F7CBE">
      <w:pPr>
        <w:rPr>
          <w:lang w:eastAsia="en-AU"/>
        </w:rPr>
      </w:pPr>
      <w:r w:rsidRPr="00FA2C26">
        <w:rPr>
          <w:lang w:eastAsia="en-AU"/>
        </w:rPr>
        <w:t xml:space="preserve">Building stronger and deeper institutional linkages between our governments, private sector, </w:t>
      </w:r>
      <w:proofErr w:type="gramStart"/>
      <w:r w:rsidRPr="00FA2C26">
        <w:rPr>
          <w:lang w:eastAsia="en-AU"/>
        </w:rPr>
        <w:t>research</w:t>
      </w:r>
      <w:proofErr w:type="gramEnd"/>
      <w:r w:rsidRPr="00FA2C26">
        <w:rPr>
          <w:lang w:eastAsia="en-AU"/>
        </w:rPr>
        <w:t xml:space="preserve"> and non-government</w:t>
      </w:r>
      <w:r w:rsidR="0061251C">
        <w:rPr>
          <w:lang w:eastAsia="en-AU"/>
        </w:rPr>
        <w:t>al</w:t>
      </w:r>
      <w:r w:rsidRPr="00FA2C26">
        <w:rPr>
          <w:lang w:eastAsia="en-AU"/>
        </w:rPr>
        <w:t xml:space="preserve"> organisations will promote knowledge sharing in support of our mutual interest in stability and prosperity. We will work with Indonesia at the national and subnational level to promote improved policy and practice across a broad range of areas. This includes active partnerships with more than 20</w:t>
      </w:r>
      <w:r w:rsidR="00213074">
        <w:rPr>
          <w:lang w:eastAsia="en-AU"/>
        </w:rPr>
        <w:t> </w:t>
      </w:r>
      <w:r w:rsidRPr="00FA2C26">
        <w:rPr>
          <w:lang w:eastAsia="en-AU"/>
        </w:rPr>
        <w:t>Australian Public Service agencies and other public sector bodies</w:t>
      </w:r>
      <w:r w:rsidR="00213074">
        <w:rPr>
          <w:lang w:eastAsia="en-AU"/>
        </w:rPr>
        <w:t>,</w:t>
      </w:r>
      <w:r w:rsidRPr="00FA2C26">
        <w:rPr>
          <w:lang w:eastAsia="en-AU"/>
        </w:rPr>
        <w:t xml:space="preserve"> including in economic policy, finance and governance, data, health, education, climate and energy, security and safety, law and justice, democratic governance and civil society strengthening. We will provide opportunities for Australian and Indonesian legal, security and safety-oriented government agencies, including the Federal Circuit and Family Court of Australia, to work together to build capacity and mutual understanding. We will also continue to deepen institutional linkages between Australian and Indonesian education and research organisations and between </w:t>
      </w:r>
      <w:r w:rsidR="004124FB">
        <w:rPr>
          <w:lang w:eastAsia="en-AU"/>
        </w:rPr>
        <w:t>NGOs</w:t>
      </w:r>
      <w:r w:rsidRPr="00FA2C26">
        <w:rPr>
          <w:lang w:eastAsia="en-AU"/>
        </w:rPr>
        <w:t>.</w:t>
      </w:r>
    </w:p>
    <w:p w14:paraId="56240F8A" w14:textId="11338194" w:rsidR="00FD396B" w:rsidRDefault="00737E87" w:rsidP="009F7CBE">
      <w:pPr>
        <w:rPr>
          <w:lang w:eastAsia="en-AU"/>
        </w:rPr>
      </w:pPr>
      <w:r w:rsidRPr="00FA2C26">
        <w:rPr>
          <w:lang w:eastAsia="en-AU"/>
        </w:rPr>
        <w:t xml:space="preserve">We will work with Indonesia as a global and regional leader in support of our shared vision for a prosperous, </w:t>
      </w:r>
      <w:proofErr w:type="gramStart"/>
      <w:r w:rsidRPr="00FA2C26">
        <w:rPr>
          <w:lang w:eastAsia="en-AU"/>
        </w:rPr>
        <w:t>resilient</w:t>
      </w:r>
      <w:proofErr w:type="gramEnd"/>
      <w:r w:rsidRPr="00FA2C26">
        <w:rPr>
          <w:lang w:eastAsia="en-AU"/>
        </w:rPr>
        <w:t xml:space="preserve"> and stable Indo-Pacific region. Both </w:t>
      </w:r>
      <w:r w:rsidR="0061251C">
        <w:rPr>
          <w:lang w:eastAsia="en-AU"/>
        </w:rPr>
        <w:t>g</w:t>
      </w:r>
      <w:r w:rsidRPr="00FA2C26">
        <w:rPr>
          <w:lang w:eastAsia="en-AU"/>
        </w:rPr>
        <w:t>overnments agree to prioritise trilateral development cooperation in the Pacific and to pursue tangible joint development activities. Our two development programs will engage in two</w:t>
      </w:r>
      <w:r w:rsidR="0061251C">
        <w:rPr>
          <w:lang w:eastAsia="en-AU"/>
        </w:rPr>
        <w:t>-</w:t>
      </w:r>
      <w:r w:rsidRPr="00FA2C26">
        <w:rPr>
          <w:lang w:eastAsia="en-AU"/>
        </w:rPr>
        <w:t>way learning and knowledge sharing as trilateral development partners. Australia and Indonesia will also work together through multilateral development for</w:t>
      </w:r>
      <w:r w:rsidR="00550396">
        <w:rPr>
          <w:lang w:eastAsia="en-AU"/>
        </w:rPr>
        <w:t>ums</w:t>
      </w:r>
      <w:r w:rsidRPr="00FA2C26">
        <w:rPr>
          <w:lang w:eastAsia="en-AU"/>
        </w:rPr>
        <w:t xml:space="preserve"> and institutions such as global health bodies including Gavi, </w:t>
      </w:r>
      <w:r w:rsidR="004227B0">
        <w:rPr>
          <w:lang w:eastAsia="en-AU"/>
        </w:rPr>
        <w:t xml:space="preserve">the Vaccine Alliance, </w:t>
      </w:r>
      <w:r w:rsidRPr="00FA2C26">
        <w:rPr>
          <w:lang w:eastAsia="en-AU"/>
        </w:rPr>
        <w:t xml:space="preserve">and the Global Partnership for Education. </w:t>
      </w:r>
    </w:p>
    <w:p w14:paraId="7090B474" w14:textId="77777777" w:rsidR="00FD396B" w:rsidRDefault="00FD396B">
      <w:pPr>
        <w:spacing w:before="0" w:after="0" w:line="240" w:lineRule="auto"/>
        <w:rPr>
          <w:lang w:eastAsia="en-AU"/>
        </w:rPr>
      </w:pPr>
      <w:r>
        <w:rPr>
          <w:lang w:eastAsia="en-AU"/>
        </w:rPr>
        <w:br w:type="page"/>
      </w:r>
    </w:p>
    <w:p w14:paraId="3EC3A2E4" w14:textId="601B9C96" w:rsidR="00737E87" w:rsidRPr="00FA2C26" w:rsidRDefault="00737E87" w:rsidP="00CF5050">
      <w:pPr>
        <w:pStyle w:val="H2-Heading2"/>
        <w:spacing w:before="0"/>
      </w:pPr>
      <w:r w:rsidRPr="00FA2C26">
        <w:lastRenderedPageBreak/>
        <w:t xml:space="preserve">Section 4: Delivering our </w:t>
      </w:r>
      <w:proofErr w:type="gramStart"/>
      <w:r w:rsidR="00FD396B" w:rsidRPr="00CF5050">
        <w:t>p</w:t>
      </w:r>
      <w:r w:rsidRPr="00CF5050">
        <w:t>artnership</w:t>
      </w:r>
      <w:proofErr w:type="gramEnd"/>
    </w:p>
    <w:p w14:paraId="08D100F0" w14:textId="77777777" w:rsidR="00737E87" w:rsidRPr="00CF5050" w:rsidRDefault="00737E87" w:rsidP="00773333">
      <w:pPr>
        <w:pStyle w:val="H3-Heading3"/>
      </w:pPr>
      <w:r w:rsidRPr="00CF5050">
        <w:t xml:space="preserve">Locally led </w:t>
      </w:r>
      <w:proofErr w:type="gramStart"/>
      <w:r w:rsidRPr="00CF5050">
        <w:t>development</w:t>
      </w:r>
      <w:proofErr w:type="gramEnd"/>
    </w:p>
    <w:p w14:paraId="438C706A" w14:textId="1B1374A0" w:rsidR="00737E87" w:rsidRPr="00FA2C26" w:rsidRDefault="00737E87" w:rsidP="00CF052C">
      <w:pPr>
        <w:rPr>
          <w:lang w:eastAsia="en-AU"/>
        </w:rPr>
      </w:pPr>
      <w:r w:rsidRPr="00FA2C26">
        <w:rPr>
          <w:lang w:eastAsia="en-AU"/>
        </w:rPr>
        <w:t>The evolution of our development partnership with Indonesia is underpinned by a commitment to, and a conscious move towards, locally</w:t>
      </w:r>
      <w:r w:rsidR="00CF052C">
        <w:rPr>
          <w:lang w:eastAsia="en-AU"/>
        </w:rPr>
        <w:t xml:space="preserve"> </w:t>
      </w:r>
      <w:r w:rsidRPr="00FA2C26">
        <w:rPr>
          <w:lang w:eastAsia="en-AU"/>
        </w:rPr>
        <w:t>led development. Along with flexibility and responsiveness, locally</w:t>
      </w:r>
      <w:r w:rsidR="00CF052C">
        <w:rPr>
          <w:lang w:eastAsia="en-AU"/>
        </w:rPr>
        <w:t xml:space="preserve"> </w:t>
      </w:r>
      <w:r w:rsidRPr="00FA2C26">
        <w:rPr>
          <w:lang w:eastAsia="en-AU"/>
        </w:rPr>
        <w:t>led development differentiates our brand in Indonesia. Over</w:t>
      </w:r>
      <w:r w:rsidR="00A47833">
        <w:rPr>
          <w:lang w:eastAsia="en-AU"/>
        </w:rPr>
        <w:t xml:space="preserve"> </w:t>
      </w:r>
      <w:r w:rsidRPr="00FA2C26">
        <w:rPr>
          <w:lang w:eastAsia="en-AU"/>
        </w:rPr>
        <w:t>time</w:t>
      </w:r>
      <w:r w:rsidR="00A47833">
        <w:rPr>
          <w:lang w:eastAsia="en-AU"/>
        </w:rPr>
        <w:t>,</w:t>
      </w:r>
      <w:r w:rsidRPr="00FA2C26">
        <w:rPr>
          <w:lang w:eastAsia="en-AU"/>
        </w:rPr>
        <w:t xml:space="preserve"> our development partnership has moved to an approach of working with </w:t>
      </w:r>
      <w:r w:rsidR="00CF052C">
        <w:rPr>
          <w:lang w:eastAsia="en-AU"/>
        </w:rPr>
        <w:t xml:space="preserve">the </w:t>
      </w:r>
      <w:r w:rsidRPr="00FA2C26">
        <w:rPr>
          <w:lang w:eastAsia="en-AU"/>
        </w:rPr>
        <w:t xml:space="preserve">Government of Indonesia to support its own priorities, </w:t>
      </w:r>
      <w:proofErr w:type="gramStart"/>
      <w:r w:rsidRPr="00FA2C26">
        <w:rPr>
          <w:lang w:eastAsia="en-AU"/>
        </w:rPr>
        <w:t>programs</w:t>
      </w:r>
      <w:proofErr w:type="gramEnd"/>
      <w:r w:rsidRPr="00FA2C26">
        <w:rPr>
          <w:lang w:eastAsia="en-AU"/>
        </w:rPr>
        <w:t xml:space="preserve"> and policies through high</w:t>
      </w:r>
      <w:r w:rsidR="00CF052C">
        <w:rPr>
          <w:lang w:eastAsia="en-AU"/>
        </w:rPr>
        <w:t>-</w:t>
      </w:r>
      <w:r w:rsidRPr="00FA2C26">
        <w:rPr>
          <w:lang w:eastAsia="en-AU"/>
        </w:rPr>
        <w:t xml:space="preserve">quality technical advice. This approach is more effective, and more appropriate given Indonesia’s rapid development and capacity. </w:t>
      </w:r>
    </w:p>
    <w:p w14:paraId="7DC172CA" w14:textId="3CB79B96" w:rsidR="00737E87" w:rsidRPr="00FA2C26" w:rsidRDefault="00737E87" w:rsidP="00CF052C">
      <w:pPr>
        <w:rPr>
          <w:lang w:eastAsia="en-AU"/>
        </w:rPr>
      </w:pPr>
      <w:r w:rsidRPr="00FA2C26">
        <w:rPr>
          <w:lang w:eastAsia="en-AU"/>
        </w:rPr>
        <w:t>Australia’s development partnership is founded in respectful and consultative locally</w:t>
      </w:r>
      <w:r w:rsidR="00575146">
        <w:rPr>
          <w:lang w:eastAsia="en-AU"/>
        </w:rPr>
        <w:t xml:space="preserve"> </w:t>
      </w:r>
      <w:r w:rsidRPr="00FA2C26">
        <w:rPr>
          <w:lang w:eastAsia="en-AU"/>
        </w:rPr>
        <w:t xml:space="preserve">led approaches. </w:t>
      </w:r>
      <w:r w:rsidR="007C66BB" w:rsidRPr="00FA2C26">
        <w:rPr>
          <w:lang w:eastAsia="en-AU"/>
        </w:rPr>
        <w:t xml:space="preserve">Senior Development </w:t>
      </w:r>
      <w:r w:rsidR="007C66BB">
        <w:rPr>
          <w:lang w:eastAsia="en-AU"/>
        </w:rPr>
        <w:t xml:space="preserve">Meetings </w:t>
      </w:r>
      <w:r w:rsidR="007C66BB" w:rsidRPr="00FA2C26">
        <w:rPr>
          <w:lang w:eastAsia="en-AU"/>
        </w:rPr>
        <w:t>and Senior Economic Officials’ Meetings set the forward strategic direction for engagement over the medium</w:t>
      </w:r>
      <w:r w:rsidR="007C66BB">
        <w:rPr>
          <w:lang w:eastAsia="en-AU"/>
        </w:rPr>
        <w:t xml:space="preserve"> </w:t>
      </w:r>
      <w:r w:rsidR="007C66BB" w:rsidRPr="00FA2C26">
        <w:rPr>
          <w:lang w:eastAsia="en-AU"/>
        </w:rPr>
        <w:t>term.</w:t>
      </w:r>
      <w:r w:rsidR="007C66BB">
        <w:rPr>
          <w:lang w:eastAsia="en-AU"/>
        </w:rPr>
        <w:t xml:space="preserve"> </w:t>
      </w:r>
      <w:r w:rsidRPr="00FA2C26">
        <w:rPr>
          <w:lang w:eastAsia="en-AU"/>
        </w:rPr>
        <w:t xml:space="preserve">We </w:t>
      </w:r>
      <w:r w:rsidR="007C66BB">
        <w:rPr>
          <w:lang w:eastAsia="en-AU"/>
        </w:rPr>
        <w:t xml:space="preserve">then </w:t>
      </w:r>
      <w:r w:rsidRPr="00FA2C26">
        <w:rPr>
          <w:lang w:eastAsia="en-AU"/>
        </w:rPr>
        <w:t>jointly design programs with the Government of Indonesia</w:t>
      </w:r>
      <w:r w:rsidR="006C6D18">
        <w:rPr>
          <w:lang w:eastAsia="en-AU"/>
        </w:rPr>
        <w:t xml:space="preserve"> and</w:t>
      </w:r>
      <w:r w:rsidR="00923C9B">
        <w:rPr>
          <w:lang w:eastAsia="en-AU"/>
        </w:rPr>
        <w:t xml:space="preserve"> </w:t>
      </w:r>
      <w:r w:rsidR="005C28E8">
        <w:rPr>
          <w:lang w:eastAsia="en-AU"/>
        </w:rPr>
        <w:t>set up</w:t>
      </w:r>
      <w:r w:rsidR="005C28E8" w:rsidRPr="00FA2C26">
        <w:rPr>
          <w:lang w:eastAsia="en-AU"/>
        </w:rPr>
        <w:t xml:space="preserve"> </w:t>
      </w:r>
      <w:r w:rsidRPr="00FA2C26">
        <w:rPr>
          <w:lang w:eastAsia="en-AU"/>
        </w:rPr>
        <w:t xml:space="preserve">decision-making bodies </w:t>
      </w:r>
      <w:r w:rsidR="006C6D18">
        <w:rPr>
          <w:lang w:eastAsia="en-AU"/>
        </w:rPr>
        <w:t xml:space="preserve">that </w:t>
      </w:r>
      <w:r w:rsidRPr="00FA2C26">
        <w:rPr>
          <w:lang w:eastAsia="en-AU"/>
        </w:rPr>
        <w:t xml:space="preserve">are jointly chaired by representatives from both governments. </w:t>
      </w:r>
      <w:r w:rsidR="00C64E75">
        <w:rPr>
          <w:lang w:eastAsia="en-AU"/>
        </w:rPr>
        <w:t>These decision</w:t>
      </w:r>
      <w:r w:rsidR="00E675CB">
        <w:rPr>
          <w:lang w:eastAsia="en-AU"/>
        </w:rPr>
        <w:t>-</w:t>
      </w:r>
      <w:r w:rsidR="00C64E75">
        <w:rPr>
          <w:lang w:eastAsia="en-AU"/>
        </w:rPr>
        <w:t>making bodies jointly decide workplan</w:t>
      </w:r>
      <w:r w:rsidR="002E156A">
        <w:rPr>
          <w:lang w:eastAsia="en-AU"/>
        </w:rPr>
        <w:t>s, evaluat</w:t>
      </w:r>
      <w:r w:rsidR="00B25FBB">
        <w:rPr>
          <w:lang w:eastAsia="en-AU"/>
        </w:rPr>
        <w:t>e</w:t>
      </w:r>
      <w:r w:rsidR="002E156A">
        <w:rPr>
          <w:lang w:eastAsia="en-AU"/>
        </w:rPr>
        <w:t xml:space="preserve"> progress and </w:t>
      </w:r>
      <w:r w:rsidR="00CF2B97">
        <w:rPr>
          <w:lang w:eastAsia="en-AU"/>
        </w:rPr>
        <w:t xml:space="preserve">course correct </w:t>
      </w:r>
      <w:r w:rsidR="00362EDB">
        <w:rPr>
          <w:lang w:eastAsia="en-AU"/>
        </w:rPr>
        <w:t xml:space="preserve">in response to </w:t>
      </w:r>
      <w:r w:rsidR="000D7BDF">
        <w:rPr>
          <w:lang w:eastAsia="en-AU"/>
        </w:rPr>
        <w:t xml:space="preserve">evidence of what works and </w:t>
      </w:r>
      <w:r w:rsidR="00D14BBE">
        <w:rPr>
          <w:lang w:eastAsia="en-AU"/>
        </w:rPr>
        <w:t>changes in context</w:t>
      </w:r>
      <w:r w:rsidR="000D7BDF">
        <w:rPr>
          <w:lang w:eastAsia="en-AU"/>
        </w:rPr>
        <w:t>.</w:t>
      </w:r>
    </w:p>
    <w:p w14:paraId="015D98E3" w14:textId="254981D1" w:rsidR="00737E87" w:rsidRPr="00FA2C26" w:rsidRDefault="00737E87" w:rsidP="00CF052C">
      <w:pPr>
        <w:rPr>
          <w:lang w:eastAsia="en-AU"/>
        </w:rPr>
      </w:pPr>
      <w:r w:rsidRPr="00FA2C26">
        <w:rPr>
          <w:lang w:eastAsia="en-AU"/>
        </w:rPr>
        <w:t xml:space="preserve">In addition to working at the national level, we work at the provincial and local level – through government and </w:t>
      </w:r>
      <w:r w:rsidR="00317B2E">
        <w:rPr>
          <w:lang w:eastAsia="en-AU"/>
        </w:rPr>
        <w:t>CSOs</w:t>
      </w:r>
      <w:r w:rsidRPr="00FA2C26">
        <w:rPr>
          <w:lang w:eastAsia="en-AU"/>
        </w:rPr>
        <w:t>. We engage in meaningful consultation with the Government of Indonesia, civil society, academia, think tanks and other local experts to align outcomes with Indonesia’s development priorities. Our programs are responding to Indonesia’s objectives to promote development that is locally</w:t>
      </w:r>
      <w:r w:rsidR="00501907">
        <w:rPr>
          <w:lang w:eastAsia="en-AU"/>
        </w:rPr>
        <w:t xml:space="preserve"> </w:t>
      </w:r>
      <w:r w:rsidRPr="00FA2C26">
        <w:rPr>
          <w:lang w:eastAsia="en-AU"/>
        </w:rPr>
        <w:t xml:space="preserve">led in recognition of Indonesia’s diversity, including </w:t>
      </w:r>
      <w:r w:rsidR="00AB1C54">
        <w:rPr>
          <w:lang w:eastAsia="en-AU"/>
        </w:rPr>
        <w:t xml:space="preserve">by working </w:t>
      </w:r>
      <w:r w:rsidRPr="00FA2C26">
        <w:rPr>
          <w:lang w:eastAsia="en-AU"/>
        </w:rPr>
        <w:t>extensive</w:t>
      </w:r>
      <w:r w:rsidR="00AB1C54">
        <w:rPr>
          <w:lang w:eastAsia="en-AU"/>
        </w:rPr>
        <w:t xml:space="preserve">ly </w:t>
      </w:r>
      <w:r w:rsidRPr="00FA2C26">
        <w:rPr>
          <w:lang w:eastAsia="en-AU"/>
        </w:rPr>
        <w:t>with subnational partners.</w:t>
      </w:r>
    </w:p>
    <w:p w14:paraId="7EBEE659" w14:textId="1005F822" w:rsidR="00737E87" w:rsidRPr="00FA2C26" w:rsidRDefault="00737E87" w:rsidP="00CF052C">
      <w:pPr>
        <w:rPr>
          <w:lang w:eastAsia="en-AU"/>
        </w:rPr>
      </w:pPr>
      <w:r w:rsidRPr="00FA2C26">
        <w:rPr>
          <w:lang w:eastAsia="en-AU"/>
        </w:rPr>
        <w:t xml:space="preserve">Civil society and implementing partners have encouraged our development partnership to support strong institutions, empower local champions, and explore new instruments of development to address the impacts of climate change. Partners have emphasised the importance of maintaining existing areas of collaboration </w:t>
      </w:r>
      <w:r w:rsidR="004A432A">
        <w:rPr>
          <w:lang w:eastAsia="en-AU"/>
        </w:rPr>
        <w:t>in which</w:t>
      </w:r>
      <w:r w:rsidR="004A432A" w:rsidRPr="00FA2C26">
        <w:rPr>
          <w:lang w:eastAsia="en-AU"/>
        </w:rPr>
        <w:t xml:space="preserve"> </w:t>
      </w:r>
      <w:r w:rsidRPr="00FA2C26">
        <w:rPr>
          <w:lang w:eastAsia="en-AU"/>
        </w:rPr>
        <w:t xml:space="preserve">Australia has the greatest impact, including GEDSI initiatives and enhancing human capital through healthcare and education programs. </w:t>
      </w:r>
    </w:p>
    <w:p w14:paraId="7C97D2C6" w14:textId="3DCD8ECC" w:rsidR="00737E87" w:rsidRPr="00FA2C26" w:rsidRDefault="00737E87" w:rsidP="00CF052C">
      <w:pPr>
        <w:rPr>
          <w:lang w:eastAsia="en-AU"/>
        </w:rPr>
      </w:pPr>
      <w:r w:rsidRPr="00FA2C26">
        <w:rPr>
          <w:lang w:eastAsia="en-AU"/>
        </w:rPr>
        <w:t xml:space="preserve">We utilise local Indonesian knowledge and experience in our programs. </w:t>
      </w:r>
      <w:r w:rsidR="007B64FA">
        <w:rPr>
          <w:lang w:eastAsia="en-AU"/>
        </w:rPr>
        <w:t xml:space="preserve">Most </w:t>
      </w:r>
      <w:r w:rsidRPr="00FA2C26">
        <w:rPr>
          <w:lang w:eastAsia="en-AU"/>
        </w:rPr>
        <w:t xml:space="preserve">of </w:t>
      </w:r>
      <w:r w:rsidR="007B64FA">
        <w:rPr>
          <w:lang w:eastAsia="en-AU"/>
        </w:rPr>
        <w:t xml:space="preserve">the </w:t>
      </w:r>
      <w:r w:rsidRPr="00FA2C26">
        <w:rPr>
          <w:lang w:eastAsia="en-AU"/>
        </w:rPr>
        <w:t>development staff employed in the Australian Embassy are Indonesian, and the majority of implementing partners’ staff are also Indonesian. This includes leadership positions at the Team Leader (implementing partner), Director and Unit Manager (Embassy)</w:t>
      </w:r>
      <w:r w:rsidR="002151AF">
        <w:rPr>
          <w:lang w:eastAsia="en-AU"/>
        </w:rPr>
        <w:t xml:space="preserve"> </w:t>
      </w:r>
      <w:r w:rsidR="002151AF" w:rsidRPr="00FA2C26">
        <w:rPr>
          <w:lang w:eastAsia="en-AU"/>
        </w:rPr>
        <w:t>level</w:t>
      </w:r>
      <w:r w:rsidR="002151AF">
        <w:rPr>
          <w:lang w:eastAsia="en-AU"/>
        </w:rPr>
        <w:t>s</w:t>
      </w:r>
      <w:r w:rsidRPr="00FA2C26">
        <w:rPr>
          <w:lang w:eastAsia="en-AU"/>
        </w:rPr>
        <w:t xml:space="preserve">. </w:t>
      </w:r>
    </w:p>
    <w:p w14:paraId="677DF7A1" w14:textId="11EBFD3B" w:rsidR="00737E87" w:rsidRPr="00FA2C26" w:rsidRDefault="00737E87" w:rsidP="00CF052C">
      <w:pPr>
        <w:rPr>
          <w:lang w:eastAsia="en-AU"/>
        </w:rPr>
      </w:pPr>
      <w:r w:rsidRPr="00FA2C26">
        <w:rPr>
          <w:lang w:eastAsia="en-AU"/>
        </w:rPr>
        <w:t xml:space="preserve">When developing and promoting institutional linkages between Australian and Indonesian institutions, we promote two-way learning so that Indonesian and Australian institutions can learn from each other’s expertise and experience. We are deepening our </w:t>
      </w:r>
      <w:r w:rsidR="009D4DD3">
        <w:rPr>
          <w:lang w:eastAsia="en-AU"/>
        </w:rPr>
        <w:t>g</w:t>
      </w:r>
      <w:r w:rsidR="00405FC8">
        <w:rPr>
          <w:lang w:eastAsia="en-AU"/>
        </w:rPr>
        <w:t xml:space="preserve">overnment </w:t>
      </w:r>
      <w:r w:rsidRPr="00FA2C26">
        <w:rPr>
          <w:lang w:eastAsia="en-AU"/>
        </w:rPr>
        <w:t>institutional links in key sectors</w:t>
      </w:r>
      <w:r w:rsidR="00BE72FC">
        <w:rPr>
          <w:lang w:eastAsia="en-AU"/>
        </w:rPr>
        <w:t>,</w:t>
      </w:r>
      <w:r w:rsidRPr="00FA2C26">
        <w:rPr>
          <w:lang w:eastAsia="en-AU"/>
        </w:rPr>
        <w:t xml:space="preserve"> including clean energy and climate finance</w:t>
      </w:r>
      <w:r w:rsidR="009D4DD3">
        <w:rPr>
          <w:lang w:eastAsia="en-AU"/>
        </w:rPr>
        <w:t>,</w:t>
      </w:r>
      <w:r w:rsidRPr="00FA2C26">
        <w:rPr>
          <w:lang w:eastAsia="en-AU"/>
        </w:rPr>
        <w:t xml:space="preserve"> and science, </w:t>
      </w:r>
      <w:proofErr w:type="gramStart"/>
      <w:r w:rsidRPr="00FA2C26">
        <w:rPr>
          <w:lang w:eastAsia="en-AU"/>
        </w:rPr>
        <w:t>research</w:t>
      </w:r>
      <w:proofErr w:type="gramEnd"/>
      <w:r w:rsidRPr="00FA2C26">
        <w:rPr>
          <w:lang w:eastAsia="en-AU"/>
        </w:rPr>
        <w:t xml:space="preserve"> and innovation.</w:t>
      </w:r>
    </w:p>
    <w:p w14:paraId="6691C583" w14:textId="255E8119" w:rsidR="00737E87" w:rsidRPr="00FA2C26" w:rsidRDefault="00737E87" w:rsidP="00CF052C">
      <w:pPr>
        <w:rPr>
          <w:lang w:eastAsia="en-AU"/>
        </w:rPr>
      </w:pPr>
      <w:r w:rsidRPr="00FA2C26">
        <w:rPr>
          <w:lang w:eastAsia="en-AU"/>
        </w:rPr>
        <w:t>In addition to a review of the DPP in 2025 to ensure consistency with Government of Indonesia priorities, ongoing programming decisions will be determined in consultation with government counterparts and informed by rigorous evaluation and quality assurance processes (as set out below).</w:t>
      </w:r>
    </w:p>
    <w:p w14:paraId="6EE9A4C3" w14:textId="77777777" w:rsidR="00737E87" w:rsidRPr="00CF5050" w:rsidRDefault="00737E87" w:rsidP="00773333">
      <w:pPr>
        <w:pStyle w:val="H3-Heading3"/>
      </w:pPr>
      <w:bookmarkStart w:id="2" w:name="_Hlk172794770"/>
      <w:r w:rsidRPr="00CF5050">
        <w:t>Consultation</w:t>
      </w:r>
    </w:p>
    <w:p w14:paraId="112A2D06" w14:textId="128AC556" w:rsidR="00626CFD" w:rsidRDefault="003B7794" w:rsidP="003B7794">
      <w:r>
        <w:t xml:space="preserve">Delivery of our partnership will be informed by ongoing consultation </w:t>
      </w:r>
      <w:r w:rsidR="00A95490">
        <w:t>using existing and new mechanisms</w:t>
      </w:r>
      <w:r w:rsidR="00607AFD">
        <w:t xml:space="preserve"> </w:t>
      </w:r>
      <w:r w:rsidR="003E3017">
        <w:t>under our bilateral architecture</w:t>
      </w:r>
      <w:r w:rsidR="004E0F03">
        <w:t>,</w:t>
      </w:r>
      <w:r w:rsidR="003E3017">
        <w:t xml:space="preserve"> as listed below, including Leaders and Ministerial level talks, high-level development forums and sector-specific meetings. We will use these and other interactions to engage</w:t>
      </w:r>
      <w:r w:rsidR="002F3098">
        <w:t xml:space="preserve"> with</w:t>
      </w:r>
      <w:r w:rsidR="003E3017">
        <w:t xml:space="preserve"> Indonesia</w:t>
      </w:r>
      <w:r w:rsidR="00403FB6">
        <w:t>n stakeholders</w:t>
      </w:r>
      <w:r w:rsidR="003E3017">
        <w:t xml:space="preserve"> on progress </w:t>
      </w:r>
      <w:r w:rsidR="00671B64">
        <w:t>again</w:t>
      </w:r>
      <w:r w:rsidR="00403FB6">
        <w:t>st our</w:t>
      </w:r>
      <w:r w:rsidR="003E3017">
        <w:t xml:space="preserve"> DPP</w:t>
      </w:r>
      <w:r w:rsidR="00403FB6">
        <w:t xml:space="preserve"> </w:t>
      </w:r>
      <w:r w:rsidR="0016536E">
        <w:t>objectives</w:t>
      </w:r>
      <w:r w:rsidR="00626CFD">
        <w:t>.</w:t>
      </w:r>
    </w:p>
    <w:p w14:paraId="69CF5743" w14:textId="6056CFF3" w:rsidR="00737E87" w:rsidRPr="00FA2C26" w:rsidRDefault="00737E87" w:rsidP="00CF5050">
      <w:pPr>
        <w:keepNext/>
        <w:spacing w:after="0" w:line="240" w:lineRule="auto"/>
        <w:textAlignment w:val="baseline"/>
        <w:rPr>
          <w:rFonts w:cstheme="majorHAnsi"/>
          <w:lang w:eastAsia="en-AU"/>
        </w:rPr>
      </w:pPr>
      <w:r w:rsidRPr="00FA2C26">
        <w:rPr>
          <w:rFonts w:cstheme="majorHAnsi"/>
          <w:lang w:eastAsia="en-AU"/>
        </w:rPr>
        <w:lastRenderedPageBreak/>
        <w:t xml:space="preserve">Strategic </w:t>
      </w:r>
      <w:r w:rsidR="00626CFD">
        <w:rPr>
          <w:rFonts w:cstheme="majorHAnsi"/>
          <w:lang w:eastAsia="en-AU"/>
        </w:rPr>
        <w:t>d</w:t>
      </w:r>
      <w:r w:rsidRPr="00FA2C26">
        <w:rPr>
          <w:rFonts w:cstheme="majorHAnsi"/>
          <w:lang w:eastAsia="en-AU"/>
        </w:rPr>
        <w:t>ialogue</w:t>
      </w:r>
      <w:r w:rsidR="00626CFD">
        <w:rPr>
          <w:rFonts w:cstheme="majorHAnsi"/>
          <w:lang w:eastAsia="en-AU"/>
        </w:rPr>
        <w:t xml:space="preserve"> mechanisms</w:t>
      </w:r>
      <w:r w:rsidRPr="00FA2C26">
        <w:rPr>
          <w:rFonts w:cstheme="majorHAnsi"/>
          <w:lang w:eastAsia="en-AU"/>
        </w:rPr>
        <w:t xml:space="preserve"> includ</w:t>
      </w:r>
      <w:r w:rsidR="00626CFD">
        <w:rPr>
          <w:rFonts w:cstheme="majorHAnsi"/>
          <w:lang w:eastAsia="en-AU"/>
        </w:rPr>
        <w:t>e</w:t>
      </w:r>
      <w:r w:rsidRPr="00FA2C26">
        <w:rPr>
          <w:rFonts w:cstheme="majorHAnsi"/>
          <w:lang w:eastAsia="en-AU"/>
        </w:rPr>
        <w:t>:</w:t>
      </w:r>
    </w:p>
    <w:p w14:paraId="52538B64" w14:textId="77777777" w:rsidR="00737E87" w:rsidRPr="00FA2C26" w:rsidRDefault="00737E87" w:rsidP="00CF5050">
      <w:pPr>
        <w:pStyle w:val="NormalBullets-L1"/>
      </w:pPr>
      <w:r w:rsidRPr="00FA2C26">
        <w:t>Annual Leaders’ Meeting</w:t>
      </w:r>
    </w:p>
    <w:p w14:paraId="6A17644D" w14:textId="7D748367" w:rsidR="00737E87" w:rsidRPr="00FA2C26" w:rsidRDefault="00737E87" w:rsidP="00CF5050">
      <w:pPr>
        <w:pStyle w:val="NormalBullets-L1"/>
      </w:pPr>
      <w:r w:rsidRPr="00FA2C26">
        <w:t>Indonesia</w:t>
      </w:r>
      <w:r w:rsidR="00B7545C">
        <w:t>–</w:t>
      </w:r>
      <w:r w:rsidRPr="00FA2C26">
        <w:t>Australia Foreign and Defence Ministers’ 2+2 Meeting</w:t>
      </w:r>
    </w:p>
    <w:p w14:paraId="1E6FCA2C" w14:textId="79E1F65C" w:rsidR="00737E87" w:rsidRPr="00FA2C26" w:rsidRDefault="00737E87" w:rsidP="00CF5050">
      <w:pPr>
        <w:pStyle w:val="NormalBullets-L1"/>
      </w:pPr>
      <w:r w:rsidRPr="00FA2C26">
        <w:t xml:space="preserve">Economic Trade and Investment Ministerial Meeting </w:t>
      </w:r>
    </w:p>
    <w:p w14:paraId="41ABB88D" w14:textId="6CB50FA5" w:rsidR="00737E87" w:rsidRPr="00FA2C26" w:rsidRDefault="00737E87" w:rsidP="00CF5050">
      <w:pPr>
        <w:pStyle w:val="NormalBullets-L1"/>
      </w:pPr>
      <w:r w:rsidRPr="00FA2C26">
        <w:t>Indonesia</w:t>
      </w:r>
      <w:r w:rsidR="00B7545C">
        <w:t>–</w:t>
      </w:r>
      <w:r w:rsidRPr="00FA2C26">
        <w:t>Australia Ministerial Council on Law and Security</w:t>
      </w:r>
    </w:p>
    <w:p w14:paraId="73D3C665" w14:textId="79262041" w:rsidR="00737E87" w:rsidRPr="00FA2C26" w:rsidRDefault="00737E87" w:rsidP="00CF5050">
      <w:pPr>
        <w:pStyle w:val="NormalBullets-L1"/>
      </w:pPr>
      <w:r w:rsidRPr="00FA2C26">
        <w:t>Indonesia</w:t>
      </w:r>
      <w:r w:rsidR="00B7545C">
        <w:t>–</w:t>
      </w:r>
      <w:r w:rsidRPr="00FA2C26">
        <w:t>Australia Counter-Terrorism Consultations</w:t>
      </w:r>
    </w:p>
    <w:p w14:paraId="1E6F1458" w14:textId="77777777" w:rsidR="00737E87" w:rsidRPr="00FA2C26" w:rsidRDefault="00737E87" w:rsidP="00CF5050">
      <w:pPr>
        <w:pStyle w:val="NormalBullets-L1"/>
      </w:pPr>
      <w:r w:rsidRPr="00FA2C26">
        <w:t xml:space="preserve">Development Senior Officials Meeting </w:t>
      </w:r>
    </w:p>
    <w:p w14:paraId="266C2CFE" w14:textId="46B04C6F" w:rsidR="00737E87" w:rsidRPr="00FA2C26" w:rsidRDefault="00737E87" w:rsidP="00CF5050">
      <w:pPr>
        <w:pStyle w:val="NormalBullets-L1"/>
      </w:pPr>
      <w:r w:rsidRPr="00FA2C26">
        <w:t>Senior Economic Officials</w:t>
      </w:r>
      <w:r w:rsidR="00B2181E">
        <w:t>’</w:t>
      </w:r>
      <w:r w:rsidRPr="00FA2C26">
        <w:t xml:space="preserve"> Meeting </w:t>
      </w:r>
    </w:p>
    <w:p w14:paraId="1F06C885" w14:textId="5C6DC9B0" w:rsidR="00737E87" w:rsidRPr="00FA2C26" w:rsidRDefault="00737E87" w:rsidP="00CF5050">
      <w:pPr>
        <w:pStyle w:val="NormalBullets-L1"/>
      </w:pPr>
      <w:r w:rsidRPr="00FA2C26">
        <w:t>Economic Policy Dialogue</w:t>
      </w:r>
      <w:r w:rsidR="00B2181E">
        <w:t>.</w:t>
      </w:r>
      <w:r w:rsidRPr="00FA2C26">
        <w:t xml:space="preserve"> </w:t>
      </w:r>
    </w:p>
    <w:p w14:paraId="64203FD4" w14:textId="6D0BC122" w:rsidR="00737E87" w:rsidRPr="00FA2C26" w:rsidRDefault="00737E87" w:rsidP="00CF5050">
      <w:pPr>
        <w:rPr>
          <w:lang w:eastAsia="en-AU"/>
        </w:rPr>
      </w:pPr>
      <w:r w:rsidRPr="00FA2C26">
        <w:rPr>
          <w:lang w:eastAsia="en-AU"/>
        </w:rPr>
        <w:t>Thematic/</w:t>
      </w:r>
      <w:r w:rsidR="00B2181E">
        <w:rPr>
          <w:lang w:eastAsia="en-AU"/>
        </w:rPr>
        <w:t>s</w:t>
      </w:r>
      <w:r w:rsidRPr="00FA2C26">
        <w:rPr>
          <w:lang w:eastAsia="en-AU"/>
        </w:rPr>
        <w:t xml:space="preserve">ectoral </w:t>
      </w:r>
      <w:r w:rsidR="00B2181E">
        <w:rPr>
          <w:lang w:eastAsia="en-AU"/>
        </w:rPr>
        <w:t>d</w:t>
      </w:r>
      <w:r w:rsidRPr="00FA2C26">
        <w:rPr>
          <w:lang w:eastAsia="en-AU"/>
        </w:rPr>
        <w:t>ialogue</w:t>
      </w:r>
      <w:r w:rsidR="00B2181E">
        <w:rPr>
          <w:lang w:eastAsia="en-AU"/>
        </w:rPr>
        <w:t xml:space="preserve"> mechanisms </w:t>
      </w:r>
      <w:r w:rsidRPr="00FA2C26">
        <w:rPr>
          <w:lang w:eastAsia="en-AU"/>
        </w:rPr>
        <w:t>includ</w:t>
      </w:r>
      <w:r w:rsidR="00B2181E">
        <w:rPr>
          <w:lang w:eastAsia="en-AU"/>
        </w:rPr>
        <w:t>e</w:t>
      </w:r>
      <w:r w:rsidRPr="00FA2C26">
        <w:rPr>
          <w:lang w:eastAsia="en-AU"/>
        </w:rPr>
        <w:t>:</w:t>
      </w:r>
    </w:p>
    <w:p w14:paraId="443DA213" w14:textId="76FD1748" w:rsidR="00737E87" w:rsidRPr="00FA2C26" w:rsidRDefault="00737E87" w:rsidP="00CF5050">
      <w:pPr>
        <w:pStyle w:val="NormalBullets-L1"/>
      </w:pPr>
      <w:r w:rsidRPr="00FA2C26">
        <w:t xml:space="preserve">Program Steering Committee </w:t>
      </w:r>
      <w:proofErr w:type="gramStart"/>
      <w:r w:rsidR="00613D7E">
        <w:t>m</w:t>
      </w:r>
      <w:r w:rsidRPr="00FA2C26">
        <w:t>eetings</w:t>
      </w:r>
      <w:proofErr w:type="gramEnd"/>
      <w:r w:rsidRPr="00FA2C26">
        <w:t xml:space="preserve"> </w:t>
      </w:r>
    </w:p>
    <w:p w14:paraId="0B7F88A0" w14:textId="66730E94" w:rsidR="00737E87" w:rsidRPr="00FA2C26" w:rsidRDefault="00737E87" w:rsidP="00CF5050">
      <w:pPr>
        <w:pStyle w:val="NormalBullets-L1"/>
      </w:pPr>
      <w:r w:rsidRPr="00FA2C26">
        <w:t xml:space="preserve">Program Technical Committee </w:t>
      </w:r>
      <w:proofErr w:type="gramStart"/>
      <w:r w:rsidR="00613D7E">
        <w:t>m</w:t>
      </w:r>
      <w:r w:rsidRPr="00FA2C26">
        <w:t>eetings</w:t>
      </w:r>
      <w:proofErr w:type="gramEnd"/>
      <w:r w:rsidRPr="00FA2C26">
        <w:t xml:space="preserve"> </w:t>
      </w:r>
    </w:p>
    <w:p w14:paraId="36A90DCF" w14:textId="6A1802A5" w:rsidR="00737E87" w:rsidRPr="00FA2C26" w:rsidRDefault="00737E87" w:rsidP="00CF5050">
      <w:pPr>
        <w:pStyle w:val="NormalBullets-L1"/>
      </w:pPr>
      <w:r w:rsidRPr="00FA2C26">
        <w:t xml:space="preserve">Gender </w:t>
      </w:r>
      <w:r w:rsidR="00AC62EC">
        <w:t>a</w:t>
      </w:r>
      <w:r w:rsidRPr="00FA2C26">
        <w:t xml:space="preserve">dviser </w:t>
      </w:r>
      <w:r w:rsidR="00613D7E">
        <w:t>n</w:t>
      </w:r>
      <w:r w:rsidRPr="00FA2C26">
        <w:t xml:space="preserve">etwork </w:t>
      </w:r>
      <w:r w:rsidR="00613D7E">
        <w:t>m</w:t>
      </w:r>
      <w:r w:rsidRPr="00FA2C26">
        <w:t xml:space="preserve">eetings </w:t>
      </w:r>
    </w:p>
    <w:p w14:paraId="0E839412" w14:textId="131E8A74" w:rsidR="00737E87" w:rsidRPr="00FA2C26" w:rsidRDefault="00737E87" w:rsidP="00CF5050">
      <w:pPr>
        <w:pStyle w:val="NormalBullets-L1"/>
      </w:pPr>
      <w:r w:rsidRPr="00FA2C26">
        <w:t xml:space="preserve">Implementing </w:t>
      </w:r>
      <w:r w:rsidR="00AC62EC">
        <w:t>p</w:t>
      </w:r>
      <w:r w:rsidRPr="00FA2C26">
        <w:t xml:space="preserve">artners </w:t>
      </w:r>
      <w:r w:rsidR="00AC62EC">
        <w:t>f</w:t>
      </w:r>
      <w:r w:rsidRPr="00FA2C26">
        <w:t xml:space="preserve">orums </w:t>
      </w:r>
    </w:p>
    <w:p w14:paraId="68D43028" w14:textId="747652C1" w:rsidR="00737E87" w:rsidRPr="00FA2C26" w:rsidRDefault="00737E87" w:rsidP="00CF5050">
      <w:pPr>
        <w:pStyle w:val="NormalBullets-L1"/>
      </w:pPr>
      <w:r w:rsidRPr="00FA2C26">
        <w:t xml:space="preserve">Development </w:t>
      </w:r>
      <w:r w:rsidR="00AC62EC">
        <w:t>p</w:t>
      </w:r>
      <w:r w:rsidRPr="00FA2C26">
        <w:t xml:space="preserve">artner </w:t>
      </w:r>
      <w:r w:rsidR="00AC62EC">
        <w:t>r</w:t>
      </w:r>
      <w:r w:rsidRPr="00FA2C26">
        <w:t>oundtables</w:t>
      </w:r>
      <w:r w:rsidR="00B2181E">
        <w:t>.</w:t>
      </w:r>
      <w:r w:rsidRPr="00FA2C26">
        <w:t xml:space="preserve"> </w:t>
      </w:r>
    </w:p>
    <w:p w14:paraId="2183EE2A" w14:textId="09E17AC4" w:rsidR="00923C9B" w:rsidRPr="00CF5050" w:rsidRDefault="001510EE" w:rsidP="006050E0">
      <w:pPr>
        <w:spacing w:after="0" w:line="240" w:lineRule="auto"/>
        <w:textAlignment w:val="baseline"/>
        <w:rPr>
          <w:lang w:eastAsia="en-AU"/>
        </w:rPr>
      </w:pPr>
      <w:r w:rsidRPr="00CB0B81">
        <w:rPr>
          <w:lang w:eastAsia="en-AU"/>
        </w:rPr>
        <w:t>We will review the DPP in 2025 t</w:t>
      </w:r>
      <w:r w:rsidR="00E54FC7" w:rsidRPr="00CB0B81">
        <w:rPr>
          <w:lang w:eastAsia="en-AU"/>
        </w:rPr>
        <w:t xml:space="preserve">o </w:t>
      </w:r>
      <w:r w:rsidR="00584281" w:rsidRPr="00CB0B81">
        <w:rPr>
          <w:lang w:eastAsia="en-AU"/>
        </w:rPr>
        <w:t>assess</w:t>
      </w:r>
      <w:r w:rsidR="0037666C" w:rsidRPr="00CB0B81">
        <w:rPr>
          <w:lang w:eastAsia="en-AU"/>
        </w:rPr>
        <w:t xml:space="preserve"> its</w:t>
      </w:r>
      <w:r w:rsidR="00E54FC7" w:rsidRPr="00CB0B81">
        <w:rPr>
          <w:lang w:eastAsia="en-AU"/>
        </w:rPr>
        <w:t xml:space="preserve"> alignment with </w:t>
      </w:r>
      <w:r w:rsidR="00C06B7A" w:rsidRPr="00CB0B81">
        <w:rPr>
          <w:lang w:eastAsia="en-AU"/>
        </w:rPr>
        <w:t xml:space="preserve">incoming </w:t>
      </w:r>
      <w:r w:rsidR="00E54FC7" w:rsidRPr="00CB0B81">
        <w:rPr>
          <w:lang w:eastAsia="en-AU"/>
        </w:rPr>
        <w:t>Government of Indonesia priorities</w:t>
      </w:r>
      <w:r w:rsidR="00C06B7A" w:rsidRPr="00CB0B81">
        <w:rPr>
          <w:lang w:eastAsia="en-AU"/>
        </w:rPr>
        <w:t xml:space="preserve">. We will also conduct a mid-cycle review of progress against DPP </w:t>
      </w:r>
      <w:r w:rsidR="0016536E" w:rsidRPr="00CB0B81">
        <w:rPr>
          <w:lang w:eastAsia="en-AU"/>
        </w:rPr>
        <w:t>objectives</w:t>
      </w:r>
      <w:r w:rsidR="00C06B7A" w:rsidRPr="00CB0B81">
        <w:rPr>
          <w:lang w:eastAsia="en-AU"/>
        </w:rPr>
        <w:t xml:space="preserve"> in 2026</w:t>
      </w:r>
      <w:r w:rsidR="00F51F1A" w:rsidRPr="00CB0B81">
        <w:rPr>
          <w:lang w:eastAsia="en-AU"/>
        </w:rPr>
        <w:t xml:space="preserve"> to respond to Australia’s International Development Policy.</w:t>
      </w:r>
    </w:p>
    <w:bookmarkEnd w:id="2"/>
    <w:p w14:paraId="2C2D5E82" w14:textId="77777777" w:rsidR="00737E87" w:rsidRPr="00CF5050" w:rsidRDefault="00737E87" w:rsidP="00773333">
      <w:pPr>
        <w:pStyle w:val="H3-Heading3"/>
      </w:pPr>
      <w:r w:rsidRPr="00CF5050">
        <w:t>Evaluation and learning</w:t>
      </w:r>
    </w:p>
    <w:p w14:paraId="52A56045" w14:textId="3A0E2689" w:rsidR="00737E87" w:rsidRPr="00FA2C26" w:rsidRDefault="00737E87" w:rsidP="00B0207B">
      <w:pPr>
        <w:rPr>
          <w:lang w:eastAsia="en-AU"/>
        </w:rPr>
      </w:pPr>
      <w:r w:rsidRPr="00FA2C26">
        <w:rPr>
          <w:lang w:eastAsia="en-AU"/>
        </w:rPr>
        <w:t xml:space="preserve">Consultation, evaluation and learning mechanisms will be used to drive genuine partnership and engagement. Results of evaluations and reviews of investments conducted by </w:t>
      </w:r>
      <w:r w:rsidR="00B0207B">
        <w:rPr>
          <w:lang w:eastAsia="en-AU"/>
        </w:rPr>
        <w:t xml:space="preserve">the Australian Government Department of Foreign Affairs and Trade </w:t>
      </w:r>
      <w:r w:rsidRPr="00FA2C26">
        <w:rPr>
          <w:lang w:eastAsia="en-AU"/>
        </w:rPr>
        <w:t>(see Table 2) will be shared with program stakeholders, including Government of Indonesia counterparts. Where feasible, we will conduct joint monitoring visits to program sites to ensure shared learning and informed decision</w:t>
      </w:r>
      <w:r w:rsidR="00B0207B">
        <w:rPr>
          <w:lang w:eastAsia="en-AU"/>
        </w:rPr>
        <w:t>-</w:t>
      </w:r>
      <w:r w:rsidRPr="00FA2C26">
        <w:rPr>
          <w:lang w:eastAsia="en-AU"/>
        </w:rPr>
        <w:t>making, and we will share research and study products through seminars and learning events. We will collaborate on designs of new investments. We will conduct annual reviews of investments to continue learning throughout the program cycle, and robust independent reviews of major investments in their final year to ensure we learn from previous experiences.</w:t>
      </w:r>
    </w:p>
    <w:p w14:paraId="0F774F1F" w14:textId="604A8689" w:rsidR="00737E87" w:rsidRPr="00FA2C26" w:rsidRDefault="00737E87" w:rsidP="00B1623D">
      <w:pPr>
        <w:pStyle w:val="Tabletitle"/>
      </w:pPr>
      <w:bookmarkStart w:id="3" w:name="_Hlk172565913"/>
      <w:r w:rsidRPr="00FA2C26">
        <w:t xml:space="preserve">Table 2: </w:t>
      </w:r>
      <w:r w:rsidRPr="00B1623D">
        <w:t>Consultation</w:t>
      </w:r>
      <w:r w:rsidRPr="00FA2C26">
        <w:t xml:space="preserve">, </w:t>
      </w:r>
      <w:r w:rsidR="00B0207B">
        <w:t>e</w:t>
      </w:r>
      <w:r w:rsidRPr="00FA2C26">
        <w:t xml:space="preserve">valuation and </w:t>
      </w:r>
      <w:r w:rsidR="00B0207B">
        <w:t>l</w:t>
      </w:r>
      <w:r w:rsidRPr="00FA2C26">
        <w:t xml:space="preserve">earning </w:t>
      </w:r>
      <w:proofErr w:type="gramStart"/>
      <w:r w:rsidR="00B0207B">
        <w:t>p</w:t>
      </w:r>
      <w:r w:rsidRPr="00FA2C26">
        <w:t>lan</w:t>
      </w:r>
      <w:proofErr w:type="gramEnd"/>
      <w:r w:rsidRPr="00FA2C26">
        <w:t xml:space="preserve"> </w:t>
      </w:r>
    </w:p>
    <w:tbl>
      <w:tblPr>
        <w:tblStyle w:val="GridTable2-Accent1"/>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sultation, evaluation and learning plan"/>
        <w:tblDescription w:val="The DPP consultation, evaluation and learning plan includes mechanisms to drive genuine partnership and engagement. "/>
      </w:tblPr>
      <w:tblGrid>
        <w:gridCol w:w="2274"/>
        <w:gridCol w:w="2642"/>
        <w:gridCol w:w="2642"/>
        <w:gridCol w:w="2642"/>
      </w:tblGrid>
      <w:tr w:rsidR="006A7D7A" w:rsidRPr="00FA3A8C" w14:paraId="7A745DDD" w14:textId="77777777" w:rsidTr="00CF5050">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000" w:firstRow="0" w:lastRow="0" w:firstColumn="1" w:lastColumn="0" w:oddVBand="0" w:evenVBand="0" w:oddHBand="0" w:evenHBand="0" w:firstRowFirstColumn="0" w:firstRowLastColumn="0" w:lastRowFirstColumn="0" w:lastRowLastColumn="0"/>
            <w:tcW w:w="1115" w:type="pct"/>
            <w:tcBorders>
              <w:top w:val="none" w:sz="0" w:space="0" w:color="auto"/>
              <w:bottom w:val="none" w:sz="0" w:space="0" w:color="auto"/>
              <w:right w:val="none" w:sz="0" w:space="0" w:color="auto"/>
            </w:tcBorders>
            <w:shd w:val="clear" w:color="auto" w:fill="3A586E" w:themeFill="accent1"/>
          </w:tcPr>
          <w:p w14:paraId="6F231D31" w14:textId="77777777" w:rsidR="00737E87" w:rsidRPr="00CF5050" w:rsidRDefault="00737E87" w:rsidP="00CB3CFC">
            <w:pPr>
              <w:pStyle w:val="TableHeading"/>
              <w:rPr>
                <w:rFonts w:cstheme="majorHAnsi"/>
              </w:rPr>
            </w:pPr>
            <w:r w:rsidRPr="00FA3A8C">
              <w:rPr>
                <w:rFonts w:cstheme="majorHAnsi"/>
              </w:rPr>
              <w:t>Objective</w:t>
            </w:r>
          </w:p>
        </w:tc>
        <w:tc>
          <w:tcPr>
            <w:tcW w:w="1295" w:type="pct"/>
            <w:tcBorders>
              <w:top w:val="none" w:sz="0" w:space="0" w:color="auto"/>
              <w:left w:val="none" w:sz="0" w:space="0" w:color="auto"/>
              <w:bottom w:val="none" w:sz="0" w:space="0" w:color="auto"/>
              <w:right w:val="none" w:sz="0" w:space="0" w:color="auto"/>
            </w:tcBorders>
            <w:shd w:val="clear" w:color="auto" w:fill="3A586E" w:themeFill="accent1"/>
          </w:tcPr>
          <w:p w14:paraId="3123E533" w14:textId="26181AB3" w:rsidR="00737E87" w:rsidRPr="00CF5050" w:rsidRDefault="00737E87" w:rsidP="00CB3CFC">
            <w:pPr>
              <w:pStyle w:val="TableHeading"/>
              <w:cnfStyle w:val="100000000000" w:firstRow="1" w:lastRow="0" w:firstColumn="0" w:lastColumn="0" w:oddVBand="0" w:evenVBand="0" w:oddHBand="0" w:evenHBand="0" w:firstRowFirstColumn="0" w:firstRowLastColumn="0" w:lastRowFirstColumn="0" w:lastRowLastColumn="0"/>
              <w:rPr>
                <w:rFonts w:cstheme="majorHAnsi"/>
              </w:rPr>
            </w:pPr>
            <w:r w:rsidRPr="00FA3A8C">
              <w:rPr>
                <w:rFonts w:cstheme="majorHAnsi"/>
              </w:rPr>
              <w:t>2024</w:t>
            </w:r>
            <w:r w:rsidR="00B0207B" w:rsidRPr="00FA3A8C">
              <w:rPr>
                <w:rFonts w:cstheme="majorHAnsi"/>
              </w:rPr>
              <w:t>–</w:t>
            </w:r>
            <w:r w:rsidRPr="00FA3A8C">
              <w:rPr>
                <w:rFonts w:cstheme="majorHAnsi"/>
              </w:rPr>
              <w:t>25</w:t>
            </w:r>
          </w:p>
        </w:tc>
        <w:tc>
          <w:tcPr>
            <w:tcW w:w="1295" w:type="pct"/>
            <w:tcBorders>
              <w:top w:val="none" w:sz="0" w:space="0" w:color="auto"/>
              <w:left w:val="none" w:sz="0" w:space="0" w:color="auto"/>
              <w:bottom w:val="none" w:sz="0" w:space="0" w:color="auto"/>
              <w:right w:val="none" w:sz="0" w:space="0" w:color="auto"/>
            </w:tcBorders>
            <w:shd w:val="clear" w:color="auto" w:fill="3A586E" w:themeFill="accent1"/>
          </w:tcPr>
          <w:p w14:paraId="491CADDE" w14:textId="05C51235" w:rsidR="00737E87" w:rsidRPr="00CF5050" w:rsidRDefault="00737E87" w:rsidP="00CB3CFC">
            <w:pPr>
              <w:pStyle w:val="TableHeading"/>
              <w:cnfStyle w:val="100000000000" w:firstRow="1" w:lastRow="0" w:firstColumn="0" w:lastColumn="0" w:oddVBand="0" w:evenVBand="0" w:oddHBand="0" w:evenHBand="0" w:firstRowFirstColumn="0" w:firstRowLastColumn="0" w:lastRowFirstColumn="0" w:lastRowLastColumn="0"/>
              <w:rPr>
                <w:rFonts w:cstheme="majorHAnsi"/>
              </w:rPr>
            </w:pPr>
            <w:r w:rsidRPr="00FA3A8C">
              <w:rPr>
                <w:rFonts w:cstheme="majorHAnsi"/>
              </w:rPr>
              <w:t>2025</w:t>
            </w:r>
            <w:r w:rsidR="00B0207B" w:rsidRPr="00FA3A8C">
              <w:rPr>
                <w:rFonts w:cstheme="majorHAnsi"/>
              </w:rPr>
              <w:t>–</w:t>
            </w:r>
            <w:r w:rsidRPr="00FA3A8C">
              <w:rPr>
                <w:rFonts w:cstheme="majorHAnsi"/>
              </w:rPr>
              <w:t>26</w:t>
            </w:r>
          </w:p>
        </w:tc>
        <w:tc>
          <w:tcPr>
            <w:tcW w:w="1295" w:type="pct"/>
            <w:tcBorders>
              <w:top w:val="none" w:sz="0" w:space="0" w:color="auto"/>
              <w:left w:val="none" w:sz="0" w:space="0" w:color="auto"/>
              <w:bottom w:val="none" w:sz="0" w:space="0" w:color="auto"/>
            </w:tcBorders>
            <w:shd w:val="clear" w:color="auto" w:fill="3A586E" w:themeFill="accent1"/>
          </w:tcPr>
          <w:p w14:paraId="6C46FD68" w14:textId="7458322C" w:rsidR="00737E87" w:rsidRPr="00CF5050" w:rsidRDefault="00737E87" w:rsidP="00CB3CFC">
            <w:pPr>
              <w:pStyle w:val="TableHeading"/>
              <w:cnfStyle w:val="100000000000" w:firstRow="1" w:lastRow="0" w:firstColumn="0" w:lastColumn="0" w:oddVBand="0" w:evenVBand="0" w:oddHBand="0" w:evenHBand="0" w:firstRowFirstColumn="0" w:firstRowLastColumn="0" w:lastRowFirstColumn="0" w:lastRowLastColumn="0"/>
              <w:rPr>
                <w:rFonts w:cstheme="majorHAnsi"/>
              </w:rPr>
            </w:pPr>
            <w:r w:rsidRPr="00FA3A8C">
              <w:rPr>
                <w:rFonts w:cstheme="majorHAnsi"/>
              </w:rPr>
              <w:t>2026</w:t>
            </w:r>
            <w:r w:rsidR="00B0207B" w:rsidRPr="00FA3A8C">
              <w:rPr>
                <w:rFonts w:cstheme="majorHAnsi"/>
              </w:rPr>
              <w:t>–</w:t>
            </w:r>
            <w:r w:rsidRPr="00FA3A8C">
              <w:rPr>
                <w:rFonts w:cstheme="majorHAnsi"/>
              </w:rPr>
              <w:t>27</w:t>
            </w:r>
          </w:p>
        </w:tc>
      </w:tr>
      <w:tr w:rsidR="00536500" w:rsidRPr="00FA2C26" w14:paraId="1D1C374E" w14:textId="77777777" w:rsidTr="0053650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115" w:type="pct"/>
            <w:shd w:val="clear" w:color="auto" w:fill="D6E8D2" w:themeFill="accent3" w:themeFillTint="33"/>
          </w:tcPr>
          <w:p w14:paraId="4990166D" w14:textId="77777777" w:rsidR="00767A27" w:rsidRDefault="00955C52" w:rsidP="00D05BB2">
            <w:pPr>
              <w:pStyle w:val="TableBodyCopy"/>
              <w:rPr>
                <w:b w:val="0"/>
                <w:bCs w:val="0"/>
              </w:rPr>
            </w:pPr>
            <w:r>
              <w:t>Objective 1:</w:t>
            </w:r>
          </w:p>
          <w:p w14:paraId="5D41D474" w14:textId="1A955FD1" w:rsidR="00737E87" w:rsidRPr="00FA2C26" w:rsidRDefault="00134F88" w:rsidP="00D05BB2">
            <w:pPr>
              <w:pStyle w:val="TableBodyCopy"/>
            </w:pPr>
            <w:r>
              <w:t>E</w:t>
            </w:r>
            <w:r w:rsidR="00737E87" w:rsidRPr="00FA2C26">
              <w:t xml:space="preserve">quitable and </w:t>
            </w:r>
            <w:r w:rsidR="00D05BB2">
              <w:t>s</w:t>
            </w:r>
            <w:r w:rsidR="00737E87" w:rsidRPr="00FA2C26">
              <w:t xml:space="preserve">ustainable </w:t>
            </w:r>
            <w:r w:rsidR="00D05BB2">
              <w:t>e</w:t>
            </w:r>
            <w:r w:rsidR="00737E87" w:rsidRPr="00FA2C26">
              <w:t xml:space="preserve">conomic </w:t>
            </w:r>
            <w:r w:rsidR="00D05BB2">
              <w:t>t</w:t>
            </w:r>
            <w:r w:rsidR="00737E87" w:rsidRPr="00FA2C26">
              <w:t xml:space="preserve">ransformation </w:t>
            </w:r>
          </w:p>
        </w:tc>
        <w:tc>
          <w:tcPr>
            <w:tcW w:w="1295" w:type="pct"/>
            <w:shd w:val="clear" w:color="auto" w:fill="D6E8D2" w:themeFill="accent3" w:themeFillTint="33"/>
          </w:tcPr>
          <w:p w14:paraId="12081FFA" w14:textId="76C8AC28" w:rsidR="00737E87" w:rsidRPr="00CF5050" w:rsidRDefault="00737E87" w:rsidP="00CF5050">
            <w:pPr>
              <w:pStyle w:val="TableBodyCopy"/>
              <w:cnfStyle w:val="000000100000" w:firstRow="0" w:lastRow="0" w:firstColumn="0" w:lastColumn="0" w:oddVBand="0" w:evenVBand="0" w:oddHBand="1" w:evenHBand="0" w:firstRowFirstColumn="0" w:firstRowLastColumn="0" w:lastRowFirstColumn="0" w:lastRowLastColumn="0"/>
            </w:pPr>
            <w:r w:rsidRPr="00CF5050">
              <w:t xml:space="preserve">Mid-term </w:t>
            </w:r>
            <w:r w:rsidR="00FA3A8C">
              <w:t>r</w:t>
            </w:r>
            <w:r w:rsidRPr="00CF5050">
              <w:t xml:space="preserve">eview of </w:t>
            </w:r>
            <w:r w:rsidR="00FA3A8C" w:rsidRPr="00FA2C26">
              <w:rPr>
                <w:rFonts w:asciiTheme="majorHAnsi" w:hAnsiTheme="majorHAnsi" w:cstheme="majorHAnsi"/>
              </w:rPr>
              <w:t>Indonesia</w:t>
            </w:r>
            <w:r w:rsidR="007C65FD">
              <w:rPr>
                <w:rFonts w:asciiTheme="majorHAnsi" w:hAnsiTheme="majorHAnsi" w:cstheme="majorHAnsi"/>
              </w:rPr>
              <w:t>–</w:t>
            </w:r>
            <w:r w:rsidR="00FA3A8C" w:rsidRPr="00FA2C26">
              <w:rPr>
                <w:rFonts w:asciiTheme="majorHAnsi" w:hAnsiTheme="majorHAnsi" w:cstheme="majorHAnsi"/>
              </w:rPr>
              <w:t>Australia Comprehensive Economic Partnership Agreement (IA-CEPA)</w:t>
            </w:r>
            <w:r w:rsidRPr="00CF5050">
              <w:t xml:space="preserve"> Economic Cooperation Program </w:t>
            </w:r>
          </w:p>
          <w:p w14:paraId="5CBF6953" w14:textId="77777777" w:rsidR="00737E87" w:rsidRPr="00CF5050" w:rsidRDefault="00737E87" w:rsidP="00CF5050">
            <w:pPr>
              <w:pStyle w:val="TableBodyCopy"/>
              <w:cnfStyle w:val="000000100000" w:firstRow="0" w:lastRow="0" w:firstColumn="0" w:lastColumn="0" w:oddVBand="0" w:evenVBand="0" w:oddHBand="1" w:evenHBand="0" w:firstRowFirstColumn="0" w:firstRowLastColumn="0" w:lastRowFirstColumn="0" w:lastRowLastColumn="0"/>
            </w:pPr>
            <w:r w:rsidRPr="00CF5050">
              <w:t xml:space="preserve">Independent Completion Review – Red Meat and Cattle Partnership </w:t>
            </w:r>
          </w:p>
          <w:p w14:paraId="36387523" w14:textId="0B81617C" w:rsidR="00737E87" w:rsidRPr="00CF5050" w:rsidRDefault="00737E87" w:rsidP="00CF5050">
            <w:pPr>
              <w:pStyle w:val="TableBodyCopy"/>
              <w:cnfStyle w:val="000000100000" w:firstRow="0" w:lastRow="0" w:firstColumn="0" w:lastColumn="0" w:oddVBand="0" w:evenVBand="0" w:oddHBand="1" w:evenHBand="0" w:firstRowFirstColumn="0" w:firstRowLastColumn="0" w:lastRowFirstColumn="0" w:lastRowLastColumn="0"/>
            </w:pPr>
            <w:r w:rsidRPr="00CF5050">
              <w:lastRenderedPageBreak/>
              <w:t>Independent Evaluation –School Partnerships Program in Indonesia</w:t>
            </w:r>
          </w:p>
          <w:p w14:paraId="2EF28D58" w14:textId="7D859BB3" w:rsidR="00737E87" w:rsidRPr="00CF5050" w:rsidRDefault="00737E87" w:rsidP="00CF5050">
            <w:pPr>
              <w:pStyle w:val="TableBodyCopy"/>
              <w:cnfStyle w:val="000000100000" w:firstRow="0" w:lastRow="0" w:firstColumn="0" w:lastColumn="0" w:oddVBand="0" w:evenVBand="0" w:oddHBand="1" w:evenHBand="0" w:firstRowFirstColumn="0" w:firstRowLastColumn="0" w:lastRowFirstColumn="0" w:lastRowLastColumn="0"/>
            </w:pPr>
            <w:r w:rsidRPr="00CF5050">
              <w:t xml:space="preserve">Mid-term </w:t>
            </w:r>
            <w:r w:rsidR="00344818">
              <w:t>r</w:t>
            </w:r>
            <w:r w:rsidRPr="00CF5050">
              <w:t xml:space="preserve">eview of Australia Awards Indonesia </w:t>
            </w:r>
          </w:p>
          <w:p w14:paraId="2A252357" w14:textId="35A2C0DF" w:rsidR="00737E87" w:rsidRPr="00CF5050" w:rsidRDefault="00737E87" w:rsidP="00CF5050">
            <w:pPr>
              <w:pStyle w:val="TableBodyCopy"/>
              <w:cnfStyle w:val="000000100000" w:firstRow="0" w:lastRow="0" w:firstColumn="0" w:lastColumn="0" w:oddVBand="0" w:evenVBand="0" w:oddHBand="1" w:evenHBand="0" w:firstRowFirstColumn="0" w:firstRowLastColumn="0" w:lastRowFirstColumn="0" w:lastRowLastColumn="0"/>
            </w:pPr>
            <w:r w:rsidRPr="00CF5050">
              <w:t xml:space="preserve">Independent </w:t>
            </w:r>
            <w:r w:rsidR="00344818">
              <w:t>r</w:t>
            </w:r>
            <w:r w:rsidRPr="00CF5050">
              <w:t xml:space="preserve">eview of </w:t>
            </w:r>
            <w:r w:rsidR="00344818" w:rsidRPr="00CF5050">
              <w:t>Australia</w:t>
            </w:r>
            <w:r w:rsidR="00344818">
              <w:t>–</w:t>
            </w:r>
            <w:r w:rsidRPr="00CF5050">
              <w:t xml:space="preserve">Indonesia Partnership for Economic Development </w:t>
            </w:r>
          </w:p>
          <w:p w14:paraId="6DC9872F" w14:textId="5D551419" w:rsidR="00737E87" w:rsidRPr="00CF5050" w:rsidRDefault="00737E87" w:rsidP="00CF5050">
            <w:pPr>
              <w:pStyle w:val="TableBodyCopy"/>
              <w:cnfStyle w:val="000000100000" w:firstRow="0" w:lastRow="0" w:firstColumn="0" w:lastColumn="0" w:oddVBand="0" w:evenVBand="0" w:oddHBand="1" w:evenHBand="0" w:firstRowFirstColumn="0" w:firstRowLastColumn="0" w:lastRowFirstColumn="0" w:lastRowLastColumn="0"/>
            </w:pPr>
            <w:r w:rsidRPr="00CF5050">
              <w:t xml:space="preserve">Final </w:t>
            </w:r>
            <w:r w:rsidR="00344818">
              <w:t>i</w:t>
            </w:r>
            <w:r w:rsidRPr="00CF5050">
              <w:t xml:space="preserve">ndependent </w:t>
            </w:r>
            <w:r w:rsidR="00344818">
              <w:t>r</w:t>
            </w:r>
            <w:r w:rsidRPr="00CF5050">
              <w:t>eview of Performance-Based Grant</w:t>
            </w:r>
            <w:r w:rsidR="00166D6F">
              <w:t>s</w:t>
            </w:r>
            <w:r w:rsidRPr="00CF5050">
              <w:t xml:space="preserve"> </w:t>
            </w:r>
          </w:p>
          <w:p w14:paraId="67541A52" w14:textId="6E37CEC9" w:rsidR="00737E87" w:rsidRPr="00CF5050" w:rsidRDefault="00737E87" w:rsidP="00CF5050">
            <w:pPr>
              <w:pStyle w:val="TableBodyCopy"/>
              <w:cnfStyle w:val="000000100000" w:firstRow="0" w:lastRow="0" w:firstColumn="0" w:lastColumn="0" w:oddVBand="0" w:evenVBand="0" w:oddHBand="1" w:evenHBand="0" w:firstRowFirstColumn="0" w:firstRowLastColumn="0" w:lastRowFirstColumn="0" w:lastRowLastColumn="0"/>
            </w:pPr>
            <w:r w:rsidRPr="00CF5050">
              <w:t xml:space="preserve">Mid-term </w:t>
            </w:r>
            <w:r w:rsidR="00166D6F">
              <w:t>r</w:t>
            </w:r>
            <w:r w:rsidRPr="00CF5050">
              <w:t xml:space="preserve">eview of </w:t>
            </w:r>
            <w:r w:rsidR="00166D6F" w:rsidRPr="00CF5050">
              <w:t>Australia</w:t>
            </w:r>
            <w:r w:rsidR="00166D6F">
              <w:t>–</w:t>
            </w:r>
            <w:r w:rsidRPr="00CF5050">
              <w:t xml:space="preserve">Indonesia Partnership Towards an Inclusive Society </w:t>
            </w:r>
          </w:p>
          <w:p w14:paraId="2082AC8F" w14:textId="4ED60250" w:rsidR="00737E87" w:rsidRPr="00CF5050" w:rsidRDefault="00737E87" w:rsidP="00CF5050">
            <w:pPr>
              <w:pStyle w:val="TableBodyCopy"/>
              <w:cnfStyle w:val="000000100000" w:firstRow="0" w:lastRow="0" w:firstColumn="0" w:lastColumn="0" w:oddVBand="0" w:evenVBand="0" w:oddHBand="1" w:evenHBand="0" w:firstRowFirstColumn="0" w:firstRowLastColumn="0" w:lastRowFirstColumn="0" w:lastRowLastColumn="0"/>
            </w:pPr>
            <w:r w:rsidRPr="00CF5050">
              <w:t xml:space="preserve">Research on </w:t>
            </w:r>
            <w:r w:rsidR="00166D6F">
              <w:t xml:space="preserve">artificial intelligence (AI) </w:t>
            </w:r>
            <w:r w:rsidRPr="00CF5050">
              <w:t xml:space="preserve">utilisation in improving planning and budgeting – Synergies and Collaboration for </w:t>
            </w:r>
            <w:r w:rsidR="00A9514C">
              <w:t xml:space="preserve">Basic </w:t>
            </w:r>
            <w:r w:rsidRPr="00CF5050">
              <w:t>Service Delivery Acceleration</w:t>
            </w:r>
            <w:r w:rsidR="0036440B">
              <w:t xml:space="preserve"> </w:t>
            </w:r>
            <w:r w:rsidRPr="00CF5050">
              <w:t xml:space="preserve"> </w:t>
            </w:r>
          </w:p>
          <w:p w14:paraId="41805902" w14:textId="1509FE98" w:rsidR="00737E87" w:rsidRPr="00D05BB2" w:rsidRDefault="00737E87" w:rsidP="00D05BB2">
            <w:pPr>
              <w:pStyle w:val="TableBodyCopy"/>
              <w:cnfStyle w:val="000000100000" w:firstRow="0" w:lastRow="0" w:firstColumn="0" w:lastColumn="0" w:oddVBand="0" w:evenVBand="0" w:oddHBand="1" w:evenHBand="0" w:firstRowFirstColumn="0" w:firstRowLastColumn="0" w:lastRowFirstColumn="0" w:lastRowLastColumn="0"/>
            </w:pPr>
            <w:r w:rsidRPr="00CF5050">
              <w:t xml:space="preserve">Independent </w:t>
            </w:r>
            <w:r w:rsidR="00166D6F">
              <w:t>s</w:t>
            </w:r>
            <w:r w:rsidRPr="00CF5050">
              <w:t xml:space="preserve">trategic </w:t>
            </w:r>
            <w:r w:rsidR="00166D6F">
              <w:t>r</w:t>
            </w:r>
            <w:r w:rsidRPr="00CF5050">
              <w:t xml:space="preserve">eview of </w:t>
            </w:r>
            <w:r w:rsidR="00ED6813">
              <w:t>Poverty A</w:t>
            </w:r>
            <w:r w:rsidR="000D79A8">
              <w:t>lleviation and Comprehensive, Inclusive and Adaptive Social Protection pr</w:t>
            </w:r>
            <w:r w:rsidR="006E1F60">
              <w:t>o</w:t>
            </w:r>
            <w:r w:rsidR="000D79A8">
              <w:t>gram</w:t>
            </w:r>
          </w:p>
        </w:tc>
        <w:tc>
          <w:tcPr>
            <w:tcW w:w="1295" w:type="pct"/>
            <w:shd w:val="clear" w:color="auto" w:fill="D6E8D2"/>
          </w:tcPr>
          <w:p w14:paraId="62369AC5" w14:textId="23FA7068" w:rsidR="00737E87" w:rsidRPr="00CF5050" w:rsidRDefault="00737E87" w:rsidP="00CF5050">
            <w:pPr>
              <w:pStyle w:val="TableBodyCopy"/>
              <w:cnfStyle w:val="000000100000" w:firstRow="0" w:lastRow="0" w:firstColumn="0" w:lastColumn="0" w:oddVBand="0" w:evenVBand="0" w:oddHBand="1" w:evenHBand="0" w:firstRowFirstColumn="0" w:firstRowLastColumn="0" w:lastRowFirstColumn="0" w:lastRowLastColumn="0"/>
            </w:pPr>
            <w:r w:rsidRPr="00CF5050">
              <w:lastRenderedPageBreak/>
              <w:t xml:space="preserve">Independent Evaluation of Synergies and Collaboration for Service Delivery Acceleration </w:t>
            </w:r>
          </w:p>
          <w:p w14:paraId="63DC6542" w14:textId="25C3F8F6" w:rsidR="00737E87" w:rsidRPr="00CF5050" w:rsidRDefault="00737E87" w:rsidP="00CF5050">
            <w:pPr>
              <w:pStyle w:val="TableBodyCopy"/>
              <w:cnfStyle w:val="000000100000" w:firstRow="0" w:lastRow="0" w:firstColumn="0" w:lastColumn="0" w:oddVBand="0" w:evenVBand="0" w:oddHBand="1" w:evenHBand="0" w:firstRowFirstColumn="0" w:firstRowLastColumn="0" w:lastRowFirstColumn="0" w:lastRowLastColumn="0"/>
            </w:pPr>
            <w:r w:rsidRPr="00CF5050">
              <w:t xml:space="preserve">Impact </w:t>
            </w:r>
            <w:r w:rsidR="00EB2382">
              <w:t>e</w:t>
            </w:r>
            <w:r w:rsidRPr="00CF5050">
              <w:t xml:space="preserve">valuation of </w:t>
            </w:r>
            <w:r w:rsidR="00EB2382" w:rsidRPr="00CF5050">
              <w:t>Australia</w:t>
            </w:r>
            <w:r w:rsidR="00EB2382">
              <w:t>–</w:t>
            </w:r>
            <w:r w:rsidRPr="00CF5050">
              <w:t xml:space="preserve">Indonesia Partnership Towards an Inclusive Society </w:t>
            </w:r>
          </w:p>
          <w:p w14:paraId="1925922F" w14:textId="6D43C235" w:rsidR="00737E87" w:rsidRPr="00CF5050" w:rsidRDefault="009769C2" w:rsidP="00CF5050">
            <w:pPr>
              <w:pStyle w:val="TableBodyCopy"/>
              <w:keepNext/>
              <w:cnfStyle w:val="000000100000" w:firstRow="0" w:lastRow="0" w:firstColumn="0" w:lastColumn="0" w:oddVBand="0" w:evenVBand="0" w:oddHBand="1" w:evenHBand="0" w:firstRowFirstColumn="0" w:firstRowLastColumn="0" w:lastRowFirstColumn="0" w:lastRowLastColumn="0"/>
            </w:pPr>
            <w:r>
              <w:lastRenderedPageBreak/>
              <w:t xml:space="preserve">For the </w:t>
            </w:r>
            <w:r w:rsidR="00737E87" w:rsidRPr="00CF5050">
              <w:t>Australia Awards Indonesia:</w:t>
            </w:r>
          </w:p>
          <w:p w14:paraId="5165DC8E" w14:textId="7E156643" w:rsidR="00737E87" w:rsidRPr="00CF5050" w:rsidRDefault="00B25DDC" w:rsidP="00CF5050">
            <w:pPr>
              <w:pStyle w:val="Tablebullet"/>
              <w:cnfStyle w:val="000000100000" w:firstRow="0" w:lastRow="0" w:firstColumn="0" w:lastColumn="0" w:oddVBand="0" w:evenVBand="0" w:oddHBand="1" w:evenHBand="0" w:firstRowFirstColumn="0" w:firstRowLastColumn="0" w:lastRowFirstColumn="0" w:lastRowLastColumn="0"/>
            </w:pPr>
            <w:r>
              <w:t>a s</w:t>
            </w:r>
            <w:r w:rsidR="00737E87" w:rsidRPr="00CF5050">
              <w:t xml:space="preserve">tudy on </w:t>
            </w:r>
            <w:r w:rsidR="00470FB5">
              <w:t>how to link</w:t>
            </w:r>
            <w:r w:rsidR="00470FB5" w:rsidRPr="00CF5050">
              <w:t xml:space="preserve"> </w:t>
            </w:r>
            <w:r w:rsidR="00737E87" w:rsidRPr="00CF5050">
              <w:t xml:space="preserve">program </w:t>
            </w:r>
            <w:r w:rsidR="00470FB5">
              <w:t xml:space="preserve">objectives </w:t>
            </w:r>
            <w:r w:rsidR="00737E87" w:rsidRPr="00CF5050">
              <w:t xml:space="preserve">to </w:t>
            </w:r>
            <w:r>
              <w:t xml:space="preserve">Government of Indonesia </w:t>
            </w:r>
            <w:r w:rsidR="00737E87" w:rsidRPr="00CF5050">
              <w:t xml:space="preserve">policies in </w:t>
            </w:r>
            <w:r w:rsidR="000E702C">
              <w:t xml:space="preserve">the </w:t>
            </w:r>
            <w:r w:rsidR="00737E87" w:rsidRPr="00CF5050">
              <w:t>National Medium-Term Development Plan 2025</w:t>
            </w:r>
            <w:r w:rsidR="000E702C">
              <w:t>–</w:t>
            </w:r>
            <w:r w:rsidR="00737E87" w:rsidRPr="00CF5050">
              <w:t>29</w:t>
            </w:r>
            <w:r w:rsidR="00980962">
              <w:t xml:space="preserve"> (forthcoming)</w:t>
            </w:r>
          </w:p>
          <w:p w14:paraId="4BCB185D" w14:textId="160120CA" w:rsidR="00737E87" w:rsidRDefault="000E702C">
            <w:pPr>
              <w:pStyle w:val="Tablebullet"/>
              <w:cnfStyle w:val="000000100000" w:firstRow="0" w:lastRow="0" w:firstColumn="0" w:lastColumn="0" w:oddVBand="0" w:evenVBand="0" w:oddHBand="1" w:evenHBand="0" w:firstRowFirstColumn="0" w:firstRowLastColumn="0" w:lastRowFirstColumn="0" w:lastRowLastColumn="0"/>
            </w:pPr>
            <w:r>
              <w:t>a s</w:t>
            </w:r>
            <w:r w:rsidR="00737E87" w:rsidRPr="00CF5050">
              <w:t xml:space="preserve">tudy on lessons in strengthening </w:t>
            </w:r>
            <w:proofErr w:type="gramStart"/>
            <w:r w:rsidR="00737E87" w:rsidRPr="00CF5050">
              <w:t>networks</w:t>
            </w:r>
            <w:proofErr w:type="gramEnd"/>
          </w:p>
          <w:p w14:paraId="73E366A8" w14:textId="2E9AF042" w:rsidR="00737E87" w:rsidRPr="00D05BB2" w:rsidRDefault="005B0DC3" w:rsidP="00CF5050">
            <w:pPr>
              <w:pStyle w:val="Tablebullet"/>
              <w:cnfStyle w:val="000000100000" w:firstRow="0" w:lastRow="0" w:firstColumn="0" w:lastColumn="0" w:oddVBand="0" w:evenVBand="0" w:oddHBand="1" w:evenHBand="0" w:firstRowFirstColumn="0" w:firstRowLastColumn="0" w:lastRowFirstColumn="0" w:lastRowLastColumn="0"/>
            </w:pPr>
            <w:r>
              <w:t xml:space="preserve">a study on progress </w:t>
            </w:r>
            <w:r w:rsidR="00051B31">
              <w:t xml:space="preserve">in </w:t>
            </w:r>
            <w:r w:rsidR="00051B31" w:rsidRPr="00262C0F">
              <w:t>achieving</w:t>
            </w:r>
            <w:r w:rsidR="00051B31">
              <w:t xml:space="preserve"> program outcomes</w:t>
            </w:r>
          </w:p>
        </w:tc>
        <w:tc>
          <w:tcPr>
            <w:tcW w:w="1295" w:type="pct"/>
            <w:shd w:val="clear" w:color="auto" w:fill="D6E8D2" w:themeFill="accent3" w:themeFillTint="33"/>
          </w:tcPr>
          <w:p w14:paraId="6ADB791F" w14:textId="5A0BE25C" w:rsidR="00737E87" w:rsidRPr="00CF5050" w:rsidRDefault="00737E87" w:rsidP="00CF5050">
            <w:pPr>
              <w:pStyle w:val="TableBodyCopy"/>
              <w:cnfStyle w:val="000000100000" w:firstRow="0" w:lastRow="0" w:firstColumn="0" w:lastColumn="0" w:oddVBand="0" w:evenVBand="0" w:oddHBand="1" w:evenHBand="0" w:firstRowFirstColumn="0" w:firstRowLastColumn="0" w:lastRowFirstColumn="0" w:lastRowLastColumn="0"/>
            </w:pPr>
            <w:r w:rsidRPr="00CF5050">
              <w:lastRenderedPageBreak/>
              <w:t xml:space="preserve">Independent </w:t>
            </w:r>
            <w:r w:rsidR="000E702C">
              <w:t>e</w:t>
            </w:r>
            <w:r w:rsidRPr="00CF5050">
              <w:t>valuation of World Bank Health Transformation Multi</w:t>
            </w:r>
            <w:r w:rsidR="001843EE">
              <w:t>-</w:t>
            </w:r>
            <w:r w:rsidRPr="00CF5050">
              <w:t xml:space="preserve">Donor Trust Fund </w:t>
            </w:r>
          </w:p>
          <w:p w14:paraId="75E63F6D" w14:textId="33F4F00F" w:rsidR="00737E87" w:rsidRPr="00D05BB2" w:rsidRDefault="00737E87" w:rsidP="00536500">
            <w:pPr>
              <w:pStyle w:val="TableBodyCopy"/>
              <w:cnfStyle w:val="000000100000" w:firstRow="0" w:lastRow="0" w:firstColumn="0" w:lastColumn="0" w:oddVBand="0" w:evenVBand="0" w:oddHBand="1" w:evenHBand="0" w:firstRowFirstColumn="0" w:firstRowLastColumn="0" w:lastRowFirstColumn="0" w:lastRowLastColumn="0"/>
            </w:pPr>
            <w:r w:rsidRPr="00CF5050">
              <w:t>Independent</w:t>
            </w:r>
            <w:r w:rsidR="001843EE">
              <w:t xml:space="preserve"> e</w:t>
            </w:r>
            <w:r w:rsidRPr="00CF5050">
              <w:t xml:space="preserve">valuation of </w:t>
            </w:r>
            <w:r w:rsidR="001843EE" w:rsidRPr="00CF5050">
              <w:t>Australia</w:t>
            </w:r>
            <w:r w:rsidR="001843EE">
              <w:t>–</w:t>
            </w:r>
            <w:r w:rsidRPr="00CF5050">
              <w:t>Indonesia Partnership for Education Improvement</w:t>
            </w:r>
          </w:p>
        </w:tc>
      </w:tr>
      <w:tr w:rsidR="006A7D7A" w:rsidRPr="00FA2C26" w14:paraId="7B036427" w14:textId="77777777" w:rsidTr="00CF5050">
        <w:trPr>
          <w:trHeight w:val="614"/>
        </w:trPr>
        <w:tc>
          <w:tcPr>
            <w:cnfStyle w:val="001000000000" w:firstRow="0" w:lastRow="0" w:firstColumn="1" w:lastColumn="0" w:oddVBand="0" w:evenVBand="0" w:oddHBand="0" w:evenHBand="0" w:firstRowFirstColumn="0" w:firstRowLastColumn="0" w:lastRowFirstColumn="0" w:lastRowLastColumn="0"/>
            <w:tcW w:w="1115" w:type="pct"/>
            <w:shd w:val="clear" w:color="auto" w:fill="FBEED2" w:themeFill="accent4" w:themeFillTint="33"/>
          </w:tcPr>
          <w:p w14:paraId="1CEDD77E" w14:textId="77777777" w:rsidR="00F84BB5" w:rsidRDefault="00F84BB5" w:rsidP="00D05BB2">
            <w:pPr>
              <w:pStyle w:val="TableBodyCopy"/>
              <w:rPr>
                <w:b w:val="0"/>
                <w:bCs w:val="0"/>
              </w:rPr>
            </w:pPr>
            <w:r>
              <w:t>Objective 2:</w:t>
            </w:r>
          </w:p>
          <w:p w14:paraId="4B6218E3" w14:textId="6D7B6EBC" w:rsidR="00737E87" w:rsidRPr="00FA2C26" w:rsidRDefault="00737E87" w:rsidP="00D05BB2">
            <w:pPr>
              <w:pStyle w:val="TableBodyCopy"/>
            </w:pPr>
            <w:r w:rsidRPr="00FA2C26">
              <w:t>Climate</w:t>
            </w:r>
            <w:r w:rsidR="006E7411">
              <w:t xml:space="preserve"> r</w:t>
            </w:r>
            <w:r w:rsidRPr="00FA2C26">
              <w:t xml:space="preserve">esilient </w:t>
            </w:r>
            <w:r w:rsidR="006E7411">
              <w:t>c</w:t>
            </w:r>
            <w:r w:rsidRPr="00FA2C26">
              <w:t>ommunities</w:t>
            </w:r>
          </w:p>
        </w:tc>
        <w:tc>
          <w:tcPr>
            <w:tcW w:w="1295" w:type="pct"/>
            <w:shd w:val="clear" w:color="auto" w:fill="FBEED2"/>
          </w:tcPr>
          <w:p w14:paraId="0D61A571" w14:textId="33542499" w:rsidR="00737E87" w:rsidRPr="00CF5050" w:rsidRDefault="009304CB" w:rsidP="00D05BB2">
            <w:pPr>
              <w:pStyle w:val="TableBodyCop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F5050">
              <w:rPr>
                <w:rFonts w:asciiTheme="majorHAnsi" w:hAnsiTheme="majorHAnsi" w:cstheme="majorHAnsi"/>
                <w:szCs w:val="20"/>
              </w:rPr>
              <w:t>No formal reviews currently planned</w:t>
            </w:r>
          </w:p>
        </w:tc>
        <w:tc>
          <w:tcPr>
            <w:tcW w:w="1295" w:type="pct"/>
            <w:shd w:val="clear" w:color="auto" w:fill="FBEED2" w:themeFill="accent4" w:themeFillTint="33"/>
          </w:tcPr>
          <w:p w14:paraId="7614A5E2" w14:textId="2EC9D7BC" w:rsidR="00737E87" w:rsidRPr="00D05BB2" w:rsidRDefault="00737E87" w:rsidP="00D05BB2">
            <w:pPr>
              <w:pStyle w:val="TableBodyCopy"/>
              <w:cnfStyle w:val="000000000000" w:firstRow="0" w:lastRow="0" w:firstColumn="0" w:lastColumn="0" w:oddVBand="0" w:evenVBand="0" w:oddHBand="0" w:evenHBand="0" w:firstRowFirstColumn="0" w:firstRowLastColumn="0" w:lastRowFirstColumn="0" w:lastRowLastColumn="0"/>
            </w:pPr>
            <w:r w:rsidRPr="00CF5050">
              <w:t xml:space="preserve">Mid-term </w:t>
            </w:r>
            <w:r w:rsidR="001843EE">
              <w:t>r</w:t>
            </w:r>
            <w:r w:rsidRPr="00CF5050">
              <w:t xml:space="preserve">eview of </w:t>
            </w:r>
            <w:r w:rsidR="001843EE" w:rsidRPr="00CF5050">
              <w:t>Australia</w:t>
            </w:r>
            <w:r w:rsidR="001843EE">
              <w:t>–</w:t>
            </w:r>
            <w:r w:rsidRPr="00CF5050">
              <w:t>Indonesia Climate and Infrastructure Partnership</w:t>
            </w:r>
            <w:r w:rsidR="00354486">
              <w:t xml:space="preserve">, </w:t>
            </w:r>
          </w:p>
        </w:tc>
        <w:tc>
          <w:tcPr>
            <w:tcW w:w="1295" w:type="pct"/>
            <w:shd w:val="clear" w:color="auto" w:fill="FBEED2" w:themeFill="accent4" w:themeFillTint="33"/>
          </w:tcPr>
          <w:p w14:paraId="112CB408" w14:textId="10660E42" w:rsidR="00737E87" w:rsidRPr="00D05BB2" w:rsidRDefault="009304CB" w:rsidP="00CF5050">
            <w:pPr>
              <w:pStyle w:val="TableBodyCopy"/>
              <w:cnfStyle w:val="000000000000" w:firstRow="0" w:lastRow="0" w:firstColumn="0" w:lastColumn="0" w:oddVBand="0" w:evenVBand="0" w:oddHBand="0" w:evenHBand="0" w:firstRowFirstColumn="0" w:firstRowLastColumn="0" w:lastRowFirstColumn="0" w:lastRowLastColumn="0"/>
            </w:pPr>
            <w:r w:rsidRPr="006B6978">
              <w:rPr>
                <w:rFonts w:asciiTheme="majorHAnsi" w:hAnsiTheme="majorHAnsi" w:cstheme="majorHAnsi"/>
                <w:szCs w:val="20"/>
              </w:rPr>
              <w:t>No formal reviews currently planned</w:t>
            </w:r>
          </w:p>
        </w:tc>
      </w:tr>
      <w:tr w:rsidR="006A7D7A" w:rsidRPr="00FA2C26" w14:paraId="662FA377" w14:textId="77777777" w:rsidTr="00CF5050">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115" w:type="pct"/>
            <w:shd w:val="clear" w:color="auto" w:fill="F0DBD4" w:themeFill="accent5" w:themeFillTint="33"/>
          </w:tcPr>
          <w:p w14:paraId="31C7D7FB" w14:textId="77777777" w:rsidR="00F84BB5" w:rsidRDefault="00F84BB5" w:rsidP="00D05BB2">
            <w:pPr>
              <w:pStyle w:val="TableBodyCopy"/>
              <w:rPr>
                <w:b w:val="0"/>
                <w:bCs w:val="0"/>
              </w:rPr>
            </w:pPr>
            <w:r>
              <w:t>Objective 3:</w:t>
            </w:r>
          </w:p>
          <w:p w14:paraId="7110985B" w14:textId="1296704A" w:rsidR="00737E87" w:rsidRPr="00FA2C26" w:rsidRDefault="00737E87" w:rsidP="00D05BB2">
            <w:pPr>
              <w:pStyle w:val="TableBodyCopy"/>
            </w:pPr>
            <w:r w:rsidRPr="00FA2C26">
              <w:t xml:space="preserve">Strong </w:t>
            </w:r>
            <w:r w:rsidR="006E7411">
              <w:t>i</w:t>
            </w:r>
            <w:r w:rsidRPr="00FA2C26">
              <w:t xml:space="preserve">nstitutions </w:t>
            </w:r>
          </w:p>
        </w:tc>
        <w:tc>
          <w:tcPr>
            <w:tcW w:w="1295" w:type="pct"/>
            <w:shd w:val="clear" w:color="auto" w:fill="F0DBD4" w:themeFill="accent5" w:themeFillTint="33"/>
          </w:tcPr>
          <w:p w14:paraId="24B1C502" w14:textId="305E79FC" w:rsidR="00737E87" w:rsidRPr="00D05BB2" w:rsidRDefault="009304CB" w:rsidP="00D05BB2">
            <w:pPr>
              <w:pStyle w:val="TableBodyCopy"/>
              <w:cnfStyle w:val="000000100000" w:firstRow="0" w:lastRow="0" w:firstColumn="0" w:lastColumn="0" w:oddVBand="0" w:evenVBand="0" w:oddHBand="1" w:evenHBand="0" w:firstRowFirstColumn="0" w:firstRowLastColumn="0" w:lastRowFirstColumn="0" w:lastRowLastColumn="0"/>
            </w:pPr>
            <w:r w:rsidRPr="006B6978">
              <w:rPr>
                <w:rFonts w:asciiTheme="majorHAnsi" w:hAnsiTheme="majorHAnsi" w:cstheme="majorHAnsi"/>
                <w:szCs w:val="20"/>
              </w:rPr>
              <w:t>No formal reviews currently planned</w:t>
            </w:r>
          </w:p>
        </w:tc>
        <w:tc>
          <w:tcPr>
            <w:tcW w:w="1295" w:type="pct"/>
            <w:shd w:val="clear" w:color="auto" w:fill="F0DBD4" w:themeFill="accent5" w:themeFillTint="33"/>
          </w:tcPr>
          <w:p w14:paraId="00D207D2" w14:textId="7F9C79A7" w:rsidR="00737E87" w:rsidRPr="00CF5050" w:rsidRDefault="00737E87" w:rsidP="00CF5050">
            <w:pPr>
              <w:pStyle w:val="TableBodyCopy"/>
              <w:cnfStyle w:val="000000100000" w:firstRow="0" w:lastRow="0" w:firstColumn="0" w:lastColumn="0" w:oddVBand="0" w:evenVBand="0" w:oddHBand="1" w:evenHBand="0" w:firstRowFirstColumn="0" w:firstRowLastColumn="0" w:lastRowFirstColumn="0" w:lastRowLastColumn="0"/>
            </w:pPr>
            <w:r w:rsidRPr="00CF5050">
              <w:t xml:space="preserve">Independent </w:t>
            </w:r>
            <w:r w:rsidR="00DD4D56">
              <w:t>e</w:t>
            </w:r>
            <w:r w:rsidRPr="00CF5050">
              <w:t xml:space="preserve">valuation of </w:t>
            </w:r>
            <w:r w:rsidR="00DD4D56" w:rsidRPr="00CF5050">
              <w:t>Australia</w:t>
            </w:r>
            <w:r w:rsidR="00DD4D56">
              <w:t>–</w:t>
            </w:r>
            <w:r w:rsidRPr="00CF5050">
              <w:t xml:space="preserve">Indonesia Knowledge Partnerships Platform </w:t>
            </w:r>
          </w:p>
          <w:p w14:paraId="52DFB192" w14:textId="233A5D84" w:rsidR="00737E87" w:rsidRPr="00D05BB2" w:rsidRDefault="00737E87" w:rsidP="00D05BB2">
            <w:pPr>
              <w:pStyle w:val="TableBodyCopy"/>
              <w:cnfStyle w:val="000000100000" w:firstRow="0" w:lastRow="0" w:firstColumn="0" w:lastColumn="0" w:oddVBand="0" w:evenVBand="0" w:oddHBand="1" w:evenHBand="0" w:firstRowFirstColumn="0" w:firstRowLastColumn="0" w:lastRowFirstColumn="0" w:lastRowLastColumn="0"/>
            </w:pPr>
            <w:r w:rsidRPr="00CF5050">
              <w:t xml:space="preserve">Independent </w:t>
            </w:r>
            <w:r w:rsidR="00DD4D56">
              <w:t>e</w:t>
            </w:r>
            <w:r w:rsidRPr="00CF5050">
              <w:t xml:space="preserve">valuation of the </w:t>
            </w:r>
            <w:r w:rsidR="00DD4D56">
              <w:t>Australian National University (</w:t>
            </w:r>
            <w:r w:rsidRPr="00CF5050">
              <w:t>ANU</w:t>
            </w:r>
            <w:r w:rsidR="00DD4D56">
              <w:t>)</w:t>
            </w:r>
            <w:r w:rsidRPr="00CF5050">
              <w:t xml:space="preserve"> Indonesia Project </w:t>
            </w:r>
          </w:p>
        </w:tc>
        <w:tc>
          <w:tcPr>
            <w:tcW w:w="1295" w:type="pct"/>
            <w:shd w:val="clear" w:color="auto" w:fill="F0DBD4" w:themeFill="accent5" w:themeFillTint="33"/>
          </w:tcPr>
          <w:p w14:paraId="5D4CEBD6" w14:textId="4B7FB2AA" w:rsidR="00737E87" w:rsidRPr="00CF5050" w:rsidRDefault="00737E87" w:rsidP="00CF5050">
            <w:pPr>
              <w:pStyle w:val="TableBodyCopy"/>
              <w:cnfStyle w:val="000000100000" w:firstRow="0" w:lastRow="0" w:firstColumn="0" w:lastColumn="0" w:oddVBand="0" w:evenVBand="0" w:oddHBand="1" w:evenHBand="0" w:firstRowFirstColumn="0" w:firstRowLastColumn="0" w:lastRowFirstColumn="0" w:lastRowLastColumn="0"/>
            </w:pPr>
            <w:r w:rsidRPr="00CF5050">
              <w:t xml:space="preserve">Review of development policy implementation </w:t>
            </w:r>
            <w:r w:rsidR="00DD4D56">
              <w:t>–</w:t>
            </w:r>
            <w:r w:rsidR="00DD4D56" w:rsidRPr="00CF5050">
              <w:t xml:space="preserve"> </w:t>
            </w:r>
            <w:r w:rsidR="00DD4D56">
              <w:t>c</w:t>
            </w:r>
            <w:r w:rsidRPr="00CF5050">
              <w:t xml:space="preserve">limate </w:t>
            </w:r>
            <w:r w:rsidR="00DD4D56">
              <w:t>c</w:t>
            </w:r>
            <w:r w:rsidRPr="00CF5050">
              <w:t xml:space="preserve">hange </w:t>
            </w:r>
          </w:p>
          <w:p w14:paraId="6B005153" w14:textId="1A39FEAC" w:rsidR="00737E87" w:rsidRPr="00CF5050" w:rsidRDefault="00134F88" w:rsidP="00CF5050">
            <w:pPr>
              <w:pStyle w:val="TableBodyCopy"/>
              <w:cnfStyle w:val="000000100000" w:firstRow="0" w:lastRow="0" w:firstColumn="0" w:lastColumn="0" w:oddVBand="0" w:evenVBand="0" w:oddHBand="1" w:evenHBand="0" w:firstRowFirstColumn="0" w:firstRowLastColumn="0" w:lastRowFirstColumn="0" w:lastRowLastColumn="0"/>
            </w:pPr>
            <w:r>
              <w:t>Mid</w:t>
            </w:r>
            <w:r w:rsidR="00DD4D56">
              <w:t>-</w:t>
            </w:r>
            <w:r w:rsidR="00DF37CD">
              <w:t>t</w:t>
            </w:r>
            <w:r>
              <w:t xml:space="preserve">erm </w:t>
            </w:r>
            <w:r w:rsidR="00DF37CD">
              <w:t>r</w:t>
            </w:r>
            <w:r>
              <w:t>eview</w:t>
            </w:r>
            <w:r w:rsidR="00B9158A">
              <w:t xml:space="preserve"> of</w:t>
            </w:r>
            <w:r>
              <w:t xml:space="preserve"> Partnership for Australia</w:t>
            </w:r>
            <w:r w:rsidR="00F54723">
              <w:t>–Indonesia</w:t>
            </w:r>
            <w:r w:rsidR="00737E87" w:rsidRPr="00CF5050">
              <w:t xml:space="preserve"> </w:t>
            </w:r>
            <w:r w:rsidR="00DF37CD">
              <w:t>Research: Sulawesi Initiative </w:t>
            </w:r>
            <w:r w:rsidR="00737E87" w:rsidRPr="00CF5050">
              <w:t xml:space="preserve"> </w:t>
            </w:r>
          </w:p>
          <w:p w14:paraId="6AAC11B1" w14:textId="77777777" w:rsidR="00737E87" w:rsidRPr="00D05BB2" w:rsidRDefault="00737E87" w:rsidP="00D05BB2">
            <w:pPr>
              <w:pStyle w:val="TableBodyCopy"/>
              <w:cnfStyle w:val="000000100000" w:firstRow="0" w:lastRow="0" w:firstColumn="0" w:lastColumn="0" w:oddVBand="0" w:evenVBand="0" w:oddHBand="1" w:evenHBand="0" w:firstRowFirstColumn="0" w:firstRowLastColumn="0" w:lastRowFirstColumn="0" w:lastRowLastColumn="0"/>
            </w:pPr>
          </w:p>
        </w:tc>
      </w:tr>
      <w:tr w:rsidR="006A7D7A" w:rsidRPr="00FA2C26" w14:paraId="2C03F03B" w14:textId="77777777" w:rsidTr="00CF5050">
        <w:trPr>
          <w:trHeight w:val="614"/>
        </w:trPr>
        <w:tc>
          <w:tcPr>
            <w:cnfStyle w:val="001000000000" w:firstRow="0" w:lastRow="0" w:firstColumn="1" w:lastColumn="0" w:oddVBand="0" w:evenVBand="0" w:oddHBand="0" w:evenHBand="0" w:firstRowFirstColumn="0" w:firstRowLastColumn="0" w:lastRowFirstColumn="0" w:lastRowLastColumn="0"/>
            <w:tcW w:w="1115" w:type="pct"/>
            <w:shd w:val="clear" w:color="auto" w:fill="D2DEE7" w:themeFill="accent1" w:themeFillTint="33"/>
          </w:tcPr>
          <w:p w14:paraId="7F7F7284" w14:textId="3DEBB9AB" w:rsidR="00737E87" w:rsidRPr="00FA2C26" w:rsidRDefault="00737E87" w:rsidP="00D05BB2">
            <w:pPr>
              <w:pStyle w:val="TableBodyCopy"/>
            </w:pPr>
            <w:r w:rsidRPr="00FA2C26">
              <w:t>Cross-</w:t>
            </w:r>
            <w:r w:rsidR="006E7411">
              <w:t>p</w:t>
            </w:r>
            <w:r w:rsidRPr="00FA2C26">
              <w:t>rogram</w:t>
            </w:r>
          </w:p>
        </w:tc>
        <w:tc>
          <w:tcPr>
            <w:tcW w:w="1295" w:type="pct"/>
            <w:shd w:val="clear" w:color="auto" w:fill="D2DEE7" w:themeFill="accent1" w:themeFillTint="33"/>
          </w:tcPr>
          <w:p w14:paraId="57592E7C" w14:textId="173E9CE8" w:rsidR="00737E87" w:rsidRPr="00CF5050" w:rsidRDefault="00804491" w:rsidP="00D05BB2">
            <w:pPr>
              <w:pStyle w:val="TableBodyCopy"/>
              <w:cnfStyle w:val="000000000000" w:firstRow="0" w:lastRow="0" w:firstColumn="0" w:lastColumn="0" w:oddVBand="0" w:evenVBand="0" w:oddHBand="0" w:evenHBand="0" w:firstRowFirstColumn="0" w:firstRowLastColumn="0" w:lastRowFirstColumn="0" w:lastRowLastColumn="0"/>
            </w:pPr>
            <w:r w:rsidRPr="006B6978">
              <w:rPr>
                <w:rFonts w:asciiTheme="majorHAnsi" w:hAnsiTheme="majorHAnsi" w:cstheme="majorHAnsi"/>
                <w:szCs w:val="20"/>
              </w:rPr>
              <w:t>No formal reviews currently planned</w:t>
            </w:r>
          </w:p>
        </w:tc>
        <w:tc>
          <w:tcPr>
            <w:tcW w:w="1295" w:type="pct"/>
            <w:shd w:val="clear" w:color="auto" w:fill="D2DEE7" w:themeFill="accent1" w:themeFillTint="33"/>
          </w:tcPr>
          <w:p w14:paraId="7C64E7BB" w14:textId="010131E5" w:rsidR="00737E87" w:rsidRPr="00CF5050" w:rsidRDefault="00737E87" w:rsidP="00CF5050">
            <w:pPr>
              <w:pStyle w:val="TableBodyCopy"/>
              <w:cnfStyle w:val="000000000000" w:firstRow="0" w:lastRow="0" w:firstColumn="0" w:lastColumn="0" w:oddVBand="0" w:evenVBand="0" w:oddHBand="0" w:evenHBand="0" w:firstRowFirstColumn="0" w:firstRowLastColumn="0" w:lastRowFirstColumn="0" w:lastRowLastColumn="0"/>
            </w:pPr>
            <w:r w:rsidRPr="00CF5050">
              <w:t xml:space="preserve">Review of </w:t>
            </w:r>
            <w:r w:rsidR="00DD4D56">
              <w:t>d</w:t>
            </w:r>
            <w:r w:rsidRPr="00CF5050">
              <w:t xml:space="preserve">evelopment </w:t>
            </w:r>
            <w:r w:rsidR="00DD4D56">
              <w:t>p</w:t>
            </w:r>
            <w:r w:rsidRPr="00CF5050">
              <w:t xml:space="preserve">olicy </w:t>
            </w:r>
            <w:r w:rsidR="00DD4D56">
              <w:t>i</w:t>
            </w:r>
            <w:r w:rsidRPr="00CF5050">
              <w:t xml:space="preserve">mplementation – </w:t>
            </w:r>
            <w:r w:rsidR="00DD4D56">
              <w:t>g</w:t>
            </w:r>
            <w:r w:rsidRPr="00CF5050">
              <w:t xml:space="preserve">ender </w:t>
            </w:r>
            <w:r w:rsidR="00DD4D56">
              <w:t>e</w:t>
            </w:r>
            <w:r w:rsidRPr="00CF5050">
              <w:t xml:space="preserve">quality, </w:t>
            </w:r>
            <w:proofErr w:type="gramStart"/>
            <w:r w:rsidR="00DD4D56">
              <w:t>d</w:t>
            </w:r>
            <w:r w:rsidRPr="00CF5050">
              <w:t>isability</w:t>
            </w:r>
            <w:proofErr w:type="gramEnd"/>
            <w:r w:rsidRPr="00CF5050">
              <w:t xml:space="preserve"> and </w:t>
            </w:r>
            <w:r w:rsidR="00DD4D56">
              <w:t>s</w:t>
            </w:r>
            <w:r w:rsidRPr="00CF5050">
              <w:t xml:space="preserve">ocial </w:t>
            </w:r>
            <w:r w:rsidR="009F15FB">
              <w:t>i</w:t>
            </w:r>
            <w:r w:rsidR="009F15FB" w:rsidRPr="00CF5050">
              <w:t>nclusion</w:t>
            </w:r>
            <w:r w:rsidR="009F15FB">
              <w:t xml:space="preserve"> (</w:t>
            </w:r>
            <w:r w:rsidR="00804491">
              <w:t>GEDSI)</w:t>
            </w:r>
          </w:p>
          <w:p w14:paraId="135920B1" w14:textId="37C823FF" w:rsidR="00737E87" w:rsidRPr="00CF5050" w:rsidRDefault="00737E87" w:rsidP="00CF5050">
            <w:pPr>
              <w:pStyle w:val="TableBodyCopy"/>
              <w:cnfStyle w:val="000000000000" w:firstRow="0" w:lastRow="0" w:firstColumn="0" w:lastColumn="0" w:oddVBand="0" w:evenVBand="0" w:oddHBand="0" w:evenHBand="0" w:firstRowFirstColumn="0" w:firstRowLastColumn="0" w:lastRowFirstColumn="0" w:lastRowLastColumn="0"/>
            </w:pPr>
            <w:r w:rsidRPr="00CF5050">
              <w:t xml:space="preserve">Development Partnership Plan </w:t>
            </w:r>
            <w:r w:rsidR="007E49C4">
              <w:t>r</w:t>
            </w:r>
            <w:r w:rsidRPr="00CF5050">
              <w:t xml:space="preserve">eview and </w:t>
            </w:r>
            <w:r w:rsidR="008D3673">
              <w:t>u</w:t>
            </w:r>
            <w:r w:rsidRPr="00CF5050">
              <w:t>pdate</w:t>
            </w:r>
          </w:p>
        </w:tc>
        <w:tc>
          <w:tcPr>
            <w:tcW w:w="1295" w:type="pct"/>
            <w:shd w:val="clear" w:color="auto" w:fill="D2DEE7" w:themeFill="accent1" w:themeFillTint="33"/>
          </w:tcPr>
          <w:p w14:paraId="5D47F161" w14:textId="493F5F28" w:rsidR="00D0012A" w:rsidRPr="00CF5050" w:rsidRDefault="00D0012A" w:rsidP="00722CF5">
            <w:pPr>
              <w:pStyle w:val="TableBodyCopy"/>
              <w:cnfStyle w:val="000000000000" w:firstRow="0" w:lastRow="0" w:firstColumn="0" w:lastColumn="0" w:oddVBand="0" w:evenVBand="0" w:oddHBand="0" w:evenHBand="0" w:firstRowFirstColumn="0" w:firstRowLastColumn="0" w:lastRowFirstColumn="0" w:lastRowLastColumn="0"/>
            </w:pPr>
            <w:r w:rsidRPr="00F844B1">
              <w:t xml:space="preserve">Development Partnership Plan </w:t>
            </w:r>
            <w:r w:rsidRPr="00AF03F7">
              <w:t>mid-cycle review</w:t>
            </w:r>
            <w:r w:rsidRPr="00F844B1">
              <w:t xml:space="preserve"> and </w:t>
            </w:r>
            <w:r>
              <w:t>u</w:t>
            </w:r>
            <w:r w:rsidRPr="00F844B1">
              <w:t>pdate</w:t>
            </w:r>
          </w:p>
        </w:tc>
      </w:tr>
    </w:tbl>
    <w:p w14:paraId="24CBE726" w14:textId="77777777" w:rsidR="00737E87" w:rsidRPr="00FA2C26" w:rsidRDefault="00737E87" w:rsidP="00CF5050">
      <w:pPr>
        <w:rPr>
          <w:lang w:eastAsia="en-AU"/>
        </w:rPr>
      </w:pPr>
    </w:p>
    <w:bookmarkEnd w:id="3"/>
    <w:p w14:paraId="75AF0610" w14:textId="77777777" w:rsidR="00737E87" w:rsidRPr="00FA2C26" w:rsidRDefault="00737E87">
      <w:pPr>
        <w:spacing w:before="0" w:after="0" w:line="240" w:lineRule="auto"/>
        <w:rPr>
          <w:rFonts w:eastAsiaTheme="majorEastAsia" w:cstheme="majorHAnsi"/>
          <w:b/>
          <w:bCs/>
          <w:iCs/>
          <w:sz w:val="24"/>
          <w:szCs w:val="24"/>
          <w:lang w:eastAsia="en-AU"/>
        </w:rPr>
      </w:pPr>
      <w:r w:rsidRPr="00FA2C26">
        <w:rPr>
          <w:rFonts w:cstheme="majorHAnsi"/>
          <w:lang w:eastAsia="en-AU"/>
        </w:rPr>
        <w:br w:type="page"/>
      </w:r>
    </w:p>
    <w:p w14:paraId="18F447D6" w14:textId="77777777" w:rsidR="00737E87" w:rsidRPr="00FA2C26" w:rsidRDefault="00737E87" w:rsidP="000B04E1">
      <w:pPr>
        <w:pStyle w:val="H4-Heading4"/>
        <w:rPr>
          <w:rFonts w:cstheme="majorHAnsi"/>
          <w:lang w:eastAsia="en-AU"/>
        </w:rPr>
        <w:sectPr w:rsidR="00737E87" w:rsidRPr="00FA2C26" w:rsidSect="00C24760">
          <w:headerReference w:type="default" r:id="rId13"/>
          <w:headerReference w:type="first" r:id="rId14"/>
          <w:footerReference w:type="first" r:id="rId15"/>
          <w:endnotePr>
            <w:numFmt w:val="decimal"/>
          </w:endnotePr>
          <w:pgSz w:w="11906" w:h="16838" w:code="9"/>
          <w:pgMar w:top="1418" w:right="851" w:bottom="992" w:left="851" w:header="340" w:footer="414" w:gutter="0"/>
          <w:pgNumType w:start="1"/>
          <w:cols w:space="720"/>
          <w:noEndnote/>
          <w:titlePg/>
          <w:docGrid w:linePitch="360"/>
        </w:sectPr>
      </w:pPr>
    </w:p>
    <w:p w14:paraId="5327F451" w14:textId="77777777" w:rsidR="00A3538C" w:rsidRPr="00CF5050" w:rsidRDefault="00A3538C" w:rsidP="00CF5050">
      <w:pPr>
        <w:pStyle w:val="H3-Heading3"/>
      </w:pPr>
      <w:r w:rsidRPr="00CF5050">
        <w:lastRenderedPageBreak/>
        <w:t>Performance and results</w:t>
      </w:r>
    </w:p>
    <w:p w14:paraId="3ED4AD1B" w14:textId="79D91301" w:rsidR="00A3538C" w:rsidRDefault="00A3538C" w:rsidP="00CF5050">
      <w:pPr>
        <w:rPr>
          <w:lang w:eastAsia="en-AU"/>
        </w:rPr>
      </w:pPr>
      <w:r>
        <w:rPr>
          <w:lang w:eastAsia="en-AU"/>
        </w:rPr>
        <w:t xml:space="preserve">The </w:t>
      </w:r>
      <w:r w:rsidR="00175DB1">
        <w:rPr>
          <w:lang w:eastAsia="en-AU"/>
        </w:rPr>
        <w:t>P</w:t>
      </w:r>
      <w:r>
        <w:rPr>
          <w:lang w:eastAsia="en-AU"/>
        </w:rPr>
        <w:t xml:space="preserve">erformance </w:t>
      </w:r>
      <w:r w:rsidR="00175DB1">
        <w:rPr>
          <w:lang w:eastAsia="en-AU"/>
        </w:rPr>
        <w:t>A</w:t>
      </w:r>
      <w:r>
        <w:rPr>
          <w:lang w:eastAsia="en-AU"/>
        </w:rPr>
        <w:t xml:space="preserve">ssessment </w:t>
      </w:r>
      <w:r w:rsidR="00175DB1">
        <w:rPr>
          <w:lang w:eastAsia="en-AU"/>
        </w:rPr>
        <w:t>F</w:t>
      </w:r>
      <w:r>
        <w:rPr>
          <w:lang w:eastAsia="en-AU"/>
        </w:rPr>
        <w:t xml:space="preserve">ramework </w:t>
      </w:r>
      <w:r w:rsidR="00175DB1">
        <w:rPr>
          <w:lang w:eastAsia="en-AU"/>
        </w:rPr>
        <w:t xml:space="preserve">(PAF) </w:t>
      </w:r>
      <w:r>
        <w:rPr>
          <w:lang w:eastAsia="en-AU"/>
        </w:rPr>
        <w:t xml:space="preserve">at Table 3 provides a selection of indicators and expected results for the first 3 years of the DPP. The </w:t>
      </w:r>
      <w:r w:rsidR="00175DB1">
        <w:rPr>
          <w:lang w:eastAsia="en-AU"/>
        </w:rPr>
        <w:t>PAF</w:t>
      </w:r>
      <w:r>
        <w:rPr>
          <w:lang w:eastAsia="en-AU"/>
        </w:rPr>
        <w:t xml:space="preserve"> will be updated periodically, including at the mid-cycle review point at which time indicators and results for the second half of the DPP will be identified.  </w:t>
      </w:r>
    </w:p>
    <w:p w14:paraId="15C3F4B2" w14:textId="712E0A9D" w:rsidR="00737E87" w:rsidRPr="00FA2C26" w:rsidRDefault="00737E87" w:rsidP="004009C5">
      <w:pPr>
        <w:pStyle w:val="Tabletitle"/>
      </w:pPr>
      <w:bookmarkStart w:id="4" w:name="_Hlk172566813"/>
      <w:r w:rsidRPr="00FA2C26">
        <w:t xml:space="preserve">Table 3: Performance </w:t>
      </w:r>
      <w:r w:rsidR="00507D82">
        <w:t>A</w:t>
      </w:r>
      <w:r w:rsidRPr="00FA2C26">
        <w:t xml:space="preserve">ssessment </w:t>
      </w:r>
      <w:r w:rsidR="00507D82">
        <w:t>F</w:t>
      </w:r>
      <w:r w:rsidRPr="00FA2C26">
        <w:t>ramework</w:t>
      </w:r>
    </w:p>
    <w:p w14:paraId="198F1B38" w14:textId="27524DEE" w:rsidR="00737E87" w:rsidRPr="00484BDE" w:rsidRDefault="00737E87" w:rsidP="00CF5050">
      <w:r w:rsidRPr="00CF5050">
        <w:rPr>
          <w:b/>
          <w:bCs/>
        </w:rPr>
        <w:t xml:space="preserve">Objective 1: </w:t>
      </w:r>
      <w:r w:rsidR="00B40CF9">
        <w:rPr>
          <w:b/>
          <w:bCs/>
        </w:rPr>
        <w:t>E</w:t>
      </w:r>
      <w:r w:rsidRPr="00CF5050">
        <w:rPr>
          <w:b/>
          <w:bCs/>
        </w:rPr>
        <w:t xml:space="preserve">quitable and </w:t>
      </w:r>
      <w:r w:rsidR="00CB5678" w:rsidRPr="00CF5050">
        <w:rPr>
          <w:b/>
          <w:bCs/>
        </w:rPr>
        <w:t>s</w:t>
      </w:r>
      <w:r w:rsidRPr="00CF5050">
        <w:rPr>
          <w:b/>
          <w:bCs/>
        </w:rPr>
        <w:t xml:space="preserve">ustainable </w:t>
      </w:r>
      <w:r w:rsidR="00CB5678" w:rsidRPr="00CF5050">
        <w:rPr>
          <w:b/>
          <w:bCs/>
        </w:rPr>
        <w:t>e</w:t>
      </w:r>
      <w:r w:rsidRPr="00CF5050">
        <w:rPr>
          <w:b/>
          <w:bCs/>
        </w:rPr>
        <w:t xml:space="preserve">conomic </w:t>
      </w:r>
      <w:r w:rsidR="00CB5678" w:rsidRPr="00CF5050">
        <w:rPr>
          <w:b/>
          <w:bCs/>
        </w:rPr>
        <w:t>t</w:t>
      </w:r>
      <w:r w:rsidRPr="00CF5050">
        <w:rPr>
          <w:b/>
          <w:bCs/>
        </w:rPr>
        <w:t>ransformation</w:t>
      </w:r>
    </w:p>
    <w:tbl>
      <w:tblPr>
        <w:tblStyle w:val="DFATPaddock"/>
        <w:tblW w:w="5000" w:type="pct"/>
        <w:tblLayout w:type="fixed"/>
        <w:tblLook w:val="04A0" w:firstRow="1" w:lastRow="0" w:firstColumn="1" w:lastColumn="0" w:noHBand="0" w:noVBand="1"/>
        <w:tblCaption w:val="Performance assessment framework for objective 1"/>
        <w:tblDescription w:val="Expected results for the first 3 years of the DPP and against the Sustainable Development Goals"/>
      </w:tblPr>
      <w:tblGrid>
        <w:gridCol w:w="2496"/>
        <w:gridCol w:w="2499"/>
        <w:gridCol w:w="2497"/>
        <w:gridCol w:w="2499"/>
        <w:gridCol w:w="2497"/>
        <w:gridCol w:w="2497"/>
      </w:tblGrid>
      <w:tr w:rsidR="00701D12" w:rsidRPr="00652EBD" w14:paraId="39D46C6B" w14:textId="77777777" w:rsidTr="00B43C63">
        <w:trPr>
          <w:cnfStyle w:val="100000000000" w:firstRow="1" w:lastRow="0" w:firstColumn="0" w:lastColumn="0" w:oddVBand="0" w:evenVBand="0" w:oddHBand="0" w:evenHBand="0" w:firstRowFirstColumn="0" w:firstRowLastColumn="0" w:lastRowFirstColumn="0" w:lastRowLastColumn="0"/>
          <w:trHeight w:val="787"/>
        </w:trPr>
        <w:tc>
          <w:tcPr>
            <w:tcW w:w="833" w:type="pct"/>
            <w:tcBorders>
              <w:top w:val="single" w:sz="4" w:space="0" w:color="000000"/>
              <w:left w:val="single" w:sz="4" w:space="0" w:color="000000"/>
              <w:bottom w:val="single" w:sz="4" w:space="0" w:color="000000"/>
              <w:right w:val="single" w:sz="4" w:space="0" w:color="000000"/>
            </w:tcBorders>
            <w:hideMark/>
          </w:tcPr>
          <w:p w14:paraId="74C0C776" w14:textId="4FF28B8D" w:rsidR="00701D12" w:rsidRPr="00701D12" w:rsidRDefault="00701D12" w:rsidP="00652EBD">
            <w:pPr>
              <w:pStyle w:val="TableHeading"/>
              <w:rPr>
                <w:b w:val="0"/>
                <w:bCs w:val="0"/>
              </w:rPr>
            </w:pPr>
            <w:r w:rsidRPr="00701D12">
              <w:rPr>
                <w:b w:val="0"/>
                <w:bCs w:val="0"/>
              </w:rPr>
              <w:t>Outcome</w:t>
            </w:r>
          </w:p>
        </w:tc>
        <w:tc>
          <w:tcPr>
            <w:tcW w:w="834" w:type="pct"/>
            <w:tcBorders>
              <w:top w:val="single" w:sz="4" w:space="0" w:color="000000"/>
              <w:left w:val="single" w:sz="4" w:space="0" w:color="000000"/>
              <w:bottom w:val="single" w:sz="4" w:space="0" w:color="000000"/>
              <w:right w:val="single" w:sz="4" w:space="0" w:color="000000"/>
            </w:tcBorders>
          </w:tcPr>
          <w:p w14:paraId="7A97DA99" w14:textId="50E980E8" w:rsidR="00701D12" w:rsidRPr="00701D12" w:rsidRDefault="009A5060" w:rsidP="00701D12">
            <w:pPr>
              <w:pStyle w:val="TableHeading"/>
              <w:rPr>
                <w:b w:val="0"/>
                <w:bCs w:val="0"/>
              </w:rPr>
            </w:pPr>
            <w:r>
              <w:rPr>
                <w:b w:val="0"/>
                <w:bCs w:val="0"/>
              </w:rPr>
              <w:t>Indicator</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22B0EEC2" w14:textId="43F02E58" w:rsidR="00701D12" w:rsidRPr="00701D12" w:rsidRDefault="00701D12" w:rsidP="00701D12">
            <w:pPr>
              <w:pStyle w:val="TableHeading"/>
              <w:rPr>
                <w:b w:val="0"/>
                <w:bCs w:val="0"/>
              </w:rPr>
            </w:pPr>
            <w:r w:rsidRPr="00701D12">
              <w:rPr>
                <w:b w:val="0"/>
                <w:bCs w:val="0"/>
              </w:rPr>
              <w:t xml:space="preserve">Expected </w:t>
            </w:r>
            <w:r w:rsidR="00CB5678">
              <w:rPr>
                <w:b w:val="0"/>
                <w:bCs w:val="0"/>
              </w:rPr>
              <w:t>r</w:t>
            </w:r>
            <w:r w:rsidRPr="00701D12">
              <w:rPr>
                <w:b w:val="0"/>
                <w:bCs w:val="0"/>
              </w:rPr>
              <w:t>esults</w:t>
            </w:r>
            <w:r w:rsidRPr="00701D12">
              <w:rPr>
                <w:b w:val="0"/>
                <w:bCs w:val="0"/>
              </w:rPr>
              <w:br/>
              <w:t>2024</w:t>
            </w:r>
            <w:r w:rsidR="009A5060">
              <w:rPr>
                <w:b w:val="0"/>
                <w:bCs w:val="0"/>
              </w:rPr>
              <w:t>–</w:t>
            </w:r>
            <w:r w:rsidRPr="00701D12">
              <w:rPr>
                <w:b w:val="0"/>
                <w:bCs w:val="0"/>
              </w:rPr>
              <w:t>25</w:t>
            </w:r>
          </w:p>
        </w:tc>
        <w:tc>
          <w:tcPr>
            <w:tcW w:w="834" w:type="pct"/>
            <w:tcBorders>
              <w:top w:val="single" w:sz="4" w:space="0" w:color="000000"/>
              <w:left w:val="single" w:sz="4" w:space="0" w:color="000000"/>
              <w:bottom w:val="single" w:sz="4" w:space="0" w:color="000000"/>
              <w:right w:val="single" w:sz="4" w:space="0" w:color="000000"/>
            </w:tcBorders>
            <w:vAlign w:val="center"/>
            <w:hideMark/>
          </w:tcPr>
          <w:p w14:paraId="78C449BC" w14:textId="4CC356E5" w:rsidR="00701D12" w:rsidRPr="00701D12" w:rsidRDefault="00701D12" w:rsidP="00701D12">
            <w:pPr>
              <w:pStyle w:val="TableHeading"/>
              <w:rPr>
                <w:b w:val="0"/>
                <w:bCs w:val="0"/>
              </w:rPr>
            </w:pPr>
            <w:r w:rsidRPr="00701D12">
              <w:rPr>
                <w:b w:val="0"/>
                <w:bCs w:val="0"/>
              </w:rPr>
              <w:t xml:space="preserve">Expected </w:t>
            </w:r>
            <w:r w:rsidR="00CB5678">
              <w:rPr>
                <w:b w:val="0"/>
                <w:bCs w:val="0"/>
              </w:rPr>
              <w:t>r</w:t>
            </w:r>
            <w:r w:rsidRPr="00701D12">
              <w:rPr>
                <w:b w:val="0"/>
                <w:bCs w:val="0"/>
              </w:rPr>
              <w:t>esults</w:t>
            </w:r>
            <w:r w:rsidRPr="00701D12">
              <w:rPr>
                <w:b w:val="0"/>
                <w:bCs w:val="0"/>
              </w:rPr>
              <w:br/>
              <w:t>2025</w:t>
            </w:r>
            <w:r w:rsidR="004E6BFE">
              <w:rPr>
                <w:b w:val="0"/>
                <w:bCs w:val="0"/>
              </w:rPr>
              <w:t>–</w:t>
            </w:r>
            <w:r w:rsidRPr="00701D12">
              <w:rPr>
                <w:b w:val="0"/>
                <w:bCs w:val="0"/>
              </w:rPr>
              <w:t>26</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1D4DB985" w14:textId="246BC72E" w:rsidR="00701D12" w:rsidRPr="00701D12" w:rsidRDefault="00701D12" w:rsidP="00701D12">
            <w:pPr>
              <w:pStyle w:val="TableHeading"/>
              <w:rPr>
                <w:b w:val="0"/>
                <w:bCs w:val="0"/>
              </w:rPr>
            </w:pPr>
            <w:r w:rsidRPr="00701D12">
              <w:rPr>
                <w:b w:val="0"/>
                <w:bCs w:val="0"/>
              </w:rPr>
              <w:t xml:space="preserve">Expected </w:t>
            </w:r>
            <w:r w:rsidR="00CB5678">
              <w:rPr>
                <w:b w:val="0"/>
                <w:bCs w:val="0"/>
              </w:rPr>
              <w:t>r</w:t>
            </w:r>
            <w:r w:rsidRPr="00701D12">
              <w:rPr>
                <w:b w:val="0"/>
                <w:bCs w:val="0"/>
              </w:rPr>
              <w:t>esults</w:t>
            </w:r>
            <w:r w:rsidRPr="00701D12">
              <w:rPr>
                <w:b w:val="0"/>
                <w:bCs w:val="0"/>
              </w:rPr>
              <w:br/>
              <w:t>2026</w:t>
            </w:r>
            <w:r w:rsidR="004E6BFE">
              <w:rPr>
                <w:b w:val="0"/>
                <w:bCs w:val="0"/>
              </w:rPr>
              <w:t>–</w:t>
            </w:r>
            <w:r w:rsidRPr="00701D12">
              <w:rPr>
                <w:b w:val="0"/>
                <w:bCs w:val="0"/>
              </w:rPr>
              <w:t>27</w:t>
            </w:r>
          </w:p>
        </w:tc>
        <w:tc>
          <w:tcPr>
            <w:tcW w:w="834" w:type="pct"/>
            <w:tcBorders>
              <w:top w:val="single" w:sz="4" w:space="0" w:color="000000"/>
              <w:left w:val="single" w:sz="4" w:space="0" w:color="000000"/>
              <w:bottom w:val="single" w:sz="4" w:space="0" w:color="000000"/>
              <w:right w:val="single" w:sz="4" w:space="0" w:color="000000"/>
            </w:tcBorders>
            <w:vAlign w:val="center"/>
            <w:hideMark/>
          </w:tcPr>
          <w:p w14:paraId="49D2DF7C" w14:textId="55C4F312" w:rsidR="00701D12" w:rsidRPr="00701D12" w:rsidRDefault="00CB5678" w:rsidP="00701D12">
            <w:pPr>
              <w:pStyle w:val="TableHeading"/>
              <w:rPr>
                <w:b w:val="0"/>
                <w:bCs w:val="0"/>
              </w:rPr>
            </w:pPr>
            <w:r>
              <w:rPr>
                <w:b w:val="0"/>
                <w:bCs w:val="0"/>
              </w:rPr>
              <w:t>Sustainable Development Goals (</w:t>
            </w:r>
            <w:r w:rsidR="00701D12" w:rsidRPr="00701D12">
              <w:rPr>
                <w:b w:val="0"/>
                <w:bCs w:val="0"/>
              </w:rPr>
              <w:t>SDGs)</w:t>
            </w:r>
          </w:p>
        </w:tc>
      </w:tr>
      <w:tr w:rsidR="00701D12" w:rsidRPr="0072182E" w14:paraId="3B86A3D1" w14:textId="77777777" w:rsidTr="00B43C63">
        <w:trPr>
          <w:trHeight w:val="561"/>
        </w:trPr>
        <w:tc>
          <w:tcPr>
            <w:tcW w:w="833" w:type="pct"/>
            <w:tcBorders>
              <w:top w:val="single" w:sz="4" w:space="0" w:color="000000"/>
              <w:left w:val="single" w:sz="4" w:space="0" w:color="000000"/>
              <w:bottom w:val="single" w:sz="4" w:space="0" w:color="000000"/>
              <w:right w:val="single" w:sz="4" w:space="0" w:color="000000"/>
            </w:tcBorders>
            <w:hideMark/>
          </w:tcPr>
          <w:p w14:paraId="7B5DEB84" w14:textId="7FADDEB0" w:rsidR="00652EBD" w:rsidRPr="0072182E" w:rsidRDefault="00652EBD" w:rsidP="0072182E">
            <w:pPr>
              <w:pStyle w:val="TableBodyCopy"/>
              <w:rPr>
                <w:b/>
                <w:bCs/>
              </w:rPr>
            </w:pPr>
            <w:r w:rsidRPr="0072182E">
              <w:rPr>
                <w:b/>
                <w:bCs/>
              </w:rPr>
              <w:t>Outcome 1.1</w:t>
            </w:r>
          </w:p>
          <w:p w14:paraId="25500C94" w14:textId="4C450E62" w:rsidR="00701D12" w:rsidRPr="0072182E" w:rsidRDefault="00652EBD" w:rsidP="0072182E">
            <w:pPr>
              <w:pStyle w:val="TableBodyCopy"/>
            </w:pPr>
            <w:r w:rsidRPr="0072182E">
              <w:t xml:space="preserve">Sustainable and equitable economic growth is supported, including in trade, </w:t>
            </w:r>
            <w:proofErr w:type="gramStart"/>
            <w:r w:rsidRPr="0072182E">
              <w:t>investment</w:t>
            </w:r>
            <w:proofErr w:type="gramEnd"/>
            <w:r w:rsidRPr="0072182E">
              <w:t xml:space="preserve"> and innovation</w:t>
            </w:r>
          </w:p>
        </w:tc>
        <w:tc>
          <w:tcPr>
            <w:tcW w:w="834" w:type="pct"/>
            <w:tcBorders>
              <w:top w:val="single" w:sz="4" w:space="0" w:color="auto"/>
              <w:left w:val="single" w:sz="4" w:space="0" w:color="auto"/>
              <w:bottom w:val="single" w:sz="4" w:space="0" w:color="auto"/>
              <w:right w:val="single" w:sz="4" w:space="0" w:color="auto"/>
            </w:tcBorders>
          </w:tcPr>
          <w:p w14:paraId="05AE411A" w14:textId="58AF52FB" w:rsidR="00701D12" w:rsidRPr="0072182E" w:rsidRDefault="00652EBD" w:rsidP="0072182E">
            <w:pPr>
              <w:pStyle w:val="TableBodyCopy"/>
            </w:pPr>
            <w:r w:rsidRPr="0072182E">
              <w:t xml:space="preserve">1.1.1 Policy and technical advice in trade, investment, </w:t>
            </w:r>
            <w:proofErr w:type="gramStart"/>
            <w:r w:rsidRPr="0072182E">
              <w:t>innovation</w:t>
            </w:r>
            <w:proofErr w:type="gramEnd"/>
            <w:r w:rsidRPr="0072182E">
              <w:t xml:space="preserve"> and economic reform to support inclusive economic growth</w:t>
            </w:r>
          </w:p>
        </w:tc>
        <w:tc>
          <w:tcPr>
            <w:tcW w:w="833" w:type="pct"/>
            <w:tcBorders>
              <w:top w:val="single" w:sz="4" w:space="0" w:color="auto"/>
              <w:left w:val="single" w:sz="4" w:space="0" w:color="auto"/>
              <w:bottom w:val="single" w:sz="4" w:space="0" w:color="auto"/>
              <w:right w:val="single" w:sz="4" w:space="0" w:color="auto"/>
            </w:tcBorders>
            <w:hideMark/>
          </w:tcPr>
          <w:p w14:paraId="0AFF5D17" w14:textId="590F5A7F" w:rsidR="00701D12" w:rsidRPr="0072182E" w:rsidRDefault="00701D12" w:rsidP="0072182E">
            <w:pPr>
              <w:pStyle w:val="TableBodyCopy"/>
            </w:pPr>
            <w:r w:rsidRPr="0072182E">
              <w:t>Policy and/or technical advice to support inclusive economic growth related</w:t>
            </w:r>
            <w:r w:rsidR="00543D58">
              <w:t> </w:t>
            </w:r>
            <w:r w:rsidRPr="0072182E">
              <w:t xml:space="preserve">to: </w:t>
            </w:r>
          </w:p>
          <w:p w14:paraId="01A2EE3C" w14:textId="1CCEAB6A" w:rsidR="00701D12" w:rsidRPr="0072182E" w:rsidRDefault="008065D8" w:rsidP="00CF5050">
            <w:pPr>
              <w:pStyle w:val="Tablebullet"/>
            </w:pPr>
            <w:r>
              <w:t xml:space="preserve">the </w:t>
            </w:r>
            <w:r w:rsidR="00701D12" w:rsidRPr="0072182E">
              <w:t xml:space="preserve">business licensing system, through </w:t>
            </w:r>
            <w:r w:rsidR="00163692">
              <w:t xml:space="preserve">the </w:t>
            </w:r>
            <w:r w:rsidR="00701D12" w:rsidRPr="0072182E">
              <w:t>Online Single Submission Risk</w:t>
            </w:r>
            <w:r w:rsidR="00912963">
              <w:t>-</w:t>
            </w:r>
            <w:r w:rsidR="00701D12" w:rsidRPr="0072182E">
              <w:t xml:space="preserve">Based Approach (OSS-RBA) and Business </w:t>
            </w:r>
            <w:r w:rsidR="005043DD" w:rsidRPr="0072182E">
              <w:t>Licens</w:t>
            </w:r>
            <w:r w:rsidR="005043DD">
              <w:t>ing</w:t>
            </w:r>
            <w:r w:rsidR="005043DD" w:rsidRPr="0072182E">
              <w:t xml:space="preserve"> </w:t>
            </w:r>
            <w:r w:rsidR="00701D12" w:rsidRPr="0072182E">
              <w:t>to Support Business Activities (PB-UMKU)</w:t>
            </w:r>
          </w:p>
          <w:p w14:paraId="629A3415" w14:textId="7A4FD80D" w:rsidR="00701D12" w:rsidRPr="0072182E" w:rsidRDefault="00701D12" w:rsidP="00CF5050">
            <w:pPr>
              <w:pStyle w:val="Tablebullet"/>
            </w:pPr>
            <w:r w:rsidRPr="0072182E">
              <w:t xml:space="preserve">course curriculum and collaboration between Indonesian and Australian nursing associations to move towards a potential Mutual Recognition Agreement (MRA) </w:t>
            </w:r>
            <w:r w:rsidR="00125A5A">
              <w:t>on</w:t>
            </w:r>
            <w:r w:rsidR="00543D58">
              <w:t> </w:t>
            </w:r>
            <w:r w:rsidRPr="0072182E">
              <w:t>Nursing</w:t>
            </w:r>
          </w:p>
          <w:p w14:paraId="50CD03FD" w14:textId="77777777" w:rsidR="00701D12" w:rsidRPr="0072182E" w:rsidRDefault="00701D12" w:rsidP="00CF5050">
            <w:pPr>
              <w:pStyle w:val="Tablebullet"/>
            </w:pPr>
            <w:r w:rsidRPr="0072182E">
              <w:t>improvement of Indonesian competitiveness in health and wellness products</w:t>
            </w:r>
          </w:p>
          <w:p w14:paraId="641ED79A" w14:textId="64206BBF" w:rsidR="00701D12" w:rsidRPr="0072182E" w:rsidRDefault="00701D12" w:rsidP="00CF5050">
            <w:pPr>
              <w:pStyle w:val="Tablebullet"/>
            </w:pPr>
            <w:r w:rsidRPr="0072182E">
              <w:lastRenderedPageBreak/>
              <w:t xml:space="preserve">pension reforms, greener </w:t>
            </w:r>
            <w:proofErr w:type="gramStart"/>
            <w:r w:rsidRPr="0072182E">
              <w:t>trade</w:t>
            </w:r>
            <w:proofErr w:type="gramEnd"/>
            <w:r w:rsidRPr="0072182E">
              <w:t xml:space="preserve"> and services trade</w:t>
            </w:r>
          </w:p>
          <w:p w14:paraId="0E420EDB" w14:textId="10A1907C" w:rsidR="00701D12" w:rsidRPr="0072182E" w:rsidRDefault="00297A4A" w:rsidP="00CF5050">
            <w:pPr>
              <w:pStyle w:val="Tablebullet"/>
            </w:pPr>
            <w:r>
              <w:t xml:space="preserve">the </w:t>
            </w:r>
            <w:r w:rsidR="00701D12" w:rsidRPr="0072182E">
              <w:t>enabling environment and project preparation work for infrastructure investment</w:t>
            </w:r>
          </w:p>
        </w:tc>
        <w:tc>
          <w:tcPr>
            <w:tcW w:w="834" w:type="pct"/>
            <w:tcBorders>
              <w:top w:val="single" w:sz="4" w:space="0" w:color="auto"/>
              <w:left w:val="single" w:sz="4" w:space="0" w:color="auto"/>
              <w:bottom w:val="single" w:sz="4" w:space="0" w:color="auto"/>
              <w:right w:val="single" w:sz="4" w:space="0" w:color="auto"/>
            </w:tcBorders>
            <w:hideMark/>
          </w:tcPr>
          <w:p w14:paraId="1740AE38" w14:textId="4AD2767F" w:rsidR="00701D12" w:rsidRPr="0072182E" w:rsidRDefault="00701D12" w:rsidP="0072182E">
            <w:pPr>
              <w:pStyle w:val="TableBodyCopy"/>
            </w:pPr>
            <w:r w:rsidRPr="0072182E">
              <w:lastRenderedPageBreak/>
              <w:t>Policy and/or technical advice to support inclusive economic growth related</w:t>
            </w:r>
            <w:r w:rsidR="00543D58">
              <w:t> </w:t>
            </w:r>
            <w:r w:rsidRPr="0072182E">
              <w:t>to:</w:t>
            </w:r>
          </w:p>
          <w:p w14:paraId="276858D6" w14:textId="77777777" w:rsidR="00701D12" w:rsidRPr="0072182E" w:rsidRDefault="00701D12" w:rsidP="00CF5050">
            <w:pPr>
              <w:pStyle w:val="Tablebullet"/>
            </w:pPr>
            <w:r w:rsidRPr="0072182E">
              <w:t>ease of doing business</w:t>
            </w:r>
          </w:p>
          <w:p w14:paraId="6924CFF3" w14:textId="77777777" w:rsidR="00701D12" w:rsidRPr="0072182E" w:rsidRDefault="00701D12" w:rsidP="00CF5050">
            <w:pPr>
              <w:pStyle w:val="Tablebullet"/>
            </w:pPr>
            <w:r w:rsidRPr="0072182E">
              <w:t xml:space="preserve">use of irradiation facilities to treat horticultural products for export to </w:t>
            </w:r>
            <w:proofErr w:type="gramStart"/>
            <w:r w:rsidRPr="0072182E">
              <w:t>Australia</w:t>
            </w:r>
            <w:proofErr w:type="gramEnd"/>
          </w:p>
          <w:p w14:paraId="444A7EAF" w14:textId="3C1EFD11" w:rsidR="00701D12" w:rsidRPr="0072182E" w:rsidRDefault="00701D12" w:rsidP="00CF5050">
            <w:pPr>
              <w:pStyle w:val="Tablebullet"/>
            </w:pPr>
            <w:r w:rsidRPr="0072182E">
              <w:t>improvement in bilateral investment based on investment survey</w:t>
            </w:r>
            <w:r w:rsidR="004E4574">
              <w:t>s</w:t>
            </w:r>
          </w:p>
        </w:tc>
        <w:tc>
          <w:tcPr>
            <w:tcW w:w="833" w:type="pct"/>
            <w:tcBorders>
              <w:top w:val="single" w:sz="4" w:space="0" w:color="auto"/>
              <w:left w:val="single" w:sz="4" w:space="0" w:color="auto"/>
              <w:bottom w:val="single" w:sz="4" w:space="0" w:color="auto"/>
              <w:right w:val="single" w:sz="4" w:space="0" w:color="auto"/>
            </w:tcBorders>
            <w:hideMark/>
          </w:tcPr>
          <w:p w14:paraId="78EADE81" w14:textId="0718C680" w:rsidR="00701D12" w:rsidRPr="0072182E" w:rsidRDefault="00701D12" w:rsidP="0072182E">
            <w:pPr>
              <w:pStyle w:val="TableBodyCopy"/>
            </w:pPr>
            <w:r w:rsidRPr="0072182E">
              <w:t>Policy and/or technical advice to support inclusive economic growth related to ease of doing business</w:t>
            </w:r>
          </w:p>
        </w:tc>
        <w:tc>
          <w:tcPr>
            <w:tcW w:w="834" w:type="pct"/>
            <w:tcBorders>
              <w:top w:val="single" w:sz="4" w:space="0" w:color="000000"/>
              <w:left w:val="single" w:sz="4" w:space="0" w:color="000000"/>
              <w:bottom w:val="single" w:sz="4" w:space="0" w:color="000000"/>
              <w:right w:val="single" w:sz="4" w:space="0" w:color="000000"/>
            </w:tcBorders>
          </w:tcPr>
          <w:p w14:paraId="65670062" w14:textId="4572D6A7" w:rsidR="00701D12" w:rsidRPr="0072182E" w:rsidRDefault="009D7242" w:rsidP="0072182E">
            <w:pPr>
              <w:pStyle w:val="TableBodyCopy"/>
            </w:pPr>
            <w:r>
              <w:t>SDG</w:t>
            </w:r>
            <w:r w:rsidR="00701D12" w:rsidRPr="0072182E">
              <w:t>8</w:t>
            </w:r>
            <w:r>
              <w:t>:</w:t>
            </w:r>
            <w:r w:rsidR="00701D12" w:rsidRPr="0072182E">
              <w:t xml:space="preserve"> Decent work and economic growth</w:t>
            </w:r>
          </w:p>
        </w:tc>
      </w:tr>
      <w:tr w:rsidR="00701D12" w:rsidRPr="00FA2C26" w14:paraId="09209A5E" w14:textId="77777777" w:rsidTr="00B43C63">
        <w:trPr>
          <w:trHeight w:val="555"/>
        </w:trPr>
        <w:tc>
          <w:tcPr>
            <w:tcW w:w="833" w:type="pct"/>
            <w:tcBorders>
              <w:top w:val="single" w:sz="4" w:space="0" w:color="000000"/>
              <w:left w:val="single" w:sz="4" w:space="0" w:color="000000"/>
              <w:bottom w:val="single" w:sz="4" w:space="0" w:color="000000"/>
              <w:right w:val="single" w:sz="4" w:space="0" w:color="000000"/>
            </w:tcBorders>
            <w:hideMark/>
          </w:tcPr>
          <w:p w14:paraId="37475833" w14:textId="406B29F2" w:rsidR="00701D12" w:rsidRPr="00FA2C26" w:rsidRDefault="000D6F33" w:rsidP="000D6F33">
            <w:pPr>
              <w:pStyle w:val="TableBodyCopy"/>
              <w:rPr>
                <w:rFonts w:cstheme="majorHAnsi"/>
              </w:rPr>
            </w:pPr>
            <w:r w:rsidRPr="0072182E">
              <w:rPr>
                <w:b/>
                <w:bCs/>
              </w:rPr>
              <w:t>Outcome 1.1</w:t>
            </w:r>
          </w:p>
        </w:tc>
        <w:tc>
          <w:tcPr>
            <w:tcW w:w="834" w:type="pct"/>
            <w:tcBorders>
              <w:top w:val="single" w:sz="4" w:space="0" w:color="000000"/>
              <w:left w:val="single" w:sz="4" w:space="0" w:color="000000"/>
              <w:bottom w:val="single" w:sz="4" w:space="0" w:color="000000"/>
              <w:right w:val="single" w:sz="4" w:space="0" w:color="000000"/>
            </w:tcBorders>
          </w:tcPr>
          <w:p w14:paraId="26877636" w14:textId="61A18D1F" w:rsidR="00701D12" w:rsidRPr="00FA2C26" w:rsidRDefault="000D6F33" w:rsidP="00462DC0">
            <w:pPr>
              <w:pStyle w:val="TableBodyCopy"/>
            </w:pPr>
            <w:r w:rsidRPr="00FA2C26">
              <w:t>1.1.2 Number of market actors in key economic sectors supported to expand market access and/or improve supply chain resilience (Tier 2)</w:t>
            </w:r>
          </w:p>
        </w:tc>
        <w:tc>
          <w:tcPr>
            <w:tcW w:w="833" w:type="pct"/>
            <w:tcBorders>
              <w:top w:val="single" w:sz="4" w:space="0" w:color="000000"/>
              <w:left w:val="single" w:sz="4" w:space="0" w:color="000000"/>
              <w:bottom w:val="single" w:sz="4" w:space="0" w:color="000000"/>
              <w:right w:val="single" w:sz="4" w:space="0" w:color="000000"/>
            </w:tcBorders>
            <w:hideMark/>
          </w:tcPr>
          <w:p w14:paraId="763F1CD6" w14:textId="2D039F6C" w:rsidR="00701D12" w:rsidRPr="00FA2C26" w:rsidRDefault="00701D12" w:rsidP="00462DC0">
            <w:pPr>
              <w:pStyle w:val="TableBodyCopy"/>
            </w:pPr>
            <w:r w:rsidRPr="00FA2C26">
              <w:t>20 market actors</w:t>
            </w:r>
          </w:p>
        </w:tc>
        <w:tc>
          <w:tcPr>
            <w:tcW w:w="834" w:type="pct"/>
            <w:tcBorders>
              <w:top w:val="single" w:sz="4" w:space="0" w:color="000000"/>
              <w:left w:val="single" w:sz="4" w:space="0" w:color="000000"/>
              <w:bottom w:val="single" w:sz="4" w:space="0" w:color="000000"/>
              <w:right w:val="single" w:sz="4" w:space="0" w:color="000000"/>
            </w:tcBorders>
            <w:hideMark/>
          </w:tcPr>
          <w:p w14:paraId="7BDF7ACC" w14:textId="1B89D73A" w:rsidR="00701D12" w:rsidRPr="00FA2C26" w:rsidRDefault="00701D12" w:rsidP="00462DC0">
            <w:pPr>
              <w:pStyle w:val="TableBodyCopy"/>
            </w:pPr>
            <w:r w:rsidRPr="00FA2C26">
              <w:t>25 market actors</w:t>
            </w:r>
          </w:p>
        </w:tc>
        <w:tc>
          <w:tcPr>
            <w:tcW w:w="833" w:type="pct"/>
            <w:tcBorders>
              <w:top w:val="single" w:sz="4" w:space="0" w:color="000000"/>
              <w:left w:val="single" w:sz="4" w:space="0" w:color="000000"/>
              <w:bottom w:val="single" w:sz="4" w:space="0" w:color="000000"/>
              <w:right w:val="single" w:sz="4" w:space="0" w:color="000000"/>
            </w:tcBorders>
            <w:hideMark/>
          </w:tcPr>
          <w:p w14:paraId="4776D76D" w14:textId="740A9BDB" w:rsidR="00701D12" w:rsidRPr="00FA2C26" w:rsidRDefault="00701D12" w:rsidP="00462DC0">
            <w:pPr>
              <w:pStyle w:val="TableBodyCopy"/>
              <w:rPr>
                <w:i/>
                <w:iCs/>
              </w:rPr>
            </w:pPr>
            <w:r w:rsidRPr="00FA2C26">
              <w:t xml:space="preserve">3 market </w:t>
            </w:r>
            <w:proofErr w:type="spellStart"/>
            <w:r w:rsidRPr="00FA2C26">
              <w:t>actors</w:t>
            </w:r>
            <w:hyperlink w:anchor="Tn3a" w:history="1">
              <w:r w:rsidR="00D66EBD" w:rsidRPr="00CF5050">
                <w:rPr>
                  <w:rStyle w:val="Hyperlink"/>
                  <w:vertAlign w:val="superscript"/>
                </w:rPr>
                <w:t>a</w:t>
              </w:r>
              <w:proofErr w:type="spellEnd"/>
            </w:hyperlink>
          </w:p>
        </w:tc>
        <w:tc>
          <w:tcPr>
            <w:tcW w:w="834" w:type="pct"/>
            <w:tcBorders>
              <w:top w:val="single" w:sz="4" w:space="0" w:color="000000"/>
              <w:left w:val="single" w:sz="4" w:space="0" w:color="000000"/>
              <w:bottom w:val="single" w:sz="4" w:space="0" w:color="000000"/>
              <w:right w:val="single" w:sz="4" w:space="0" w:color="000000"/>
            </w:tcBorders>
          </w:tcPr>
          <w:p w14:paraId="3533390E" w14:textId="560A0AE1" w:rsidR="00701D12" w:rsidRPr="00FA2C26" w:rsidRDefault="009D7242" w:rsidP="00462DC0">
            <w:pPr>
              <w:pStyle w:val="TableBodyCopy"/>
            </w:pPr>
            <w:r>
              <w:t>SDG8</w:t>
            </w:r>
          </w:p>
        </w:tc>
      </w:tr>
      <w:tr w:rsidR="00701D12" w:rsidRPr="00FA2C26" w14:paraId="6D0EA7BF" w14:textId="77777777" w:rsidTr="00B43C63">
        <w:trPr>
          <w:trHeight w:val="472"/>
        </w:trPr>
        <w:tc>
          <w:tcPr>
            <w:tcW w:w="833" w:type="pct"/>
            <w:tcBorders>
              <w:top w:val="single" w:sz="4" w:space="0" w:color="000000"/>
              <w:left w:val="single" w:sz="4" w:space="0" w:color="000000"/>
              <w:bottom w:val="single" w:sz="4" w:space="0" w:color="000000"/>
              <w:right w:val="single" w:sz="4" w:space="0" w:color="000000"/>
            </w:tcBorders>
            <w:hideMark/>
          </w:tcPr>
          <w:p w14:paraId="42CEB82D" w14:textId="2CE9C2BD" w:rsidR="00701D12" w:rsidRPr="00FA2C26" w:rsidRDefault="000D6F33" w:rsidP="000D6F33">
            <w:pPr>
              <w:pStyle w:val="TableBodyCopy"/>
              <w:rPr>
                <w:rFonts w:cstheme="majorHAnsi"/>
              </w:rPr>
            </w:pPr>
            <w:r w:rsidRPr="0072182E">
              <w:rPr>
                <w:b/>
                <w:bCs/>
              </w:rPr>
              <w:t>Outcome 1.1</w:t>
            </w:r>
          </w:p>
        </w:tc>
        <w:tc>
          <w:tcPr>
            <w:tcW w:w="834" w:type="pct"/>
            <w:tcBorders>
              <w:top w:val="single" w:sz="4" w:space="0" w:color="000000"/>
              <w:left w:val="single" w:sz="4" w:space="0" w:color="000000"/>
              <w:bottom w:val="single" w:sz="4" w:space="0" w:color="000000"/>
              <w:right w:val="single" w:sz="4" w:space="0" w:color="000000"/>
            </w:tcBorders>
          </w:tcPr>
          <w:p w14:paraId="08323406" w14:textId="3DEC2618" w:rsidR="00701D12" w:rsidRPr="00FA2C26" w:rsidRDefault="000D6F33" w:rsidP="00462DC0">
            <w:pPr>
              <w:pStyle w:val="TableBodyCopy"/>
            </w:pPr>
            <w:r w:rsidRPr="00FA2C26">
              <w:t xml:space="preserve">1.1.3 Increased capacity of </w:t>
            </w:r>
            <w:r w:rsidR="000A0CD0">
              <w:t xml:space="preserve">our partner countries </w:t>
            </w:r>
            <w:r w:rsidRPr="00FA2C26">
              <w:t>to participate effectively in rules-based trade and economic architecture (Tier</w:t>
            </w:r>
            <w:r w:rsidR="00AD6D7F">
              <w:t> </w:t>
            </w:r>
            <w:r w:rsidRPr="00FA2C26">
              <w:t>2)</w:t>
            </w:r>
          </w:p>
        </w:tc>
        <w:tc>
          <w:tcPr>
            <w:tcW w:w="833" w:type="pct"/>
            <w:tcBorders>
              <w:top w:val="single" w:sz="4" w:space="0" w:color="000000"/>
              <w:left w:val="single" w:sz="4" w:space="0" w:color="000000"/>
              <w:bottom w:val="single" w:sz="4" w:space="0" w:color="000000"/>
              <w:right w:val="single" w:sz="4" w:space="0" w:color="000000"/>
            </w:tcBorders>
            <w:hideMark/>
          </w:tcPr>
          <w:p w14:paraId="3663F687" w14:textId="02948D04" w:rsidR="00701D12" w:rsidRPr="00FA2C26" w:rsidRDefault="00701D12" w:rsidP="00462DC0">
            <w:pPr>
              <w:pStyle w:val="TableBodyCopy"/>
            </w:pPr>
            <w:r w:rsidRPr="00FA2C26">
              <w:t xml:space="preserve">Increased capacity of </w:t>
            </w:r>
            <w:r w:rsidR="001A17AC">
              <w:t xml:space="preserve">the </w:t>
            </w:r>
            <w:r w:rsidRPr="00FA2C26">
              <w:t>Coordinating Ministry for Economic Affairs (CMEA), Ministry of Finance (MoF) and Ministry of Trade (</w:t>
            </w:r>
            <w:proofErr w:type="spellStart"/>
            <w:r w:rsidRPr="00FA2C26">
              <w:t>MoT</w:t>
            </w:r>
            <w:proofErr w:type="spellEnd"/>
            <w:r w:rsidRPr="00FA2C26">
              <w:t xml:space="preserve">) in trade policy and digital economy alignment with international frameworks, including the </w:t>
            </w:r>
            <w:r w:rsidR="00C114B2">
              <w:t>Association of Southeast Asian Nations (</w:t>
            </w:r>
            <w:r w:rsidRPr="00FA2C26">
              <w:t>ASEAN</w:t>
            </w:r>
            <w:r w:rsidR="00C114B2">
              <w:t>)</w:t>
            </w:r>
            <w:r w:rsidRPr="00FA2C26">
              <w:t xml:space="preserve"> Digital Economy Framework Agreement (DEFA)</w:t>
            </w:r>
          </w:p>
          <w:p w14:paraId="6BB22959" w14:textId="44D5E932" w:rsidR="00701D12" w:rsidRPr="00FA2C26" w:rsidRDefault="00701D12" w:rsidP="00462DC0">
            <w:pPr>
              <w:pStyle w:val="TableBodyCopy"/>
              <w:rPr>
                <w:rFonts w:asciiTheme="majorHAnsi" w:eastAsiaTheme="minorHAnsi" w:hAnsiTheme="majorHAnsi"/>
                <w:kern w:val="2"/>
                <w:sz w:val="22"/>
                <w:szCs w:val="22"/>
                <w14:ligatures w14:val="standardContextual"/>
              </w:rPr>
            </w:pPr>
            <w:r w:rsidRPr="00FA2C26">
              <w:t xml:space="preserve">Increased commercial agreements between Australian </w:t>
            </w:r>
            <w:r w:rsidRPr="00462DC0">
              <w:t>Registered</w:t>
            </w:r>
            <w:r w:rsidRPr="00FA2C26">
              <w:t xml:space="preserve"> Training Organisations </w:t>
            </w:r>
            <w:r w:rsidR="00C114B2">
              <w:t xml:space="preserve">(RTOs) </w:t>
            </w:r>
            <w:r w:rsidRPr="00FA2C26">
              <w:t xml:space="preserve">and Indonesian online training </w:t>
            </w:r>
            <w:proofErr w:type="gramStart"/>
            <w:r w:rsidRPr="00FA2C26">
              <w:t>platforms</w:t>
            </w:r>
            <w:proofErr w:type="gramEnd"/>
          </w:p>
          <w:p w14:paraId="1A4C795A" w14:textId="5D5FFA01" w:rsidR="00701D12" w:rsidRPr="00FA2C26" w:rsidRDefault="00701D12" w:rsidP="00462DC0">
            <w:pPr>
              <w:pStyle w:val="TableBodyCopy"/>
            </w:pPr>
            <w:r w:rsidRPr="00FA2C26">
              <w:lastRenderedPageBreak/>
              <w:t xml:space="preserve">Increased access to </w:t>
            </w:r>
            <w:r w:rsidRPr="00462DC0">
              <w:t>Australian</w:t>
            </w:r>
            <w:r w:rsidRPr="00FA2C26">
              <w:t xml:space="preserve"> training providers through online platforms</w:t>
            </w:r>
          </w:p>
        </w:tc>
        <w:tc>
          <w:tcPr>
            <w:tcW w:w="834" w:type="pct"/>
            <w:tcBorders>
              <w:top w:val="single" w:sz="4" w:space="0" w:color="000000"/>
              <w:left w:val="single" w:sz="4" w:space="0" w:color="000000"/>
              <w:bottom w:val="single" w:sz="4" w:space="0" w:color="000000"/>
              <w:right w:val="single" w:sz="4" w:space="0" w:color="000000"/>
            </w:tcBorders>
            <w:hideMark/>
          </w:tcPr>
          <w:p w14:paraId="02D833F0" w14:textId="4606E635" w:rsidR="00701D12" w:rsidRPr="00FA2C26" w:rsidRDefault="00701D12" w:rsidP="00462DC0">
            <w:pPr>
              <w:pStyle w:val="TableBodyCopy"/>
            </w:pPr>
            <w:r w:rsidRPr="00FA2C26">
              <w:lastRenderedPageBreak/>
              <w:t xml:space="preserve">Increased capacity of CMEA, MoF and </w:t>
            </w:r>
            <w:proofErr w:type="spellStart"/>
            <w:r w:rsidRPr="00FA2C26">
              <w:t>MoT</w:t>
            </w:r>
            <w:proofErr w:type="spellEnd"/>
            <w:r w:rsidRPr="00FA2C26">
              <w:t xml:space="preserve"> in trade policy and digital economy alignment with international frameworks, including ASEAN DEFA</w:t>
            </w:r>
          </w:p>
          <w:p w14:paraId="7E6E2467" w14:textId="02A88327" w:rsidR="00701D12" w:rsidRPr="00FA2C26" w:rsidRDefault="00701D12" w:rsidP="00462DC0">
            <w:pPr>
              <w:pStyle w:val="TableBodyCopy"/>
              <w:rPr>
                <w:rFonts w:asciiTheme="majorHAnsi" w:eastAsiaTheme="minorHAnsi" w:hAnsiTheme="majorHAnsi"/>
                <w:kern w:val="2"/>
                <w:sz w:val="22"/>
                <w:szCs w:val="22"/>
                <w14:ligatures w14:val="standardContextual"/>
              </w:rPr>
            </w:pPr>
            <w:r w:rsidRPr="00FA2C26">
              <w:t xml:space="preserve">Increased commercial agreements between Australian RTOs and </w:t>
            </w:r>
            <w:r w:rsidRPr="00462DC0">
              <w:t>Indonesian</w:t>
            </w:r>
            <w:r w:rsidRPr="00FA2C26">
              <w:t xml:space="preserve"> online training </w:t>
            </w:r>
            <w:proofErr w:type="gramStart"/>
            <w:r w:rsidRPr="00FA2C26">
              <w:t>platforms</w:t>
            </w:r>
            <w:proofErr w:type="gramEnd"/>
          </w:p>
          <w:p w14:paraId="62778F9B" w14:textId="15BC1B01" w:rsidR="00701D12" w:rsidRPr="00FA2C26" w:rsidRDefault="00701D12" w:rsidP="00462DC0">
            <w:pPr>
              <w:pStyle w:val="TableBodyCopy"/>
            </w:pPr>
            <w:r w:rsidRPr="00FA2C26">
              <w:rPr>
                <w:rFonts w:eastAsiaTheme="minorHAnsi"/>
                <w:kern w:val="2"/>
                <w14:ligatures w14:val="standardContextual"/>
              </w:rPr>
              <w:t>Increased professionally trained electricians</w:t>
            </w:r>
            <w:r w:rsidR="009467F3">
              <w:rPr>
                <w:rFonts w:eastAsiaTheme="minorHAnsi"/>
                <w:kern w:val="2"/>
                <w14:ligatures w14:val="standardContextual"/>
              </w:rPr>
              <w:t>,</w:t>
            </w:r>
            <w:r w:rsidRPr="00FA2C26">
              <w:rPr>
                <w:rFonts w:eastAsiaTheme="minorHAnsi"/>
                <w:kern w:val="2"/>
                <w14:ligatures w14:val="standardContextual"/>
              </w:rPr>
              <w:t xml:space="preserve"> improving safety and quality of services</w:t>
            </w:r>
          </w:p>
        </w:tc>
        <w:tc>
          <w:tcPr>
            <w:tcW w:w="833" w:type="pct"/>
            <w:tcBorders>
              <w:top w:val="single" w:sz="4" w:space="0" w:color="000000"/>
              <w:left w:val="single" w:sz="4" w:space="0" w:color="000000"/>
              <w:bottom w:val="single" w:sz="4" w:space="0" w:color="000000"/>
              <w:right w:val="single" w:sz="4" w:space="0" w:color="000000"/>
            </w:tcBorders>
            <w:hideMark/>
          </w:tcPr>
          <w:p w14:paraId="1C7D5618" w14:textId="4A5DE704" w:rsidR="00701D12" w:rsidRPr="00FA2C26" w:rsidRDefault="00701D12" w:rsidP="00462DC0">
            <w:pPr>
              <w:pStyle w:val="TableBodyCopy"/>
            </w:pPr>
            <w:r w:rsidRPr="00FA2C26">
              <w:t xml:space="preserve">Increased capacity of CMEA, MoF and </w:t>
            </w:r>
            <w:proofErr w:type="spellStart"/>
            <w:r w:rsidRPr="00FA2C26">
              <w:t>MoT</w:t>
            </w:r>
            <w:proofErr w:type="spellEnd"/>
            <w:r w:rsidRPr="00FA2C26">
              <w:t xml:space="preserve"> in trade policy and digital economy alignment with international frameworks, including ASEAN DEFA</w:t>
            </w:r>
          </w:p>
        </w:tc>
        <w:tc>
          <w:tcPr>
            <w:tcW w:w="834" w:type="pct"/>
            <w:tcBorders>
              <w:top w:val="single" w:sz="4" w:space="0" w:color="000000"/>
              <w:left w:val="single" w:sz="4" w:space="0" w:color="000000"/>
              <w:bottom w:val="single" w:sz="4" w:space="0" w:color="000000"/>
              <w:right w:val="single" w:sz="4" w:space="0" w:color="000000"/>
            </w:tcBorders>
          </w:tcPr>
          <w:p w14:paraId="0F5C900B" w14:textId="6B814500" w:rsidR="00701D12" w:rsidRPr="00FA2C26" w:rsidRDefault="009D7242" w:rsidP="00462DC0">
            <w:pPr>
              <w:pStyle w:val="TableBodyCopy"/>
            </w:pPr>
            <w:r>
              <w:t>SDG</w:t>
            </w:r>
            <w:r w:rsidR="00701D12" w:rsidRPr="00FA2C26">
              <w:t>17</w:t>
            </w:r>
            <w:r>
              <w:t xml:space="preserve">: </w:t>
            </w:r>
            <w:r w:rsidR="00701D12" w:rsidRPr="00FA2C26">
              <w:t xml:space="preserve">Partnerships for the </w:t>
            </w:r>
            <w:r>
              <w:t>g</w:t>
            </w:r>
            <w:r w:rsidR="00701D12" w:rsidRPr="00FA2C26">
              <w:t>oals</w:t>
            </w:r>
          </w:p>
        </w:tc>
      </w:tr>
      <w:bookmarkEnd w:id="4"/>
      <w:tr w:rsidR="00C17216" w:rsidRPr="001F1AAF" w14:paraId="20E023EB" w14:textId="77777777" w:rsidTr="00B43C63">
        <w:trPr>
          <w:trHeight w:val="472"/>
        </w:trPr>
        <w:tc>
          <w:tcPr>
            <w:tcW w:w="833" w:type="pct"/>
            <w:tcBorders>
              <w:top w:val="single" w:sz="4" w:space="0" w:color="000000"/>
              <w:left w:val="single" w:sz="4" w:space="0" w:color="000000"/>
              <w:bottom w:val="single" w:sz="4" w:space="0" w:color="000000"/>
              <w:right w:val="single" w:sz="4" w:space="0" w:color="000000"/>
            </w:tcBorders>
          </w:tcPr>
          <w:p w14:paraId="616B4E49" w14:textId="54E74933" w:rsidR="001F1AAF" w:rsidRPr="001F1AAF" w:rsidRDefault="001F1AAF" w:rsidP="001F1AAF">
            <w:pPr>
              <w:pStyle w:val="TableBodyCopy"/>
              <w:rPr>
                <w:b/>
                <w:bCs/>
              </w:rPr>
            </w:pPr>
            <w:r w:rsidRPr="001F1AAF">
              <w:rPr>
                <w:b/>
                <w:bCs/>
              </w:rPr>
              <w:t>Outcome 1.2</w:t>
            </w:r>
          </w:p>
          <w:p w14:paraId="68BA9E5A" w14:textId="7309326E" w:rsidR="00C17216" w:rsidRPr="001F1AAF" w:rsidRDefault="001F1AAF" w:rsidP="001F1AAF">
            <w:pPr>
              <w:pStyle w:val="TableBodyCopy"/>
            </w:pPr>
            <w:r w:rsidRPr="001F1AAF">
              <w:t>Human development, governance, service delivery, and gender and disability equality are strengthened</w:t>
            </w:r>
          </w:p>
        </w:tc>
        <w:tc>
          <w:tcPr>
            <w:tcW w:w="834" w:type="pct"/>
            <w:tcBorders>
              <w:top w:val="single" w:sz="4" w:space="0" w:color="000000"/>
              <w:left w:val="single" w:sz="4" w:space="0" w:color="000000"/>
              <w:bottom w:val="single" w:sz="4" w:space="0" w:color="000000"/>
              <w:right w:val="single" w:sz="4" w:space="0" w:color="000000"/>
            </w:tcBorders>
          </w:tcPr>
          <w:p w14:paraId="5A59CEE4" w14:textId="49683B59" w:rsidR="00C17216" w:rsidRPr="00462DC0" w:rsidRDefault="001F1AAF" w:rsidP="00462DC0">
            <w:pPr>
              <w:pStyle w:val="TableBodyCopy"/>
            </w:pPr>
            <w:r w:rsidRPr="00462DC0">
              <w:t>1.2.1 Number of people who successfully complete a tertiary or technical/vocational course or work-related training (Tier 2)</w:t>
            </w:r>
          </w:p>
        </w:tc>
        <w:tc>
          <w:tcPr>
            <w:tcW w:w="833" w:type="pct"/>
            <w:tcBorders>
              <w:top w:val="single" w:sz="4" w:space="0" w:color="000000"/>
              <w:left w:val="single" w:sz="4" w:space="0" w:color="000000"/>
              <w:bottom w:val="single" w:sz="4" w:space="0" w:color="000000"/>
              <w:right w:val="single" w:sz="4" w:space="0" w:color="000000"/>
            </w:tcBorders>
          </w:tcPr>
          <w:p w14:paraId="4262E5C2" w14:textId="55C1080C" w:rsidR="00C17216" w:rsidRPr="00462DC0" w:rsidRDefault="001F1AAF" w:rsidP="00462DC0">
            <w:pPr>
              <w:pStyle w:val="TableBodyCopy"/>
            </w:pPr>
            <w:r w:rsidRPr="00462DC0">
              <w:t>500 people</w:t>
            </w:r>
          </w:p>
        </w:tc>
        <w:tc>
          <w:tcPr>
            <w:tcW w:w="834" w:type="pct"/>
            <w:tcBorders>
              <w:top w:val="single" w:sz="4" w:space="0" w:color="000000"/>
              <w:left w:val="single" w:sz="4" w:space="0" w:color="000000"/>
              <w:bottom w:val="single" w:sz="4" w:space="0" w:color="000000"/>
              <w:right w:val="single" w:sz="4" w:space="0" w:color="000000"/>
            </w:tcBorders>
          </w:tcPr>
          <w:p w14:paraId="671510A7" w14:textId="43B06E21" w:rsidR="00C17216" w:rsidRPr="00462DC0" w:rsidRDefault="001F1AAF" w:rsidP="00462DC0">
            <w:pPr>
              <w:pStyle w:val="TableBodyCopy"/>
            </w:pPr>
            <w:r w:rsidRPr="00462DC0">
              <w:t>500 people</w:t>
            </w:r>
          </w:p>
        </w:tc>
        <w:tc>
          <w:tcPr>
            <w:tcW w:w="833" w:type="pct"/>
            <w:tcBorders>
              <w:top w:val="single" w:sz="4" w:space="0" w:color="000000"/>
              <w:left w:val="single" w:sz="4" w:space="0" w:color="000000"/>
              <w:bottom w:val="single" w:sz="4" w:space="0" w:color="000000"/>
              <w:right w:val="single" w:sz="4" w:space="0" w:color="000000"/>
            </w:tcBorders>
          </w:tcPr>
          <w:p w14:paraId="2E2CB3F5" w14:textId="3751E8B6" w:rsidR="00C17216" w:rsidRPr="00462DC0" w:rsidRDefault="001F1AAF" w:rsidP="00462DC0">
            <w:pPr>
              <w:pStyle w:val="TableBodyCopy"/>
            </w:pPr>
            <w:r w:rsidRPr="00462DC0">
              <w:t>500 people</w:t>
            </w:r>
          </w:p>
        </w:tc>
        <w:tc>
          <w:tcPr>
            <w:tcW w:w="834" w:type="pct"/>
            <w:tcBorders>
              <w:top w:val="single" w:sz="4" w:space="0" w:color="000000"/>
              <w:left w:val="single" w:sz="4" w:space="0" w:color="000000"/>
              <w:bottom w:val="single" w:sz="4" w:space="0" w:color="000000"/>
              <w:right w:val="single" w:sz="4" w:space="0" w:color="000000"/>
            </w:tcBorders>
          </w:tcPr>
          <w:p w14:paraId="040076F4" w14:textId="5F4AACF9" w:rsidR="00C17216" w:rsidRPr="00462DC0" w:rsidDel="009D7242" w:rsidRDefault="00462DC0" w:rsidP="00462DC0">
            <w:pPr>
              <w:pStyle w:val="TableBodyCopy"/>
            </w:pPr>
            <w:r w:rsidRPr="00462DC0">
              <w:t>SD</w:t>
            </w:r>
            <w:r w:rsidR="001F1AAF" w:rsidRPr="00462DC0">
              <w:t>G4</w:t>
            </w:r>
            <w:r w:rsidRPr="00462DC0">
              <w:t>:</w:t>
            </w:r>
            <w:r w:rsidR="001F1AAF" w:rsidRPr="00462DC0">
              <w:t xml:space="preserve"> Quality education</w:t>
            </w:r>
          </w:p>
        </w:tc>
      </w:tr>
      <w:tr w:rsidR="00462DC0" w:rsidRPr="001F1AAF" w14:paraId="7FAC7185" w14:textId="77777777" w:rsidTr="00B43C63">
        <w:trPr>
          <w:trHeight w:val="472"/>
        </w:trPr>
        <w:tc>
          <w:tcPr>
            <w:tcW w:w="833" w:type="pct"/>
            <w:tcBorders>
              <w:top w:val="single" w:sz="4" w:space="0" w:color="000000"/>
              <w:left w:val="single" w:sz="4" w:space="0" w:color="000000"/>
              <w:bottom w:val="single" w:sz="4" w:space="0" w:color="000000"/>
              <w:right w:val="single" w:sz="4" w:space="0" w:color="000000"/>
            </w:tcBorders>
          </w:tcPr>
          <w:p w14:paraId="416404B6" w14:textId="0885B40A" w:rsidR="00462DC0" w:rsidRPr="001F1AAF" w:rsidRDefault="00462DC0" w:rsidP="00462DC0">
            <w:pPr>
              <w:pStyle w:val="TableBodyCopy"/>
              <w:rPr>
                <w:b/>
                <w:bCs/>
              </w:rPr>
            </w:pPr>
            <w:r w:rsidRPr="001F1AAF">
              <w:rPr>
                <w:b/>
                <w:bCs/>
              </w:rPr>
              <w:t>Outcome 1.2</w:t>
            </w:r>
          </w:p>
        </w:tc>
        <w:tc>
          <w:tcPr>
            <w:tcW w:w="834" w:type="pct"/>
            <w:tcBorders>
              <w:top w:val="single" w:sz="4" w:space="0" w:color="000000"/>
              <w:left w:val="single" w:sz="4" w:space="0" w:color="000000"/>
              <w:bottom w:val="single" w:sz="4" w:space="0" w:color="000000"/>
              <w:right w:val="single" w:sz="4" w:space="0" w:color="000000"/>
            </w:tcBorders>
          </w:tcPr>
          <w:p w14:paraId="35159CCC" w14:textId="54ACF753" w:rsidR="00462DC0" w:rsidRPr="00462DC0" w:rsidRDefault="00462DC0" w:rsidP="00462DC0">
            <w:pPr>
              <w:pStyle w:val="TableBodyCopy"/>
            </w:pPr>
            <w:r w:rsidRPr="00FA2C26">
              <w:t>1.2.2 Improved health system capacity to provide quality, accessible, affordable health services (Tier 2)</w:t>
            </w:r>
          </w:p>
        </w:tc>
        <w:tc>
          <w:tcPr>
            <w:tcW w:w="833" w:type="pct"/>
            <w:tcBorders>
              <w:top w:val="single" w:sz="4" w:space="0" w:color="000000"/>
              <w:left w:val="single" w:sz="4" w:space="0" w:color="000000"/>
              <w:bottom w:val="single" w:sz="4" w:space="0" w:color="000000"/>
              <w:right w:val="single" w:sz="4" w:space="0" w:color="000000"/>
            </w:tcBorders>
          </w:tcPr>
          <w:p w14:paraId="75B3FD17" w14:textId="680C2C1D" w:rsidR="00462DC0" w:rsidRPr="00FA2C26" w:rsidRDefault="00462DC0" w:rsidP="00462DC0">
            <w:pPr>
              <w:pStyle w:val="TableBodyCopy"/>
            </w:pPr>
            <w:r w:rsidRPr="00FA2C26">
              <w:t xml:space="preserve">Ministry of Health (MoH) supported in their Health Transformation Agenda, including in planning and resourcing </w:t>
            </w:r>
            <w:proofErr w:type="gramStart"/>
            <w:r w:rsidRPr="00FA2C26">
              <w:t>improvement</w:t>
            </w:r>
            <w:proofErr w:type="gramEnd"/>
          </w:p>
          <w:p w14:paraId="192D206B" w14:textId="051DAD82" w:rsidR="00462DC0" w:rsidRPr="00462DC0" w:rsidRDefault="00462DC0" w:rsidP="00462DC0">
            <w:pPr>
              <w:pStyle w:val="TableBodyCopy"/>
            </w:pPr>
            <w:r w:rsidRPr="00FA2C26">
              <w:t>Adopted lessons and best practices to improve health security systems at national and subnational levels</w:t>
            </w:r>
          </w:p>
        </w:tc>
        <w:tc>
          <w:tcPr>
            <w:tcW w:w="834" w:type="pct"/>
            <w:tcBorders>
              <w:top w:val="single" w:sz="4" w:space="0" w:color="000000"/>
              <w:left w:val="single" w:sz="4" w:space="0" w:color="000000"/>
              <w:bottom w:val="single" w:sz="4" w:space="0" w:color="000000"/>
              <w:right w:val="single" w:sz="4" w:space="0" w:color="000000"/>
            </w:tcBorders>
          </w:tcPr>
          <w:p w14:paraId="36183B76" w14:textId="1001BFB9" w:rsidR="00462DC0" w:rsidRPr="00FA2C26" w:rsidRDefault="00462DC0" w:rsidP="00462DC0">
            <w:pPr>
              <w:pStyle w:val="TableBodyCopy"/>
            </w:pPr>
            <w:r w:rsidRPr="00FA2C26">
              <w:t xml:space="preserve">MoH supported in their Health Transformation Agenda, including in planning and resourcing </w:t>
            </w:r>
            <w:proofErr w:type="gramStart"/>
            <w:r w:rsidRPr="00FA2C26">
              <w:t>improvement</w:t>
            </w:r>
            <w:proofErr w:type="gramEnd"/>
          </w:p>
          <w:p w14:paraId="5C7549E9" w14:textId="658FF9F1" w:rsidR="00462DC0" w:rsidRPr="00FA2C26" w:rsidRDefault="00462DC0" w:rsidP="00462DC0">
            <w:pPr>
              <w:pStyle w:val="TableBodyCopy"/>
            </w:pPr>
            <w:r w:rsidRPr="00FA2C26">
              <w:t>Improved generation and use of evidence for policy and decision</w:t>
            </w:r>
            <w:r w:rsidRPr="00FA2C26">
              <w:noBreakHyphen/>
              <w:t xml:space="preserve">making in </w:t>
            </w:r>
            <w:proofErr w:type="gramStart"/>
            <w:r w:rsidRPr="00FA2C26">
              <w:t>MoH</w:t>
            </w:r>
            <w:proofErr w:type="gramEnd"/>
          </w:p>
          <w:p w14:paraId="73416855" w14:textId="7D5E8D17" w:rsidR="00462DC0" w:rsidRPr="00462DC0" w:rsidRDefault="00462DC0" w:rsidP="00462DC0">
            <w:pPr>
              <w:pStyle w:val="TableBodyCopy"/>
            </w:pPr>
            <w:r w:rsidRPr="00FA2C26">
              <w:t>Improved health reforms in at least one priority area of system strengthening</w:t>
            </w:r>
          </w:p>
        </w:tc>
        <w:tc>
          <w:tcPr>
            <w:tcW w:w="833" w:type="pct"/>
            <w:tcBorders>
              <w:top w:val="single" w:sz="4" w:space="0" w:color="000000"/>
              <w:left w:val="single" w:sz="4" w:space="0" w:color="000000"/>
              <w:bottom w:val="single" w:sz="4" w:space="0" w:color="000000"/>
              <w:right w:val="single" w:sz="4" w:space="0" w:color="000000"/>
            </w:tcBorders>
          </w:tcPr>
          <w:p w14:paraId="2F4C7F50" w14:textId="2F57A45E" w:rsidR="00462DC0" w:rsidRPr="00462DC0" w:rsidRDefault="00462DC0" w:rsidP="00462DC0">
            <w:pPr>
              <w:pStyle w:val="TableBodyCopy"/>
            </w:pPr>
            <w:r w:rsidRPr="00FA2C26">
              <w:t>Improved MoH planning and resourcing in line with Indonesia’s priority health system reforms</w:t>
            </w:r>
          </w:p>
        </w:tc>
        <w:tc>
          <w:tcPr>
            <w:tcW w:w="834" w:type="pct"/>
            <w:tcBorders>
              <w:top w:val="single" w:sz="4" w:space="0" w:color="000000"/>
              <w:left w:val="single" w:sz="4" w:space="0" w:color="000000"/>
              <w:bottom w:val="single" w:sz="4" w:space="0" w:color="000000"/>
              <w:right w:val="single" w:sz="4" w:space="0" w:color="000000"/>
            </w:tcBorders>
          </w:tcPr>
          <w:p w14:paraId="24BCF269" w14:textId="35497439" w:rsidR="00462DC0" w:rsidRPr="00462DC0" w:rsidRDefault="00462DC0" w:rsidP="00462DC0">
            <w:pPr>
              <w:pStyle w:val="TableBodyCopy"/>
            </w:pPr>
            <w:r>
              <w:t>SD</w:t>
            </w:r>
            <w:r w:rsidRPr="00FA2C26">
              <w:t>G3</w:t>
            </w:r>
            <w:r>
              <w:t>:</w:t>
            </w:r>
            <w:r w:rsidRPr="00FA2C26">
              <w:t xml:space="preserve"> Good </w:t>
            </w:r>
            <w:r>
              <w:t>h</w:t>
            </w:r>
            <w:r w:rsidRPr="00FA2C26">
              <w:t xml:space="preserve">ealth and </w:t>
            </w:r>
            <w:r>
              <w:t>w</w:t>
            </w:r>
            <w:r w:rsidRPr="00FA2C26">
              <w:t>ell</w:t>
            </w:r>
            <w:r w:rsidR="00295F67">
              <w:t>-</w:t>
            </w:r>
            <w:r w:rsidRPr="00FA2C26">
              <w:t>being</w:t>
            </w:r>
          </w:p>
        </w:tc>
      </w:tr>
      <w:tr w:rsidR="00462DC0" w:rsidRPr="001F1AAF" w14:paraId="03B3E528" w14:textId="77777777" w:rsidTr="00CF5050">
        <w:trPr>
          <w:cantSplit/>
          <w:trHeight w:val="472"/>
        </w:trPr>
        <w:tc>
          <w:tcPr>
            <w:tcW w:w="0" w:type="pct"/>
            <w:tcBorders>
              <w:top w:val="single" w:sz="4" w:space="0" w:color="000000"/>
              <w:left w:val="single" w:sz="4" w:space="0" w:color="000000"/>
              <w:bottom w:val="single" w:sz="4" w:space="0" w:color="000000"/>
              <w:right w:val="single" w:sz="4" w:space="0" w:color="000000"/>
            </w:tcBorders>
          </w:tcPr>
          <w:p w14:paraId="51E991D6" w14:textId="02D148C0" w:rsidR="00462DC0" w:rsidRPr="001F1AAF" w:rsidRDefault="00462DC0" w:rsidP="00462DC0">
            <w:pPr>
              <w:pStyle w:val="TableBodyCopy"/>
              <w:rPr>
                <w:b/>
                <w:bCs/>
              </w:rPr>
            </w:pPr>
            <w:r w:rsidRPr="001F1AAF">
              <w:rPr>
                <w:b/>
                <w:bCs/>
              </w:rPr>
              <w:t>Outcome 1.2</w:t>
            </w:r>
          </w:p>
        </w:tc>
        <w:tc>
          <w:tcPr>
            <w:tcW w:w="0" w:type="pct"/>
            <w:tcBorders>
              <w:top w:val="single" w:sz="4" w:space="0" w:color="000000"/>
              <w:left w:val="single" w:sz="4" w:space="0" w:color="000000"/>
              <w:bottom w:val="single" w:sz="4" w:space="0" w:color="000000"/>
              <w:right w:val="single" w:sz="4" w:space="0" w:color="000000"/>
            </w:tcBorders>
          </w:tcPr>
          <w:p w14:paraId="088CAC71" w14:textId="0A701289" w:rsidR="00462DC0" w:rsidRPr="00FA2C26" w:rsidRDefault="00462DC0" w:rsidP="00AA461F">
            <w:pPr>
              <w:pStyle w:val="TableBodyCopy"/>
            </w:pPr>
            <w:r w:rsidRPr="00FA2C26">
              <w:t>1.2.3 Improved ability to anticipate, prevent, detect</w:t>
            </w:r>
            <w:r w:rsidR="00003963">
              <w:t>,</w:t>
            </w:r>
            <w:r w:rsidRPr="00FA2C26">
              <w:t xml:space="preserve"> and control communicable disease threats (Tier 2)</w:t>
            </w:r>
          </w:p>
        </w:tc>
        <w:tc>
          <w:tcPr>
            <w:tcW w:w="0" w:type="pct"/>
            <w:tcBorders>
              <w:top w:val="single" w:sz="4" w:space="0" w:color="000000"/>
              <w:left w:val="single" w:sz="4" w:space="0" w:color="000000"/>
              <w:bottom w:val="single" w:sz="4" w:space="0" w:color="000000"/>
              <w:right w:val="single" w:sz="4" w:space="0" w:color="000000"/>
            </w:tcBorders>
          </w:tcPr>
          <w:p w14:paraId="17C01B88" w14:textId="611F39A8" w:rsidR="00462DC0" w:rsidRPr="00FA2C26" w:rsidRDefault="00462DC0" w:rsidP="00AA461F">
            <w:pPr>
              <w:pStyle w:val="TableBodyCopy"/>
            </w:pPr>
            <w:r w:rsidRPr="00FA2C26">
              <w:t>Adoption and strengthening of information systems for improved outbreak detection and response at national and subnational levels</w:t>
            </w:r>
          </w:p>
        </w:tc>
        <w:tc>
          <w:tcPr>
            <w:tcW w:w="0" w:type="pct"/>
            <w:tcBorders>
              <w:top w:val="single" w:sz="4" w:space="0" w:color="000000"/>
              <w:left w:val="single" w:sz="4" w:space="0" w:color="000000"/>
              <w:bottom w:val="single" w:sz="4" w:space="0" w:color="000000"/>
              <w:right w:val="single" w:sz="4" w:space="0" w:color="000000"/>
            </w:tcBorders>
          </w:tcPr>
          <w:p w14:paraId="3FECF7E3" w14:textId="5E110926" w:rsidR="00462DC0" w:rsidRPr="00FA2C26" w:rsidRDefault="00462DC0" w:rsidP="00AA461F">
            <w:pPr>
              <w:pStyle w:val="TableBodyCopy"/>
            </w:pPr>
            <w:r w:rsidRPr="00FA2C26">
              <w:t>Improved health reforms in at least one priority area of health security</w:t>
            </w:r>
          </w:p>
        </w:tc>
        <w:tc>
          <w:tcPr>
            <w:tcW w:w="0" w:type="pct"/>
            <w:tcBorders>
              <w:top w:val="single" w:sz="4" w:space="0" w:color="000000"/>
              <w:left w:val="single" w:sz="4" w:space="0" w:color="000000"/>
              <w:bottom w:val="single" w:sz="4" w:space="0" w:color="000000"/>
              <w:right w:val="single" w:sz="4" w:space="0" w:color="000000"/>
            </w:tcBorders>
          </w:tcPr>
          <w:p w14:paraId="00EEA43F" w14:textId="4E5F6182" w:rsidR="00462DC0" w:rsidRPr="00FA2C26" w:rsidRDefault="00462DC0" w:rsidP="00AA461F">
            <w:pPr>
              <w:pStyle w:val="TableBodyCopy"/>
            </w:pPr>
            <w:r w:rsidRPr="00FA2C26">
              <w:t>Improved MoH planning and resourcing in line with Indonesia’s health security priorities</w:t>
            </w:r>
          </w:p>
        </w:tc>
        <w:tc>
          <w:tcPr>
            <w:tcW w:w="0" w:type="pct"/>
            <w:tcBorders>
              <w:top w:val="single" w:sz="4" w:space="0" w:color="000000"/>
              <w:left w:val="single" w:sz="4" w:space="0" w:color="000000"/>
              <w:bottom w:val="single" w:sz="4" w:space="0" w:color="000000"/>
              <w:right w:val="single" w:sz="4" w:space="0" w:color="000000"/>
            </w:tcBorders>
          </w:tcPr>
          <w:p w14:paraId="5E1FC420" w14:textId="3C2C925E" w:rsidR="00462DC0" w:rsidRDefault="00D77E66" w:rsidP="00AA461F">
            <w:pPr>
              <w:pStyle w:val="TableBodyCopy"/>
            </w:pPr>
            <w:r>
              <w:t>SDG3</w:t>
            </w:r>
          </w:p>
        </w:tc>
      </w:tr>
      <w:tr w:rsidR="00462DC0" w:rsidRPr="001F1AAF" w14:paraId="3A4DC2AB" w14:textId="77777777" w:rsidTr="00B43C63">
        <w:trPr>
          <w:trHeight w:val="472"/>
        </w:trPr>
        <w:tc>
          <w:tcPr>
            <w:tcW w:w="833" w:type="pct"/>
            <w:tcBorders>
              <w:top w:val="single" w:sz="4" w:space="0" w:color="000000"/>
              <w:left w:val="single" w:sz="4" w:space="0" w:color="000000"/>
              <w:bottom w:val="single" w:sz="4" w:space="0" w:color="000000"/>
              <w:right w:val="single" w:sz="4" w:space="0" w:color="000000"/>
            </w:tcBorders>
          </w:tcPr>
          <w:p w14:paraId="226D9F95" w14:textId="0B2C4AC6" w:rsidR="00462DC0" w:rsidRPr="001F1AAF" w:rsidRDefault="00462DC0" w:rsidP="00462DC0">
            <w:pPr>
              <w:pStyle w:val="TableBodyCopy"/>
              <w:rPr>
                <w:b/>
                <w:bCs/>
              </w:rPr>
            </w:pPr>
            <w:r w:rsidRPr="001F1AAF">
              <w:rPr>
                <w:b/>
                <w:bCs/>
              </w:rPr>
              <w:t>Outcome 1.2</w:t>
            </w:r>
          </w:p>
        </w:tc>
        <w:tc>
          <w:tcPr>
            <w:tcW w:w="834" w:type="pct"/>
            <w:tcBorders>
              <w:top w:val="single" w:sz="4" w:space="0" w:color="000000"/>
              <w:left w:val="single" w:sz="4" w:space="0" w:color="000000"/>
              <w:bottom w:val="single" w:sz="4" w:space="0" w:color="000000"/>
              <w:right w:val="single" w:sz="4" w:space="0" w:color="000000"/>
            </w:tcBorders>
          </w:tcPr>
          <w:p w14:paraId="628FDA7D" w14:textId="1611222F" w:rsidR="00462DC0" w:rsidRPr="00FA2C26" w:rsidRDefault="00462DC0" w:rsidP="00AA461F">
            <w:pPr>
              <w:pStyle w:val="TableBodyCopy"/>
            </w:pPr>
            <w:r w:rsidRPr="00FA2C26">
              <w:t xml:space="preserve">1.2.4 Improved quality of inclusive teaching, </w:t>
            </w:r>
            <w:r w:rsidRPr="00FA2C26">
              <w:lastRenderedPageBreak/>
              <w:t>curriculum, and learning outcomes</w:t>
            </w:r>
          </w:p>
        </w:tc>
        <w:tc>
          <w:tcPr>
            <w:tcW w:w="833" w:type="pct"/>
            <w:tcBorders>
              <w:top w:val="single" w:sz="4" w:space="0" w:color="000000"/>
              <w:left w:val="single" w:sz="4" w:space="0" w:color="000000"/>
              <w:bottom w:val="single" w:sz="4" w:space="0" w:color="000000"/>
              <w:right w:val="single" w:sz="4" w:space="0" w:color="000000"/>
            </w:tcBorders>
          </w:tcPr>
          <w:p w14:paraId="367A7681" w14:textId="4804B854" w:rsidR="00462DC0" w:rsidRPr="00FA2C26" w:rsidRDefault="00462DC0" w:rsidP="00AA461F">
            <w:pPr>
              <w:pStyle w:val="TableBodyCopy"/>
            </w:pPr>
            <w:r w:rsidRPr="00FA2C26">
              <w:lastRenderedPageBreak/>
              <w:t xml:space="preserve">Formal mechanisms established to coordinate stakeholders in improving </w:t>
            </w:r>
            <w:r w:rsidRPr="00FA2C26">
              <w:lastRenderedPageBreak/>
              <w:t>student</w:t>
            </w:r>
            <w:r w:rsidR="00F02C9F">
              <w:t>s’</w:t>
            </w:r>
            <w:r w:rsidRPr="00FA2C26">
              <w:t xml:space="preserve"> foundational skills in targeted </w:t>
            </w:r>
            <w:proofErr w:type="gramStart"/>
            <w:r w:rsidRPr="00FA2C26">
              <w:t>districts</w:t>
            </w:r>
            <w:proofErr w:type="gramEnd"/>
          </w:p>
          <w:p w14:paraId="1320FD92" w14:textId="78203A31" w:rsidR="00462DC0" w:rsidRPr="00FA2C26" w:rsidRDefault="00462DC0" w:rsidP="00AA461F">
            <w:pPr>
              <w:pStyle w:val="TableBodyCopy"/>
            </w:pPr>
            <w:r w:rsidRPr="00FA2C26">
              <w:t>Strategic plans established to improve students</w:t>
            </w:r>
            <w:r w:rsidR="00F02C9F">
              <w:t>’</w:t>
            </w:r>
            <w:r w:rsidRPr="00FA2C26">
              <w:t xml:space="preserve"> foundational skills learning outcomes by seeking improvement in:</w:t>
            </w:r>
          </w:p>
          <w:p w14:paraId="73AC812F" w14:textId="0765552D" w:rsidR="00462DC0" w:rsidRPr="00FA2C26" w:rsidRDefault="00462DC0" w:rsidP="00CF5050">
            <w:pPr>
              <w:pStyle w:val="Tablebullet"/>
            </w:pPr>
            <w:r w:rsidRPr="00FA2C26">
              <w:t xml:space="preserve">school </w:t>
            </w:r>
            <w:proofErr w:type="gramStart"/>
            <w:r w:rsidRPr="00FA2C26">
              <w:t>leadership</w:t>
            </w:r>
            <w:proofErr w:type="gramEnd"/>
          </w:p>
          <w:p w14:paraId="3BE4DC4A" w14:textId="55815E10" w:rsidR="00462DC0" w:rsidRPr="00FA2C26" w:rsidRDefault="00462DC0" w:rsidP="00CF5050">
            <w:pPr>
              <w:pStyle w:val="Tablebullet"/>
            </w:pPr>
            <w:r w:rsidRPr="00FA2C26">
              <w:t>assessment and curriculum</w:t>
            </w:r>
          </w:p>
          <w:p w14:paraId="55E3D23B" w14:textId="5F0266EC" w:rsidR="00462DC0" w:rsidRPr="00FA2C26" w:rsidRDefault="00462DC0" w:rsidP="00CF5050">
            <w:pPr>
              <w:pStyle w:val="Tablebullet"/>
            </w:pPr>
            <w:r w:rsidRPr="00FA2C26">
              <w:t>teaching practices</w:t>
            </w:r>
          </w:p>
          <w:p w14:paraId="43BDD290" w14:textId="49438A0D" w:rsidR="00462DC0" w:rsidRPr="00FA2C26" w:rsidRDefault="00462DC0" w:rsidP="00AA461F">
            <w:pPr>
              <w:pStyle w:val="TableBodyCopy"/>
            </w:pPr>
            <w:r w:rsidRPr="00FA2C26">
              <w:t>gender equity and inclusion of children with disabilit</w:t>
            </w:r>
            <w:r w:rsidR="00806183">
              <w:t>y</w:t>
            </w:r>
          </w:p>
        </w:tc>
        <w:tc>
          <w:tcPr>
            <w:tcW w:w="834" w:type="pct"/>
            <w:tcBorders>
              <w:top w:val="single" w:sz="4" w:space="0" w:color="000000"/>
              <w:left w:val="single" w:sz="4" w:space="0" w:color="000000"/>
              <w:bottom w:val="single" w:sz="4" w:space="0" w:color="000000"/>
              <w:right w:val="single" w:sz="4" w:space="0" w:color="000000"/>
            </w:tcBorders>
          </w:tcPr>
          <w:p w14:paraId="7C36866E" w14:textId="7C630895" w:rsidR="00462DC0" w:rsidRPr="00FA2C26" w:rsidRDefault="00462DC0" w:rsidP="00AA461F">
            <w:pPr>
              <w:pStyle w:val="TableBodyCopy"/>
            </w:pPr>
            <w:r w:rsidRPr="00FA2C26">
              <w:lastRenderedPageBreak/>
              <w:t xml:space="preserve">Strategic plans start being implemented, including efforts to provide </w:t>
            </w:r>
            <w:r w:rsidRPr="00FA2C26">
              <w:lastRenderedPageBreak/>
              <w:t xml:space="preserve">reasonable learning accommodations for children with </w:t>
            </w:r>
            <w:proofErr w:type="gramStart"/>
            <w:r w:rsidR="00806183" w:rsidRPr="00FA2C26">
              <w:t>disabilit</w:t>
            </w:r>
            <w:r w:rsidR="00806183">
              <w:t>y</w:t>
            </w:r>
            <w:proofErr w:type="gramEnd"/>
          </w:p>
          <w:p w14:paraId="6443C064" w14:textId="77777777" w:rsidR="00462DC0" w:rsidRPr="00FA2C26" w:rsidRDefault="00462DC0" w:rsidP="00AA461F">
            <w:pPr>
              <w:pStyle w:val="TableBodyCopy"/>
            </w:pPr>
          </w:p>
        </w:tc>
        <w:tc>
          <w:tcPr>
            <w:tcW w:w="833" w:type="pct"/>
            <w:tcBorders>
              <w:top w:val="single" w:sz="4" w:space="0" w:color="000000"/>
              <w:left w:val="single" w:sz="4" w:space="0" w:color="000000"/>
              <w:bottom w:val="single" w:sz="4" w:space="0" w:color="000000"/>
              <w:right w:val="single" w:sz="4" w:space="0" w:color="000000"/>
            </w:tcBorders>
          </w:tcPr>
          <w:p w14:paraId="52D036D3" w14:textId="7E4D3788" w:rsidR="00462DC0" w:rsidRPr="00FA2C26" w:rsidRDefault="00462DC0" w:rsidP="00AA461F">
            <w:pPr>
              <w:pStyle w:val="TableBodyCopy"/>
            </w:pPr>
            <w:r w:rsidRPr="00FA2C26">
              <w:lastRenderedPageBreak/>
              <w:t xml:space="preserve">Improved policy and practice, which positively impact the achievement of </w:t>
            </w:r>
            <w:r w:rsidRPr="00FA2C26">
              <w:lastRenderedPageBreak/>
              <w:t xml:space="preserve">foundational skills learning outcomes in targeted </w:t>
            </w:r>
            <w:proofErr w:type="gramStart"/>
            <w:r w:rsidRPr="00FA2C26">
              <w:t>districts</w:t>
            </w:r>
            <w:proofErr w:type="gramEnd"/>
          </w:p>
          <w:p w14:paraId="1638B39E" w14:textId="20D7138F" w:rsidR="00462DC0" w:rsidRPr="00FA2C26" w:rsidRDefault="00462DC0" w:rsidP="00AA461F">
            <w:pPr>
              <w:pStyle w:val="TableBodyCopy"/>
            </w:pPr>
            <w:r w:rsidRPr="00FA2C26">
              <w:t xml:space="preserve">Improved literacy and numeracy learning outcomes for girls and boys, including children with </w:t>
            </w:r>
            <w:r w:rsidR="00806183" w:rsidRPr="00FA2C26">
              <w:t>disabilit</w:t>
            </w:r>
            <w:r w:rsidR="00806183">
              <w:t>y</w:t>
            </w:r>
            <w:r w:rsidR="00806183" w:rsidRPr="00FA2C26">
              <w:t xml:space="preserve"> </w:t>
            </w:r>
            <w:r w:rsidRPr="00FA2C26">
              <w:t>in targeted districts</w:t>
            </w:r>
          </w:p>
        </w:tc>
        <w:tc>
          <w:tcPr>
            <w:tcW w:w="834" w:type="pct"/>
            <w:tcBorders>
              <w:top w:val="single" w:sz="4" w:space="0" w:color="000000"/>
              <w:left w:val="single" w:sz="4" w:space="0" w:color="000000"/>
              <w:bottom w:val="single" w:sz="4" w:space="0" w:color="000000"/>
              <w:right w:val="single" w:sz="4" w:space="0" w:color="000000"/>
            </w:tcBorders>
          </w:tcPr>
          <w:p w14:paraId="184F6E78" w14:textId="76160E1E" w:rsidR="00462DC0" w:rsidRPr="00FA2C26" w:rsidRDefault="00D77E66" w:rsidP="00AA461F">
            <w:pPr>
              <w:pStyle w:val="TableBodyCopy"/>
            </w:pPr>
            <w:r>
              <w:lastRenderedPageBreak/>
              <w:t>SDG4</w:t>
            </w:r>
          </w:p>
        </w:tc>
      </w:tr>
      <w:tr w:rsidR="00462DC0" w:rsidRPr="001F1AAF" w14:paraId="521141D6" w14:textId="77777777" w:rsidTr="00B43C63">
        <w:trPr>
          <w:trHeight w:val="472"/>
        </w:trPr>
        <w:tc>
          <w:tcPr>
            <w:tcW w:w="833" w:type="pct"/>
            <w:tcBorders>
              <w:top w:val="single" w:sz="4" w:space="0" w:color="000000"/>
              <w:left w:val="single" w:sz="4" w:space="0" w:color="000000"/>
              <w:bottom w:val="single" w:sz="4" w:space="0" w:color="000000"/>
              <w:right w:val="single" w:sz="4" w:space="0" w:color="000000"/>
            </w:tcBorders>
          </w:tcPr>
          <w:p w14:paraId="7136FCFA" w14:textId="6543D99A" w:rsidR="00462DC0" w:rsidRPr="001F1AAF" w:rsidRDefault="00462DC0" w:rsidP="00462DC0">
            <w:pPr>
              <w:pStyle w:val="TableBodyCopy"/>
              <w:rPr>
                <w:b/>
                <w:bCs/>
              </w:rPr>
            </w:pPr>
            <w:r w:rsidRPr="001F1AAF">
              <w:rPr>
                <w:b/>
                <w:bCs/>
              </w:rPr>
              <w:t>Outcome 1.2</w:t>
            </w:r>
          </w:p>
        </w:tc>
        <w:tc>
          <w:tcPr>
            <w:tcW w:w="834" w:type="pct"/>
            <w:tcBorders>
              <w:top w:val="single" w:sz="4" w:space="0" w:color="000000"/>
              <w:left w:val="single" w:sz="4" w:space="0" w:color="000000"/>
              <w:bottom w:val="single" w:sz="4" w:space="0" w:color="000000"/>
              <w:right w:val="single" w:sz="4" w:space="0" w:color="000000"/>
            </w:tcBorders>
          </w:tcPr>
          <w:p w14:paraId="6593ED97" w14:textId="35D721D2" w:rsidR="00462DC0" w:rsidRPr="00FA2C26" w:rsidRDefault="00462DC0" w:rsidP="00AA461F">
            <w:pPr>
              <w:pStyle w:val="TableBodyCopy"/>
            </w:pPr>
            <w:r w:rsidRPr="00FA2C26">
              <w:t>1.2.5 Policy, technical advice, and advocacy to improve engagement of</w:t>
            </w:r>
            <w:r w:rsidR="00806183">
              <w:t xml:space="preserve"> </w:t>
            </w:r>
            <w:r w:rsidRPr="00FA2C26">
              <w:t>women and/or</w:t>
            </w:r>
            <w:r w:rsidR="00806183">
              <w:t xml:space="preserve"> </w:t>
            </w:r>
            <w:r w:rsidR="00ED0798">
              <w:t>people</w:t>
            </w:r>
            <w:r w:rsidR="00ED0798" w:rsidRPr="00FA2C26">
              <w:t xml:space="preserve"> </w:t>
            </w:r>
            <w:r w:rsidRPr="00FA2C26">
              <w:t xml:space="preserve">with </w:t>
            </w:r>
            <w:r w:rsidR="00E81E35" w:rsidRPr="00FA2C26">
              <w:t>disabilit</w:t>
            </w:r>
            <w:r w:rsidR="00E81E35">
              <w:t xml:space="preserve">y </w:t>
            </w:r>
            <w:r w:rsidRPr="00FA2C26">
              <w:t>in public decision-making process</w:t>
            </w:r>
            <w:r w:rsidR="00E81E35">
              <w:t>es</w:t>
            </w:r>
            <w:r w:rsidRPr="00FA2C26">
              <w:t>.</w:t>
            </w:r>
          </w:p>
        </w:tc>
        <w:tc>
          <w:tcPr>
            <w:tcW w:w="833" w:type="pct"/>
            <w:tcBorders>
              <w:top w:val="single" w:sz="4" w:space="0" w:color="000000"/>
              <w:left w:val="single" w:sz="4" w:space="0" w:color="000000"/>
              <w:bottom w:val="single" w:sz="4" w:space="0" w:color="000000"/>
              <w:right w:val="single" w:sz="4" w:space="0" w:color="000000"/>
            </w:tcBorders>
          </w:tcPr>
          <w:p w14:paraId="33508CFF" w14:textId="6CD0658F" w:rsidR="00462DC0" w:rsidRPr="00FA2C26" w:rsidRDefault="00462DC0" w:rsidP="00AA461F">
            <w:pPr>
              <w:pStyle w:val="TableBodyCopy"/>
            </w:pPr>
            <w:r w:rsidRPr="00FA2C26">
              <w:t xml:space="preserve">Policy, technical advice, and advocacy to improve engagement of women and/or </w:t>
            </w:r>
            <w:r w:rsidR="00271D18">
              <w:t>people</w:t>
            </w:r>
            <w:r w:rsidR="00271D18" w:rsidRPr="00FA2C26">
              <w:t xml:space="preserve"> </w:t>
            </w:r>
            <w:r w:rsidRPr="00FA2C26">
              <w:t xml:space="preserve">with </w:t>
            </w:r>
            <w:r w:rsidR="00E81E35" w:rsidRPr="00FA2C26">
              <w:t>disabilit</w:t>
            </w:r>
            <w:r w:rsidR="00E81E35">
              <w:t>y</w:t>
            </w:r>
            <w:r w:rsidR="00E81E35" w:rsidRPr="00FA2C26">
              <w:t xml:space="preserve"> </w:t>
            </w:r>
            <w:r w:rsidRPr="00FA2C26">
              <w:t>at the national and/or subnational level in:</w:t>
            </w:r>
          </w:p>
          <w:p w14:paraId="343DE4D6" w14:textId="77777777" w:rsidR="00462DC0" w:rsidRPr="00E81E35" w:rsidRDefault="00462DC0" w:rsidP="00CF5050">
            <w:pPr>
              <w:pStyle w:val="Tablebullet"/>
            </w:pPr>
            <w:r w:rsidRPr="00E81E35">
              <w:t>women judicial leadership</w:t>
            </w:r>
          </w:p>
          <w:p w14:paraId="4580A32F" w14:textId="77777777" w:rsidR="00462DC0" w:rsidRPr="00E81E35" w:rsidRDefault="00462DC0" w:rsidP="00CF5050">
            <w:pPr>
              <w:pStyle w:val="Tablebullet"/>
            </w:pPr>
            <w:r w:rsidRPr="00E81E35">
              <w:t>election bodies</w:t>
            </w:r>
          </w:p>
          <w:p w14:paraId="730119D0" w14:textId="6E35FE18" w:rsidR="00462DC0" w:rsidRPr="00E81E35" w:rsidRDefault="00E81E35" w:rsidP="00CF5050">
            <w:pPr>
              <w:pStyle w:val="Tablebullet"/>
            </w:pPr>
            <w:r>
              <w:t>d</w:t>
            </w:r>
            <w:r w:rsidR="00462DC0" w:rsidRPr="00E81E35">
              <w:t xml:space="preserve">isaster </w:t>
            </w:r>
            <w:r>
              <w:t>r</w:t>
            </w:r>
            <w:r w:rsidR="00462DC0" w:rsidRPr="00E81E35">
              <w:t xml:space="preserve">isk </w:t>
            </w:r>
            <w:r>
              <w:t>m</w:t>
            </w:r>
            <w:r w:rsidR="00462DC0" w:rsidRPr="00E81E35">
              <w:t>anagement (DRM)</w:t>
            </w:r>
          </w:p>
          <w:p w14:paraId="0C48354E" w14:textId="4D5B995C" w:rsidR="00462DC0" w:rsidRPr="00E81E35" w:rsidRDefault="00E81E35" w:rsidP="00CF5050">
            <w:pPr>
              <w:pStyle w:val="Tablebullet"/>
            </w:pPr>
            <w:r>
              <w:t>i</w:t>
            </w:r>
            <w:r w:rsidR="00462DC0" w:rsidRPr="00E81E35">
              <w:t>nfrastructure</w:t>
            </w:r>
          </w:p>
          <w:p w14:paraId="4931A4D0" w14:textId="4E174752" w:rsidR="00462DC0" w:rsidRPr="00FA2C26" w:rsidRDefault="00462DC0" w:rsidP="00CF5050">
            <w:pPr>
              <w:pStyle w:val="Tablebullet"/>
            </w:pPr>
            <w:r w:rsidRPr="00E81E35">
              <w:t xml:space="preserve">government planning and policy processes, including </w:t>
            </w:r>
            <w:r w:rsidRPr="00FA2C26">
              <w:t xml:space="preserve">gender budget </w:t>
            </w:r>
            <w:proofErr w:type="gramStart"/>
            <w:r w:rsidRPr="00FA2C26">
              <w:t>tagging</w:t>
            </w:r>
            <w:proofErr w:type="gramEnd"/>
          </w:p>
          <w:p w14:paraId="770EB3E9" w14:textId="4544EC2F" w:rsidR="00462DC0" w:rsidRPr="00FA2C26" w:rsidRDefault="00462DC0" w:rsidP="00AA461F">
            <w:pPr>
              <w:pStyle w:val="TableBodyCopy"/>
            </w:pPr>
            <w:r w:rsidRPr="00FA2C26">
              <w:t xml:space="preserve">Targeted pilot of inclusive planning and budgeting model through effective </w:t>
            </w:r>
            <w:r w:rsidRPr="00FA2C26">
              <w:lastRenderedPageBreak/>
              <w:t xml:space="preserve">participation of </w:t>
            </w:r>
            <w:proofErr w:type="gramStart"/>
            <w:r w:rsidRPr="00FA2C26">
              <w:t>women‘</w:t>
            </w:r>
            <w:proofErr w:type="gramEnd"/>
            <w:r w:rsidRPr="00FA2C26">
              <w:t xml:space="preserve">s organisations and </w:t>
            </w:r>
            <w:r w:rsidR="00C35413">
              <w:t>o</w:t>
            </w:r>
            <w:r w:rsidRPr="00FA2C26">
              <w:t>rganisation</w:t>
            </w:r>
            <w:r w:rsidR="00C35413">
              <w:t>s</w:t>
            </w:r>
            <w:r w:rsidRPr="00FA2C26">
              <w:t xml:space="preserve"> of </w:t>
            </w:r>
            <w:r w:rsidR="00E36DA3">
              <w:t>persons</w:t>
            </w:r>
            <w:r w:rsidRPr="00FA2C26">
              <w:t xml:space="preserve"> with </w:t>
            </w:r>
            <w:r w:rsidR="00C35413">
              <w:t>d</w:t>
            </w:r>
            <w:r w:rsidRPr="00FA2C26">
              <w:t>isabilit</w:t>
            </w:r>
            <w:r w:rsidR="00C35413">
              <w:t>y</w:t>
            </w:r>
            <w:r w:rsidRPr="00FA2C26">
              <w:t xml:space="preserve"> (OPDs)</w:t>
            </w:r>
          </w:p>
        </w:tc>
        <w:tc>
          <w:tcPr>
            <w:tcW w:w="834" w:type="pct"/>
            <w:tcBorders>
              <w:top w:val="single" w:sz="4" w:space="0" w:color="000000"/>
              <w:left w:val="single" w:sz="4" w:space="0" w:color="000000"/>
              <w:bottom w:val="single" w:sz="4" w:space="0" w:color="000000"/>
              <w:right w:val="single" w:sz="4" w:space="0" w:color="000000"/>
            </w:tcBorders>
          </w:tcPr>
          <w:p w14:paraId="7BAC842F" w14:textId="070F9D4B" w:rsidR="00462DC0" w:rsidRPr="00FA2C26" w:rsidRDefault="00462DC0" w:rsidP="00AA461F">
            <w:pPr>
              <w:pStyle w:val="TableBodyCopy"/>
            </w:pPr>
            <w:r w:rsidRPr="00FA2C26">
              <w:lastRenderedPageBreak/>
              <w:t xml:space="preserve">Continued policy, technical advice, and advocacy to improve engagement of women and/or </w:t>
            </w:r>
            <w:r w:rsidR="00271D18">
              <w:t>people</w:t>
            </w:r>
            <w:r w:rsidR="00271D18" w:rsidRPr="00FA2C26">
              <w:t xml:space="preserve"> </w:t>
            </w:r>
            <w:r w:rsidRPr="00FA2C26">
              <w:t xml:space="preserve">with </w:t>
            </w:r>
            <w:r w:rsidR="00C35413" w:rsidRPr="00FA2C26">
              <w:t>disabilit</w:t>
            </w:r>
            <w:r w:rsidR="00C35413">
              <w:t xml:space="preserve">y </w:t>
            </w:r>
            <w:r w:rsidRPr="00FA2C26">
              <w:t>at the national and/or subnational level in:</w:t>
            </w:r>
          </w:p>
          <w:p w14:paraId="2457F3AA" w14:textId="77777777" w:rsidR="00462DC0" w:rsidRPr="00FA2C26" w:rsidRDefault="00462DC0" w:rsidP="00CF5050">
            <w:pPr>
              <w:pStyle w:val="Tablebullet"/>
            </w:pPr>
            <w:r w:rsidRPr="00FA2C26">
              <w:t xml:space="preserve">women judicial leadership </w:t>
            </w:r>
          </w:p>
          <w:p w14:paraId="5D2B8C82" w14:textId="77777777" w:rsidR="00462DC0" w:rsidRPr="00FA2C26" w:rsidRDefault="00462DC0" w:rsidP="00CF5050">
            <w:pPr>
              <w:pStyle w:val="Tablebullet"/>
            </w:pPr>
            <w:r w:rsidRPr="00FA2C26">
              <w:t>election bodies</w:t>
            </w:r>
          </w:p>
          <w:p w14:paraId="6ABA4991" w14:textId="77777777" w:rsidR="00462DC0" w:rsidRPr="00FA2C26" w:rsidRDefault="00462DC0" w:rsidP="00CF5050">
            <w:pPr>
              <w:pStyle w:val="Tablebullet"/>
            </w:pPr>
            <w:r w:rsidRPr="00FA2C26">
              <w:t>DRM</w:t>
            </w:r>
          </w:p>
          <w:p w14:paraId="07A52090" w14:textId="77777777" w:rsidR="00462DC0" w:rsidRPr="00FA2C26" w:rsidRDefault="00462DC0" w:rsidP="00CF5050">
            <w:pPr>
              <w:pStyle w:val="Tablebullet"/>
            </w:pPr>
            <w:r w:rsidRPr="00FA2C26">
              <w:t xml:space="preserve">infrastructure </w:t>
            </w:r>
          </w:p>
          <w:p w14:paraId="64DEE277" w14:textId="7D1200FD" w:rsidR="00462DC0" w:rsidRPr="00FA2C26" w:rsidRDefault="00462DC0" w:rsidP="00CF5050">
            <w:pPr>
              <w:pStyle w:val="Tablebullet"/>
            </w:pPr>
            <w:r w:rsidRPr="00FA2C26">
              <w:t xml:space="preserve">government planning and policy processes including gender budget </w:t>
            </w:r>
            <w:proofErr w:type="gramStart"/>
            <w:r w:rsidRPr="00FA2C26">
              <w:t>tagging</w:t>
            </w:r>
            <w:proofErr w:type="gramEnd"/>
          </w:p>
          <w:p w14:paraId="0A18EDBB" w14:textId="0504539A" w:rsidR="00462DC0" w:rsidRPr="00FA2C26" w:rsidRDefault="00462DC0" w:rsidP="00AA461F">
            <w:pPr>
              <w:pStyle w:val="TableBodyCopy"/>
            </w:pPr>
            <w:r w:rsidRPr="00FA2C26">
              <w:t>Dissemination of lessons</w:t>
            </w:r>
            <w:r w:rsidR="008765CB">
              <w:t xml:space="preserve"> </w:t>
            </w:r>
            <w:r w:rsidRPr="00FA2C26">
              <w:t xml:space="preserve">learned from successful institutionalised inclusive </w:t>
            </w:r>
            <w:r w:rsidRPr="00FA2C26">
              <w:lastRenderedPageBreak/>
              <w:t>planning and budgeting models</w:t>
            </w:r>
          </w:p>
        </w:tc>
        <w:tc>
          <w:tcPr>
            <w:tcW w:w="833" w:type="pct"/>
            <w:tcBorders>
              <w:top w:val="single" w:sz="4" w:space="0" w:color="000000"/>
              <w:left w:val="single" w:sz="4" w:space="0" w:color="000000"/>
              <w:bottom w:val="single" w:sz="4" w:space="0" w:color="000000"/>
              <w:right w:val="single" w:sz="4" w:space="0" w:color="000000"/>
            </w:tcBorders>
          </w:tcPr>
          <w:p w14:paraId="66274E3C" w14:textId="012DAB68" w:rsidR="00462DC0" w:rsidRPr="00FA2C26" w:rsidRDefault="00462DC0" w:rsidP="00AA461F">
            <w:pPr>
              <w:pStyle w:val="TableBodyCopy"/>
            </w:pPr>
            <w:r w:rsidRPr="00FA2C26">
              <w:lastRenderedPageBreak/>
              <w:t xml:space="preserve">Continued policy, technical advice, and advocacy to improve engagement of women and/or </w:t>
            </w:r>
            <w:r w:rsidR="00271D18">
              <w:t>people</w:t>
            </w:r>
            <w:r w:rsidR="00271D18" w:rsidRPr="00FA2C26">
              <w:t xml:space="preserve"> </w:t>
            </w:r>
            <w:r w:rsidRPr="00FA2C26">
              <w:t>with disabilit</w:t>
            </w:r>
            <w:r w:rsidR="00271D18">
              <w:t>y</w:t>
            </w:r>
            <w:r w:rsidRPr="00FA2C26">
              <w:t xml:space="preserve"> at the national and/or subnational level in:</w:t>
            </w:r>
          </w:p>
          <w:p w14:paraId="0CF15427" w14:textId="77777777" w:rsidR="00462DC0" w:rsidRPr="00FA2C26" w:rsidRDefault="00462DC0" w:rsidP="00CF5050">
            <w:pPr>
              <w:pStyle w:val="Tablebullet"/>
            </w:pPr>
            <w:r w:rsidRPr="00FA2C26">
              <w:t xml:space="preserve">women judicial leadership </w:t>
            </w:r>
          </w:p>
          <w:p w14:paraId="2136156A" w14:textId="77777777" w:rsidR="00462DC0" w:rsidRPr="00FA2C26" w:rsidRDefault="00462DC0" w:rsidP="00CF5050">
            <w:pPr>
              <w:pStyle w:val="Tablebullet"/>
            </w:pPr>
            <w:r w:rsidRPr="00FA2C26">
              <w:t>election bodies</w:t>
            </w:r>
          </w:p>
          <w:p w14:paraId="32E054A8" w14:textId="77777777" w:rsidR="00462DC0" w:rsidRPr="00FA2C26" w:rsidRDefault="00462DC0" w:rsidP="00CF5050">
            <w:pPr>
              <w:pStyle w:val="Tablebullet"/>
            </w:pPr>
            <w:r w:rsidRPr="00FA2C26">
              <w:t>DRM</w:t>
            </w:r>
          </w:p>
          <w:p w14:paraId="631C8001" w14:textId="501561AA" w:rsidR="00462DC0" w:rsidRPr="00FA2C26" w:rsidRDefault="00462DC0" w:rsidP="00CF5050">
            <w:pPr>
              <w:pStyle w:val="Tablebullet"/>
            </w:pPr>
            <w:r w:rsidRPr="00FA2C26">
              <w:t xml:space="preserve">government planning and policy processes including gender budget </w:t>
            </w:r>
            <w:proofErr w:type="gramStart"/>
            <w:r w:rsidRPr="00FA2C26">
              <w:t>tagging</w:t>
            </w:r>
            <w:proofErr w:type="gramEnd"/>
          </w:p>
          <w:p w14:paraId="7964CA9D" w14:textId="5F508907" w:rsidR="00462DC0" w:rsidRPr="00FA2C26" w:rsidRDefault="00462DC0" w:rsidP="00AA461F">
            <w:pPr>
              <w:pStyle w:val="TableBodyCopy"/>
            </w:pPr>
            <w:r w:rsidRPr="00FA2C26">
              <w:t xml:space="preserve">Implementation of best-practice engagement models, where women’s organisations and OPDs are </w:t>
            </w:r>
            <w:r w:rsidRPr="00FA2C26">
              <w:lastRenderedPageBreak/>
              <w:t>involved in the planning and budgeting process</w:t>
            </w:r>
          </w:p>
        </w:tc>
        <w:tc>
          <w:tcPr>
            <w:tcW w:w="834" w:type="pct"/>
            <w:tcBorders>
              <w:top w:val="single" w:sz="4" w:space="0" w:color="000000"/>
              <w:left w:val="single" w:sz="4" w:space="0" w:color="000000"/>
              <w:bottom w:val="single" w:sz="4" w:space="0" w:color="000000"/>
              <w:right w:val="single" w:sz="4" w:space="0" w:color="000000"/>
            </w:tcBorders>
          </w:tcPr>
          <w:p w14:paraId="2ABDE545" w14:textId="18CC3B62" w:rsidR="00462DC0" w:rsidRPr="00FA2C26" w:rsidRDefault="00D77E66" w:rsidP="00AA461F">
            <w:pPr>
              <w:pStyle w:val="TableBodyCopy"/>
            </w:pPr>
            <w:r>
              <w:lastRenderedPageBreak/>
              <w:t>SD</w:t>
            </w:r>
            <w:r w:rsidR="00462DC0" w:rsidRPr="00FA2C26">
              <w:t>G5</w:t>
            </w:r>
            <w:r>
              <w:t>:</w:t>
            </w:r>
            <w:r w:rsidR="00462DC0" w:rsidRPr="00FA2C26">
              <w:t xml:space="preserve"> Gender </w:t>
            </w:r>
            <w:r>
              <w:t>e</w:t>
            </w:r>
            <w:r w:rsidR="00462DC0" w:rsidRPr="00FA2C26">
              <w:t>quality</w:t>
            </w:r>
          </w:p>
        </w:tc>
      </w:tr>
      <w:tr w:rsidR="00462DC0" w:rsidRPr="001F1AAF" w14:paraId="7624D4FB" w14:textId="77777777" w:rsidTr="00B43C63">
        <w:trPr>
          <w:trHeight w:val="472"/>
        </w:trPr>
        <w:tc>
          <w:tcPr>
            <w:tcW w:w="833" w:type="pct"/>
            <w:tcBorders>
              <w:top w:val="single" w:sz="4" w:space="0" w:color="000000"/>
              <w:left w:val="single" w:sz="4" w:space="0" w:color="000000"/>
              <w:bottom w:val="single" w:sz="4" w:space="0" w:color="000000"/>
              <w:right w:val="single" w:sz="4" w:space="0" w:color="000000"/>
            </w:tcBorders>
          </w:tcPr>
          <w:p w14:paraId="3F6D62C9" w14:textId="6E0EE15C" w:rsidR="00462DC0" w:rsidRPr="00462DC0" w:rsidRDefault="00462DC0" w:rsidP="00462DC0">
            <w:pPr>
              <w:pStyle w:val="TableBodyCopy"/>
              <w:rPr>
                <w:b/>
                <w:bCs/>
              </w:rPr>
            </w:pPr>
            <w:r w:rsidRPr="00462DC0">
              <w:rPr>
                <w:b/>
                <w:bCs/>
              </w:rPr>
              <w:t>Outcome 1.3</w:t>
            </w:r>
          </w:p>
          <w:p w14:paraId="17F1FE44" w14:textId="62738C6A" w:rsidR="00462DC0" w:rsidRPr="001F1AAF" w:rsidRDefault="00462DC0" w:rsidP="00462DC0">
            <w:pPr>
              <w:pStyle w:val="TableBodyCopy"/>
              <w:rPr>
                <w:b/>
                <w:bCs/>
              </w:rPr>
            </w:pPr>
            <w:r w:rsidRPr="00FA2C26">
              <w:rPr>
                <w:bCs/>
              </w:rPr>
              <w:t xml:space="preserve">Citizens, including vulnerable groups, benefit from improved governance, public financial management, </w:t>
            </w:r>
            <w:proofErr w:type="gramStart"/>
            <w:r w:rsidRPr="00FA2C26">
              <w:rPr>
                <w:bCs/>
              </w:rPr>
              <w:t>infrastructure</w:t>
            </w:r>
            <w:proofErr w:type="gramEnd"/>
            <w:r w:rsidRPr="00FA2C26">
              <w:rPr>
                <w:bCs/>
              </w:rPr>
              <w:t xml:space="preserve"> and services</w:t>
            </w:r>
          </w:p>
        </w:tc>
        <w:tc>
          <w:tcPr>
            <w:tcW w:w="834" w:type="pct"/>
            <w:tcBorders>
              <w:top w:val="single" w:sz="4" w:space="0" w:color="000000"/>
              <w:left w:val="single" w:sz="4" w:space="0" w:color="000000"/>
              <w:bottom w:val="single" w:sz="4" w:space="0" w:color="000000"/>
              <w:right w:val="single" w:sz="4" w:space="0" w:color="000000"/>
            </w:tcBorders>
          </w:tcPr>
          <w:p w14:paraId="39B43113" w14:textId="422C5015" w:rsidR="00462DC0" w:rsidRPr="00FA2C26" w:rsidRDefault="00462DC0" w:rsidP="00AA461F">
            <w:pPr>
              <w:pStyle w:val="TableBodyCopy"/>
            </w:pPr>
            <w:r w:rsidRPr="00FA2C26">
              <w:rPr>
                <w:rFonts w:eastAsiaTheme="minorHAnsi"/>
                <w:kern w:val="2"/>
                <w14:ligatures w14:val="standardContextual"/>
              </w:rPr>
              <w:t>1</w:t>
            </w:r>
            <w:r w:rsidRPr="00FA2C26">
              <w:t xml:space="preserve">.3.1 Policy and technical advice to improve quality and outreach of social protection systems, including </w:t>
            </w:r>
            <w:proofErr w:type="spellStart"/>
            <w:r w:rsidRPr="00FA2C26">
              <w:t>to</w:t>
            </w:r>
            <w:proofErr w:type="spellEnd"/>
            <w:r w:rsidRPr="00FA2C26">
              <w:t xml:space="preserve"> vulnerable groups</w:t>
            </w:r>
          </w:p>
        </w:tc>
        <w:tc>
          <w:tcPr>
            <w:tcW w:w="833" w:type="pct"/>
            <w:tcBorders>
              <w:top w:val="single" w:sz="4" w:space="0" w:color="000000"/>
              <w:left w:val="single" w:sz="4" w:space="0" w:color="000000"/>
              <w:bottom w:val="single" w:sz="4" w:space="0" w:color="000000"/>
              <w:right w:val="single" w:sz="4" w:space="0" w:color="000000"/>
            </w:tcBorders>
          </w:tcPr>
          <w:p w14:paraId="3340EBDD" w14:textId="77777777" w:rsidR="00462DC0" w:rsidRPr="00FA2C26" w:rsidRDefault="00462DC0" w:rsidP="00AA461F">
            <w:pPr>
              <w:pStyle w:val="TableBodyCopy"/>
            </w:pPr>
            <w:r w:rsidRPr="00FA2C26">
              <w:t>Policy and/or technical advice to improve social protection systems, including:</w:t>
            </w:r>
          </w:p>
          <w:p w14:paraId="5CA54F68" w14:textId="77777777" w:rsidR="00462DC0" w:rsidRPr="00FA2C26" w:rsidRDefault="00462DC0" w:rsidP="00CF5050">
            <w:pPr>
              <w:pStyle w:val="Tablebullet"/>
            </w:pPr>
            <w:r w:rsidRPr="00FA2C26">
              <w:t>increasing targeting accuracy</w:t>
            </w:r>
            <w:r w:rsidRPr="00FA2C26" w:rsidDel="00F508CE">
              <w:t xml:space="preserve"> </w:t>
            </w:r>
            <w:r w:rsidRPr="00FA2C26">
              <w:t>for the most extreme poor households</w:t>
            </w:r>
          </w:p>
          <w:p w14:paraId="4CE4259E" w14:textId="2C249A73" w:rsidR="00462DC0" w:rsidRPr="00FA2C26" w:rsidRDefault="00462DC0" w:rsidP="00CF5050">
            <w:pPr>
              <w:pStyle w:val="Tablebullet"/>
            </w:pPr>
            <w:r w:rsidRPr="00FA2C26">
              <w:t xml:space="preserve">increased benefits and access for </w:t>
            </w:r>
            <w:r w:rsidR="000048E8">
              <w:t>people</w:t>
            </w:r>
            <w:r w:rsidR="000048E8" w:rsidRPr="00FA2C26">
              <w:t xml:space="preserve"> </w:t>
            </w:r>
            <w:r w:rsidRPr="00FA2C26">
              <w:t xml:space="preserve">with </w:t>
            </w:r>
            <w:r w:rsidR="000048E8" w:rsidRPr="00FA2C26">
              <w:t>disabilit</w:t>
            </w:r>
            <w:r w:rsidR="000048E8">
              <w:t>y</w:t>
            </w:r>
          </w:p>
          <w:p w14:paraId="6783FA42" w14:textId="77777777" w:rsidR="00462DC0" w:rsidRPr="00FA2C26" w:rsidRDefault="00462DC0" w:rsidP="00CF5050">
            <w:pPr>
              <w:pStyle w:val="Tablebullet"/>
            </w:pPr>
            <w:r w:rsidRPr="00FA2C26">
              <w:t xml:space="preserve">support for the transition from social assistance programs to sustainable </w:t>
            </w:r>
            <w:proofErr w:type="gramStart"/>
            <w:r w:rsidRPr="00FA2C26">
              <w:t>livelihoods</w:t>
            </w:r>
            <w:proofErr w:type="gramEnd"/>
          </w:p>
          <w:p w14:paraId="4D24AA57" w14:textId="43567313" w:rsidR="00462DC0" w:rsidRDefault="00462DC0">
            <w:pPr>
              <w:pStyle w:val="Tablebullet"/>
            </w:pPr>
            <w:r w:rsidRPr="00FA2C26">
              <w:t xml:space="preserve">integration into </w:t>
            </w:r>
            <w:r w:rsidR="00047CF7">
              <w:t xml:space="preserve">the </w:t>
            </w:r>
            <w:r w:rsidRPr="00FA2C26">
              <w:t xml:space="preserve">DRM cycle to ensure adaptive social protection for targeted communities, including vulnerable </w:t>
            </w:r>
            <w:proofErr w:type="gramStart"/>
            <w:r w:rsidRPr="00FA2C26">
              <w:t>groups</w:t>
            </w:r>
            <w:proofErr w:type="gramEnd"/>
          </w:p>
          <w:p w14:paraId="50CB6C7C" w14:textId="197A8141" w:rsidR="00462DC0" w:rsidRPr="00FA2C26" w:rsidRDefault="00892CE6" w:rsidP="00CF5050">
            <w:pPr>
              <w:pStyle w:val="Tablebullet"/>
            </w:pPr>
            <w:r>
              <w:t>increased coverage of social security among informal workers</w:t>
            </w:r>
          </w:p>
        </w:tc>
        <w:tc>
          <w:tcPr>
            <w:tcW w:w="834" w:type="pct"/>
            <w:tcBorders>
              <w:top w:val="single" w:sz="4" w:space="0" w:color="000000"/>
              <w:left w:val="single" w:sz="4" w:space="0" w:color="000000"/>
              <w:bottom w:val="single" w:sz="4" w:space="0" w:color="000000"/>
              <w:right w:val="single" w:sz="4" w:space="0" w:color="000000"/>
            </w:tcBorders>
          </w:tcPr>
          <w:p w14:paraId="4D093A76" w14:textId="3532CE58" w:rsidR="00462DC0" w:rsidRPr="00FA2C26" w:rsidRDefault="00462DC0" w:rsidP="00AA461F">
            <w:pPr>
              <w:pStyle w:val="TableBodyCopy"/>
            </w:pPr>
            <w:r w:rsidRPr="00FA2C26">
              <w:t xml:space="preserve">Improved implementation systems are positively impacting on access to social protection for the poorest </w:t>
            </w:r>
            <w:proofErr w:type="gramStart"/>
            <w:r w:rsidRPr="00FA2C26">
              <w:t>households</w:t>
            </w:r>
            <w:proofErr w:type="gramEnd"/>
          </w:p>
          <w:p w14:paraId="10491A60" w14:textId="70366097" w:rsidR="00462DC0" w:rsidRPr="00FA2C26" w:rsidRDefault="00462DC0" w:rsidP="00AA461F">
            <w:pPr>
              <w:pStyle w:val="TableBodyCopy"/>
            </w:pPr>
            <w:r w:rsidRPr="00FA2C26">
              <w:t xml:space="preserve">Improved access, equity, and coverage of the social protection system for </w:t>
            </w:r>
            <w:r w:rsidR="0055718C">
              <w:t xml:space="preserve">people </w:t>
            </w:r>
            <w:r w:rsidRPr="00FA2C26">
              <w:t>with disabilit</w:t>
            </w:r>
            <w:r w:rsidR="0055718C">
              <w:t>y</w:t>
            </w:r>
          </w:p>
          <w:p w14:paraId="237E9755" w14:textId="23D1FCE8" w:rsidR="00462DC0" w:rsidRPr="00FA2C26" w:rsidRDefault="00462DC0" w:rsidP="00AA461F">
            <w:pPr>
              <w:pStyle w:val="TableBodyCopy"/>
            </w:pPr>
            <w:r w:rsidRPr="00FA2C26">
              <w:t xml:space="preserve">Improved program and policy settings to support the transition of households from social assistance programs to sustainable </w:t>
            </w:r>
            <w:proofErr w:type="gramStart"/>
            <w:r w:rsidRPr="00FA2C26">
              <w:t>livelihoods</w:t>
            </w:r>
            <w:proofErr w:type="gramEnd"/>
          </w:p>
          <w:p w14:paraId="270DAEEF" w14:textId="1B6B397C" w:rsidR="00462DC0" w:rsidRPr="00FA2C26" w:rsidRDefault="00462DC0" w:rsidP="00AA461F">
            <w:pPr>
              <w:pStyle w:val="TableBodyCopy"/>
            </w:pPr>
            <w:r w:rsidRPr="00FA2C26">
              <w:t>Improved social protection policies related to DRM at the subnational level for targeted communities, including vulnerable groups</w:t>
            </w:r>
          </w:p>
        </w:tc>
        <w:tc>
          <w:tcPr>
            <w:tcW w:w="833" w:type="pct"/>
            <w:tcBorders>
              <w:top w:val="single" w:sz="4" w:space="0" w:color="000000"/>
              <w:left w:val="single" w:sz="4" w:space="0" w:color="000000"/>
              <w:bottom w:val="single" w:sz="4" w:space="0" w:color="000000"/>
              <w:right w:val="single" w:sz="4" w:space="0" w:color="000000"/>
            </w:tcBorders>
          </w:tcPr>
          <w:p w14:paraId="52FCD127" w14:textId="3B2D2C9E" w:rsidR="00462DC0" w:rsidRPr="00FA2C26" w:rsidRDefault="00462DC0" w:rsidP="00AA461F">
            <w:pPr>
              <w:pStyle w:val="TableBodyCopy"/>
            </w:pPr>
            <w:r w:rsidRPr="00FA2C26">
              <w:t>Investments contributing to this indicator will be concluded in 2025</w:t>
            </w:r>
            <w:r w:rsidR="0055718C">
              <w:t>–</w:t>
            </w:r>
            <w:r w:rsidRPr="00FA2C26">
              <w:t xml:space="preserve">26 </w:t>
            </w:r>
            <w:r w:rsidR="0055718C">
              <w:t xml:space="preserve">and </w:t>
            </w:r>
            <w:r w:rsidRPr="00FA2C26">
              <w:t>2026</w:t>
            </w:r>
            <w:r w:rsidR="0055718C">
              <w:t>–</w:t>
            </w:r>
            <w:r w:rsidRPr="00FA2C26">
              <w:t>27</w:t>
            </w:r>
          </w:p>
        </w:tc>
        <w:tc>
          <w:tcPr>
            <w:tcW w:w="834" w:type="pct"/>
            <w:tcBorders>
              <w:top w:val="single" w:sz="4" w:space="0" w:color="000000"/>
              <w:left w:val="single" w:sz="4" w:space="0" w:color="000000"/>
              <w:bottom w:val="single" w:sz="4" w:space="0" w:color="000000"/>
              <w:right w:val="single" w:sz="4" w:space="0" w:color="000000"/>
            </w:tcBorders>
          </w:tcPr>
          <w:p w14:paraId="47F0A633" w14:textId="1CDBF24B" w:rsidR="00462DC0" w:rsidRPr="00FA2C26" w:rsidRDefault="00D77E66" w:rsidP="00AA461F">
            <w:pPr>
              <w:pStyle w:val="TableBodyCopy"/>
            </w:pPr>
            <w:r>
              <w:t>SDG</w:t>
            </w:r>
            <w:r w:rsidR="00462DC0" w:rsidRPr="00FA2C26">
              <w:t>1</w:t>
            </w:r>
            <w:r>
              <w:t>:</w:t>
            </w:r>
            <w:r w:rsidR="00462DC0" w:rsidRPr="00FA2C26">
              <w:t xml:space="preserve"> No </w:t>
            </w:r>
            <w:r>
              <w:t>p</w:t>
            </w:r>
            <w:r w:rsidR="00462DC0" w:rsidRPr="00FA2C26">
              <w:t>overty</w:t>
            </w:r>
          </w:p>
        </w:tc>
      </w:tr>
      <w:tr w:rsidR="00512105" w:rsidRPr="001F1AAF" w14:paraId="505DECE6" w14:textId="77777777" w:rsidTr="00B43C63">
        <w:trPr>
          <w:trHeight w:val="472"/>
        </w:trPr>
        <w:tc>
          <w:tcPr>
            <w:tcW w:w="833" w:type="pct"/>
            <w:tcBorders>
              <w:top w:val="single" w:sz="4" w:space="0" w:color="000000"/>
              <w:left w:val="single" w:sz="4" w:space="0" w:color="000000"/>
              <w:bottom w:val="single" w:sz="4" w:space="0" w:color="000000"/>
              <w:right w:val="single" w:sz="4" w:space="0" w:color="000000"/>
            </w:tcBorders>
          </w:tcPr>
          <w:p w14:paraId="305A3A2B" w14:textId="63E5A028" w:rsidR="00512105" w:rsidRPr="00462DC0" w:rsidRDefault="00512105" w:rsidP="00512105">
            <w:pPr>
              <w:pStyle w:val="TableBodyCopy"/>
              <w:rPr>
                <w:b/>
                <w:bCs/>
              </w:rPr>
            </w:pPr>
            <w:r w:rsidRPr="00462DC0">
              <w:rPr>
                <w:b/>
                <w:bCs/>
              </w:rPr>
              <w:t>Outcome 1.3</w:t>
            </w:r>
          </w:p>
        </w:tc>
        <w:tc>
          <w:tcPr>
            <w:tcW w:w="834" w:type="pct"/>
            <w:tcBorders>
              <w:top w:val="single" w:sz="4" w:space="0" w:color="000000"/>
              <w:left w:val="single" w:sz="4" w:space="0" w:color="000000"/>
              <w:bottom w:val="single" w:sz="4" w:space="0" w:color="000000"/>
              <w:right w:val="single" w:sz="4" w:space="0" w:color="000000"/>
            </w:tcBorders>
          </w:tcPr>
          <w:p w14:paraId="10764350" w14:textId="3CEADD0C" w:rsidR="00512105" w:rsidRPr="00FA2C26" w:rsidRDefault="00512105" w:rsidP="00AA461F">
            <w:pPr>
              <w:pStyle w:val="TableBodyCopy"/>
              <w:rPr>
                <w:rFonts w:eastAsiaTheme="minorHAnsi"/>
                <w:kern w:val="2"/>
                <w14:ligatures w14:val="standardContextual"/>
              </w:rPr>
            </w:pPr>
            <w:r w:rsidRPr="00FA2C26">
              <w:t xml:space="preserve">1.3.2 Number of people using basic or safely managed drinking water services and/or sanitation services and/or a </w:t>
            </w:r>
            <w:r w:rsidRPr="00FA2C26">
              <w:lastRenderedPageBreak/>
              <w:t>handwashing facility with soap and water (Tier 2)</w:t>
            </w:r>
          </w:p>
        </w:tc>
        <w:tc>
          <w:tcPr>
            <w:tcW w:w="833" w:type="pct"/>
            <w:tcBorders>
              <w:top w:val="single" w:sz="4" w:space="0" w:color="000000"/>
              <w:left w:val="single" w:sz="4" w:space="0" w:color="000000"/>
              <w:bottom w:val="single" w:sz="4" w:space="0" w:color="000000"/>
              <w:right w:val="single" w:sz="4" w:space="0" w:color="000000"/>
            </w:tcBorders>
          </w:tcPr>
          <w:p w14:paraId="240116AD" w14:textId="3DEBCF8C" w:rsidR="00512105" w:rsidRPr="00FA2C26" w:rsidRDefault="00512105" w:rsidP="00AA461F">
            <w:pPr>
              <w:pStyle w:val="TableBodyCopy"/>
            </w:pPr>
            <w:r w:rsidRPr="00FA2C26">
              <w:lastRenderedPageBreak/>
              <w:t>49,000 people</w:t>
            </w:r>
          </w:p>
        </w:tc>
        <w:tc>
          <w:tcPr>
            <w:tcW w:w="834" w:type="pct"/>
            <w:tcBorders>
              <w:top w:val="single" w:sz="4" w:space="0" w:color="000000"/>
              <w:left w:val="single" w:sz="4" w:space="0" w:color="000000"/>
              <w:bottom w:val="single" w:sz="4" w:space="0" w:color="000000"/>
              <w:right w:val="single" w:sz="4" w:space="0" w:color="000000"/>
            </w:tcBorders>
          </w:tcPr>
          <w:p w14:paraId="58CFB0AE" w14:textId="1A861543" w:rsidR="00512105" w:rsidRPr="00FA2C26" w:rsidRDefault="00512105" w:rsidP="00AA461F">
            <w:pPr>
              <w:pStyle w:val="TableBodyCopy"/>
            </w:pPr>
            <w:r w:rsidRPr="00FA2C26">
              <w:t>29,000 people</w:t>
            </w:r>
          </w:p>
        </w:tc>
        <w:tc>
          <w:tcPr>
            <w:tcW w:w="833" w:type="pct"/>
            <w:tcBorders>
              <w:top w:val="single" w:sz="4" w:space="0" w:color="000000"/>
              <w:left w:val="single" w:sz="4" w:space="0" w:color="000000"/>
              <w:bottom w:val="single" w:sz="4" w:space="0" w:color="000000"/>
              <w:right w:val="single" w:sz="4" w:space="0" w:color="000000"/>
            </w:tcBorders>
          </w:tcPr>
          <w:p w14:paraId="32B9E824" w14:textId="4ADB3E81" w:rsidR="00512105" w:rsidRPr="00FA2C26" w:rsidRDefault="00512105" w:rsidP="00AA461F">
            <w:pPr>
              <w:pStyle w:val="TableBodyCopy"/>
              <w:rPr>
                <w:i/>
                <w:iCs/>
              </w:rPr>
            </w:pPr>
            <w:r w:rsidRPr="00CF5050">
              <w:t>Investments</w:t>
            </w:r>
            <w:r w:rsidRPr="00FA2C26">
              <w:t xml:space="preserve"> contributing to this indicator will be concluded in 2026</w:t>
            </w:r>
            <w:r w:rsidR="002027AB">
              <w:t>–</w:t>
            </w:r>
            <w:r w:rsidRPr="00FA2C26">
              <w:t>27</w:t>
            </w:r>
          </w:p>
        </w:tc>
        <w:tc>
          <w:tcPr>
            <w:tcW w:w="834" w:type="pct"/>
            <w:tcBorders>
              <w:top w:val="single" w:sz="4" w:space="0" w:color="000000"/>
              <w:left w:val="single" w:sz="4" w:space="0" w:color="000000"/>
              <w:bottom w:val="single" w:sz="4" w:space="0" w:color="000000"/>
              <w:right w:val="single" w:sz="4" w:space="0" w:color="000000"/>
            </w:tcBorders>
          </w:tcPr>
          <w:p w14:paraId="210B7A42" w14:textId="399BD62D" w:rsidR="00512105" w:rsidRPr="00FA2C26" w:rsidRDefault="00D77E66" w:rsidP="00AA461F">
            <w:pPr>
              <w:pStyle w:val="TableBodyCopy"/>
            </w:pPr>
            <w:r>
              <w:t>SDG</w:t>
            </w:r>
            <w:r w:rsidR="00512105" w:rsidRPr="00FA2C26">
              <w:t>6</w:t>
            </w:r>
            <w:r>
              <w:t>:</w:t>
            </w:r>
            <w:r w:rsidR="00512105" w:rsidRPr="00FA2C26">
              <w:t xml:space="preserve"> Clean </w:t>
            </w:r>
            <w:r>
              <w:t>w</w:t>
            </w:r>
            <w:r w:rsidR="00512105" w:rsidRPr="00FA2C26">
              <w:t xml:space="preserve">ater and </w:t>
            </w:r>
            <w:r>
              <w:t>s</w:t>
            </w:r>
            <w:r w:rsidR="00512105" w:rsidRPr="00FA2C26">
              <w:t xml:space="preserve">anitation </w:t>
            </w:r>
          </w:p>
        </w:tc>
      </w:tr>
      <w:tr w:rsidR="00512105" w:rsidRPr="001F1AAF" w14:paraId="0DCB4EC2" w14:textId="77777777" w:rsidTr="00B43C63">
        <w:trPr>
          <w:trHeight w:val="472"/>
        </w:trPr>
        <w:tc>
          <w:tcPr>
            <w:tcW w:w="833" w:type="pct"/>
            <w:tcBorders>
              <w:top w:val="single" w:sz="4" w:space="0" w:color="000000"/>
              <w:left w:val="single" w:sz="4" w:space="0" w:color="000000"/>
              <w:bottom w:val="single" w:sz="4" w:space="0" w:color="000000"/>
              <w:right w:val="single" w:sz="4" w:space="0" w:color="000000"/>
            </w:tcBorders>
          </w:tcPr>
          <w:p w14:paraId="38C40292" w14:textId="238F7752" w:rsidR="00512105" w:rsidRPr="00462DC0" w:rsidRDefault="00512105" w:rsidP="00512105">
            <w:pPr>
              <w:pStyle w:val="TableBodyCopy"/>
              <w:rPr>
                <w:b/>
                <w:bCs/>
              </w:rPr>
            </w:pPr>
            <w:r w:rsidRPr="00462DC0">
              <w:rPr>
                <w:b/>
                <w:bCs/>
              </w:rPr>
              <w:t>Outcome 1.3</w:t>
            </w:r>
          </w:p>
        </w:tc>
        <w:tc>
          <w:tcPr>
            <w:tcW w:w="834" w:type="pct"/>
            <w:tcBorders>
              <w:top w:val="single" w:sz="4" w:space="0" w:color="000000"/>
              <w:left w:val="single" w:sz="4" w:space="0" w:color="000000"/>
              <w:bottom w:val="single" w:sz="4" w:space="0" w:color="000000"/>
              <w:right w:val="single" w:sz="4" w:space="0" w:color="000000"/>
            </w:tcBorders>
          </w:tcPr>
          <w:p w14:paraId="52A3607F" w14:textId="0EED480C" w:rsidR="00512105" w:rsidRPr="00FA2C26" w:rsidRDefault="00512105" w:rsidP="00AA461F">
            <w:pPr>
              <w:pStyle w:val="TableBodyCopy"/>
            </w:pPr>
            <w:r w:rsidRPr="00FA2C26">
              <w:t>1.3.3 Policy and technical advice to improve public financial management for better basic services to citizens</w:t>
            </w:r>
          </w:p>
        </w:tc>
        <w:tc>
          <w:tcPr>
            <w:tcW w:w="833" w:type="pct"/>
            <w:tcBorders>
              <w:top w:val="single" w:sz="4" w:space="0" w:color="000000"/>
              <w:left w:val="single" w:sz="4" w:space="0" w:color="000000"/>
              <w:bottom w:val="single" w:sz="4" w:space="0" w:color="000000"/>
              <w:right w:val="single" w:sz="4" w:space="0" w:color="000000"/>
            </w:tcBorders>
          </w:tcPr>
          <w:p w14:paraId="3FF1B1BA" w14:textId="033DAAA1" w:rsidR="00512105" w:rsidRPr="00FA2C26" w:rsidRDefault="00512105" w:rsidP="00AA461F">
            <w:pPr>
              <w:pStyle w:val="TableBodyCopy"/>
            </w:pPr>
            <w:r w:rsidRPr="00FA2C26">
              <w:t>Delivered subnational Public Expenditure and Revenue Analysis (PERA) study result to support improvement of M</w:t>
            </w:r>
            <w:r w:rsidR="002027AB">
              <w:t>o</w:t>
            </w:r>
            <w:r w:rsidRPr="00FA2C26">
              <w:t>F’s fiscal decentralisation and targeted subnational governments</w:t>
            </w:r>
            <w:r w:rsidR="002027AB">
              <w:t>’</w:t>
            </w:r>
            <w:r w:rsidRPr="00FA2C26">
              <w:t xml:space="preserve"> planning and </w:t>
            </w:r>
            <w:proofErr w:type="gramStart"/>
            <w:r w:rsidRPr="00FA2C26">
              <w:t>budgeting</w:t>
            </w:r>
            <w:proofErr w:type="gramEnd"/>
          </w:p>
          <w:p w14:paraId="3672EB77" w14:textId="44C9BC81" w:rsidR="00512105" w:rsidRPr="00FA2C26" w:rsidRDefault="00512105" w:rsidP="00AA461F">
            <w:pPr>
              <w:pStyle w:val="TableBodyCopy"/>
            </w:pPr>
            <w:r w:rsidRPr="00FA2C26">
              <w:t xml:space="preserve">Improved public financial management policies and advocacy related to DRM at national level for better minimum service </w:t>
            </w:r>
            <w:proofErr w:type="gramStart"/>
            <w:r w:rsidRPr="00FA2C26">
              <w:t>standards</w:t>
            </w:r>
            <w:proofErr w:type="gramEnd"/>
          </w:p>
          <w:p w14:paraId="6FD47B1D" w14:textId="17114E2C" w:rsidR="00512105" w:rsidRPr="00FA2C26" w:rsidRDefault="00512105" w:rsidP="00CF5050">
            <w:pPr>
              <w:pStyle w:val="TableBodyCopy"/>
              <w:keepLines/>
            </w:pPr>
            <w:r w:rsidRPr="00FA2C26">
              <w:t xml:space="preserve">Developed knowledge products on the Specific Autonomy Fund for Aceh and Papua provinces to inform future </w:t>
            </w:r>
            <w:proofErr w:type="gramStart"/>
            <w:r w:rsidRPr="00FA2C26">
              <w:t>policy</w:t>
            </w:r>
            <w:proofErr w:type="gramEnd"/>
          </w:p>
          <w:p w14:paraId="4583FDD9" w14:textId="6B85FD25" w:rsidR="00512105" w:rsidRPr="00FA2C26" w:rsidRDefault="00512105" w:rsidP="00AA461F">
            <w:pPr>
              <w:pStyle w:val="TableBodyCopy"/>
            </w:pPr>
            <w:r w:rsidRPr="00FA2C26">
              <w:t xml:space="preserve">Support to development of MoF’s regulation on </w:t>
            </w:r>
            <w:r w:rsidR="00CB48F4">
              <w:t>r</w:t>
            </w:r>
            <w:r w:rsidRPr="00FA2C26">
              <w:t xml:space="preserve">egional </w:t>
            </w:r>
            <w:r w:rsidR="00CB48F4">
              <w:t>f</w:t>
            </w:r>
            <w:r w:rsidRPr="00FA2C26">
              <w:t xml:space="preserve">iscal </w:t>
            </w:r>
            <w:r w:rsidR="00CB48F4">
              <w:t>t</w:t>
            </w:r>
            <w:r w:rsidRPr="00FA2C26">
              <w:t xml:space="preserve">ransfer and </w:t>
            </w:r>
            <w:r w:rsidR="00CB48F4">
              <w:t>r</w:t>
            </w:r>
            <w:r w:rsidRPr="00FA2C26">
              <w:t xml:space="preserve">egional </w:t>
            </w:r>
            <w:proofErr w:type="gramStart"/>
            <w:r w:rsidR="00CB48F4">
              <w:t>r</w:t>
            </w:r>
            <w:r w:rsidRPr="00FA2C26">
              <w:t>evenue</w:t>
            </w:r>
            <w:proofErr w:type="gramEnd"/>
          </w:p>
          <w:p w14:paraId="60B9D096" w14:textId="21AB55AB" w:rsidR="00512105" w:rsidRPr="00FA2C26" w:rsidRDefault="00512105" w:rsidP="00AA461F">
            <w:pPr>
              <w:pStyle w:val="TableBodyCopy"/>
            </w:pPr>
            <w:r w:rsidRPr="00FA2C26">
              <w:t>Support provided to the Health Financing Masterplan</w:t>
            </w:r>
          </w:p>
        </w:tc>
        <w:tc>
          <w:tcPr>
            <w:tcW w:w="834" w:type="pct"/>
            <w:tcBorders>
              <w:top w:val="single" w:sz="4" w:space="0" w:color="000000"/>
              <w:left w:val="single" w:sz="4" w:space="0" w:color="000000"/>
              <w:bottom w:val="single" w:sz="4" w:space="0" w:color="000000"/>
              <w:right w:val="single" w:sz="4" w:space="0" w:color="000000"/>
            </w:tcBorders>
          </w:tcPr>
          <w:p w14:paraId="4735B83B" w14:textId="25CA7B38" w:rsidR="00512105" w:rsidRPr="00FA2C26" w:rsidRDefault="00512105" w:rsidP="00AA461F">
            <w:pPr>
              <w:pStyle w:val="TableBodyCopy"/>
            </w:pPr>
            <w:r w:rsidRPr="00FA2C26">
              <w:t xml:space="preserve">Subnational PERA study result used for policy change on fiscal decentralisation and </w:t>
            </w:r>
            <w:r w:rsidR="00BC76EC">
              <w:t xml:space="preserve">improvement of </w:t>
            </w:r>
            <w:r w:rsidRPr="00FA2C26">
              <w:t>targeted subnational governments</w:t>
            </w:r>
            <w:r w:rsidR="00753DE6">
              <w:t>’</w:t>
            </w:r>
            <w:r w:rsidRPr="00FA2C26">
              <w:t xml:space="preserve"> planning and </w:t>
            </w:r>
            <w:proofErr w:type="gramStart"/>
            <w:r w:rsidRPr="00FA2C26">
              <w:t>budgeting</w:t>
            </w:r>
            <w:proofErr w:type="gramEnd"/>
          </w:p>
          <w:p w14:paraId="03EAF81D" w14:textId="08CA1D4A" w:rsidR="00512105" w:rsidRPr="00FA2C26" w:rsidRDefault="00512105" w:rsidP="00AA461F">
            <w:pPr>
              <w:pStyle w:val="TableBodyCopy"/>
            </w:pPr>
            <w:r w:rsidRPr="00FA2C26">
              <w:t xml:space="preserve">Improved public financial management policies and advocacy related to DRM at subnational level for better minimum service </w:t>
            </w:r>
            <w:proofErr w:type="gramStart"/>
            <w:r w:rsidRPr="00FA2C26">
              <w:t>standards</w:t>
            </w:r>
            <w:proofErr w:type="gramEnd"/>
          </w:p>
          <w:p w14:paraId="0E72C38E" w14:textId="047DC14E" w:rsidR="00512105" w:rsidRPr="00FA2C26" w:rsidRDefault="00512105" w:rsidP="00CF5050">
            <w:pPr>
              <w:pStyle w:val="TableBodyCopy"/>
              <w:keepLines/>
            </w:pPr>
            <w:r w:rsidRPr="00FA2C26">
              <w:t xml:space="preserve">Improved analytical capacity of the existing integrated financial information </w:t>
            </w:r>
            <w:proofErr w:type="gramStart"/>
            <w:r w:rsidRPr="00FA2C26">
              <w:t>system</w:t>
            </w:r>
            <w:proofErr w:type="gramEnd"/>
          </w:p>
          <w:p w14:paraId="5383EC46" w14:textId="0D2EF822" w:rsidR="00512105" w:rsidRPr="00FA2C26" w:rsidRDefault="00512105" w:rsidP="00AA461F">
            <w:pPr>
              <w:pStyle w:val="TableBodyCopy"/>
            </w:pPr>
            <w:r w:rsidRPr="00FA2C26">
              <w:t>Support provided to the Health Sector Master Plan (RIBK)</w:t>
            </w:r>
          </w:p>
        </w:tc>
        <w:tc>
          <w:tcPr>
            <w:tcW w:w="833" w:type="pct"/>
            <w:tcBorders>
              <w:top w:val="single" w:sz="4" w:space="0" w:color="000000"/>
              <w:left w:val="single" w:sz="4" w:space="0" w:color="000000"/>
              <w:bottom w:val="single" w:sz="4" w:space="0" w:color="000000"/>
              <w:right w:val="single" w:sz="4" w:space="0" w:color="000000"/>
            </w:tcBorders>
          </w:tcPr>
          <w:p w14:paraId="4A92EE13" w14:textId="5477DC15" w:rsidR="00512105" w:rsidRPr="00FA2C26" w:rsidRDefault="00512105" w:rsidP="00AA461F">
            <w:pPr>
              <w:pStyle w:val="TableBodyCopy"/>
            </w:pPr>
            <w:r w:rsidRPr="00FA2C26">
              <w:t xml:space="preserve">Continued use of subnational PERA study results for policy change on fiscal decentralisation and </w:t>
            </w:r>
            <w:r w:rsidR="00297203">
              <w:t xml:space="preserve">improvement of </w:t>
            </w:r>
            <w:r w:rsidRPr="00FA2C26">
              <w:t>targeted subnational governments</w:t>
            </w:r>
            <w:r w:rsidR="00753DE6">
              <w:t>’</w:t>
            </w:r>
            <w:r w:rsidRPr="00FA2C26">
              <w:t xml:space="preserve"> planning and budgeting</w:t>
            </w:r>
          </w:p>
          <w:p w14:paraId="070C14D9" w14:textId="5AD28A2D" w:rsidR="00512105" w:rsidRPr="00FA2C26" w:rsidRDefault="00512105" w:rsidP="00AA461F">
            <w:pPr>
              <w:pStyle w:val="TableBodyCopy"/>
              <w:rPr>
                <w:i/>
                <w:iCs/>
              </w:rPr>
            </w:pPr>
            <w:r w:rsidRPr="00FA2C26">
              <w:t>Support provided to the RIBK</w:t>
            </w:r>
          </w:p>
        </w:tc>
        <w:tc>
          <w:tcPr>
            <w:tcW w:w="834" w:type="pct"/>
            <w:tcBorders>
              <w:top w:val="single" w:sz="4" w:space="0" w:color="000000"/>
              <w:left w:val="single" w:sz="4" w:space="0" w:color="000000"/>
              <w:bottom w:val="single" w:sz="4" w:space="0" w:color="000000"/>
              <w:right w:val="single" w:sz="4" w:space="0" w:color="000000"/>
            </w:tcBorders>
          </w:tcPr>
          <w:p w14:paraId="75886D05" w14:textId="6A6A7C8D" w:rsidR="00512105" w:rsidRPr="00FA2C26" w:rsidRDefault="00D77E66" w:rsidP="00AA461F">
            <w:pPr>
              <w:pStyle w:val="TableBodyCopy"/>
            </w:pPr>
            <w:r>
              <w:t>SDG</w:t>
            </w:r>
            <w:r w:rsidR="00512105" w:rsidRPr="00FA2C26">
              <w:t>16</w:t>
            </w:r>
            <w:r>
              <w:t>:</w:t>
            </w:r>
            <w:r w:rsidR="00512105" w:rsidRPr="00FA2C26">
              <w:t xml:space="preserve"> Peace, </w:t>
            </w:r>
            <w:proofErr w:type="gramStart"/>
            <w:r>
              <w:t>j</w:t>
            </w:r>
            <w:r w:rsidR="00512105" w:rsidRPr="00FA2C26">
              <w:t>ustice</w:t>
            </w:r>
            <w:proofErr w:type="gramEnd"/>
            <w:r w:rsidR="00512105" w:rsidRPr="00FA2C26">
              <w:t xml:space="preserve"> and </w:t>
            </w:r>
            <w:r>
              <w:t>s</w:t>
            </w:r>
            <w:r w:rsidR="00512105" w:rsidRPr="00FA2C26">
              <w:t xml:space="preserve">trong </w:t>
            </w:r>
            <w:r>
              <w:t>i</w:t>
            </w:r>
            <w:r w:rsidR="00512105" w:rsidRPr="00FA2C26">
              <w:t>nstitutions</w:t>
            </w:r>
          </w:p>
        </w:tc>
      </w:tr>
      <w:tr w:rsidR="00512105" w:rsidRPr="001F1AAF" w14:paraId="5B408FDD" w14:textId="77777777" w:rsidTr="00B43C63">
        <w:trPr>
          <w:trHeight w:val="472"/>
        </w:trPr>
        <w:tc>
          <w:tcPr>
            <w:tcW w:w="833" w:type="pct"/>
            <w:tcBorders>
              <w:top w:val="single" w:sz="4" w:space="0" w:color="000000"/>
              <w:left w:val="single" w:sz="4" w:space="0" w:color="000000"/>
              <w:bottom w:val="single" w:sz="4" w:space="0" w:color="000000"/>
              <w:right w:val="single" w:sz="4" w:space="0" w:color="000000"/>
            </w:tcBorders>
          </w:tcPr>
          <w:p w14:paraId="51CC582C" w14:textId="7B39BDB0" w:rsidR="00512105" w:rsidRPr="00462DC0" w:rsidRDefault="00512105" w:rsidP="00512105">
            <w:pPr>
              <w:pStyle w:val="TableBodyCopy"/>
              <w:rPr>
                <w:b/>
                <w:bCs/>
              </w:rPr>
            </w:pPr>
            <w:r w:rsidRPr="00462DC0">
              <w:rPr>
                <w:b/>
                <w:bCs/>
              </w:rPr>
              <w:t>Outcome 1.3</w:t>
            </w:r>
          </w:p>
        </w:tc>
        <w:tc>
          <w:tcPr>
            <w:tcW w:w="834" w:type="pct"/>
            <w:tcBorders>
              <w:top w:val="single" w:sz="4" w:space="0" w:color="000000"/>
              <w:left w:val="single" w:sz="4" w:space="0" w:color="000000"/>
              <w:bottom w:val="single" w:sz="4" w:space="0" w:color="000000"/>
              <w:right w:val="single" w:sz="4" w:space="0" w:color="000000"/>
            </w:tcBorders>
          </w:tcPr>
          <w:p w14:paraId="275F66E7" w14:textId="499ACDF0" w:rsidR="00512105" w:rsidRPr="00FA2C26" w:rsidRDefault="00512105" w:rsidP="00AA461F">
            <w:pPr>
              <w:pStyle w:val="TableBodyCopy"/>
            </w:pPr>
            <w:r w:rsidRPr="00FA2C26">
              <w:t xml:space="preserve">1.3.4 Benefit to citizens from infrastructure projects that meet G20 principles for Quality Infrastructure </w:t>
            </w:r>
            <w:r w:rsidRPr="00FA2C26">
              <w:lastRenderedPageBreak/>
              <w:t>Investments, or similar internationally agreed standards</w:t>
            </w:r>
          </w:p>
        </w:tc>
        <w:tc>
          <w:tcPr>
            <w:tcW w:w="833" w:type="pct"/>
            <w:tcBorders>
              <w:top w:val="single" w:sz="4" w:space="0" w:color="000000"/>
              <w:left w:val="single" w:sz="4" w:space="0" w:color="000000"/>
              <w:bottom w:val="single" w:sz="4" w:space="0" w:color="000000"/>
              <w:right w:val="single" w:sz="4" w:space="0" w:color="000000"/>
            </w:tcBorders>
          </w:tcPr>
          <w:p w14:paraId="70EF8879" w14:textId="52DB3A37" w:rsidR="00512105" w:rsidRPr="00FA2C26" w:rsidRDefault="00512105" w:rsidP="00AA461F">
            <w:pPr>
              <w:pStyle w:val="TableBodyCopy"/>
              <w:rPr>
                <w:kern w:val="2"/>
                <w14:ligatures w14:val="standardContextual"/>
              </w:rPr>
            </w:pPr>
            <w:r w:rsidRPr="00FA2C26">
              <w:rPr>
                <w:kern w:val="2"/>
                <w14:ligatures w14:val="standardContextual"/>
              </w:rPr>
              <w:lastRenderedPageBreak/>
              <w:t xml:space="preserve">Citizens benefit from improvement in quality of design, </w:t>
            </w:r>
            <w:proofErr w:type="gramStart"/>
            <w:r w:rsidRPr="00FA2C26">
              <w:rPr>
                <w:kern w:val="2"/>
                <w14:ligatures w14:val="standardContextual"/>
              </w:rPr>
              <w:t>operation</w:t>
            </w:r>
            <w:proofErr w:type="gramEnd"/>
            <w:r w:rsidRPr="00FA2C26">
              <w:rPr>
                <w:kern w:val="2"/>
                <w14:ligatures w14:val="standardContextual"/>
              </w:rPr>
              <w:t xml:space="preserve"> and maintenance of </w:t>
            </w:r>
            <w:r w:rsidRPr="00FA2C26">
              <w:rPr>
                <w:kern w:val="2"/>
                <w14:ligatures w14:val="standardContextual"/>
              </w:rPr>
              <w:lastRenderedPageBreak/>
              <w:t>infrastructure, including</w:t>
            </w:r>
            <w:r w:rsidR="00C93CF9">
              <w:rPr>
                <w:kern w:val="2"/>
                <w14:ligatures w14:val="standardContextual"/>
              </w:rPr>
              <w:t xml:space="preserve"> that</w:t>
            </w:r>
            <w:r w:rsidRPr="00FA2C26">
              <w:rPr>
                <w:kern w:val="2"/>
                <w14:ligatures w14:val="standardContextual"/>
              </w:rPr>
              <w:t>:</w:t>
            </w:r>
          </w:p>
          <w:p w14:paraId="30537E3F" w14:textId="3F553B81" w:rsidR="00512105" w:rsidRPr="00FA2C26" w:rsidRDefault="00512105" w:rsidP="00CF5050">
            <w:pPr>
              <w:pStyle w:val="Tablebullet"/>
            </w:pPr>
            <w:r w:rsidRPr="00FA2C26">
              <w:t xml:space="preserve">poor households, including female-headed poor households, are provided with </w:t>
            </w:r>
            <w:r w:rsidRPr="00FA2C26">
              <w:rPr>
                <w:kern w:val="2"/>
                <w14:ligatures w14:val="standardContextual"/>
              </w:rPr>
              <w:t>State-owned Electricity Company (</w:t>
            </w:r>
            <w:r w:rsidRPr="00FA2C26">
              <w:t xml:space="preserve">PLN) electricity and wastewater treatment plant </w:t>
            </w:r>
            <w:proofErr w:type="gramStart"/>
            <w:r w:rsidRPr="00FA2C26">
              <w:t>connections</w:t>
            </w:r>
            <w:proofErr w:type="gramEnd"/>
          </w:p>
          <w:p w14:paraId="0E1F0D22" w14:textId="08357C3B" w:rsidR="00512105" w:rsidRPr="00FA2C26" w:rsidRDefault="00512105" w:rsidP="00CF5050">
            <w:pPr>
              <w:pStyle w:val="Tablebullet"/>
            </w:pPr>
            <w:r w:rsidRPr="00FA2C26">
              <w:t>people have access to 1</w:t>
            </w:r>
            <w:r w:rsidR="00C93CF9">
              <w:t> </w:t>
            </w:r>
            <w:r w:rsidRPr="00FA2C26">
              <w:t>airport (</w:t>
            </w:r>
            <w:proofErr w:type="spellStart"/>
            <w:r w:rsidRPr="00FA2C26">
              <w:t>Palu</w:t>
            </w:r>
            <w:proofErr w:type="spellEnd"/>
            <w:r w:rsidRPr="00FA2C26">
              <w:t>) and 3</w:t>
            </w:r>
            <w:r w:rsidR="00C93CF9">
              <w:t> </w:t>
            </w:r>
            <w:r w:rsidRPr="00FA2C26">
              <w:t>ports (</w:t>
            </w:r>
            <w:proofErr w:type="spellStart"/>
            <w:r w:rsidRPr="00FA2C26">
              <w:t>Palu</w:t>
            </w:r>
            <w:proofErr w:type="spellEnd"/>
            <w:r w:rsidRPr="00FA2C26">
              <w:t xml:space="preserve">, Wani, </w:t>
            </w:r>
            <w:proofErr w:type="spellStart"/>
            <w:r w:rsidRPr="00FA2C26">
              <w:t>Donggala</w:t>
            </w:r>
            <w:proofErr w:type="spellEnd"/>
            <w:r w:rsidRPr="00FA2C26">
              <w:t xml:space="preserve">) that are resilient, inclusive and </w:t>
            </w:r>
            <w:proofErr w:type="gramStart"/>
            <w:r w:rsidRPr="00FA2C26">
              <w:t>operational</w:t>
            </w:r>
            <w:proofErr w:type="gramEnd"/>
          </w:p>
          <w:p w14:paraId="11FB7A5F" w14:textId="165CC214" w:rsidR="00512105" w:rsidRPr="00FA2C26" w:rsidRDefault="00512105" w:rsidP="00CF5050">
            <w:pPr>
              <w:pStyle w:val="Tablebullet"/>
            </w:pPr>
            <w:r w:rsidRPr="00FA2C26">
              <w:t xml:space="preserve">flood risks for households in </w:t>
            </w:r>
            <w:r w:rsidR="000E45C6">
              <w:t xml:space="preserve">the </w:t>
            </w:r>
            <w:proofErr w:type="spellStart"/>
            <w:r w:rsidRPr="00FA2C26">
              <w:t>Ciujung</w:t>
            </w:r>
            <w:proofErr w:type="spellEnd"/>
            <w:r w:rsidRPr="00FA2C26">
              <w:t xml:space="preserve"> and </w:t>
            </w:r>
            <w:proofErr w:type="gramStart"/>
            <w:r w:rsidRPr="00FA2C26">
              <w:t>Ambon river</w:t>
            </w:r>
            <w:proofErr w:type="gramEnd"/>
            <w:r w:rsidRPr="00FA2C26">
              <w:t xml:space="preserve"> basins </w:t>
            </w:r>
            <w:r w:rsidR="001D6FDB">
              <w:t xml:space="preserve">are </w:t>
            </w:r>
            <w:r w:rsidR="001D6FDB" w:rsidRPr="00FA2C26">
              <w:t xml:space="preserve">reduced </w:t>
            </w:r>
            <w:r w:rsidRPr="00FA2C26">
              <w:t>through flood protection infrastructure and capacity building</w:t>
            </w:r>
          </w:p>
        </w:tc>
        <w:tc>
          <w:tcPr>
            <w:tcW w:w="834" w:type="pct"/>
            <w:tcBorders>
              <w:top w:val="single" w:sz="4" w:space="0" w:color="000000"/>
              <w:left w:val="single" w:sz="4" w:space="0" w:color="000000"/>
              <w:bottom w:val="single" w:sz="4" w:space="0" w:color="000000"/>
              <w:right w:val="single" w:sz="4" w:space="0" w:color="000000"/>
            </w:tcBorders>
          </w:tcPr>
          <w:p w14:paraId="4B242629" w14:textId="7F8E3D5F" w:rsidR="00512105" w:rsidRPr="00FA2C26" w:rsidRDefault="00512105" w:rsidP="00AA461F">
            <w:pPr>
              <w:pStyle w:val="TableBodyCopy"/>
              <w:rPr>
                <w:kern w:val="2"/>
                <w14:ligatures w14:val="standardContextual"/>
              </w:rPr>
            </w:pPr>
            <w:r w:rsidRPr="00FA2C26">
              <w:rPr>
                <w:kern w:val="2"/>
                <w14:ligatures w14:val="standardContextual"/>
              </w:rPr>
              <w:lastRenderedPageBreak/>
              <w:t xml:space="preserve">Citizens benefit from improvement of design, </w:t>
            </w:r>
            <w:proofErr w:type="gramStart"/>
            <w:r w:rsidRPr="00FA2C26">
              <w:rPr>
                <w:kern w:val="2"/>
                <w14:ligatures w14:val="standardContextual"/>
              </w:rPr>
              <w:lastRenderedPageBreak/>
              <w:t>operation</w:t>
            </w:r>
            <w:proofErr w:type="gramEnd"/>
            <w:r w:rsidRPr="00FA2C26">
              <w:rPr>
                <w:kern w:val="2"/>
                <w14:ligatures w14:val="standardContextual"/>
              </w:rPr>
              <w:t xml:space="preserve"> and maintenance of infrastructure, including:</w:t>
            </w:r>
          </w:p>
          <w:p w14:paraId="44D8D580" w14:textId="2C4FC7C8" w:rsidR="00512105" w:rsidRPr="00FA2C26" w:rsidRDefault="00512105" w:rsidP="00CF5050">
            <w:pPr>
              <w:pStyle w:val="Tablebullet"/>
            </w:pPr>
            <w:r w:rsidRPr="00FA2C26">
              <w:t>higher</w:t>
            </w:r>
            <w:r w:rsidR="000E45C6">
              <w:t>-</w:t>
            </w:r>
            <w:r w:rsidRPr="00FA2C26">
              <w:t>quality agriculture from the construction of laboratories and a broodstock centre</w:t>
            </w:r>
          </w:p>
          <w:p w14:paraId="4D836AD6" w14:textId="7DA20BBB" w:rsidR="00512105" w:rsidRPr="00FA2C26" w:rsidRDefault="000E45C6" w:rsidP="00CF5050">
            <w:pPr>
              <w:pStyle w:val="Tablebullet"/>
            </w:pPr>
            <w:r>
              <w:t xml:space="preserve">the </w:t>
            </w:r>
            <w:r w:rsidR="00512105" w:rsidRPr="00FA2C26">
              <w:t>Citywide Inclusive Sanitation Project</w:t>
            </w:r>
            <w:r>
              <w:t>,</w:t>
            </w:r>
            <w:r w:rsidR="00512105" w:rsidRPr="00FA2C26">
              <w:t xml:space="preserve"> designed to provide access to safely managed sanitation to around 2.5</w:t>
            </w:r>
            <w:r>
              <w:t> </w:t>
            </w:r>
            <w:r w:rsidR="00512105" w:rsidRPr="00FA2C26">
              <w:t xml:space="preserve">million </w:t>
            </w:r>
            <w:proofErr w:type="gramStart"/>
            <w:r w:rsidR="00512105" w:rsidRPr="00FA2C26">
              <w:t>people</w:t>
            </w:r>
            <w:proofErr w:type="gramEnd"/>
          </w:p>
          <w:p w14:paraId="779248CE" w14:textId="71CD893E" w:rsidR="00512105" w:rsidRPr="00FA2C26" w:rsidRDefault="00512105" w:rsidP="00CF5050">
            <w:pPr>
              <w:pStyle w:val="Tablebullet"/>
            </w:pPr>
            <w:r w:rsidRPr="00FA2C26">
              <w:t xml:space="preserve">reduced flood risks for poor and vulnerable people, agricultural crops and assets located in urban and industrial parts of </w:t>
            </w:r>
            <w:r w:rsidR="000E45C6">
              <w:t xml:space="preserve">the </w:t>
            </w:r>
            <w:r w:rsidRPr="00FA2C26">
              <w:t>northern coast of Java</w:t>
            </w:r>
          </w:p>
        </w:tc>
        <w:tc>
          <w:tcPr>
            <w:tcW w:w="833" w:type="pct"/>
            <w:tcBorders>
              <w:top w:val="single" w:sz="4" w:space="0" w:color="000000"/>
              <w:left w:val="single" w:sz="4" w:space="0" w:color="000000"/>
              <w:bottom w:val="single" w:sz="4" w:space="0" w:color="000000"/>
              <w:right w:val="single" w:sz="4" w:space="0" w:color="000000"/>
            </w:tcBorders>
          </w:tcPr>
          <w:p w14:paraId="41FFECD0" w14:textId="272B701A" w:rsidR="00512105" w:rsidRPr="00FA2C26" w:rsidRDefault="00512105" w:rsidP="00AA461F">
            <w:pPr>
              <w:pStyle w:val="TableBodyCopy"/>
            </w:pPr>
            <w:r w:rsidRPr="00FA2C26">
              <w:lastRenderedPageBreak/>
              <w:t xml:space="preserve">Investments </w:t>
            </w:r>
            <w:r w:rsidRPr="00CF5050">
              <w:t>contributing</w:t>
            </w:r>
            <w:r w:rsidRPr="00FA2C26">
              <w:t xml:space="preserve"> to this indicator will be concluded in 2026</w:t>
            </w:r>
            <w:r w:rsidR="00A46E05">
              <w:t>–</w:t>
            </w:r>
            <w:r w:rsidRPr="00FA2C26">
              <w:t>27</w:t>
            </w:r>
          </w:p>
        </w:tc>
        <w:tc>
          <w:tcPr>
            <w:tcW w:w="834" w:type="pct"/>
            <w:tcBorders>
              <w:top w:val="single" w:sz="4" w:space="0" w:color="000000"/>
              <w:left w:val="single" w:sz="4" w:space="0" w:color="000000"/>
              <w:bottom w:val="single" w:sz="4" w:space="0" w:color="000000"/>
              <w:right w:val="single" w:sz="4" w:space="0" w:color="000000"/>
            </w:tcBorders>
          </w:tcPr>
          <w:p w14:paraId="122CC9A6" w14:textId="1C64C195" w:rsidR="00D25CBC" w:rsidRPr="00FA2C26" w:rsidRDefault="00D25CBC" w:rsidP="00D25CBC">
            <w:pPr>
              <w:pStyle w:val="TableBodyCopy"/>
            </w:pPr>
            <w:r>
              <w:t>S</w:t>
            </w:r>
            <w:r w:rsidR="00D77E66">
              <w:t>DG</w:t>
            </w:r>
            <w:r w:rsidR="00512105" w:rsidRPr="00FA2C26">
              <w:t>9</w:t>
            </w:r>
            <w:r w:rsidR="00D77E66">
              <w:t>:</w:t>
            </w:r>
            <w:r w:rsidR="00512105" w:rsidRPr="00FA2C26">
              <w:t xml:space="preserve"> Industry, </w:t>
            </w:r>
            <w:proofErr w:type="gramStart"/>
            <w:r w:rsidR="00D77E66">
              <w:t>i</w:t>
            </w:r>
            <w:r w:rsidR="00512105" w:rsidRPr="00FA2C26">
              <w:t>nnovation</w:t>
            </w:r>
            <w:proofErr w:type="gramEnd"/>
            <w:r w:rsidR="00512105" w:rsidRPr="00FA2C26">
              <w:t xml:space="preserve"> and </w:t>
            </w:r>
            <w:r w:rsidR="00D77E66">
              <w:t>i</w:t>
            </w:r>
            <w:r w:rsidR="00512105" w:rsidRPr="00FA2C26">
              <w:t>nfrastructure</w:t>
            </w:r>
            <w:r>
              <w:t>, SDG</w:t>
            </w:r>
            <w:r w:rsidRPr="00FA2C26">
              <w:t>16</w:t>
            </w:r>
          </w:p>
        </w:tc>
      </w:tr>
    </w:tbl>
    <w:p w14:paraId="2A16FF4F" w14:textId="233D6A5A" w:rsidR="00EF3FE6" w:rsidRDefault="00D66EBD" w:rsidP="00CF5050">
      <w:pPr>
        <w:pStyle w:val="Tablenote"/>
        <w:rPr>
          <w:rFonts w:cstheme="majorHAnsi"/>
        </w:rPr>
      </w:pPr>
      <w:bookmarkStart w:id="5" w:name="Tn3a"/>
      <w:r>
        <w:t>a</w:t>
      </w:r>
      <w:r>
        <w:tab/>
      </w:r>
      <w:r w:rsidR="00EF3FE6">
        <w:t>Decreasing number because i</w:t>
      </w:r>
      <w:r w:rsidR="00EF3FE6" w:rsidRPr="00A9113A">
        <w:t>nvestments contributing to this indicator will be concluded in 2026</w:t>
      </w:r>
      <w:r>
        <w:t>–</w:t>
      </w:r>
      <w:r w:rsidR="00EF3FE6">
        <w:t>27</w:t>
      </w:r>
      <w:r w:rsidR="00EF3FE6" w:rsidRPr="00A9113A">
        <w:t>.</w:t>
      </w:r>
      <w:bookmarkEnd w:id="5"/>
    </w:p>
    <w:p w14:paraId="71E34417" w14:textId="77777777" w:rsidR="00045F06" w:rsidRDefault="00045F06">
      <w:pPr>
        <w:spacing w:before="0" w:after="0" w:line="240" w:lineRule="auto"/>
        <w:rPr>
          <w:b/>
          <w:bCs/>
        </w:rPr>
      </w:pPr>
      <w:r>
        <w:rPr>
          <w:b/>
          <w:bCs/>
        </w:rPr>
        <w:br w:type="page"/>
      </w:r>
    </w:p>
    <w:p w14:paraId="39B72CD0" w14:textId="76E79BCB" w:rsidR="00737E87" w:rsidRPr="00CF5050" w:rsidRDefault="00737E87" w:rsidP="00CF5050">
      <w:pPr>
        <w:rPr>
          <w:rFonts w:cstheme="minorHAnsi"/>
        </w:rPr>
      </w:pPr>
      <w:r w:rsidRPr="00CF5050">
        <w:rPr>
          <w:b/>
          <w:bCs/>
        </w:rPr>
        <w:lastRenderedPageBreak/>
        <w:t>Objective 2: Climate</w:t>
      </w:r>
      <w:r w:rsidR="00080C2A" w:rsidRPr="00CF5050">
        <w:rPr>
          <w:b/>
          <w:bCs/>
        </w:rPr>
        <w:t xml:space="preserve"> r</w:t>
      </w:r>
      <w:r w:rsidRPr="00CF5050">
        <w:rPr>
          <w:b/>
          <w:bCs/>
        </w:rPr>
        <w:t xml:space="preserve">esilient </w:t>
      </w:r>
      <w:r w:rsidR="00080C2A" w:rsidRPr="00CF5050">
        <w:rPr>
          <w:b/>
          <w:bCs/>
        </w:rPr>
        <w:t>c</w:t>
      </w:r>
      <w:r w:rsidRPr="00CF5050">
        <w:rPr>
          <w:b/>
          <w:bCs/>
        </w:rPr>
        <w:t>ommunities</w:t>
      </w:r>
    </w:p>
    <w:tbl>
      <w:tblPr>
        <w:tblStyle w:val="DFATWattle"/>
        <w:tblpPr w:leftFromText="180" w:rightFromText="180" w:vertAnchor="text" w:tblpY="1"/>
        <w:tblOverlap w:val="never"/>
        <w:tblW w:w="5000" w:type="pct"/>
        <w:tblLayout w:type="fixed"/>
        <w:tblLook w:val="04A0" w:firstRow="1" w:lastRow="0" w:firstColumn="1" w:lastColumn="0" w:noHBand="0" w:noVBand="1"/>
        <w:tblCaption w:val="Performance assessment framework for objective 2"/>
        <w:tblDescription w:val="Expected results for the first 3 years of the DPP and against the Sustainable Development Goals"/>
      </w:tblPr>
      <w:tblGrid>
        <w:gridCol w:w="2496"/>
        <w:gridCol w:w="2499"/>
        <w:gridCol w:w="2497"/>
        <w:gridCol w:w="2499"/>
        <w:gridCol w:w="2497"/>
        <w:gridCol w:w="2497"/>
      </w:tblGrid>
      <w:tr w:rsidR="00FA3E43" w:rsidRPr="00994F7D" w14:paraId="638CCA01" w14:textId="77777777" w:rsidTr="002B1651">
        <w:trPr>
          <w:cnfStyle w:val="100000000000" w:firstRow="1" w:lastRow="0" w:firstColumn="0" w:lastColumn="0" w:oddVBand="0" w:evenVBand="0" w:oddHBand="0" w:evenHBand="0" w:firstRowFirstColumn="0" w:firstRowLastColumn="0" w:lastRowFirstColumn="0" w:lastRowLastColumn="0"/>
          <w:trHeight w:val="787"/>
        </w:trPr>
        <w:tc>
          <w:tcPr>
            <w:tcW w:w="833" w:type="pct"/>
            <w:shd w:val="clear" w:color="auto" w:fill="3A586E"/>
            <w:hideMark/>
          </w:tcPr>
          <w:p w14:paraId="61E3AC93" w14:textId="438EE315" w:rsidR="00FA3E43" w:rsidRPr="00FA3E43" w:rsidRDefault="00163DED" w:rsidP="00994F7D">
            <w:pPr>
              <w:pStyle w:val="TableHeading"/>
              <w:rPr>
                <w:b w:val="0"/>
                <w:bCs w:val="0"/>
              </w:rPr>
            </w:pPr>
            <w:r w:rsidRPr="00DA213C">
              <w:rPr>
                <w:b w:val="0"/>
                <w:bCs w:val="0"/>
              </w:rPr>
              <w:t>Outcome</w:t>
            </w:r>
          </w:p>
        </w:tc>
        <w:tc>
          <w:tcPr>
            <w:tcW w:w="834" w:type="pct"/>
            <w:shd w:val="clear" w:color="auto" w:fill="3A586E"/>
          </w:tcPr>
          <w:p w14:paraId="49AADB5C" w14:textId="799A55DE" w:rsidR="00FA3E43" w:rsidRPr="00FA3E43" w:rsidRDefault="00176686" w:rsidP="00994F7D">
            <w:pPr>
              <w:pStyle w:val="TableHeading"/>
              <w:rPr>
                <w:b w:val="0"/>
                <w:bCs w:val="0"/>
              </w:rPr>
            </w:pPr>
            <w:r w:rsidRPr="00287DB8">
              <w:rPr>
                <w:b w:val="0"/>
                <w:bCs w:val="0"/>
              </w:rPr>
              <w:t>Indicator</w:t>
            </w:r>
          </w:p>
        </w:tc>
        <w:tc>
          <w:tcPr>
            <w:tcW w:w="833" w:type="pct"/>
            <w:shd w:val="clear" w:color="auto" w:fill="3A586E"/>
            <w:vAlign w:val="center"/>
            <w:hideMark/>
          </w:tcPr>
          <w:p w14:paraId="76605DFD" w14:textId="6AFB4431" w:rsidR="00FA3E43" w:rsidRPr="00FA3E43" w:rsidRDefault="00FA3E43" w:rsidP="00994F7D">
            <w:pPr>
              <w:pStyle w:val="TableHeading"/>
              <w:rPr>
                <w:b w:val="0"/>
                <w:bCs w:val="0"/>
              </w:rPr>
            </w:pPr>
            <w:r w:rsidRPr="00FA3E43">
              <w:rPr>
                <w:b w:val="0"/>
                <w:bCs w:val="0"/>
              </w:rPr>
              <w:t xml:space="preserve">Expected </w:t>
            </w:r>
            <w:r w:rsidR="00176686">
              <w:rPr>
                <w:b w:val="0"/>
                <w:bCs w:val="0"/>
              </w:rPr>
              <w:t>r</w:t>
            </w:r>
            <w:r w:rsidRPr="00FA3E43">
              <w:rPr>
                <w:b w:val="0"/>
                <w:bCs w:val="0"/>
              </w:rPr>
              <w:t>esults</w:t>
            </w:r>
            <w:r w:rsidRPr="00FA3E43">
              <w:rPr>
                <w:b w:val="0"/>
                <w:bCs w:val="0"/>
              </w:rPr>
              <w:br/>
              <w:t>2024</w:t>
            </w:r>
            <w:r w:rsidR="00176686">
              <w:rPr>
                <w:b w:val="0"/>
                <w:bCs w:val="0"/>
              </w:rPr>
              <w:t>–</w:t>
            </w:r>
            <w:r w:rsidRPr="00FA3E43">
              <w:rPr>
                <w:b w:val="0"/>
                <w:bCs w:val="0"/>
              </w:rPr>
              <w:t>25</w:t>
            </w:r>
          </w:p>
        </w:tc>
        <w:tc>
          <w:tcPr>
            <w:tcW w:w="834" w:type="pct"/>
            <w:shd w:val="clear" w:color="auto" w:fill="3A586E"/>
            <w:vAlign w:val="center"/>
            <w:hideMark/>
          </w:tcPr>
          <w:p w14:paraId="6A02A3E6" w14:textId="3305F3CC" w:rsidR="00FA3E43" w:rsidRPr="00FA3E43" w:rsidRDefault="00FA3E43" w:rsidP="00994F7D">
            <w:pPr>
              <w:pStyle w:val="TableHeading"/>
              <w:rPr>
                <w:b w:val="0"/>
                <w:bCs w:val="0"/>
              </w:rPr>
            </w:pPr>
            <w:r w:rsidRPr="00FA3E43">
              <w:rPr>
                <w:b w:val="0"/>
                <w:bCs w:val="0"/>
              </w:rPr>
              <w:t xml:space="preserve">Expected </w:t>
            </w:r>
            <w:r w:rsidR="00176686">
              <w:rPr>
                <w:b w:val="0"/>
                <w:bCs w:val="0"/>
              </w:rPr>
              <w:t>r</w:t>
            </w:r>
            <w:r w:rsidRPr="00FA3E43">
              <w:rPr>
                <w:b w:val="0"/>
                <w:bCs w:val="0"/>
              </w:rPr>
              <w:t>esults</w:t>
            </w:r>
            <w:r w:rsidRPr="00FA3E43">
              <w:rPr>
                <w:b w:val="0"/>
                <w:bCs w:val="0"/>
              </w:rPr>
              <w:br/>
              <w:t>2025</w:t>
            </w:r>
            <w:r w:rsidR="00176686">
              <w:rPr>
                <w:b w:val="0"/>
                <w:bCs w:val="0"/>
              </w:rPr>
              <w:t>–</w:t>
            </w:r>
            <w:r w:rsidRPr="00FA3E43">
              <w:rPr>
                <w:b w:val="0"/>
                <w:bCs w:val="0"/>
              </w:rPr>
              <w:t>26</w:t>
            </w:r>
          </w:p>
        </w:tc>
        <w:tc>
          <w:tcPr>
            <w:tcW w:w="833" w:type="pct"/>
            <w:shd w:val="clear" w:color="auto" w:fill="3A586E"/>
            <w:vAlign w:val="center"/>
            <w:hideMark/>
          </w:tcPr>
          <w:p w14:paraId="0256AB77" w14:textId="2D170403" w:rsidR="00FA3E43" w:rsidRPr="00FA3E43" w:rsidRDefault="00FA3E43" w:rsidP="00994F7D">
            <w:pPr>
              <w:pStyle w:val="TableHeading"/>
              <w:rPr>
                <w:b w:val="0"/>
                <w:bCs w:val="0"/>
              </w:rPr>
            </w:pPr>
            <w:r w:rsidRPr="00FA3E43">
              <w:rPr>
                <w:b w:val="0"/>
                <w:bCs w:val="0"/>
              </w:rPr>
              <w:t xml:space="preserve">Expected </w:t>
            </w:r>
            <w:r w:rsidR="00176686">
              <w:rPr>
                <w:b w:val="0"/>
                <w:bCs w:val="0"/>
              </w:rPr>
              <w:t>r</w:t>
            </w:r>
            <w:r w:rsidRPr="00FA3E43">
              <w:rPr>
                <w:b w:val="0"/>
                <w:bCs w:val="0"/>
              </w:rPr>
              <w:t>esults</w:t>
            </w:r>
            <w:r w:rsidRPr="00FA3E43">
              <w:rPr>
                <w:b w:val="0"/>
                <w:bCs w:val="0"/>
              </w:rPr>
              <w:br/>
              <w:t>2026</w:t>
            </w:r>
            <w:r w:rsidR="00176686">
              <w:rPr>
                <w:b w:val="0"/>
                <w:bCs w:val="0"/>
              </w:rPr>
              <w:t>–</w:t>
            </w:r>
            <w:r w:rsidRPr="00FA3E43">
              <w:rPr>
                <w:b w:val="0"/>
                <w:bCs w:val="0"/>
              </w:rPr>
              <w:t>27</w:t>
            </w:r>
          </w:p>
        </w:tc>
        <w:tc>
          <w:tcPr>
            <w:tcW w:w="834" w:type="pct"/>
            <w:shd w:val="clear" w:color="auto" w:fill="3A586E"/>
            <w:vAlign w:val="center"/>
            <w:hideMark/>
          </w:tcPr>
          <w:p w14:paraId="51FC9FD7" w14:textId="2F78CA9F" w:rsidR="00FA3E43" w:rsidRPr="00FA3E43" w:rsidRDefault="00176686" w:rsidP="00994F7D">
            <w:pPr>
              <w:pStyle w:val="TableHeading"/>
              <w:rPr>
                <w:b w:val="0"/>
                <w:bCs w:val="0"/>
              </w:rPr>
            </w:pPr>
            <w:r>
              <w:rPr>
                <w:b w:val="0"/>
                <w:bCs w:val="0"/>
              </w:rPr>
              <w:t xml:space="preserve">Sustainable Development </w:t>
            </w:r>
            <w:r w:rsidR="00FA3E43" w:rsidRPr="00FA3E43">
              <w:rPr>
                <w:b w:val="0"/>
                <w:bCs w:val="0"/>
              </w:rPr>
              <w:t>Goals</w:t>
            </w:r>
            <w:r>
              <w:rPr>
                <w:b w:val="0"/>
                <w:bCs w:val="0"/>
              </w:rPr>
              <w:t xml:space="preserve"> (SDGs)</w:t>
            </w:r>
          </w:p>
        </w:tc>
      </w:tr>
      <w:tr w:rsidR="00FA3E43" w:rsidRPr="00310385" w14:paraId="5CDBF6C1" w14:textId="77777777" w:rsidTr="002B1651">
        <w:trPr>
          <w:trHeight w:val="4021"/>
        </w:trPr>
        <w:tc>
          <w:tcPr>
            <w:tcW w:w="833" w:type="pct"/>
            <w:hideMark/>
          </w:tcPr>
          <w:p w14:paraId="31921C5C" w14:textId="4801FF91" w:rsidR="0097105A" w:rsidRPr="00176686" w:rsidRDefault="0097105A" w:rsidP="00994F7D">
            <w:pPr>
              <w:pStyle w:val="TableBodyCopy"/>
              <w:rPr>
                <w:b/>
                <w:bCs/>
              </w:rPr>
            </w:pPr>
            <w:r w:rsidRPr="00176686" w:rsidDel="008E7816">
              <w:rPr>
                <w:b/>
                <w:bCs/>
              </w:rPr>
              <w:t>Outcome 2.1</w:t>
            </w:r>
          </w:p>
          <w:p w14:paraId="2B2E8379" w14:textId="5C00FA2F" w:rsidR="00FA3E43" w:rsidRPr="00310385" w:rsidRDefault="0097105A" w:rsidP="00994F7D">
            <w:pPr>
              <w:pStyle w:val="TableBodyCopy"/>
            </w:pPr>
            <w:r w:rsidRPr="00310385">
              <w:t>Climate adaptation and resilience is strengthened, including at the community level, and through climate</w:t>
            </w:r>
            <w:r w:rsidR="00D04B44">
              <w:t xml:space="preserve"> </w:t>
            </w:r>
            <w:r w:rsidRPr="00310385">
              <w:t>resilient infrastructure</w:t>
            </w:r>
          </w:p>
        </w:tc>
        <w:tc>
          <w:tcPr>
            <w:tcW w:w="834" w:type="pct"/>
          </w:tcPr>
          <w:p w14:paraId="27D2DE5C" w14:textId="6A7D79A7" w:rsidR="00FA3E43" w:rsidRPr="00310385" w:rsidRDefault="0097105A" w:rsidP="00994F7D">
            <w:pPr>
              <w:pStyle w:val="TableBodyCopy"/>
            </w:pPr>
            <w:r w:rsidRPr="00310385">
              <w:t>2.1.1 Policy and technical advice to strengthen regulations and practices on climate adaptation and resilience</w:t>
            </w:r>
          </w:p>
        </w:tc>
        <w:tc>
          <w:tcPr>
            <w:tcW w:w="833" w:type="pct"/>
            <w:hideMark/>
          </w:tcPr>
          <w:p w14:paraId="32767D25" w14:textId="2C8ACE38" w:rsidR="00FA3E43" w:rsidRPr="00310385" w:rsidRDefault="00FA3E43" w:rsidP="00994F7D">
            <w:pPr>
              <w:pStyle w:val="TableBodyCopy"/>
            </w:pPr>
            <w:r w:rsidRPr="00310385">
              <w:t xml:space="preserve">Policy and/or technical advice to strengthen regulations and practices on climate adaptation, </w:t>
            </w:r>
            <w:proofErr w:type="gramStart"/>
            <w:r w:rsidRPr="00310385">
              <w:t>mitigation</w:t>
            </w:r>
            <w:proofErr w:type="gramEnd"/>
            <w:r w:rsidRPr="00310385">
              <w:t xml:space="preserve"> and resilience</w:t>
            </w:r>
            <w:r w:rsidR="00AE5323">
              <w:t>,</w:t>
            </w:r>
            <w:r w:rsidRPr="00310385">
              <w:t xml:space="preserve"> including through:</w:t>
            </w:r>
          </w:p>
          <w:p w14:paraId="06ABB329" w14:textId="088F4D1E" w:rsidR="00FA3E43" w:rsidRPr="00310385" w:rsidRDefault="00FA3E43" w:rsidP="00CF5050">
            <w:pPr>
              <w:pStyle w:val="Tablebullet"/>
            </w:pPr>
            <w:r w:rsidRPr="00310385">
              <w:t xml:space="preserve">research project partnerships on climate </w:t>
            </w:r>
            <w:proofErr w:type="gramStart"/>
            <w:r w:rsidRPr="00310385">
              <w:t>change</w:t>
            </w:r>
            <w:proofErr w:type="gramEnd"/>
            <w:r w:rsidRPr="00310385">
              <w:t xml:space="preserve"> </w:t>
            </w:r>
          </w:p>
          <w:p w14:paraId="0404E0A6" w14:textId="1CD16D7F" w:rsidR="00FA3E43" w:rsidRPr="00310385" w:rsidRDefault="00FA3E43" w:rsidP="00CF5050">
            <w:pPr>
              <w:pStyle w:val="Tablebullet"/>
            </w:pPr>
            <w:r w:rsidRPr="00310385">
              <w:t>strengthening climate-related items in the Ministry of Education, Culture, Research and Technology</w:t>
            </w:r>
            <w:r w:rsidR="007B171A">
              <w:t>’s</w:t>
            </w:r>
            <w:r w:rsidRPr="00310385">
              <w:t xml:space="preserve"> (</w:t>
            </w:r>
            <w:proofErr w:type="spellStart"/>
            <w:r w:rsidRPr="00310385">
              <w:t>MoECRT</w:t>
            </w:r>
            <w:proofErr w:type="spellEnd"/>
            <w:r w:rsidRPr="00310385">
              <w:t>) Learning Environment Survey (</w:t>
            </w:r>
            <w:proofErr w:type="spellStart"/>
            <w:r w:rsidRPr="00310385">
              <w:t>Survei</w:t>
            </w:r>
            <w:proofErr w:type="spellEnd"/>
            <w:r w:rsidRPr="00310385">
              <w:t xml:space="preserve"> </w:t>
            </w:r>
            <w:proofErr w:type="spellStart"/>
            <w:r w:rsidRPr="00310385">
              <w:t>L</w:t>
            </w:r>
            <w:r w:rsidR="00111DD7">
              <w:t>i</w:t>
            </w:r>
            <w:r w:rsidRPr="00310385">
              <w:t>ngkungan</w:t>
            </w:r>
            <w:proofErr w:type="spellEnd"/>
            <w:r w:rsidRPr="00310385">
              <w:t xml:space="preserve"> </w:t>
            </w:r>
            <w:proofErr w:type="spellStart"/>
            <w:r w:rsidRPr="00310385">
              <w:t>Belajar</w:t>
            </w:r>
            <w:proofErr w:type="spellEnd"/>
            <w:r w:rsidRPr="00310385">
              <w:t>)</w:t>
            </w:r>
          </w:p>
          <w:p w14:paraId="4A2AEEFC" w14:textId="29626B8B" w:rsidR="00FA3E43" w:rsidRPr="00310385" w:rsidRDefault="00FA3E43" w:rsidP="00CF5050">
            <w:pPr>
              <w:pStyle w:val="Tablebullet"/>
            </w:pPr>
            <w:r w:rsidRPr="00310385">
              <w:t>utilisation of climate</w:t>
            </w:r>
            <w:r w:rsidR="006F3830">
              <w:t>-</w:t>
            </w:r>
            <w:r w:rsidRPr="00310385">
              <w:t>related analytical products</w:t>
            </w:r>
            <w:r w:rsidR="00111DD7">
              <w:t>,</w:t>
            </w:r>
            <w:r w:rsidRPr="00310385">
              <w:t xml:space="preserve"> including situation analysis and cluster analysis</w:t>
            </w:r>
            <w:r w:rsidR="006A06C8">
              <w:t>,</w:t>
            </w:r>
            <w:r w:rsidRPr="00310385">
              <w:t xml:space="preserve"> for decentralisation planning in targeted provinces</w:t>
            </w:r>
          </w:p>
          <w:p w14:paraId="6C1F199A" w14:textId="3FC47522" w:rsidR="00FA3E43" w:rsidRPr="00310385" w:rsidRDefault="006F3830" w:rsidP="00CF5050">
            <w:pPr>
              <w:pStyle w:val="Tablebullet"/>
            </w:pPr>
            <w:r>
              <w:t xml:space="preserve">a </w:t>
            </w:r>
            <w:r w:rsidR="00FA3E43" w:rsidRPr="00310385">
              <w:t>Flood Risk Management Plan</w:t>
            </w:r>
            <w:r w:rsidR="006A06C8">
              <w:t>,</w:t>
            </w:r>
            <w:r w:rsidR="00FA3E43" w:rsidRPr="00310385">
              <w:t xml:space="preserve"> along with a national flood risk management strategy and enhanced capacity for community-based flood risk management</w:t>
            </w:r>
          </w:p>
          <w:p w14:paraId="002623E8" w14:textId="77777777" w:rsidR="00FA3E43" w:rsidRPr="00310385" w:rsidRDefault="00FA3E43" w:rsidP="00CF5050">
            <w:pPr>
              <w:pStyle w:val="Tablebullet"/>
            </w:pPr>
            <w:r w:rsidRPr="00310385">
              <w:lastRenderedPageBreak/>
              <w:t xml:space="preserve">horticulture technical guidelines with low carbon and climate resilience features </w:t>
            </w:r>
          </w:p>
          <w:p w14:paraId="523C319A" w14:textId="01D268B8" w:rsidR="00FA3E43" w:rsidRDefault="00FA3E43">
            <w:pPr>
              <w:pStyle w:val="Tablebullet"/>
            </w:pPr>
            <w:r w:rsidRPr="00310385">
              <w:t xml:space="preserve">study on climate and geophysical hazards, </w:t>
            </w:r>
            <w:proofErr w:type="gramStart"/>
            <w:r w:rsidRPr="00310385">
              <w:t>risks</w:t>
            </w:r>
            <w:proofErr w:type="gramEnd"/>
            <w:r w:rsidRPr="00310385">
              <w:t xml:space="preserve"> and vulnerability of </w:t>
            </w:r>
            <w:r w:rsidR="007B171A">
              <w:t xml:space="preserve">the </w:t>
            </w:r>
            <w:r w:rsidR="007B171A" w:rsidRPr="00FA2C26">
              <w:rPr>
                <w:kern w:val="2"/>
                <w14:ligatures w14:val="standardContextual"/>
              </w:rPr>
              <w:t>State-owned Electricity Company</w:t>
            </w:r>
            <w:r w:rsidR="007B171A">
              <w:rPr>
                <w:kern w:val="2"/>
                <w14:ligatures w14:val="standardContextual"/>
              </w:rPr>
              <w:t>’s</w:t>
            </w:r>
            <w:r w:rsidR="007B171A" w:rsidRPr="00310385">
              <w:t xml:space="preserve"> </w:t>
            </w:r>
            <w:r w:rsidR="007B171A">
              <w:t>(</w:t>
            </w:r>
            <w:r w:rsidR="007B171A" w:rsidRPr="00310385">
              <w:t>PLN</w:t>
            </w:r>
            <w:r w:rsidR="007B171A">
              <w:t xml:space="preserve">) </w:t>
            </w:r>
            <w:r w:rsidRPr="00310385">
              <w:t xml:space="preserve">grid network in </w:t>
            </w:r>
            <w:r w:rsidR="004D7B81" w:rsidRPr="00310385">
              <w:t>West</w:t>
            </w:r>
            <w:r w:rsidR="004D7B81">
              <w:t xml:space="preserve"> Java </w:t>
            </w:r>
            <w:r w:rsidRPr="00310385">
              <w:t>and Central Java</w:t>
            </w:r>
          </w:p>
          <w:p w14:paraId="60CC436D" w14:textId="0CD81DA8" w:rsidR="00FA3E43" w:rsidRPr="00310385" w:rsidRDefault="00367AB8" w:rsidP="00CF5050">
            <w:pPr>
              <w:pStyle w:val="Tablebullet"/>
            </w:pPr>
            <w:r>
              <w:t xml:space="preserve">support to </w:t>
            </w:r>
            <w:r w:rsidR="00D55DF2">
              <w:t xml:space="preserve">draft a </w:t>
            </w:r>
            <w:r w:rsidR="00936920">
              <w:t>g</w:t>
            </w:r>
            <w:r w:rsidR="00D55DF2">
              <w:t xml:space="preserve">overnment </w:t>
            </w:r>
            <w:r w:rsidR="00936920">
              <w:t>r</w:t>
            </w:r>
            <w:r w:rsidR="00D55DF2">
              <w:t xml:space="preserve">egulation on the </w:t>
            </w:r>
            <w:r w:rsidR="00936920">
              <w:t>m</w:t>
            </w:r>
            <w:r w:rsidR="00D55DF2">
              <w:t xml:space="preserve">anagement and </w:t>
            </w:r>
            <w:r w:rsidR="00936920">
              <w:t>p</w:t>
            </w:r>
            <w:r w:rsidR="00D55DF2">
              <w:t xml:space="preserve">rotection of </w:t>
            </w:r>
            <w:r w:rsidR="00936920">
              <w:t>m</w:t>
            </w:r>
            <w:r w:rsidR="00D55DF2">
              <w:t xml:space="preserve">angroves </w:t>
            </w:r>
            <w:r w:rsidR="00936920">
              <w:t>e</w:t>
            </w:r>
            <w:r w:rsidR="00D55DF2">
              <w:t>cosystems</w:t>
            </w:r>
          </w:p>
        </w:tc>
        <w:tc>
          <w:tcPr>
            <w:tcW w:w="834" w:type="pct"/>
            <w:hideMark/>
          </w:tcPr>
          <w:p w14:paraId="17438444" w14:textId="59F67831" w:rsidR="00FA3E43" w:rsidRPr="00310385" w:rsidRDefault="00FA3E43" w:rsidP="00994F7D">
            <w:pPr>
              <w:pStyle w:val="TableBodyCopy"/>
            </w:pPr>
            <w:r w:rsidRPr="00310385">
              <w:lastRenderedPageBreak/>
              <w:t xml:space="preserve">Continued policy and/or technical advice to strengthen regulations and practices on climate adaptation, </w:t>
            </w:r>
            <w:proofErr w:type="gramStart"/>
            <w:r w:rsidRPr="00310385">
              <w:t>mitigation</w:t>
            </w:r>
            <w:proofErr w:type="gramEnd"/>
            <w:r w:rsidRPr="00310385">
              <w:t xml:space="preserve"> and resilience</w:t>
            </w:r>
            <w:r w:rsidR="007B171A">
              <w:t>,</w:t>
            </w:r>
            <w:r w:rsidRPr="00310385">
              <w:t xml:space="preserve"> including through:</w:t>
            </w:r>
          </w:p>
          <w:p w14:paraId="1435EC1D" w14:textId="77777777" w:rsidR="00FA3E43" w:rsidRPr="00310385" w:rsidRDefault="00FA3E43" w:rsidP="00CF5050">
            <w:pPr>
              <w:pStyle w:val="Tablebullet"/>
            </w:pPr>
            <w:r w:rsidRPr="00310385">
              <w:t>extended research project partnerships on climate change</w:t>
            </w:r>
          </w:p>
          <w:p w14:paraId="73AFCBFB" w14:textId="082B12AD" w:rsidR="00FA3E43" w:rsidRPr="00310385" w:rsidRDefault="00FA3E43" w:rsidP="00CF5050">
            <w:pPr>
              <w:pStyle w:val="Tablebullet"/>
            </w:pPr>
            <w:r w:rsidRPr="00310385">
              <w:t xml:space="preserve">support for the implementation of the Learning Environment Survey administered by </w:t>
            </w:r>
            <w:proofErr w:type="spellStart"/>
            <w:proofErr w:type="gramStart"/>
            <w:r w:rsidRPr="00310385">
              <w:t>MoECRT</w:t>
            </w:r>
            <w:proofErr w:type="spellEnd"/>
            <w:proofErr w:type="gramEnd"/>
          </w:p>
          <w:p w14:paraId="3A3145E8" w14:textId="14197084" w:rsidR="00FA3E43" w:rsidRPr="00310385" w:rsidRDefault="00FA3E43" w:rsidP="00CF5050">
            <w:pPr>
              <w:pStyle w:val="Tablebullet"/>
            </w:pPr>
            <w:r w:rsidRPr="00310385">
              <w:t xml:space="preserve">utilisation of </w:t>
            </w:r>
            <w:r w:rsidR="00484129" w:rsidRPr="00310385">
              <w:t>climate</w:t>
            </w:r>
            <w:r w:rsidR="00484129">
              <w:t>-</w:t>
            </w:r>
            <w:r w:rsidRPr="00310385">
              <w:t xml:space="preserve">related analytical products, including </w:t>
            </w:r>
            <w:proofErr w:type="spellStart"/>
            <w:r w:rsidRPr="00310385">
              <w:t>for</w:t>
            </w:r>
            <w:r w:rsidR="0004211F">
              <w:t>e</w:t>
            </w:r>
            <w:r w:rsidRPr="00310385">
              <w:t>sighting</w:t>
            </w:r>
            <w:proofErr w:type="spellEnd"/>
            <w:r w:rsidRPr="00310385">
              <w:t xml:space="preserve"> and scenario-based planning tools, to advise policy </w:t>
            </w:r>
            <w:proofErr w:type="gramStart"/>
            <w:r w:rsidRPr="00310385">
              <w:t>processes</w:t>
            </w:r>
            <w:proofErr w:type="gramEnd"/>
          </w:p>
          <w:p w14:paraId="0F53BA83" w14:textId="2EFE42E2" w:rsidR="00FA3E43" w:rsidRPr="00310385" w:rsidRDefault="00FA3E43" w:rsidP="00CF5050">
            <w:pPr>
              <w:pStyle w:val="Tablebullet"/>
            </w:pPr>
            <w:r w:rsidRPr="00310385">
              <w:t xml:space="preserve">improving climate change knowledge and awareness of teachers, </w:t>
            </w:r>
            <w:proofErr w:type="gramStart"/>
            <w:r w:rsidRPr="00310385">
              <w:t>principals</w:t>
            </w:r>
            <w:proofErr w:type="gramEnd"/>
            <w:r w:rsidRPr="00310385">
              <w:t xml:space="preserve"> and students in targeted districts</w:t>
            </w:r>
          </w:p>
          <w:p w14:paraId="1A26F647" w14:textId="429E5405" w:rsidR="00FA3E43" w:rsidRPr="00310385" w:rsidRDefault="001E27A1" w:rsidP="00CF5050">
            <w:pPr>
              <w:pStyle w:val="Tablebullet"/>
            </w:pPr>
            <w:r>
              <w:t xml:space="preserve">a </w:t>
            </w:r>
            <w:r w:rsidR="00FA3E43" w:rsidRPr="00310385">
              <w:t xml:space="preserve">Citywide Inclusive Sanitation Project (CISP) in targeted provinces </w:t>
            </w:r>
            <w:r>
              <w:t xml:space="preserve">to </w:t>
            </w:r>
            <w:r w:rsidR="00FA3E43" w:rsidRPr="00310385">
              <w:t xml:space="preserve">finance wastewater </w:t>
            </w:r>
            <w:r w:rsidR="00FA3E43" w:rsidRPr="00310385">
              <w:lastRenderedPageBreak/>
              <w:t>treatment plants with climate adaptation features in detailed engineering designs (DED)</w:t>
            </w:r>
          </w:p>
          <w:p w14:paraId="63C2CE98" w14:textId="16DD62F0" w:rsidR="00FA3E43" w:rsidRDefault="00FA3E43">
            <w:pPr>
              <w:pStyle w:val="Tablebullet"/>
            </w:pPr>
            <w:r w:rsidRPr="00310385">
              <w:t xml:space="preserve">national planning and engineering guidelines upgraded with climate resilience and nature-based solutions </w:t>
            </w:r>
            <w:r w:rsidR="001E27A1">
              <w:t xml:space="preserve">and </w:t>
            </w:r>
            <w:proofErr w:type="gramStart"/>
            <w:r w:rsidRPr="00310385">
              <w:t>features</w:t>
            </w:r>
            <w:proofErr w:type="gramEnd"/>
          </w:p>
          <w:p w14:paraId="6CB569BF" w14:textId="4DDEFD97" w:rsidR="00FA3E43" w:rsidRPr="00310385" w:rsidRDefault="00367AB8" w:rsidP="00CF5050">
            <w:pPr>
              <w:pStyle w:val="Tablebullet"/>
            </w:pPr>
            <w:r>
              <w:t xml:space="preserve">supporting the enactment of the </w:t>
            </w:r>
            <w:r w:rsidR="00484129">
              <w:t>g</w:t>
            </w:r>
            <w:r>
              <w:t xml:space="preserve">overnment </w:t>
            </w:r>
            <w:r w:rsidR="00484129">
              <w:t>r</w:t>
            </w:r>
            <w:r>
              <w:t xml:space="preserve">egulation on the </w:t>
            </w:r>
            <w:r w:rsidR="00484129">
              <w:t>m</w:t>
            </w:r>
            <w:r>
              <w:t xml:space="preserve">anagement and </w:t>
            </w:r>
            <w:r w:rsidR="00484129">
              <w:t>p</w:t>
            </w:r>
            <w:r>
              <w:t xml:space="preserve">rotection of </w:t>
            </w:r>
            <w:r w:rsidR="00484129">
              <w:t>m</w:t>
            </w:r>
            <w:r>
              <w:t xml:space="preserve">angroves </w:t>
            </w:r>
            <w:r w:rsidR="00484129">
              <w:t>e</w:t>
            </w:r>
            <w:r>
              <w:t>cosystems</w:t>
            </w:r>
          </w:p>
        </w:tc>
        <w:tc>
          <w:tcPr>
            <w:tcW w:w="833" w:type="pct"/>
            <w:hideMark/>
          </w:tcPr>
          <w:p w14:paraId="06A6C844" w14:textId="7EB35B73" w:rsidR="00FA3E43" w:rsidRPr="00310385" w:rsidRDefault="00FA3E43" w:rsidP="00994F7D">
            <w:pPr>
              <w:pStyle w:val="TableBodyCopy"/>
            </w:pPr>
            <w:r w:rsidRPr="00310385">
              <w:lastRenderedPageBreak/>
              <w:t xml:space="preserve">Continued policy and/or technical advice to strengthen regulations and practices on climate adaptation, </w:t>
            </w:r>
            <w:proofErr w:type="gramStart"/>
            <w:r w:rsidRPr="00310385">
              <w:t>mitigation</w:t>
            </w:r>
            <w:proofErr w:type="gramEnd"/>
            <w:r w:rsidRPr="00310385">
              <w:t xml:space="preserve"> and resilience</w:t>
            </w:r>
            <w:r w:rsidR="001E27A1">
              <w:t>,</w:t>
            </w:r>
            <w:r w:rsidRPr="00310385">
              <w:t xml:space="preserve"> including through:</w:t>
            </w:r>
          </w:p>
          <w:p w14:paraId="475D8031" w14:textId="77777777" w:rsidR="00FA3E43" w:rsidRPr="00310385" w:rsidRDefault="00FA3E43" w:rsidP="00CF5050">
            <w:pPr>
              <w:pStyle w:val="Tablebullet"/>
            </w:pPr>
            <w:r w:rsidRPr="00310385">
              <w:t>extended research project partnerships on climate change</w:t>
            </w:r>
          </w:p>
          <w:p w14:paraId="690BA713" w14:textId="41C84390" w:rsidR="00FA3E43" w:rsidRPr="00310385" w:rsidRDefault="00FA3E43" w:rsidP="00CF5050">
            <w:pPr>
              <w:pStyle w:val="Tablebullet"/>
            </w:pPr>
            <w:r w:rsidRPr="00310385">
              <w:t xml:space="preserve">support </w:t>
            </w:r>
            <w:r w:rsidR="00CB6F1C">
              <w:t>for the</w:t>
            </w:r>
            <w:r w:rsidR="00CB6F1C" w:rsidRPr="00310385">
              <w:t xml:space="preserve"> </w:t>
            </w:r>
            <w:r w:rsidRPr="00310385">
              <w:t xml:space="preserve">implementation of climate change initiatives in targeted districts’ </w:t>
            </w:r>
            <w:proofErr w:type="gramStart"/>
            <w:r w:rsidRPr="00310385">
              <w:t>schools</w:t>
            </w:r>
            <w:proofErr w:type="gramEnd"/>
          </w:p>
          <w:p w14:paraId="7F15647B" w14:textId="0E7CC7C7" w:rsidR="00FA3E43" w:rsidRPr="00310385" w:rsidRDefault="00FA3E43" w:rsidP="00CF5050">
            <w:pPr>
              <w:pStyle w:val="Tablebullet"/>
            </w:pPr>
            <w:r w:rsidRPr="00310385">
              <w:t>utilisation of climate</w:t>
            </w:r>
            <w:r w:rsidR="00CB6F1C">
              <w:t>-</w:t>
            </w:r>
            <w:r w:rsidRPr="00310385">
              <w:t xml:space="preserve">related analytical products, including </w:t>
            </w:r>
            <w:proofErr w:type="spellStart"/>
            <w:r w:rsidRPr="00310385">
              <w:t>foresighting</w:t>
            </w:r>
            <w:proofErr w:type="spellEnd"/>
            <w:r w:rsidRPr="00310385">
              <w:t xml:space="preserve"> and scenario-based planning tools, to advise policy </w:t>
            </w:r>
            <w:proofErr w:type="gramStart"/>
            <w:r w:rsidRPr="00310385">
              <w:t>process</w:t>
            </w:r>
            <w:r w:rsidR="00CB6F1C">
              <w:t>es</w:t>
            </w:r>
            <w:proofErr w:type="gramEnd"/>
          </w:p>
          <w:p w14:paraId="72BCC80E" w14:textId="3FB13916" w:rsidR="00FA3E43" w:rsidRDefault="00FA3E43">
            <w:pPr>
              <w:pStyle w:val="Tablebullet"/>
            </w:pPr>
            <w:r w:rsidRPr="00310385">
              <w:t>support to implement climate mitigation and sustainable resilience regulations at</w:t>
            </w:r>
            <w:r w:rsidR="00CB6F1C">
              <w:t xml:space="preserve"> the</w:t>
            </w:r>
            <w:r w:rsidRPr="00310385">
              <w:t xml:space="preserve"> community </w:t>
            </w:r>
            <w:proofErr w:type="gramStart"/>
            <w:r w:rsidRPr="00310385">
              <w:t>level</w:t>
            </w:r>
            <w:proofErr w:type="gramEnd"/>
          </w:p>
          <w:p w14:paraId="0DAF1127" w14:textId="71762B20" w:rsidR="00FA3E43" w:rsidRPr="00310385" w:rsidRDefault="00153F5F" w:rsidP="00CF5050">
            <w:pPr>
              <w:pStyle w:val="Tablebullet"/>
            </w:pPr>
            <w:r>
              <w:t xml:space="preserve">technical assistance to guide location choices for mangrove restoration </w:t>
            </w:r>
            <w:r w:rsidR="003E353D">
              <w:t>(under the Mangroves for Coastal Resilience project)</w:t>
            </w:r>
          </w:p>
        </w:tc>
        <w:tc>
          <w:tcPr>
            <w:tcW w:w="834" w:type="pct"/>
          </w:tcPr>
          <w:p w14:paraId="1031AD8F" w14:textId="3CE283CA" w:rsidR="00FA3E43" w:rsidRPr="00310385" w:rsidRDefault="00D77E66" w:rsidP="00994F7D">
            <w:pPr>
              <w:pStyle w:val="TableBodyCopy"/>
            </w:pPr>
            <w:r>
              <w:t>SDG</w:t>
            </w:r>
            <w:r w:rsidR="00FA3E43" w:rsidRPr="00310385">
              <w:t>13</w:t>
            </w:r>
            <w:r>
              <w:t>:</w:t>
            </w:r>
            <w:r w:rsidR="00FA3E43" w:rsidRPr="00310385">
              <w:t xml:space="preserve"> Climate </w:t>
            </w:r>
            <w:r>
              <w:t>a</w:t>
            </w:r>
            <w:r w:rsidR="00FA3E43" w:rsidRPr="00310385">
              <w:t>ction</w:t>
            </w:r>
          </w:p>
        </w:tc>
      </w:tr>
      <w:tr w:rsidR="00FA3E43" w:rsidRPr="00994F7D" w14:paraId="0E49ABB5" w14:textId="77777777" w:rsidTr="002B1651">
        <w:trPr>
          <w:trHeight w:val="494"/>
        </w:trPr>
        <w:tc>
          <w:tcPr>
            <w:tcW w:w="833" w:type="pct"/>
            <w:hideMark/>
          </w:tcPr>
          <w:p w14:paraId="7D961F9A" w14:textId="0985290F" w:rsidR="00FA3E43" w:rsidRPr="00994F7D" w:rsidRDefault="00994F7D" w:rsidP="00994F7D">
            <w:pPr>
              <w:pStyle w:val="TableBodyCopy"/>
              <w:rPr>
                <w:b/>
                <w:bCs/>
              </w:rPr>
            </w:pPr>
            <w:r w:rsidRPr="00176686" w:rsidDel="008E7816">
              <w:rPr>
                <w:b/>
                <w:bCs/>
              </w:rPr>
              <w:t>Outcome 2.1</w:t>
            </w:r>
          </w:p>
        </w:tc>
        <w:tc>
          <w:tcPr>
            <w:tcW w:w="834" w:type="pct"/>
          </w:tcPr>
          <w:p w14:paraId="649109FB" w14:textId="5484DDFE" w:rsidR="00FA3E43" w:rsidRPr="00994F7D" w:rsidRDefault="00994F7D" w:rsidP="00994F7D">
            <w:pPr>
              <w:pStyle w:val="TableBodyCopy"/>
            </w:pPr>
            <w:r w:rsidRPr="00994F7D">
              <w:t>2.1.2 Number of communities with improved climate adaptation and resilience capacity</w:t>
            </w:r>
          </w:p>
        </w:tc>
        <w:tc>
          <w:tcPr>
            <w:tcW w:w="833" w:type="pct"/>
            <w:tcBorders>
              <w:top w:val="single" w:sz="4" w:space="0" w:color="auto"/>
              <w:left w:val="single" w:sz="4" w:space="0" w:color="auto"/>
              <w:bottom w:val="single" w:sz="4" w:space="0" w:color="auto"/>
              <w:right w:val="single" w:sz="4" w:space="0" w:color="auto"/>
            </w:tcBorders>
            <w:hideMark/>
          </w:tcPr>
          <w:p w14:paraId="6904639B" w14:textId="57EE7AE6" w:rsidR="00FA3E43" w:rsidRPr="00994F7D" w:rsidRDefault="00FA3E43" w:rsidP="00994F7D">
            <w:pPr>
              <w:pStyle w:val="TableBodyCopy"/>
            </w:pPr>
            <w:r w:rsidRPr="00994F7D">
              <w:t>30 communities</w:t>
            </w:r>
            <w:r w:rsidR="002A1D58">
              <w:t xml:space="preserve"> </w:t>
            </w:r>
            <w:r w:rsidRPr="00994F7D">
              <w:t>(villages and districts)</w:t>
            </w:r>
          </w:p>
        </w:tc>
        <w:tc>
          <w:tcPr>
            <w:tcW w:w="834" w:type="pct"/>
            <w:tcBorders>
              <w:top w:val="single" w:sz="4" w:space="0" w:color="auto"/>
              <w:left w:val="single" w:sz="4" w:space="0" w:color="auto"/>
              <w:bottom w:val="single" w:sz="4" w:space="0" w:color="auto"/>
              <w:right w:val="single" w:sz="4" w:space="0" w:color="auto"/>
            </w:tcBorders>
            <w:hideMark/>
          </w:tcPr>
          <w:p w14:paraId="66343E8C" w14:textId="76CFDEC3" w:rsidR="00FA3E43" w:rsidRPr="00994F7D" w:rsidRDefault="00FA3E43" w:rsidP="00994F7D">
            <w:pPr>
              <w:pStyle w:val="TableBodyCopy"/>
            </w:pPr>
            <w:r w:rsidRPr="00994F7D">
              <w:t>50 communities</w:t>
            </w:r>
            <w:r w:rsidR="002A1D58">
              <w:t xml:space="preserve"> </w:t>
            </w:r>
            <w:r w:rsidRPr="00994F7D">
              <w:t>(villages and districts)</w:t>
            </w:r>
          </w:p>
        </w:tc>
        <w:tc>
          <w:tcPr>
            <w:tcW w:w="833" w:type="pct"/>
            <w:tcBorders>
              <w:top w:val="single" w:sz="4" w:space="0" w:color="auto"/>
              <w:left w:val="single" w:sz="4" w:space="0" w:color="auto"/>
              <w:bottom w:val="single" w:sz="4" w:space="0" w:color="auto"/>
              <w:right w:val="single" w:sz="4" w:space="0" w:color="auto"/>
            </w:tcBorders>
            <w:hideMark/>
          </w:tcPr>
          <w:p w14:paraId="6078EAFA" w14:textId="4C573218" w:rsidR="00FA3E43" w:rsidRPr="00994F7D" w:rsidRDefault="00FA3E43" w:rsidP="00994F7D">
            <w:pPr>
              <w:pStyle w:val="TableBodyCopy"/>
            </w:pPr>
            <w:r w:rsidRPr="00994F7D">
              <w:t>7</w:t>
            </w:r>
            <w:r w:rsidR="00256A0C">
              <w:t xml:space="preserve"> </w:t>
            </w:r>
            <w:proofErr w:type="spellStart"/>
            <w:r w:rsidR="00256A0C">
              <w:t>communities</w:t>
            </w:r>
            <w:hyperlink w:anchor="Tn3b" w:history="1">
              <w:r w:rsidR="00256A0C">
                <w:rPr>
                  <w:rStyle w:val="Hyperlink"/>
                  <w:vertAlign w:val="superscript"/>
                </w:rPr>
                <w:t>b</w:t>
              </w:r>
              <w:proofErr w:type="spellEnd"/>
            </w:hyperlink>
            <w:r w:rsidR="00256A0C" w:rsidRPr="00256A0C">
              <w:t xml:space="preserve"> </w:t>
            </w:r>
            <w:r w:rsidRPr="00994F7D">
              <w:t>(villages and districts)</w:t>
            </w:r>
          </w:p>
        </w:tc>
        <w:tc>
          <w:tcPr>
            <w:tcW w:w="834" w:type="pct"/>
          </w:tcPr>
          <w:p w14:paraId="19DB549C" w14:textId="00D4FB33" w:rsidR="00FA3E43" w:rsidRPr="00994F7D" w:rsidRDefault="00D77E66" w:rsidP="00994F7D">
            <w:pPr>
              <w:pStyle w:val="TableBodyCopy"/>
            </w:pPr>
            <w:r>
              <w:t>SDG</w:t>
            </w:r>
            <w:r w:rsidR="00FA3E43" w:rsidRPr="00994F7D">
              <w:t>13</w:t>
            </w:r>
          </w:p>
        </w:tc>
      </w:tr>
      <w:tr w:rsidR="00994F7D" w:rsidRPr="00994F7D" w14:paraId="5098F8DC" w14:textId="77777777" w:rsidTr="002B1651">
        <w:trPr>
          <w:trHeight w:val="494"/>
        </w:trPr>
        <w:tc>
          <w:tcPr>
            <w:tcW w:w="833" w:type="pct"/>
          </w:tcPr>
          <w:p w14:paraId="044E3CDC" w14:textId="05B59445" w:rsidR="00994F7D" w:rsidRPr="00994F7D" w:rsidRDefault="00994F7D" w:rsidP="00994F7D">
            <w:pPr>
              <w:pStyle w:val="TableBodyCopy"/>
              <w:rPr>
                <w:b/>
                <w:bCs/>
              </w:rPr>
            </w:pPr>
            <w:r w:rsidRPr="00994F7D" w:rsidDel="008E7816">
              <w:rPr>
                <w:b/>
                <w:bCs/>
              </w:rPr>
              <w:t>Outcome 2.</w:t>
            </w:r>
            <w:r w:rsidRPr="00994F7D">
              <w:rPr>
                <w:b/>
                <w:bCs/>
              </w:rPr>
              <w:t>2</w:t>
            </w:r>
          </w:p>
          <w:p w14:paraId="0439D7ED" w14:textId="2205CC26" w:rsidR="00994F7D" w:rsidRPr="00176686" w:rsidDel="008E7816" w:rsidRDefault="00994F7D" w:rsidP="00994F7D">
            <w:pPr>
              <w:pStyle w:val="TableBodyCopy"/>
              <w:rPr>
                <w:b/>
                <w:bCs/>
              </w:rPr>
            </w:pPr>
            <w:r w:rsidRPr="00FA2C26">
              <w:t xml:space="preserve">Indonesia’s </w:t>
            </w:r>
            <w:r w:rsidRPr="00994F7D">
              <w:t>clean</w:t>
            </w:r>
            <w:r w:rsidRPr="00FA2C26">
              <w:t xml:space="preserve"> energy transition and economic decarbonisation is supported in line with Indonesia’s medium-term targets and long-term goals</w:t>
            </w:r>
          </w:p>
        </w:tc>
        <w:tc>
          <w:tcPr>
            <w:tcW w:w="834" w:type="pct"/>
          </w:tcPr>
          <w:p w14:paraId="3A1D3F8B" w14:textId="45527D90" w:rsidR="00994F7D" w:rsidRPr="00994F7D" w:rsidRDefault="00994F7D" w:rsidP="00AA461F">
            <w:pPr>
              <w:pStyle w:val="TableBodyCopy"/>
            </w:pPr>
            <w:r w:rsidRPr="00FA2C26">
              <w:t>2.2.1 Policy and technical advice in clean energy transition and economic decarbonisation</w:t>
            </w:r>
          </w:p>
        </w:tc>
        <w:tc>
          <w:tcPr>
            <w:tcW w:w="833" w:type="pct"/>
            <w:tcBorders>
              <w:top w:val="single" w:sz="4" w:space="0" w:color="auto"/>
              <w:left w:val="single" w:sz="4" w:space="0" w:color="auto"/>
              <w:bottom w:val="single" w:sz="4" w:space="0" w:color="auto"/>
              <w:right w:val="single" w:sz="4" w:space="0" w:color="auto"/>
            </w:tcBorders>
          </w:tcPr>
          <w:p w14:paraId="6228DB0F" w14:textId="77777777" w:rsidR="00994F7D" w:rsidRPr="00FA2C26" w:rsidRDefault="00994F7D" w:rsidP="00AA461F">
            <w:pPr>
              <w:pStyle w:val="TableBodyCopy"/>
            </w:pPr>
            <w:r w:rsidRPr="00FA2C26">
              <w:t>Policy and/or technical advice in clean energy transition and economic decarbonisation, including:</w:t>
            </w:r>
          </w:p>
          <w:p w14:paraId="5468C403" w14:textId="77777777" w:rsidR="00994F7D" w:rsidRPr="00FA2C26" w:rsidRDefault="00994F7D" w:rsidP="00CF5050">
            <w:pPr>
              <w:pStyle w:val="Tablebullet"/>
            </w:pPr>
            <w:r w:rsidRPr="00FA2C26">
              <w:t>clean energy options, industry reform options, and climate risk analysis for green energy transition</w:t>
            </w:r>
          </w:p>
          <w:p w14:paraId="523480B4" w14:textId="77777777" w:rsidR="00994F7D" w:rsidRPr="00FA2C26" w:rsidRDefault="00994F7D" w:rsidP="00CF5050">
            <w:pPr>
              <w:pStyle w:val="Tablebullet"/>
            </w:pPr>
            <w:r w:rsidRPr="00FA2C26">
              <w:t>green jobs</w:t>
            </w:r>
          </w:p>
          <w:p w14:paraId="433A5C85" w14:textId="074DFAD5" w:rsidR="00994F7D" w:rsidRPr="00FA2C26" w:rsidRDefault="00994F7D" w:rsidP="00CF5050">
            <w:pPr>
              <w:pStyle w:val="Tablebullet"/>
            </w:pPr>
            <w:r w:rsidRPr="00FA2C26">
              <w:t>infrastructure on climate mitigation</w:t>
            </w:r>
            <w:r w:rsidR="0062061F">
              <w:t xml:space="preserve"> –</w:t>
            </w:r>
            <w:r w:rsidR="0062061F" w:rsidRPr="00FA2C26">
              <w:t xml:space="preserve"> </w:t>
            </w:r>
            <w:r w:rsidRPr="00FA2C26">
              <w:t xml:space="preserve">project </w:t>
            </w:r>
            <w:r w:rsidRPr="00FA2C26">
              <w:lastRenderedPageBreak/>
              <w:t xml:space="preserve">planning and preparation, clean energy in transport sector, and </w:t>
            </w:r>
            <w:r w:rsidR="0062061F">
              <w:t>g</w:t>
            </w:r>
            <w:r w:rsidRPr="00FA2C26">
              <w:t xml:space="preserve">reenhouse </w:t>
            </w:r>
            <w:r w:rsidR="0062061F">
              <w:t>g</w:t>
            </w:r>
            <w:r w:rsidRPr="00FA2C26">
              <w:t>as estimation and emission reduction plans</w:t>
            </w:r>
          </w:p>
          <w:p w14:paraId="5832BFA4" w14:textId="77777777" w:rsidR="00994F7D" w:rsidRPr="00FA2C26" w:rsidRDefault="00994F7D" w:rsidP="00AA461F">
            <w:pPr>
              <w:pStyle w:val="TableBodyCopy"/>
            </w:pPr>
            <w:r w:rsidRPr="00FA2C26">
              <w:t>Policy and/or technical advice to support electric vehicle (EV) ecosystems, including:</w:t>
            </w:r>
          </w:p>
          <w:p w14:paraId="2DEECCE6" w14:textId="6611C9E1" w:rsidR="00994F7D" w:rsidRPr="00FA2C26" w:rsidRDefault="00994F7D" w:rsidP="00CF5050">
            <w:pPr>
              <w:pStyle w:val="Tablebullet"/>
            </w:pPr>
            <w:r w:rsidRPr="00FA2C26">
              <w:t>increased significant energy sales from EV</w:t>
            </w:r>
            <w:r w:rsidR="00AE77BE">
              <w:t> </w:t>
            </w:r>
            <w:r w:rsidRPr="00FA2C26">
              <w:t xml:space="preserve">charging </w:t>
            </w:r>
            <w:proofErr w:type="gramStart"/>
            <w:r w:rsidRPr="00FA2C26">
              <w:t>stations</w:t>
            </w:r>
            <w:proofErr w:type="gramEnd"/>
          </w:p>
          <w:p w14:paraId="3D37509F" w14:textId="3B71A240" w:rsidR="00994F7D" w:rsidRPr="00FA2C26" w:rsidRDefault="00AE77BE" w:rsidP="00CF5050">
            <w:pPr>
              <w:pStyle w:val="Tablebullet"/>
            </w:pPr>
            <w:r>
              <w:t>i</w:t>
            </w:r>
            <w:r w:rsidR="00994F7D" w:rsidRPr="00FA2C26">
              <w:t>ncreased installation of PLN’s public EV</w:t>
            </w:r>
            <w:r>
              <w:t> </w:t>
            </w:r>
            <w:r w:rsidR="00994F7D" w:rsidRPr="00FA2C26">
              <w:t>charging stations</w:t>
            </w:r>
          </w:p>
          <w:p w14:paraId="7FD92C28" w14:textId="72F6160E" w:rsidR="00994F7D" w:rsidRPr="00FA2C26" w:rsidRDefault="00994F7D" w:rsidP="00AA461F">
            <w:pPr>
              <w:pStyle w:val="TableBodyCopy"/>
              <w:rPr>
                <w:kern w:val="2"/>
                <w14:ligatures w14:val="standardContextual"/>
              </w:rPr>
            </w:pPr>
            <w:r w:rsidRPr="00FA2C26">
              <w:rPr>
                <w:kern w:val="2"/>
                <w14:ligatures w14:val="standardContextual"/>
              </w:rPr>
              <w:t>Technical assistance to improve the capacity of Indonesia</w:t>
            </w:r>
            <w:r w:rsidR="00671551">
              <w:rPr>
                <w:kern w:val="2"/>
                <w14:ligatures w14:val="standardContextual"/>
              </w:rPr>
              <w:t xml:space="preserve">’s </w:t>
            </w:r>
            <w:r w:rsidR="008F1839">
              <w:t>Public Agency for Environment Fund Management (</w:t>
            </w:r>
            <w:r w:rsidRPr="00FA2C26">
              <w:rPr>
                <w:kern w:val="2"/>
                <w14:ligatures w14:val="standardContextual"/>
              </w:rPr>
              <w:t>BPDLH</w:t>
            </w:r>
            <w:r w:rsidR="008F1839">
              <w:rPr>
                <w:kern w:val="2"/>
                <w14:ligatures w14:val="standardContextual"/>
              </w:rPr>
              <w:t>)</w:t>
            </w:r>
            <w:r w:rsidR="001E193E">
              <w:rPr>
                <w:kern w:val="2"/>
                <w14:ligatures w14:val="standardContextual"/>
              </w:rPr>
              <w:t xml:space="preserve"> </w:t>
            </w:r>
            <w:r w:rsidRPr="00FA2C26">
              <w:rPr>
                <w:kern w:val="2"/>
                <w14:ligatures w14:val="standardContextual"/>
              </w:rPr>
              <w:t>in:</w:t>
            </w:r>
          </w:p>
          <w:p w14:paraId="497FF8B6" w14:textId="65B90ED2" w:rsidR="00994F7D" w:rsidRPr="00FA2C26" w:rsidRDefault="00994F7D" w:rsidP="00CF5050">
            <w:pPr>
              <w:pStyle w:val="Tablebullet"/>
            </w:pPr>
            <w:r w:rsidRPr="00FA2C26">
              <w:t xml:space="preserve">procurement, </w:t>
            </w:r>
            <w:proofErr w:type="gramStart"/>
            <w:r w:rsidRPr="00FA2C26">
              <w:t>finance</w:t>
            </w:r>
            <w:proofErr w:type="gramEnd"/>
            <w:r w:rsidR="00B60762">
              <w:t xml:space="preserve"> and</w:t>
            </w:r>
            <w:r w:rsidRPr="00FA2C26">
              <w:t xml:space="preserve"> safeguards</w:t>
            </w:r>
          </w:p>
          <w:p w14:paraId="4D753376" w14:textId="077A7252" w:rsidR="00994F7D" w:rsidRPr="00FA2C26" w:rsidRDefault="00994F7D" w:rsidP="00CF5050">
            <w:pPr>
              <w:pStyle w:val="Tablebullet"/>
            </w:pPr>
            <w:r w:rsidRPr="00FA2C26">
              <w:t>obtaining Green Climate Fund (GCF) accreditation</w:t>
            </w:r>
          </w:p>
          <w:p w14:paraId="0F1B83ED" w14:textId="22B314C0" w:rsidR="00994F7D" w:rsidRPr="00994F7D" w:rsidRDefault="00994F7D" w:rsidP="00AA461F">
            <w:pPr>
              <w:pStyle w:val="TableBodyCopy"/>
            </w:pPr>
            <w:r w:rsidRPr="00FA2C26">
              <w:rPr>
                <w:kern w:val="2"/>
                <w14:ligatures w14:val="standardContextual"/>
              </w:rPr>
              <w:t xml:space="preserve">Support </w:t>
            </w:r>
            <w:r w:rsidR="008F1839">
              <w:rPr>
                <w:kern w:val="2"/>
                <w14:ligatures w14:val="standardContextual"/>
              </w:rPr>
              <w:t xml:space="preserve">for </w:t>
            </w:r>
            <w:r w:rsidR="00E0700F">
              <w:rPr>
                <w:kern w:val="2"/>
                <w14:ligatures w14:val="standardContextual"/>
              </w:rPr>
              <w:t xml:space="preserve">the </w:t>
            </w:r>
            <w:r w:rsidRPr="00FA2C26">
              <w:rPr>
                <w:kern w:val="2"/>
                <w14:ligatures w14:val="standardContextual"/>
              </w:rPr>
              <w:t xml:space="preserve">Comprehensive Investment and Policy Plan 2023–2030 to be issued, </w:t>
            </w:r>
            <w:r w:rsidR="00E0700F">
              <w:rPr>
                <w:kern w:val="2"/>
                <w14:ligatures w14:val="standardContextual"/>
              </w:rPr>
              <w:t xml:space="preserve">with a </w:t>
            </w:r>
            <w:r w:rsidRPr="00FA2C26">
              <w:rPr>
                <w:kern w:val="2"/>
                <w14:ligatures w14:val="standardContextual"/>
              </w:rPr>
              <w:t>detailed decarboni</w:t>
            </w:r>
            <w:r w:rsidR="00B60762">
              <w:rPr>
                <w:kern w:val="2"/>
                <w14:ligatures w14:val="standardContextual"/>
              </w:rPr>
              <w:t>s</w:t>
            </w:r>
            <w:r w:rsidRPr="00FA2C26">
              <w:rPr>
                <w:kern w:val="2"/>
                <w14:ligatures w14:val="standardContextual"/>
              </w:rPr>
              <w:t xml:space="preserve">ation and energy transition action plan to achieve Indonesia’s 2030 </w:t>
            </w:r>
            <w:r w:rsidRPr="00FA2C26">
              <w:rPr>
                <w:kern w:val="2"/>
                <w14:ligatures w14:val="standardContextual"/>
              </w:rPr>
              <w:lastRenderedPageBreak/>
              <w:t>greenhouse gas emissions target</w:t>
            </w:r>
          </w:p>
        </w:tc>
        <w:tc>
          <w:tcPr>
            <w:tcW w:w="834" w:type="pct"/>
            <w:tcBorders>
              <w:top w:val="single" w:sz="4" w:space="0" w:color="auto"/>
              <w:left w:val="single" w:sz="4" w:space="0" w:color="auto"/>
              <w:bottom w:val="single" w:sz="4" w:space="0" w:color="auto"/>
              <w:right w:val="single" w:sz="4" w:space="0" w:color="auto"/>
            </w:tcBorders>
          </w:tcPr>
          <w:p w14:paraId="6D87006F" w14:textId="68237E9E" w:rsidR="00994F7D" w:rsidRPr="00FA2C26" w:rsidRDefault="00994F7D" w:rsidP="00AA461F">
            <w:pPr>
              <w:pStyle w:val="TableBodyCopy"/>
              <w:rPr>
                <w:kern w:val="2"/>
                <w14:ligatures w14:val="standardContextual"/>
              </w:rPr>
            </w:pPr>
            <w:r w:rsidRPr="00FA2C26">
              <w:lastRenderedPageBreak/>
              <w:t xml:space="preserve">Continued policy and/or technical advice in clean energy transition and economic decarbonisation, including in </w:t>
            </w:r>
            <w:r w:rsidRPr="00FA2C26">
              <w:rPr>
                <w:kern w:val="2"/>
                <w14:ligatures w14:val="standardContextual"/>
              </w:rPr>
              <w:t xml:space="preserve">infrastructure regulations and practices on climate </w:t>
            </w:r>
            <w:proofErr w:type="gramStart"/>
            <w:r w:rsidRPr="00FA2C26">
              <w:rPr>
                <w:kern w:val="2"/>
                <w14:ligatures w14:val="standardContextual"/>
              </w:rPr>
              <w:t>mitigation</w:t>
            </w:r>
            <w:proofErr w:type="gramEnd"/>
          </w:p>
          <w:p w14:paraId="6F2885E7" w14:textId="77777777" w:rsidR="00994F7D" w:rsidRPr="00FA2C26" w:rsidRDefault="00994F7D" w:rsidP="00AA461F">
            <w:pPr>
              <w:pStyle w:val="TableBodyCopy"/>
            </w:pPr>
            <w:r w:rsidRPr="00FA2C26">
              <w:t>Policy and/or technical advice for:</w:t>
            </w:r>
          </w:p>
          <w:p w14:paraId="00A5D832" w14:textId="34BD5721" w:rsidR="00994F7D" w:rsidRPr="00FA2C26" w:rsidRDefault="00994F7D" w:rsidP="00CF5050">
            <w:pPr>
              <w:pStyle w:val="Tablebullet"/>
            </w:pPr>
            <w:r w:rsidRPr="00FA2C26">
              <w:lastRenderedPageBreak/>
              <w:t>standard power purchase agreements for priority renewable energy sources</w:t>
            </w:r>
          </w:p>
          <w:p w14:paraId="7563B194" w14:textId="77777777" w:rsidR="00994F7D" w:rsidRPr="00FA2C26" w:rsidRDefault="00994F7D" w:rsidP="00CF5050">
            <w:pPr>
              <w:pStyle w:val="Tablebullet"/>
            </w:pPr>
            <w:r w:rsidRPr="00FA2C26">
              <w:t>government financial support for clean energy development investments</w:t>
            </w:r>
          </w:p>
          <w:p w14:paraId="0CA07C8C" w14:textId="5EC45DC2" w:rsidR="00994F7D" w:rsidRPr="00FA2C26" w:rsidRDefault="00994F7D" w:rsidP="00CF5050">
            <w:pPr>
              <w:pStyle w:val="Tablebullet"/>
            </w:pPr>
            <w:r w:rsidRPr="00FA2C26">
              <w:t xml:space="preserve">energy efficiency incentives and reporting </w:t>
            </w:r>
            <w:proofErr w:type="gramStart"/>
            <w:r w:rsidRPr="00FA2C26">
              <w:t>systems</w:t>
            </w:r>
            <w:proofErr w:type="gramEnd"/>
          </w:p>
          <w:p w14:paraId="5F278D61" w14:textId="4202F535" w:rsidR="00994F7D" w:rsidRPr="00FA2C26" w:rsidRDefault="00994F7D" w:rsidP="00AA461F">
            <w:pPr>
              <w:pStyle w:val="TableBodyCopy"/>
            </w:pPr>
            <w:r w:rsidRPr="00FA2C26">
              <w:t xml:space="preserve">Completion of silica extraction assessment in Dieng to increase renewable energy generation from the existing geothermal </w:t>
            </w:r>
            <w:proofErr w:type="gramStart"/>
            <w:r w:rsidRPr="00FA2C26">
              <w:t>resource</w:t>
            </w:r>
            <w:proofErr w:type="gramEnd"/>
          </w:p>
          <w:p w14:paraId="2DA0D911" w14:textId="5CD02986" w:rsidR="00994F7D" w:rsidRPr="00994F7D" w:rsidRDefault="00994F7D" w:rsidP="00AA461F">
            <w:pPr>
              <w:pStyle w:val="TableBodyCopy"/>
            </w:pPr>
            <w:r w:rsidRPr="00FA2C26">
              <w:t xml:space="preserve">Support to </w:t>
            </w:r>
            <w:r w:rsidR="00250322">
              <w:t xml:space="preserve">the </w:t>
            </w:r>
            <w:r w:rsidRPr="00FA2C26">
              <w:t>BPDLH in obtaining GCF accreditation</w:t>
            </w:r>
          </w:p>
        </w:tc>
        <w:tc>
          <w:tcPr>
            <w:tcW w:w="833" w:type="pct"/>
            <w:tcBorders>
              <w:top w:val="single" w:sz="4" w:space="0" w:color="auto"/>
              <w:left w:val="single" w:sz="4" w:space="0" w:color="auto"/>
              <w:bottom w:val="single" w:sz="4" w:space="0" w:color="auto"/>
              <w:right w:val="single" w:sz="4" w:space="0" w:color="auto"/>
            </w:tcBorders>
          </w:tcPr>
          <w:p w14:paraId="0EB41CF9" w14:textId="2A04E3DF" w:rsidR="00994F7D" w:rsidRPr="00994F7D" w:rsidRDefault="00994F7D" w:rsidP="00AA461F">
            <w:pPr>
              <w:pStyle w:val="TableBodyCopy"/>
            </w:pPr>
            <w:r w:rsidRPr="00FA2C26">
              <w:lastRenderedPageBreak/>
              <w:t xml:space="preserve">Continued policy and/or technical advice in clean energy transition and economic </w:t>
            </w:r>
            <w:proofErr w:type="spellStart"/>
            <w:r w:rsidRPr="00FA2C26">
              <w:t>decarbonisation</w:t>
            </w:r>
            <w:hyperlink w:anchor="Tn3c" w:history="1">
              <w:r w:rsidR="00D24F75" w:rsidRPr="00CF5050">
                <w:rPr>
                  <w:rStyle w:val="Hyperlink"/>
                  <w:vertAlign w:val="superscript"/>
                </w:rPr>
                <w:t>c</w:t>
              </w:r>
              <w:proofErr w:type="spellEnd"/>
            </w:hyperlink>
          </w:p>
        </w:tc>
        <w:tc>
          <w:tcPr>
            <w:tcW w:w="834" w:type="pct"/>
          </w:tcPr>
          <w:p w14:paraId="2EC82DFC" w14:textId="4D4573FD" w:rsidR="00994F7D" w:rsidRPr="00994F7D" w:rsidRDefault="00D77E66" w:rsidP="00AA461F">
            <w:pPr>
              <w:pStyle w:val="TableBodyCopy"/>
            </w:pPr>
            <w:r>
              <w:t>SDG</w:t>
            </w:r>
            <w:r w:rsidR="00994F7D" w:rsidRPr="00FA2C26">
              <w:t>13</w:t>
            </w:r>
          </w:p>
        </w:tc>
      </w:tr>
      <w:tr w:rsidR="00994F7D" w:rsidRPr="00994F7D" w14:paraId="00D1CFCB" w14:textId="77777777" w:rsidTr="002B1651">
        <w:trPr>
          <w:trHeight w:val="494"/>
        </w:trPr>
        <w:tc>
          <w:tcPr>
            <w:tcW w:w="833" w:type="pct"/>
          </w:tcPr>
          <w:p w14:paraId="251A78BC" w14:textId="2A0270B5" w:rsidR="00994F7D" w:rsidRPr="00994F7D" w:rsidDel="008E7816" w:rsidRDefault="00994F7D" w:rsidP="00994F7D">
            <w:pPr>
              <w:pStyle w:val="TableBodyCopy"/>
              <w:rPr>
                <w:b/>
                <w:bCs/>
              </w:rPr>
            </w:pPr>
            <w:r w:rsidRPr="00994F7D" w:rsidDel="008E7816">
              <w:rPr>
                <w:b/>
                <w:bCs/>
              </w:rPr>
              <w:lastRenderedPageBreak/>
              <w:t>Outcome 2.</w:t>
            </w:r>
            <w:r w:rsidRPr="00994F7D">
              <w:rPr>
                <w:b/>
                <w:bCs/>
              </w:rPr>
              <w:t>2</w:t>
            </w:r>
          </w:p>
        </w:tc>
        <w:tc>
          <w:tcPr>
            <w:tcW w:w="834" w:type="pct"/>
          </w:tcPr>
          <w:p w14:paraId="039691C7" w14:textId="455C4984" w:rsidR="00994F7D" w:rsidRPr="00994F7D" w:rsidRDefault="00994F7D" w:rsidP="00AA461F">
            <w:pPr>
              <w:pStyle w:val="TableBodyCopy"/>
            </w:pPr>
            <w:r w:rsidRPr="00FA2C26">
              <w:t xml:space="preserve">2.2.2 Implementation of innovative development finance mechanisms to increase investment in Indonesia’s energy transition including in infrastructure and </w:t>
            </w:r>
            <w:r w:rsidR="00A14AAF">
              <w:t>small and medium</w:t>
            </w:r>
            <w:r w:rsidR="006C33E8">
              <w:t>-</w:t>
            </w:r>
            <w:r w:rsidR="00A14AAF">
              <w:t>sized</w:t>
            </w:r>
            <w:r w:rsidR="006C33E8">
              <w:t xml:space="preserve"> enterprises</w:t>
            </w:r>
          </w:p>
        </w:tc>
        <w:tc>
          <w:tcPr>
            <w:tcW w:w="833" w:type="pct"/>
            <w:tcBorders>
              <w:top w:val="single" w:sz="4" w:space="0" w:color="auto"/>
              <w:left w:val="single" w:sz="4" w:space="0" w:color="auto"/>
              <w:bottom w:val="single" w:sz="4" w:space="0" w:color="auto"/>
              <w:right w:val="single" w:sz="4" w:space="0" w:color="auto"/>
            </w:tcBorders>
          </w:tcPr>
          <w:p w14:paraId="42632BBA" w14:textId="6AAC8960" w:rsidR="00994F7D" w:rsidRPr="00994F7D" w:rsidRDefault="00994F7D" w:rsidP="00AA461F">
            <w:pPr>
              <w:pStyle w:val="TableBodyCopy"/>
              <w:rPr>
                <w:rFonts w:eastAsiaTheme="minorHAnsi"/>
                <w:kern w:val="2"/>
                <w14:ligatures w14:val="standardContextual"/>
              </w:rPr>
            </w:pPr>
            <w:r w:rsidRPr="00FA2C26">
              <w:t xml:space="preserve">The </w:t>
            </w:r>
            <w:r w:rsidR="0044421B">
              <w:t xml:space="preserve">KINETIK </w:t>
            </w:r>
            <w:r w:rsidRPr="00FA2C26">
              <w:t xml:space="preserve">Australian Development Investments (ADI) </w:t>
            </w:r>
            <w:r w:rsidR="0044421B" w:rsidRPr="00FA2C26">
              <w:t xml:space="preserve">Fund </w:t>
            </w:r>
            <w:r w:rsidRPr="00FA2C26">
              <w:t>is implemented and undertakes its first investment</w:t>
            </w:r>
          </w:p>
        </w:tc>
        <w:tc>
          <w:tcPr>
            <w:tcW w:w="834" w:type="pct"/>
            <w:tcBorders>
              <w:top w:val="single" w:sz="4" w:space="0" w:color="auto"/>
              <w:left w:val="single" w:sz="4" w:space="0" w:color="auto"/>
              <w:bottom w:val="single" w:sz="4" w:space="0" w:color="auto"/>
              <w:right w:val="single" w:sz="4" w:space="0" w:color="auto"/>
            </w:tcBorders>
          </w:tcPr>
          <w:p w14:paraId="492809BE" w14:textId="77777777" w:rsidR="00994F7D" w:rsidRPr="00FA2C26" w:rsidRDefault="00994F7D" w:rsidP="00AA461F">
            <w:pPr>
              <w:pStyle w:val="TableBodyCopy"/>
            </w:pPr>
            <w:r w:rsidRPr="00FA2C26">
              <w:t>Increased financing flow to climate-positive infrastructure projects, including through:</w:t>
            </w:r>
          </w:p>
          <w:p w14:paraId="200AACFF" w14:textId="781F077B" w:rsidR="00994F7D" w:rsidRPr="00FA2C26" w:rsidRDefault="00994F7D" w:rsidP="00CF5050">
            <w:pPr>
              <w:pStyle w:val="Tablebullet"/>
              <w:rPr>
                <w:rFonts w:eastAsiaTheme="minorHAnsi"/>
                <w:kern w:val="2"/>
                <w14:ligatures w14:val="standardContextual"/>
              </w:rPr>
            </w:pPr>
            <w:r w:rsidRPr="00FA2C26">
              <w:t xml:space="preserve">ADI making additional investments under the </w:t>
            </w:r>
            <w:r w:rsidR="00C0635A">
              <w:t xml:space="preserve">KINETIK </w:t>
            </w:r>
            <w:r w:rsidRPr="00FA2C26">
              <w:t xml:space="preserve">Fund, with the aim of crowding in other private </w:t>
            </w:r>
            <w:proofErr w:type="gramStart"/>
            <w:r w:rsidRPr="00FA2C26">
              <w:t>investors</w:t>
            </w:r>
            <w:proofErr w:type="gramEnd"/>
          </w:p>
          <w:p w14:paraId="71914D64" w14:textId="1027DA37" w:rsidR="00994F7D" w:rsidRPr="00994F7D" w:rsidRDefault="00EA5DCA" w:rsidP="00CF5050">
            <w:pPr>
              <w:pStyle w:val="Tablebullet"/>
            </w:pPr>
            <w:r>
              <w:t>mobilisation of a</w:t>
            </w:r>
            <w:r w:rsidR="00994F7D" w:rsidRPr="00FA2C26">
              <w:t>n Australian facility to crowd in private investment into Indonesia’s green and energy transition infrastructure</w:t>
            </w:r>
          </w:p>
        </w:tc>
        <w:tc>
          <w:tcPr>
            <w:tcW w:w="833" w:type="pct"/>
            <w:tcBorders>
              <w:top w:val="single" w:sz="4" w:space="0" w:color="auto"/>
              <w:left w:val="single" w:sz="4" w:space="0" w:color="auto"/>
              <w:bottom w:val="single" w:sz="4" w:space="0" w:color="auto"/>
              <w:right w:val="single" w:sz="4" w:space="0" w:color="auto"/>
            </w:tcBorders>
          </w:tcPr>
          <w:p w14:paraId="6E52F8D3" w14:textId="793989B5" w:rsidR="00994F7D" w:rsidRPr="00994F7D" w:rsidRDefault="003D050E" w:rsidP="00AA461F">
            <w:pPr>
              <w:pStyle w:val="TableBodyCopy"/>
              <w:rPr>
                <w:kern w:val="2"/>
                <w14:ligatures w14:val="standardContextual"/>
              </w:rPr>
            </w:pPr>
            <w:r>
              <w:rPr>
                <w:kern w:val="2"/>
                <w14:ligatures w14:val="standardContextual"/>
              </w:rPr>
              <w:t xml:space="preserve">The </w:t>
            </w:r>
            <w:r w:rsidR="004607BD">
              <w:t xml:space="preserve">KINETIK </w:t>
            </w:r>
            <w:r w:rsidR="004607BD" w:rsidRPr="00FA2C26">
              <w:rPr>
                <w:kern w:val="2"/>
                <w14:ligatures w14:val="standardContextual"/>
              </w:rPr>
              <w:t>ADI</w:t>
            </w:r>
            <w:r w:rsidR="00C1458A" w:rsidRPr="00FA2C26">
              <w:rPr>
                <w:kern w:val="2"/>
                <w14:ligatures w14:val="standardContextual"/>
              </w:rPr>
              <w:t xml:space="preserve"> </w:t>
            </w:r>
            <w:r w:rsidR="00994F7D" w:rsidRPr="00FA2C26">
              <w:rPr>
                <w:kern w:val="2"/>
                <w14:ligatures w14:val="standardContextual"/>
              </w:rPr>
              <w:t xml:space="preserve">Fund has committed all its </w:t>
            </w:r>
            <w:r w:rsidR="00EA5DCA">
              <w:rPr>
                <w:kern w:val="2"/>
                <w14:ligatures w14:val="standardContextual"/>
              </w:rPr>
              <w:t xml:space="preserve">Australian Government </w:t>
            </w:r>
            <w:r w:rsidR="00994F7D" w:rsidRPr="00FA2C26">
              <w:rPr>
                <w:kern w:val="2"/>
                <w14:ligatures w14:val="standardContextual"/>
              </w:rPr>
              <w:t>D</w:t>
            </w:r>
            <w:r w:rsidR="00EA5DCA">
              <w:rPr>
                <w:kern w:val="2"/>
                <w14:ligatures w14:val="standardContextual"/>
              </w:rPr>
              <w:t xml:space="preserve">epartment of Foreign Affairs and Trade </w:t>
            </w:r>
            <w:r w:rsidR="00994F7D" w:rsidRPr="00FA2C26">
              <w:rPr>
                <w:kern w:val="2"/>
                <w14:ligatures w14:val="standardContextual"/>
              </w:rPr>
              <w:t>provided capital</w:t>
            </w:r>
          </w:p>
        </w:tc>
        <w:tc>
          <w:tcPr>
            <w:tcW w:w="834" w:type="pct"/>
          </w:tcPr>
          <w:p w14:paraId="0020AE78" w14:textId="47F33757" w:rsidR="00994F7D" w:rsidRPr="00994F7D" w:rsidRDefault="00D77E66" w:rsidP="00AA461F">
            <w:pPr>
              <w:pStyle w:val="TableBodyCopy"/>
            </w:pPr>
            <w:r>
              <w:t>SDG</w:t>
            </w:r>
            <w:r w:rsidR="00994F7D" w:rsidRPr="00FA2C26">
              <w:t>9</w:t>
            </w:r>
            <w:r>
              <w:t>:</w:t>
            </w:r>
            <w:r w:rsidR="00994F7D" w:rsidRPr="00FA2C26">
              <w:t xml:space="preserve"> Industry, </w:t>
            </w:r>
            <w:proofErr w:type="gramStart"/>
            <w:r>
              <w:t>i</w:t>
            </w:r>
            <w:r w:rsidR="00994F7D" w:rsidRPr="00FA2C26">
              <w:t>nnovation</w:t>
            </w:r>
            <w:proofErr w:type="gramEnd"/>
            <w:r w:rsidR="00994F7D" w:rsidRPr="00FA2C26">
              <w:t xml:space="preserve"> and </w:t>
            </w:r>
            <w:r>
              <w:t>i</w:t>
            </w:r>
            <w:r w:rsidR="00994F7D" w:rsidRPr="00FA2C26">
              <w:t>nfrastructure</w:t>
            </w:r>
            <w:r w:rsidR="00194891">
              <w:t xml:space="preserve">, </w:t>
            </w:r>
            <w:r>
              <w:t>SDG</w:t>
            </w:r>
            <w:r w:rsidR="00994F7D" w:rsidRPr="00FA2C26">
              <w:t>13</w:t>
            </w:r>
          </w:p>
        </w:tc>
      </w:tr>
    </w:tbl>
    <w:p w14:paraId="5754CA54" w14:textId="35D92CCB" w:rsidR="008A14ED" w:rsidRDefault="008A14ED" w:rsidP="008A14ED">
      <w:pPr>
        <w:pStyle w:val="Tablenote"/>
      </w:pPr>
      <w:bookmarkStart w:id="6" w:name="Tn3b"/>
      <w:r>
        <w:t>b</w:t>
      </w:r>
      <w:r>
        <w:tab/>
        <w:t>Decreasing number because i</w:t>
      </w:r>
      <w:r w:rsidRPr="00494E05">
        <w:t>nvestments contributing to this indicator will be concluded in 2026.</w:t>
      </w:r>
      <w:bookmarkEnd w:id="6"/>
    </w:p>
    <w:p w14:paraId="16555E9A" w14:textId="380D5216" w:rsidR="00045F06" w:rsidRDefault="00D24F75" w:rsidP="00CF5050">
      <w:pPr>
        <w:pStyle w:val="Tablenote"/>
        <w:rPr>
          <w:b/>
          <w:bCs/>
        </w:rPr>
      </w:pPr>
      <w:bookmarkStart w:id="7" w:name="Tn3c"/>
      <w:r>
        <w:t>c</w:t>
      </w:r>
      <w:r>
        <w:tab/>
        <w:t>I</w:t>
      </w:r>
      <w:r w:rsidRPr="004977DD">
        <w:t>nvestments contributing to this indicator will be concluded in 2026.</w:t>
      </w:r>
      <w:bookmarkEnd w:id="7"/>
      <w:r w:rsidR="00045F06">
        <w:rPr>
          <w:b/>
          <w:bCs/>
        </w:rPr>
        <w:br w:type="page"/>
      </w:r>
    </w:p>
    <w:p w14:paraId="63DE3309" w14:textId="7212E0C5" w:rsidR="00737E87" w:rsidRPr="00484BDE" w:rsidRDefault="00737E87" w:rsidP="00CF5050">
      <w:r w:rsidRPr="00CF5050">
        <w:rPr>
          <w:b/>
          <w:bCs/>
        </w:rPr>
        <w:lastRenderedPageBreak/>
        <w:t xml:space="preserve">Objective 3: Strong </w:t>
      </w:r>
      <w:r w:rsidR="00994F7D" w:rsidRPr="00CF5050">
        <w:rPr>
          <w:b/>
          <w:bCs/>
        </w:rPr>
        <w:t>i</w:t>
      </w:r>
      <w:r w:rsidRPr="00CF5050">
        <w:rPr>
          <w:b/>
          <w:bCs/>
        </w:rPr>
        <w:t>nstitutions</w:t>
      </w:r>
    </w:p>
    <w:tbl>
      <w:tblPr>
        <w:tblStyle w:val="DFATOchre"/>
        <w:tblW w:w="5000" w:type="pct"/>
        <w:tblLayout w:type="fixed"/>
        <w:tblLook w:val="04A0" w:firstRow="1" w:lastRow="0" w:firstColumn="1" w:lastColumn="0" w:noHBand="0" w:noVBand="1"/>
        <w:tblCaption w:val="Performance assessment framework for objective 3"/>
        <w:tblDescription w:val="Expected results for the first 3 years of the DPP and against the Sustainable Development Goals"/>
      </w:tblPr>
      <w:tblGrid>
        <w:gridCol w:w="2496"/>
        <w:gridCol w:w="2499"/>
        <w:gridCol w:w="2497"/>
        <w:gridCol w:w="2499"/>
        <w:gridCol w:w="2497"/>
        <w:gridCol w:w="2497"/>
      </w:tblGrid>
      <w:tr w:rsidR="005108FB" w:rsidRPr="005108FB" w14:paraId="0ECDBD25" w14:textId="77777777" w:rsidTr="00D86CA2">
        <w:trPr>
          <w:cnfStyle w:val="100000000000" w:firstRow="1" w:lastRow="0" w:firstColumn="0" w:lastColumn="0" w:oddVBand="0" w:evenVBand="0" w:oddHBand="0" w:evenHBand="0" w:firstRowFirstColumn="0" w:firstRowLastColumn="0" w:lastRowFirstColumn="0" w:lastRowLastColumn="0"/>
          <w:trHeight w:val="787"/>
        </w:trPr>
        <w:tc>
          <w:tcPr>
            <w:tcW w:w="833" w:type="pct"/>
            <w:shd w:val="clear" w:color="auto" w:fill="3A586E"/>
            <w:hideMark/>
          </w:tcPr>
          <w:p w14:paraId="1A1A20EF" w14:textId="2F69C1C7" w:rsidR="005108FB" w:rsidRPr="005108FB" w:rsidRDefault="00994F7D" w:rsidP="00994F7D">
            <w:pPr>
              <w:pStyle w:val="TableHeading"/>
              <w:rPr>
                <w:b w:val="0"/>
                <w:bCs w:val="0"/>
              </w:rPr>
            </w:pPr>
            <w:r w:rsidRPr="00DA213C">
              <w:rPr>
                <w:b w:val="0"/>
                <w:bCs w:val="0"/>
              </w:rPr>
              <w:t>Outcome</w:t>
            </w:r>
          </w:p>
        </w:tc>
        <w:tc>
          <w:tcPr>
            <w:tcW w:w="834" w:type="pct"/>
            <w:shd w:val="clear" w:color="auto" w:fill="3A586E"/>
          </w:tcPr>
          <w:p w14:paraId="150D452B" w14:textId="2D67CB70" w:rsidR="005108FB" w:rsidRPr="005108FB" w:rsidRDefault="00994F7D" w:rsidP="005108FB">
            <w:pPr>
              <w:pStyle w:val="TableHeading"/>
              <w:rPr>
                <w:b w:val="0"/>
                <w:bCs w:val="0"/>
              </w:rPr>
            </w:pPr>
            <w:r w:rsidRPr="00287DB8">
              <w:rPr>
                <w:b w:val="0"/>
                <w:bCs w:val="0"/>
              </w:rPr>
              <w:t>Indicator</w:t>
            </w:r>
          </w:p>
        </w:tc>
        <w:tc>
          <w:tcPr>
            <w:tcW w:w="833" w:type="pct"/>
            <w:shd w:val="clear" w:color="auto" w:fill="3A586E"/>
            <w:vAlign w:val="center"/>
            <w:hideMark/>
          </w:tcPr>
          <w:p w14:paraId="776E395A" w14:textId="6564F829" w:rsidR="005108FB" w:rsidRPr="005108FB" w:rsidRDefault="005108FB" w:rsidP="005108FB">
            <w:pPr>
              <w:pStyle w:val="TableHeading"/>
              <w:rPr>
                <w:b w:val="0"/>
                <w:bCs w:val="0"/>
              </w:rPr>
            </w:pPr>
            <w:r w:rsidRPr="005108FB">
              <w:rPr>
                <w:b w:val="0"/>
                <w:bCs w:val="0"/>
              </w:rPr>
              <w:t xml:space="preserve">Expected </w:t>
            </w:r>
            <w:r w:rsidR="00994F7D">
              <w:rPr>
                <w:b w:val="0"/>
                <w:bCs w:val="0"/>
              </w:rPr>
              <w:t>r</w:t>
            </w:r>
            <w:r w:rsidRPr="005108FB">
              <w:rPr>
                <w:b w:val="0"/>
                <w:bCs w:val="0"/>
              </w:rPr>
              <w:t>esults</w:t>
            </w:r>
            <w:r w:rsidRPr="005108FB">
              <w:rPr>
                <w:b w:val="0"/>
                <w:bCs w:val="0"/>
              </w:rPr>
              <w:br/>
              <w:t>2024</w:t>
            </w:r>
            <w:r w:rsidR="00994F7D">
              <w:rPr>
                <w:b w:val="0"/>
                <w:bCs w:val="0"/>
              </w:rPr>
              <w:t>–</w:t>
            </w:r>
            <w:r w:rsidRPr="005108FB">
              <w:rPr>
                <w:b w:val="0"/>
                <w:bCs w:val="0"/>
              </w:rPr>
              <w:t>25</w:t>
            </w:r>
          </w:p>
        </w:tc>
        <w:tc>
          <w:tcPr>
            <w:tcW w:w="834" w:type="pct"/>
            <w:shd w:val="clear" w:color="auto" w:fill="3A586E"/>
            <w:vAlign w:val="center"/>
            <w:hideMark/>
          </w:tcPr>
          <w:p w14:paraId="5A9B2B4D" w14:textId="77661F50" w:rsidR="005108FB" w:rsidRPr="005108FB" w:rsidRDefault="005108FB" w:rsidP="005108FB">
            <w:pPr>
              <w:pStyle w:val="TableHeading"/>
              <w:rPr>
                <w:b w:val="0"/>
                <w:bCs w:val="0"/>
              </w:rPr>
            </w:pPr>
            <w:r w:rsidRPr="005108FB">
              <w:rPr>
                <w:b w:val="0"/>
                <w:bCs w:val="0"/>
              </w:rPr>
              <w:t xml:space="preserve">Expected </w:t>
            </w:r>
            <w:r w:rsidR="00994F7D">
              <w:rPr>
                <w:b w:val="0"/>
                <w:bCs w:val="0"/>
              </w:rPr>
              <w:t>r</w:t>
            </w:r>
            <w:r w:rsidRPr="005108FB">
              <w:rPr>
                <w:b w:val="0"/>
                <w:bCs w:val="0"/>
              </w:rPr>
              <w:t>esults</w:t>
            </w:r>
            <w:r w:rsidRPr="005108FB">
              <w:rPr>
                <w:b w:val="0"/>
                <w:bCs w:val="0"/>
              </w:rPr>
              <w:br/>
              <w:t>2025</w:t>
            </w:r>
            <w:r w:rsidR="00994F7D">
              <w:rPr>
                <w:b w:val="0"/>
                <w:bCs w:val="0"/>
              </w:rPr>
              <w:t>–</w:t>
            </w:r>
            <w:r w:rsidRPr="005108FB">
              <w:rPr>
                <w:b w:val="0"/>
                <w:bCs w:val="0"/>
              </w:rPr>
              <w:t>26</w:t>
            </w:r>
          </w:p>
        </w:tc>
        <w:tc>
          <w:tcPr>
            <w:tcW w:w="833" w:type="pct"/>
            <w:shd w:val="clear" w:color="auto" w:fill="3A586E"/>
            <w:vAlign w:val="center"/>
            <w:hideMark/>
          </w:tcPr>
          <w:p w14:paraId="0DD921AF" w14:textId="6B8B5C50" w:rsidR="005108FB" w:rsidRPr="005108FB" w:rsidRDefault="005108FB" w:rsidP="005108FB">
            <w:pPr>
              <w:pStyle w:val="TableHeading"/>
              <w:rPr>
                <w:b w:val="0"/>
                <w:bCs w:val="0"/>
              </w:rPr>
            </w:pPr>
            <w:r w:rsidRPr="005108FB">
              <w:rPr>
                <w:b w:val="0"/>
                <w:bCs w:val="0"/>
              </w:rPr>
              <w:t xml:space="preserve">Expected </w:t>
            </w:r>
            <w:r w:rsidR="00994F7D">
              <w:rPr>
                <w:b w:val="0"/>
                <w:bCs w:val="0"/>
              </w:rPr>
              <w:t>r</w:t>
            </w:r>
            <w:r w:rsidRPr="005108FB">
              <w:rPr>
                <w:b w:val="0"/>
                <w:bCs w:val="0"/>
              </w:rPr>
              <w:t>esults</w:t>
            </w:r>
            <w:r w:rsidRPr="005108FB">
              <w:rPr>
                <w:b w:val="0"/>
                <w:bCs w:val="0"/>
              </w:rPr>
              <w:br/>
              <w:t>2026</w:t>
            </w:r>
            <w:r w:rsidR="00994F7D">
              <w:rPr>
                <w:b w:val="0"/>
                <w:bCs w:val="0"/>
              </w:rPr>
              <w:t>–</w:t>
            </w:r>
            <w:r w:rsidRPr="005108FB">
              <w:rPr>
                <w:b w:val="0"/>
                <w:bCs w:val="0"/>
              </w:rPr>
              <w:t>27</w:t>
            </w:r>
          </w:p>
        </w:tc>
        <w:tc>
          <w:tcPr>
            <w:tcW w:w="834" w:type="pct"/>
            <w:shd w:val="clear" w:color="auto" w:fill="3A586E"/>
            <w:vAlign w:val="center"/>
            <w:hideMark/>
          </w:tcPr>
          <w:p w14:paraId="5DEE01F3" w14:textId="6819F05B" w:rsidR="005108FB" w:rsidRPr="005108FB" w:rsidRDefault="00994F7D" w:rsidP="005108FB">
            <w:pPr>
              <w:pStyle w:val="TableHeading"/>
              <w:rPr>
                <w:b w:val="0"/>
                <w:bCs w:val="0"/>
              </w:rPr>
            </w:pPr>
            <w:r>
              <w:rPr>
                <w:b w:val="0"/>
                <w:bCs w:val="0"/>
              </w:rPr>
              <w:t xml:space="preserve">Sustainable Development </w:t>
            </w:r>
            <w:r w:rsidR="005108FB" w:rsidRPr="005108FB">
              <w:rPr>
                <w:b w:val="0"/>
                <w:bCs w:val="0"/>
              </w:rPr>
              <w:t>Goals</w:t>
            </w:r>
            <w:r>
              <w:rPr>
                <w:b w:val="0"/>
                <w:bCs w:val="0"/>
              </w:rPr>
              <w:t xml:space="preserve"> (SDGs)</w:t>
            </w:r>
          </w:p>
        </w:tc>
      </w:tr>
      <w:tr w:rsidR="005108FB" w:rsidRPr="00FA2C26" w14:paraId="6E3EEE07" w14:textId="77777777" w:rsidTr="00D86CA2">
        <w:trPr>
          <w:trHeight w:val="544"/>
        </w:trPr>
        <w:tc>
          <w:tcPr>
            <w:tcW w:w="833" w:type="pct"/>
            <w:shd w:val="clear" w:color="auto" w:fill="F0DBD4"/>
            <w:hideMark/>
          </w:tcPr>
          <w:p w14:paraId="10CB037C" w14:textId="4626C9D2" w:rsidR="00994F7D" w:rsidRPr="00994F7D" w:rsidRDefault="00994F7D" w:rsidP="00994F7D">
            <w:pPr>
              <w:pStyle w:val="TableBodyCopy"/>
              <w:rPr>
                <w:b/>
                <w:bCs/>
              </w:rPr>
            </w:pPr>
            <w:r w:rsidRPr="00994F7D">
              <w:rPr>
                <w:b/>
                <w:bCs/>
              </w:rPr>
              <w:t>Outcome 3.1</w:t>
            </w:r>
          </w:p>
          <w:p w14:paraId="05DDDD35" w14:textId="13BCBCE8" w:rsidR="005108FB" w:rsidRPr="00FA2C26" w:rsidRDefault="00994F7D" w:rsidP="00CF5050">
            <w:pPr>
              <w:pStyle w:val="TableBodyCopy"/>
              <w:rPr>
                <w:rFonts w:cstheme="majorHAnsi"/>
              </w:rPr>
            </w:pPr>
            <w:r w:rsidRPr="005108FB">
              <w:t>Inclusive and transparent institutions are supported, including law and justice, aligned with Indonesia’s medium-term targets and long-term goals</w:t>
            </w:r>
          </w:p>
        </w:tc>
        <w:tc>
          <w:tcPr>
            <w:tcW w:w="834" w:type="pct"/>
            <w:shd w:val="clear" w:color="auto" w:fill="F0DBD4"/>
          </w:tcPr>
          <w:p w14:paraId="1680403F" w14:textId="4AA7CFD2" w:rsidR="005108FB" w:rsidRPr="00AA461F" w:rsidRDefault="00994F7D" w:rsidP="00AA461F">
            <w:pPr>
              <w:pStyle w:val="TableBodyCopy"/>
            </w:pPr>
            <w:r w:rsidRPr="00AA461F">
              <w:t>3.1.1 Policy and technical advice to support inclusive and transparent institutions</w:t>
            </w:r>
          </w:p>
        </w:tc>
        <w:tc>
          <w:tcPr>
            <w:tcW w:w="833" w:type="pct"/>
            <w:shd w:val="clear" w:color="auto" w:fill="F0DBD4"/>
            <w:hideMark/>
          </w:tcPr>
          <w:p w14:paraId="2B7BE68A" w14:textId="22DC8654" w:rsidR="005108FB" w:rsidRPr="00AA461F" w:rsidRDefault="005108FB" w:rsidP="00AA461F">
            <w:pPr>
              <w:pStyle w:val="TableBodyCopy"/>
            </w:pPr>
            <w:r w:rsidRPr="00AA461F">
              <w:t>Policy and/or technical advice to support inclusive policies and regulations at the national and/or subnational level</w:t>
            </w:r>
            <w:r w:rsidR="00655375">
              <w:t>,</w:t>
            </w:r>
            <w:r w:rsidRPr="00AA461F">
              <w:t xml:space="preserve"> including:</w:t>
            </w:r>
          </w:p>
          <w:p w14:paraId="4B47FD05" w14:textId="011A1298" w:rsidR="005108FB" w:rsidRPr="00AA461F" w:rsidRDefault="009D7E6F" w:rsidP="00CF5050">
            <w:pPr>
              <w:pStyle w:val="Tablebullet"/>
            </w:pPr>
            <w:r>
              <w:t xml:space="preserve">gender equality, </w:t>
            </w:r>
            <w:proofErr w:type="gramStart"/>
            <w:r>
              <w:t>disability</w:t>
            </w:r>
            <w:proofErr w:type="gramEnd"/>
            <w:r>
              <w:t xml:space="preserve"> and social inclusion (</w:t>
            </w:r>
            <w:r w:rsidR="005108FB" w:rsidRPr="00AA461F">
              <w:t>GEDSI</w:t>
            </w:r>
            <w:r>
              <w:t>)</w:t>
            </w:r>
            <w:r w:rsidR="005108FB" w:rsidRPr="00AA461F">
              <w:t xml:space="preserve"> indicators in Indonesia</w:t>
            </w:r>
            <w:r w:rsidR="004F0168">
              <w:t>’s</w:t>
            </w:r>
            <w:r w:rsidR="005108FB" w:rsidRPr="00AA461F">
              <w:t xml:space="preserve"> national medium-term development plan</w:t>
            </w:r>
          </w:p>
          <w:p w14:paraId="23C28E32" w14:textId="77777777" w:rsidR="005108FB" w:rsidRPr="00AA461F" w:rsidRDefault="005108FB" w:rsidP="00CF5050">
            <w:pPr>
              <w:pStyle w:val="Tablebullet"/>
            </w:pPr>
            <w:r w:rsidRPr="00AA461F">
              <w:t>inclusive and participatory planning and budget processes</w:t>
            </w:r>
          </w:p>
          <w:p w14:paraId="79D5E4C9" w14:textId="60480F08" w:rsidR="005108FB" w:rsidRDefault="005108FB">
            <w:pPr>
              <w:pStyle w:val="Tablebullet"/>
            </w:pPr>
            <w:r w:rsidRPr="00AA461F">
              <w:t xml:space="preserve">public access to </w:t>
            </w:r>
            <w:r w:rsidR="00631F7B">
              <w:t xml:space="preserve">a </w:t>
            </w:r>
            <w:r w:rsidRPr="00AA461F">
              <w:t>subnational data portal</w:t>
            </w:r>
          </w:p>
          <w:p w14:paraId="232CA018" w14:textId="4775A07D" w:rsidR="003A56CD" w:rsidRDefault="003A56CD">
            <w:pPr>
              <w:pStyle w:val="Tablebullet"/>
            </w:pPr>
            <w:r>
              <w:t xml:space="preserve">inclusive and more transparent </w:t>
            </w:r>
            <w:r w:rsidR="00D845E9">
              <w:t xml:space="preserve">business processes in disaster risk management (DRM), justice, infrastructure </w:t>
            </w:r>
            <w:r w:rsidR="009F70B7">
              <w:t>institutions and civil services</w:t>
            </w:r>
          </w:p>
          <w:p w14:paraId="425CF405" w14:textId="710D7BB2" w:rsidR="005108FB" w:rsidRPr="00AA461F" w:rsidRDefault="005108FB" w:rsidP="00AA461F">
            <w:pPr>
              <w:pStyle w:val="TableBodyCopy"/>
            </w:pPr>
            <w:r w:rsidRPr="00AA461F">
              <w:t xml:space="preserve">Support to develop a secondment </w:t>
            </w:r>
            <w:r w:rsidR="004F0168">
              <w:t>p</w:t>
            </w:r>
            <w:r w:rsidRPr="00AA461F">
              <w:t>rogram from Ministry of State-Owned Enterprises (MSOE) to Asian Development Bank (ADB)</w:t>
            </w:r>
          </w:p>
          <w:p w14:paraId="030A32B8" w14:textId="7E982E49" w:rsidR="005108FB" w:rsidRPr="00AA461F" w:rsidRDefault="00457CDF" w:rsidP="00AA461F">
            <w:pPr>
              <w:pStyle w:val="TableBodyCopy"/>
            </w:pPr>
            <w:r>
              <w:t>E</w:t>
            </w:r>
            <w:r w:rsidR="005108FB" w:rsidRPr="00AA461F">
              <w:t>-</w:t>
            </w:r>
            <w:r>
              <w:t>c</w:t>
            </w:r>
            <w:r w:rsidR="005108FB" w:rsidRPr="00AA461F">
              <w:t xml:space="preserve">oaching tools for MSOE’s executives developed to improve human resource </w:t>
            </w:r>
            <w:r w:rsidR="005108FB" w:rsidRPr="00AA461F">
              <w:lastRenderedPageBreak/>
              <w:t>management and enhance organisational transformation</w:t>
            </w:r>
          </w:p>
        </w:tc>
        <w:tc>
          <w:tcPr>
            <w:tcW w:w="834" w:type="pct"/>
            <w:shd w:val="clear" w:color="auto" w:fill="F0DBD4"/>
            <w:hideMark/>
          </w:tcPr>
          <w:p w14:paraId="39487A96" w14:textId="2F34B02A" w:rsidR="005108FB" w:rsidRPr="00AA461F" w:rsidRDefault="005108FB" w:rsidP="00AA461F">
            <w:pPr>
              <w:pStyle w:val="TableBodyCopy"/>
            </w:pPr>
            <w:r w:rsidRPr="00AA461F">
              <w:lastRenderedPageBreak/>
              <w:t>Continued policy, technical advice and/or advocacy on inclusive policies and regulations at the national and/or subnational level</w:t>
            </w:r>
            <w:r w:rsidR="00655375">
              <w:t>,</w:t>
            </w:r>
            <w:r w:rsidRPr="00AA461F">
              <w:t xml:space="preserve"> including:</w:t>
            </w:r>
          </w:p>
          <w:p w14:paraId="2C9399BF" w14:textId="77777777" w:rsidR="005108FB" w:rsidRPr="00655375" w:rsidRDefault="005108FB" w:rsidP="00CF5050">
            <w:pPr>
              <w:pStyle w:val="Tablebullet"/>
            </w:pPr>
            <w:r w:rsidRPr="00AA461F">
              <w:t xml:space="preserve">best practices on inclusive and participatory planning and </w:t>
            </w:r>
            <w:r w:rsidRPr="00655375">
              <w:t>budget processes</w:t>
            </w:r>
          </w:p>
          <w:p w14:paraId="357E0948" w14:textId="77777777" w:rsidR="005108FB" w:rsidRPr="00655375" w:rsidRDefault="005108FB" w:rsidP="00CF5050">
            <w:pPr>
              <w:pStyle w:val="Tablebullet"/>
            </w:pPr>
            <w:r w:rsidRPr="00655375">
              <w:t xml:space="preserve">improvement in provincial data management practices </w:t>
            </w:r>
          </w:p>
          <w:p w14:paraId="3F36E147" w14:textId="135708A9" w:rsidR="005108FB" w:rsidRPr="00AA461F" w:rsidRDefault="005108FB" w:rsidP="00CF5050">
            <w:pPr>
              <w:pStyle w:val="Tablebullet"/>
            </w:pPr>
            <w:r w:rsidRPr="00655375">
              <w:t>inclusive and more transparent business</w:t>
            </w:r>
            <w:r w:rsidRPr="00AA461F">
              <w:t xml:space="preserve"> processes in DRM, justice, infrastructure institutions and civil services</w:t>
            </w:r>
          </w:p>
          <w:p w14:paraId="317CE196" w14:textId="30ED7E4C" w:rsidR="005108FB" w:rsidRPr="00AA461F" w:rsidRDefault="005108FB" w:rsidP="00AA461F">
            <w:pPr>
              <w:pStyle w:val="TableBodyCopy"/>
            </w:pPr>
            <w:r w:rsidRPr="00AA461F">
              <w:t xml:space="preserve">MSOE and ADB secondment program implemented and institutional links </w:t>
            </w:r>
            <w:proofErr w:type="gramStart"/>
            <w:r w:rsidRPr="00AA461F">
              <w:t>developed</w:t>
            </w:r>
            <w:proofErr w:type="gramEnd"/>
          </w:p>
          <w:p w14:paraId="1EE71322" w14:textId="723A4645" w:rsidR="005108FB" w:rsidRPr="00AA461F" w:rsidRDefault="005108FB" w:rsidP="00AA461F">
            <w:pPr>
              <w:pStyle w:val="TableBodyCopy"/>
            </w:pPr>
            <w:r w:rsidRPr="00AA461F">
              <w:t xml:space="preserve">Supported </w:t>
            </w:r>
            <w:r w:rsidR="00CA4505">
              <w:t xml:space="preserve">the </w:t>
            </w:r>
            <w:r w:rsidR="00655375">
              <w:t>Organisation for Economic Co</w:t>
            </w:r>
            <w:r w:rsidR="009276AC">
              <w:t>-</w:t>
            </w:r>
            <w:r w:rsidR="00655375">
              <w:t>operation and Development (</w:t>
            </w:r>
            <w:r w:rsidR="00655375" w:rsidRPr="00AA461F">
              <w:t>OECD</w:t>
            </w:r>
            <w:r w:rsidR="00655375">
              <w:t>)</w:t>
            </w:r>
            <w:r w:rsidR="00655375" w:rsidRPr="00AA461F">
              <w:t xml:space="preserve"> </w:t>
            </w:r>
            <w:r w:rsidR="00A810F1">
              <w:t xml:space="preserve">state-owned enterprises </w:t>
            </w:r>
            <w:r w:rsidRPr="00AA461F">
              <w:t>corporate governance assessment to be completed and disseminated</w:t>
            </w:r>
          </w:p>
        </w:tc>
        <w:tc>
          <w:tcPr>
            <w:tcW w:w="833" w:type="pct"/>
            <w:shd w:val="clear" w:color="auto" w:fill="F0DBD4"/>
            <w:hideMark/>
          </w:tcPr>
          <w:p w14:paraId="21D5B873" w14:textId="40A6C7AB" w:rsidR="005108FB" w:rsidRPr="00AA461F" w:rsidRDefault="005108FB" w:rsidP="00AA461F">
            <w:pPr>
              <w:pStyle w:val="TableBodyCopy"/>
            </w:pPr>
            <w:r w:rsidRPr="00AA461F">
              <w:t>Continued policy and/or technical advice on inclusive policies and regulations at the national and/or subnational level</w:t>
            </w:r>
            <w:r w:rsidR="00CA4505">
              <w:t>,</w:t>
            </w:r>
            <w:r w:rsidRPr="00AA461F">
              <w:t xml:space="preserve"> including:</w:t>
            </w:r>
          </w:p>
          <w:p w14:paraId="1F11D6FE" w14:textId="77777777" w:rsidR="005108FB" w:rsidRPr="00AA461F" w:rsidRDefault="005108FB" w:rsidP="00CF5050">
            <w:pPr>
              <w:pStyle w:val="Tablebullet"/>
            </w:pPr>
            <w:r w:rsidRPr="00AA461F">
              <w:t>best practices on inclusive and participatory planning and budget processes</w:t>
            </w:r>
          </w:p>
          <w:p w14:paraId="0A717F21" w14:textId="0F3C6E55" w:rsidR="005108FB" w:rsidRDefault="005108FB">
            <w:pPr>
              <w:pStyle w:val="Tablebullet"/>
            </w:pPr>
            <w:r w:rsidRPr="00AA461F">
              <w:t xml:space="preserve">quality improvement of publicly available data through the </w:t>
            </w:r>
            <w:r w:rsidR="005D2C4E">
              <w:t>p</w:t>
            </w:r>
            <w:r w:rsidRPr="00AA461F">
              <w:t xml:space="preserve">rovincial </w:t>
            </w:r>
            <w:r w:rsidR="005D2C4E">
              <w:t>d</w:t>
            </w:r>
            <w:r w:rsidRPr="00AA461F">
              <w:t xml:space="preserve">ata </w:t>
            </w:r>
            <w:r w:rsidR="005D2C4E">
              <w:t>p</w:t>
            </w:r>
            <w:r w:rsidRPr="00AA461F">
              <w:t>ortal</w:t>
            </w:r>
          </w:p>
          <w:p w14:paraId="3593CD41" w14:textId="287D273C" w:rsidR="005108FB" w:rsidRPr="00AA461F" w:rsidRDefault="003C3B5A" w:rsidP="00CF5050">
            <w:pPr>
              <w:pStyle w:val="Tablebullet"/>
            </w:pPr>
            <w:r>
              <w:t xml:space="preserve">inclusive and more transparent </w:t>
            </w:r>
            <w:r w:rsidR="00FC21FD">
              <w:t>business processes in DRM, justice institutions and civil services</w:t>
            </w:r>
          </w:p>
        </w:tc>
        <w:tc>
          <w:tcPr>
            <w:tcW w:w="834" w:type="pct"/>
            <w:shd w:val="clear" w:color="auto" w:fill="F0DBD4"/>
          </w:tcPr>
          <w:p w14:paraId="02360A89" w14:textId="031F2F34" w:rsidR="005108FB" w:rsidRPr="00AA461F" w:rsidRDefault="00D77E66" w:rsidP="00AA461F">
            <w:pPr>
              <w:pStyle w:val="TableBodyCopy"/>
            </w:pPr>
            <w:r w:rsidRPr="00AA461F">
              <w:t>SDG</w:t>
            </w:r>
            <w:r w:rsidR="005108FB" w:rsidRPr="00AA461F">
              <w:t>16</w:t>
            </w:r>
            <w:r w:rsidRPr="00AA461F">
              <w:t>:</w:t>
            </w:r>
            <w:r w:rsidR="005108FB" w:rsidRPr="00AA461F">
              <w:t xml:space="preserve"> Peace, </w:t>
            </w:r>
            <w:proofErr w:type="gramStart"/>
            <w:r w:rsidRPr="00AA461F">
              <w:t>j</w:t>
            </w:r>
            <w:r w:rsidR="005108FB" w:rsidRPr="00AA461F">
              <w:t>ustice</w:t>
            </w:r>
            <w:proofErr w:type="gramEnd"/>
            <w:r w:rsidR="005108FB" w:rsidRPr="00AA461F">
              <w:t xml:space="preserve"> and </w:t>
            </w:r>
            <w:r w:rsidRPr="00AA461F">
              <w:t>s</w:t>
            </w:r>
            <w:r w:rsidR="005108FB" w:rsidRPr="00AA461F">
              <w:t xml:space="preserve">trong </w:t>
            </w:r>
            <w:r w:rsidRPr="00AA461F">
              <w:t>i</w:t>
            </w:r>
            <w:r w:rsidR="005108FB" w:rsidRPr="00AA461F">
              <w:t>nstitutions</w:t>
            </w:r>
          </w:p>
        </w:tc>
      </w:tr>
      <w:tr w:rsidR="005108FB" w:rsidRPr="00FA2C26" w14:paraId="78667B66" w14:textId="77777777" w:rsidTr="00D86CA2">
        <w:trPr>
          <w:trHeight w:val="544"/>
        </w:trPr>
        <w:tc>
          <w:tcPr>
            <w:tcW w:w="833" w:type="pct"/>
            <w:shd w:val="clear" w:color="auto" w:fill="F0DBD4"/>
          </w:tcPr>
          <w:p w14:paraId="7F3E6E97" w14:textId="68918EF6" w:rsidR="005108FB" w:rsidRPr="00FA2C26" w:rsidRDefault="00994F7D" w:rsidP="00994F7D">
            <w:pPr>
              <w:pStyle w:val="TableBodyCopy"/>
              <w:rPr>
                <w:rFonts w:cstheme="majorHAnsi"/>
              </w:rPr>
            </w:pPr>
            <w:r w:rsidRPr="00994F7D">
              <w:rPr>
                <w:b/>
                <w:bCs/>
              </w:rPr>
              <w:t>Outcome 3.1</w:t>
            </w:r>
          </w:p>
        </w:tc>
        <w:tc>
          <w:tcPr>
            <w:tcW w:w="834" w:type="pct"/>
            <w:shd w:val="clear" w:color="auto" w:fill="F0DBD4"/>
          </w:tcPr>
          <w:p w14:paraId="27A1E33A" w14:textId="6CF34724" w:rsidR="005108FB" w:rsidRPr="00AA461F" w:rsidRDefault="00994F7D" w:rsidP="00AA461F">
            <w:pPr>
              <w:pStyle w:val="TableBodyCopy"/>
            </w:pPr>
            <w:r w:rsidRPr="00AA461F">
              <w:t>3.1.2 Policy and technical advice to support accountable law and justice institutions and system reforms</w:t>
            </w:r>
          </w:p>
        </w:tc>
        <w:tc>
          <w:tcPr>
            <w:tcW w:w="833" w:type="pct"/>
            <w:tcBorders>
              <w:top w:val="single" w:sz="4" w:space="0" w:color="auto"/>
              <w:left w:val="single" w:sz="4" w:space="0" w:color="auto"/>
              <w:bottom w:val="single" w:sz="4" w:space="0" w:color="auto"/>
              <w:right w:val="single" w:sz="4" w:space="0" w:color="auto"/>
            </w:tcBorders>
            <w:shd w:val="clear" w:color="auto" w:fill="F0DBD4"/>
          </w:tcPr>
          <w:p w14:paraId="4F694B7E" w14:textId="6C4F5D0A" w:rsidR="005108FB" w:rsidRPr="00AA461F" w:rsidRDefault="005108FB" w:rsidP="00AA461F">
            <w:pPr>
              <w:pStyle w:val="TableBodyCopy"/>
            </w:pPr>
            <w:r w:rsidRPr="00AA461F">
              <w:t xml:space="preserve">Policy and/or technical advice to strengthen accountability in </w:t>
            </w:r>
            <w:r w:rsidR="00CA4505">
              <w:t xml:space="preserve">the </w:t>
            </w:r>
            <w:r w:rsidR="00C12353">
              <w:t>j</w:t>
            </w:r>
            <w:r w:rsidRPr="00AA461F">
              <w:t xml:space="preserve">ustice sector and </w:t>
            </w:r>
            <w:r w:rsidR="00C12353">
              <w:t>r</w:t>
            </w:r>
            <w:r w:rsidRPr="00AA461F">
              <w:t xml:space="preserve">estorative </w:t>
            </w:r>
            <w:r w:rsidR="00C12353">
              <w:t>j</w:t>
            </w:r>
            <w:r w:rsidRPr="00AA461F">
              <w:t>ustice</w:t>
            </w:r>
          </w:p>
        </w:tc>
        <w:tc>
          <w:tcPr>
            <w:tcW w:w="834" w:type="pct"/>
            <w:tcBorders>
              <w:top w:val="single" w:sz="4" w:space="0" w:color="auto"/>
              <w:left w:val="single" w:sz="4" w:space="0" w:color="auto"/>
              <w:bottom w:val="single" w:sz="4" w:space="0" w:color="auto"/>
              <w:right w:val="single" w:sz="4" w:space="0" w:color="auto"/>
            </w:tcBorders>
            <w:shd w:val="clear" w:color="auto" w:fill="F0DBD4"/>
          </w:tcPr>
          <w:p w14:paraId="376C7FB7" w14:textId="3CCBA60A" w:rsidR="005108FB" w:rsidRPr="00AA461F" w:rsidRDefault="005108FB" w:rsidP="00AA461F">
            <w:pPr>
              <w:pStyle w:val="TableBodyCopy"/>
            </w:pPr>
            <w:r w:rsidRPr="00AA461F">
              <w:t xml:space="preserve">Policy and/or technical advice to strengthen accountability in </w:t>
            </w:r>
            <w:r w:rsidR="00C12353">
              <w:t>the j</w:t>
            </w:r>
            <w:r w:rsidRPr="00AA461F">
              <w:t xml:space="preserve">ustice sector and </w:t>
            </w:r>
            <w:r w:rsidR="00C12353">
              <w:t>r</w:t>
            </w:r>
            <w:r w:rsidRPr="00AA461F">
              <w:t xml:space="preserve">estorative </w:t>
            </w:r>
            <w:r w:rsidR="00C12353">
              <w:t>j</w:t>
            </w:r>
            <w:r w:rsidRPr="00AA461F">
              <w:t>ustice</w:t>
            </w:r>
          </w:p>
        </w:tc>
        <w:tc>
          <w:tcPr>
            <w:tcW w:w="833" w:type="pct"/>
            <w:tcBorders>
              <w:top w:val="single" w:sz="4" w:space="0" w:color="auto"/>
              <w:left w:val="single" w:sz="4" w:space="0" w:color="auto"/>
              <w:bottom w:val="single" w:sz="4" w:space="0" w:color="auto"/>
              <w:right w:val="single" w:sz="4" w:space="0" w:color="auto"/>
            </w:tcBorders>
            <w:shd w:val="clear" w:color="auto" w:fill="F0DBD4"/>
          </w:tcPr>
          <w:p w14:paraId="513F69E7" w14:textId="5E70DFED" w:rsidR="005108FB" w:rsidRPr="00AA461F" w:rsidRDefault="005108FB" w:rsidP="00AA461F">
            <w:pPr>
              <w:pStyle w:val="TableBodyCopy"/>
            </w:pPr>
            <w:r w:rsidRPr="00AA461F">
              <w:t xml:space="preserve">Policy and/or technical advice to strengthen accountability in </w:t>
            </w:r>
            <w:r w:rsidR="00C12353">
              <w:t>the j</w:t>
            </w:r>
            <w:r w:rsidRPr="00AA461F">
              <w:t xml:space="preserve">ustice sector and </w:t>
            </w:r>
            <w:r w:rsidR="00C12353">
              <w:t>r</w:t>
            </w:r>
            <w:r w:rsidRPr="00AA461F">
              <w:t xml:space="preserve">estorative </w:t>
            </w:r>
            <w:r w:rsidR="00C12353">
              <w:t>j</w:t>
            </w:r>
            <w:r w:rsidRPr="00AA461F">
              <w:t>ustice</w:t>
            </w:r>
          </w:p>
        </w:tc>
        <w:tc>
          <w:tcPr>
            <w:tcW w:w="834" w:type="pct"/>
            <w:shd w:val="clear" w:color="auto" w:fill="F0DBD4"/>
          </w:tcPr>
          <w:p w14:paraId="08CE963E" w14:textId="0881A9F4" w:rsidR="005108FB" w:rsidRPr="00AA461F" w:rsidRDefault="00D77E66" w:rsidP="00AA461F">
            <w:pPr>
              <w:pStyle w:val="TableBodyCopy"/>
            </w:pPr>
            <w:r w:rsidRPr="00AA461F">
              <w:t>SDG</w:t>
            </w:r>
            <w:r w:rsidR="005108FB" w:rsidRPr="00AA461F">
              <w:t>16</w:t>
            </w:r>
          </w:p>
        </w:tc>
      </w:tr>
      <w:tr w:rsidR="00994F7D" w:rsidRPr="00FA2C26" w14:paraId="55AC3949" w14:textId="77777777" w:rsidTr="00D86CA2">
        <w:trPr>
          <w:trHeight w:val="544"/>
        </w:trPr>
        <w:tc>
          <w:tcPr>
            <w:tcW w:w="833" w:type="pct"/>
            <w:shd w:val="clear" w:color="auto" w:fill="F0DBD4"/>
          </w:tcPr>
          <w:p w14:paraId="16F64837" w14:textId="7161B52D" w:rsidR="00994F7D" w:rsidRPr="00994F7D" w:rsidRDefault="00994F7D" w:rsidP="00994F7D">
            <w:pPr>
              <w:pStyle w:val="TableBodyCopy"/>
              <w:rPr>
                <w:b/>
                <w:bCs/>
              </w:rPr>
            </w:pPr>
            <w:r w:rsidRPr="00994F7D">
              <w:rPr>
                <w:b/>
                <w:bCs/>
              </w:rPr>
              <w:t>Outcome 3.2</w:t>
            </w:r>
          </w:p>
          <w:p w14:paraId="25CD042F" w14:textId="37F049B4" w:rsidR="00994F7D" w:rsidRPr="00994F7D" w:rsidRDefault="00994F7D" w:rsidP="00994F7D">
            <w:pPr>
              <w:pStyle w:val="TableBodyCopy"/>
              <w:rPr>
                <w:b/>
                <w:bCs/>
              </w:rPr>
            </w:pPr>
            <w:r w:rsidRPr="00FA2C26">
              <w:t>Indonesia’s democracy is supported, through constructive engagement, policy dialogue and knowledge sharing across government, communities, civil society, research organisations and media</w:t>
            </w:r>
          </w:p>
        </w:tc>
        <w:tc>
          <w:tcPr>
            <w:tcW w:w="834" w:type="pct"/>
            <w:shd w:val="clear" w:color="auto" w:fill="F0DBD4"/>
          </w:tcPr>
          <w:p w14:paraId="452633AD" w14:textId="4B089C69" w:rsidR="00994F7D" w:rsidRPr="00AA461F" w:rsidRDefault="00994F7D" w:rsidP="00AA461F">
            <w:pPr>
              <w:pStyle w:val="TableBodyCopy"/>
            </w:pPr>
            <w:r w:rsidRPr="00AA461F">
              <w:t>3.2.1 Strengthened civil society participation in policy dialogue processes</w:t>
            </w:r>
          </w:p>
        </w:tc>
        <w:tc>
          <w:tcPr>
            <w:tcW w:w="833" w:type="pct"/>
            <w:tcBorders>
              <w:top w:val="single" w:sz="4" w:space="0" w:color="auto"/>
              <w:left w:val="single" w:sz="4" w:space="0" w:color="auto"/>
              <w:bottom w:val="single" w:sz="4" w:space="0" w:color="auto"/>
              <w:right w:val="single" w:sz="4" w:space="0" w:color="auto"/>
            </w:tcBorders>
            <w:shd w:val="clear" w:color="auto" w:fill="F0DBD4"/>
          </w:tcPr>
          <w:p w14:paraId="31869D46" w14:textId="2CB101EE" w:rsidR="00994F7D" w:rsidRPr="00AA461F" w:rsidRDefault="00994F7D" w:rsidP="00AA461F">
            <w:pPr>
              <w:pStyle w:val="TableBodyCopy"/>
            </w:pPr>
            <w:r w:rsidRPr="00AA461F">
              <w:t xml:space="preserve">Participation of CSOs in policy reform dialogue to develop inclusive national/subnational strategies and </w:t>
            </w:r>
            <w:proofErr w:type="gramStart"/>
            <w:r w:rsidRPr="00AA461F">
              <w:t>regulations</w:t>
            </w:r>
            <w:proofErr w:type="gramEnd"/>
          </w:p>
          <w:p w14:paraId="65993AF4" w14:textId="056325E5" w:rsidR="00994F7D" w:rsidRPr="00AA461F" w:rsidRDefault="00994F7D" w:rsidP="00AA461F">
            <w:pPr>
              <w:pStyle w:val="TableBodyCopy"/>
            </w:pPr>
            <w:r w:rsidRPr="00AA461F">
              <w:t>Strengthening CSOs’ knowledge capacity on planning and budgeting processes</w:t>
            </w:r>
          </w:p>
        </w:tc>
        <w:tc>
          <w:tcPr>
            <w:tcW w:w="834" w:type="pct"/>
            <w:tcBorders>
              <w:top w:val="single" w:sz="4" w:space="0" w:color="auto"/>
              <w:left w:val="single" w:sz="4" w:space="0" w:color="auto"/>
              <w:bottom w:val="single" w:sz="4" w:space="0" w:color="auto"/>
              <w:right w:val="single" w:sz="4" w:space="0" w:color="auto"/>
            </w:tcBorders>
            <w:shd w:val="clear" w:color="auto" w:fill="F0DBD4"/>
          </w:tcPr>
          <w:p w14:paraId="1760F46B" w14:textId="6212F10E" w:rsidR="00994F7D" w:rsidRPr="00AA461F" w:rsidRDefault="00994F7D" w:rsidP="00AA461F">
            <w:pPr>
              <w:pStyle w:val="TableBodyCopy"/>
            </w:pPr>
            <w:r w:rsidRPr="00AA461F">
              <w:t xml:space="preserve">Continued support for participation of CSOs in developing inclusive national/subnational strategies and </w:t>
            </w:r>
            <w:proofErr w:type="gramStart"/>
            <w:r w:rsidRPr="00AA461F">
              <w:t>regulations</w:t>
            </w:r>
            <w:proofErr w:type="gramEnd"/>
          </w:p>
          <w:p w14:paraId="42778AF1" w14:textId="09B36FBE" w:rsidR="00994F7D" w:rsidRPr="00AA461F" w:rsidRDefault="00994F7D" w:rsidP="00AA461F">
            <w:pPr>
              <w:pStyle w:val="TableBodyCopy"/>
            </w:pPr>
            <w:r w:rsidRPr="00AA461F">
              <w:t>Continued support to strengthen CSOs’ knowledge capacity on planning and budgeting processes</w:t>
            </w:r>
          </w:p>
        </w:tc>
        <w:tc>
          <w:tcPr>
            <w:tcW w:w="833" w:type="pct"/>
            <w:tcBorders>
              <w:top w:val="single" w:sz="4" w:space="0" w:color="auto"/>
              <w:left w:val="single" w:sz="4" w:space="0" w:color="auto"/>
              <w:bottom w:val="single" w:sz="4" w:space="0" w:color="auto"/>
              <w:right w:val="single" w:sz="4" w:space="0" w:color="auto"/>
            </w:tcBorders>
            <w:shd w:val="clear" w:color="auto" w:fill="F0DBD4"/>
          </w:tcPr>
          <w:p w14:paraId="35089CF8" w14:textId="09D3C83F" w:rsidR="00021BCD" w:rsidRPr="00AA461F" w:rsidRDefault="00994F7D" w:rsidP="00AA461F">
            <w:pPr>
              <w:pStyle w:val="TableBodyCopy"/>
            </w:pPr>
            <w:r w:rsidRPr="00AA461F">
              <w:t xml:space="preserve">Continued support for participation of CSOs in developing inclusive national/subnational strategies and </w:t>
            </w:r>
            <w:proofErr w:type="gramStart"/>
            <w:r w:rsidRPr="00AA461F">
              <w:t>regulations</w:t>
            </w:r>
            <w:proofErr w:type="gramEnd"/>
          </w:p>
          <w:p w14:paraId="6DA63944" w14:textId="00942AED" w:rsidR="00555A9E" w:rsidRPr="00AA461F" w:rsidRDefault="00455F88" w:rsidP="00021BCD">
            <w:pPr>
              <w:pStyle w:val="TableBodyCopy"/>
            </w:pPr>
            <w:r>
              <w:t xml:space="preserve">Continued support </w:t>
            </w:r>
            <w:r w:rsidR="00323842">
              <w:t xml:space="preserve">to </w:t>
            </w:r>
            <w:r w:rsidR="00555A9E" w:rsidRPr="00AA461F">
              <w:t>strengthen CSOs’ knowledge capacity on planning and budgeting processes</w:t>
            </w:r>
            <w:r w:rsidR="00323842">
              <w:t>.</w:t>
            </w:r>
          </w:p>
          <w:p w14:paraId="7F1A1364" w14:textId="77777777" w:rsidR="00994F7D" w:rsidRPr="00AA461F" w:rsidRDefault="00994F7D" w:rsidP="00AA461F">
            <w:pPr>
              <w:pStyle w:val="TableBodyCopy"/>
            </w:pPr>
          </w:p>
        </w:tc>
        <w:tc>
          <w:tcPr>
            <w:tcW w:w="834" w:type="pct"/>
            <w:shd w:val="clear" w:color="auto" w:fill="F0DBD4"/>
          </w:tcPr>
          <w:p w14:paraId="2666ED59" w14:textId="79CA5ADB" w:rsidR="00994F7D" w:rsidRPr="00AA461F" w:rsidRDefault="00D77E66" w:rsidP="00AA461F">
            <w:pPr>
              <w:pStyle w:val="TableBodyCopy"/>
            </w:pPr>
            <w:r w:rsidRPr="00AA461F">
              <w:t>SDG</w:t>
            </w:r>
            <w:r w:rsidR="00994F7D" w:rsidRPr="00AA461F">
              <w:t>16</w:t>
            </w:r>
            <w:r w:rsidR="00732282">
              <w:t xml:space="preserve">, </w:t>
            </w:r>
            <w:r w:rsidRPr="00AA461F">
              <w:t>SDG</w:t>
            </w:r>
            <w:r w:rsidR="00994F7D" w:rsidRPr="00AA461F">
              <w:t>17</w:t>
            </w:r>
            <w:r w:rsidRPr="00AA461F">
              <w:t>:</w:t>
            </w:r>
            <w:r w:rsidR="00994F7D" w:rsidRPr="00AA461F">
              <w:t xml:space="preserve"> Partnerships for the </w:t>
            </w:r>
            <w:r w:rsidRPr="00AA461F">
              <w:t>g</w:t>
            </w:r>
            <w:r w:rsidR="00994F7D" w:rsidRPr="00AA461F">
              <w:t>oals</w:t>
            </w:r>
          </w:p>
        </w:tc>
      </w:tr>
      <w:tr w:rsidR="00994F7D" w:rsidRPr="00FA2C26" w14:paraId="7C61079C" w14:textId="77777777" w:rsidTr="00D86CA2">
        <w:trPr>
          <w:trHeight w:val="544"/>
        </w:trPr>
        <w:tc>
          <w:tcPr>
            <w:tcW w:w="833" w:type="pct"/>
            <w:shd w:val="clear" w:color="auto" w:fill="F0DBD4"/>
          </w:tcPr>
          <w:p w14:paraId="721F7775" w14:textId="2EAD9D73" w:rsidR="00994F7D" w:rsidRPr="00AA461F" w:rsidRDefault="00994F7D" w:rsidP="00AA461F">
            <w:pPr>
              <w:pStyle w:val="TableBodyCopy"/>
              <w:rPr>
                <w:rFonts w:cstheme="majorHAnsi"/>
                <w:b/>
                <w:bCs/>
                <w:i/>
                <w:iCs/>
              </w:rPr>
            </w:pPr>
            <w:r w:rsidRPr="00AA461F">
              <w:rPr>
                <w:b/>
                <w:bCs/>
              </w:rPr>
              <w:t>Outcome 3.2</w:t>
            </w:r>
          </w:p>
        </w:tc>
        <w:tc>
          <w:tcPr>
            <w:tcW w:w="834" w:type="pct"/>
            <w:shd w:val="clear" w:color="auto" w:fill="F0DBD4"/>
          </w:tcPr>
          <w:p w14:paraId="3C36B373" w14:textId="4687BDEE" w:rsidR="00994F7D" w:rsidRPr="00FA2C26" w:rsidRDefault="00994F7D" w:rsidP="00AA461F">
            <w:pPr>
              <w:pStyle w:val="TableBodyCopy"/>
            </w:pPr>
            <w:r w:rsidRPr="00FA2C26">
              <w:t>3.2.2 Number of knowledge partnerships established and strengthened to address development challenges</w:t>
            </w:r>
          </w:p>
        </w:tc>
        <w:tc>
          <w:tcPr>
            <w:tcW w:w="833" w:type="pct"/>
            <w:tcBorders>
              <w:top w:val="single" w:sz="4" w:space="0" w:color="auto"/>
              <w:left w:val="single" w:sz="4" w:space="0" w:color="auto"/>
              <w:bottom w:val="single" w:sz="4" w:space="0" w:color="auto"/>
              <w:right w:val="single" w:sz="4" w:space="0" w:color="auto"/>
            </w:tcBorders>
            <w:shd w:val="clear" w:color="auto" w:fill="F0DBD4"/>
          </w:tcPr>
          <w:p w14:paraId="198F04A4" w14:textId="630C748C" w:rsidR="00994F7D" w:rsidRPr="00FA2C26" w:rsidRDefault="00994F7D" w:rsidP="00AA461F">
            <w:pPr>
              <w:pStyle w:val="TableBodyCopy"/>
              <w:rPr>
                <w:lang w:val="en-US"/>
              </w:rPr>
            </w:pPr>
            <w:r w:rsidRPr="00FA2C26">
              <w:t>At least 40</w:t>
            </w:r>
            <w:r w:rsidR="00306703">
              <w:t> </w:t>
            </w:r>
            <w:r w:rsidRPr="00FA2C26">
              <w:t>new partnerships</w:t>
            </w:r>
          </w:p>
        </w:tc>
        <w:tc>
          <w:tcPr>
            <w:tcW w:w="834" w:type="pct"/>
            <w:tcBorders>
              <w:top w:val="single" w:sz="4" w:space="0" w:color="auto"/>
              <w:left w:val="single" w:sz="4" w:space="0" w:color="auto"/>
              <w:bottom w:val="single" w:sz="4" w:space="0" w:color="auto"/>
              <w:right w:val="single" w:sz="4" w:space="0" w:color="auto"/>
            </w:tcBorders>
            <w:shd w:val="clear" w:color="auto" w:fill="F0DBD4"/>
          </w:tcPr>
          <w:p w14:paraId="4A6C8922" w14:textId="66EA4DBB" w:rsidR="00994F7D" w:rsidRPr="00FA2C26" w:rsidRDefault="00994F7D" w:rsidP="00AA461F">
            <w:pPr>
              <w:pStyle w:val="TableBodyCopy"/>
            </w:pPr>
            <w:r w:rsidRPr="00AD2A94">
              <w:t xml:space="preserve">At least 10 new </w:t>
            </w:r>
            <w:proofErr w:type="spellStart"/>
            <w:r w:rsidRPr="00AD2A94">
              <w:t>partnerships</w:t>
            </w:r>
            <w:hyperlink w:anchor="Tn3d" w:history="1">
              <w:r w:rsidR="00E55FDF" w:rsidRPr="007C499F">
                <w:rPr>
                  <w:rStyle w:val="Hyperlink"/>
                  <w:vertAlign w:val="superscript"/>
                </w:rPr>
                <w:t>d</w:t>
              </w:r>
              <w:proofErr w:type="spellEnd"/>
            </w:hyperlink>
          </w:p>
          <w:p w14:paraId="1EB1D475" w14:textId="77777777" w:rsidR="00994F7D" w:rsidRPr="00FA2C26" w:rsidRDefault="00994F7D" w:rsidP="00AA461F">
            <w:pPr>
              <w:pStyle w:val="TableBodyCopy"/>
              <w:rPr>
                <w:lang w:val="en-US"/>
              </w:rPr>
            </w:pPr>
          </w:p>
        </w:tc>
        <w:tc>
          <w:tcPr>
            <w:tcW w:w="833" w:type="pct"/>
            <w:tcBorders>
              <w:top w:val="single" w:sz="4" w:space="0" w:color="auto"/>
              <w:left w:val="single" w:sz="4" w:space="0" w:color="auto"/>
              <w:bottom w:val="single" w:sz="4" w:space="0" w:color="auto"/>
              <w:right w:val="single" w:sz="4" w:space="0" w:color="auto"/>
            </w:tcBorders>
            <w:shd w:val="clear" w:color="auto" w:fill="F0DBD4"/>
          </w:tcPr>
          <w:p w14:paraId="27304DEB" w14:textId="4FD116F2" w:rsidR="00994F7D" w:rsidRPr="00FA2C26" w:rsidRDefault="00994F7D" w:rsidP="00AA461F">
            <w:pPr>
              <w:pStyle w:val="TableBodyCopy"/>
              <w:rPr>
                <w:lang w:val="en-US"/>
              </w:rPr>
            </w:pPr>
            <w:r w:rsidRPr="00FA2C26">
              <w:t xml:space="preserve">At least 2 new </w:t>
            </w:r>
            <w:proofErr w:type="spellStart"/>
            <w:r w:rsidRPr="00FA2C26">
              <w:t>partnerships</w:t>
            </w:r>
            <w:hyperlink w:anchor="Tn3e" w:history="1">
              <w:r w:rsidR="00E55FDF" w:rsidRPr="00CF5050">
                <w:rPr>
                  <w:rStyle w:val="Hyperlink"/>
                  <w:vertAlign w:val="superscript"/>
                </w:rPr>
                <w:t>e</w:t>
              </w:r>
              <w:proofErr w:type="spellEnd"/>
            </w:hyperlink>
          </w:p>
        </w:tc>
        <w:tc>
          <w:tcPr>
            <w:tcW w:w="834" w:type="pct"/>
            <w:shd w:val="clear" w:color="auto" w:fill="F0DBD4"/>
          </w:tcPr>
          <w:p w14:paraId="0329F9CE" w14:textId="3BAE6AA5" w:rsidR="00994F7D" w:rsidRPr="00FA2C26" w:rsidRDefault="00D77E66" w:rsidP="00AA461F">
            <w:pPr>
              <w:pStyle w:val="TableBodyCopy"/>
            </w:pPr>
            <w:r>
              <w:t>SDG</w:t>
            </w:r>
            <w:r w:rsidR="00994F7D" w:rsidRPr="00FA2C26">
              <w:t>17</w:t>
            </w:r>
          </w:p>
        </w:tc>
      </w:tr>
      <w:tr w:rsidR="00994F7D" w:rsidRPr="00FA2C26" w14:paraId="56BC1A29" w14:textId="77777777" w:rsidTr="00CF5050">
        <w:trPr>
          <w:cantSplit/>
          <w:trHeight w:val="544"/>
        </w:trPr>
        <w:tc>
          <w:tcPr>
            <w:tcW w:w="0" w:type="pct"/>
            <w:shd w:val="clear" w:color="auto" w:fill="F0DBD4"/>
          </w:tcPr>
          <w:p w14:paraId="78C32D64" w14:textId="21C77E95" w:rsidR="00994F7D" w:rsidRPr="00AA461F" w:rsidRDefault="00994F7D" w:rsidP="00AA461F">
            <w:pPr>
              <w:pStyle w:val="TableBodyCopy"/>
              <w:rPr>
                <w:b/>
                <w:bCs/>
              </w:rPr>
            </w:pPr>
            <w:r w:rsidRPr="00AA461F">
              <w:rPr>
                <w:b/>
                <w:bCs/>
              </w:rPr>
              <w:t>Outcome 3.2</w:t>
            </w:r>
          </w:p>
        </w:tc>
        <w:tc>
          <w:tcPr>
            <w:tcW w:w="0" w:type="pct"/>
            <w:shd w:val="clear" w:color="auto" w:fill="F0DBD4"/>
          </w:tcPr>
          <w:p w14:paraId="72B151C8" w14:textId="60ADD26E" w:rsidR="00994F7D" w:rsidRPr="00FA2C26" w:rsidRDefault="00994F7D" w:rsidP="00AA461F">
            <w:pPr>
              <w:pStyle w:val="TableBodyCopy"/>
            </w:pPr>
            <w:r w:rsidRPr="00FA2C26">
              <w:t>3.2.3 Policy and technical advice to strengthen Indonesia’s democracy</w:t>
            </w:r>
          </w:p>
        </w:tc>
        <w:tc>
          <w:tcPr>
            <w:tcW w:w="0" w:type="pct"/>
            <w:tcBorders>
              <w:top w:val="single" w:sz="4" w:space="0" w:color="auto"/>
              <w:left w:val="single" w:sz="4" w:space="0" w:color="auto"/>
              <w:bottom w:val="single" w:sz="4" w:space="0" w:color="auto"/>
              <w:right w:val="single" w:sz="4" w:space="0" w:color="auto"/>
            </w:tcBorders>
            <w:shd w:val="clear" w:color="auto" w:fill="F0DBD4"/>
          </w:tcPr>
          <w:p w14:paraId="179B5A9F" w14:textId="61D0479D" w:rsidR="00994F7D" w:rsidRPr="00FA2C26" w:rsidRDefault="00994F7D" w:rsidP="00AA461F">
            <w:pPr>
              <w:pStyle w:val="TableBodyCopy"/>
            </w:pPr>
            <w:r w:rsidRPr="00FA2C26">
              <w:t>Policy and/or technical advice to strengthen policies in the area</w:t>
            </w:r>
            <w:r w:rsidR="00DE0ED3">
              <w:t>s</w:t>
            </w:r>
            <w:r w:rsidRPr="00FA2C26">
              <w:t xml:space="preserve"> of information technology, </w:t>
            </w:r>
            <w:proofErr w:type="gramStart"/>
            <w:r w:rsidRPr="00FA2C26">
              <w:t>elections</w:t>
            </w:r>
            <w:proofErr w:type="gramEnd"/>
            <w:r w:rsidRPr="00FA2C26">
              <w:t xml:space="preserve"> or disabilities regulations in targeted provinces</w:t>
            </w:r>
          </w:p>
        </w:tc>
        <w:tc>
          <w:tcPr>
            <w:tcW w:w="0" w:type="pct"/>
            <w:tcBorders>
              <w:top w:val="single" w:sz="4" w:space="0" w:color="auto"/>
              <w:left w:val="single" w:sz="4" w:space="0" w:color="auto"/>
              <w:bottom w:val="single" w:sz="4" w:space="0" w:color="auto"/>
              <w:right w:val="single" w:sz="4" w:space="0" w:color="auto"/>
            </w:tcBorders>
            <w:shd w:val="clear" w:color="auto" w:fill="F0DBD4"/>
          </w:tcPr>
          <w:p w14:paraId="3DF04E11" w14:textId="2FB5ACE8" w:rsidR="00994F7D" w:rsidRPr="00FA2C26" w:rsidRDefault="00994F7D" w:rsidP="00444048">
            <w:pPr>
              <w:pStyle w:val="TableBodyCopy"/>
            </w:pPr>
            <w:r w:rsidRPr="00FA2C26">
              <w:rPr>
                <w:kern w:val="2"/>
                <w14:ligatures w14:val="standardContextual"/>
              </w:rPr>
              <w:t xml:space="preserve">Policy and/or technical advice </w:t>
            </w:r>
            <w:r w:rsidRPr="00FA2C26">
              <w:t>to strengthen policies in the area</w:t>
            </w:r>
            <w:r w:rsidR="00DE0ED3">
              <w:t>s</w:t>
            </w:r>
            <w:r w:rsidRPr="00FA2C26">
              <w:t xml:space="preserve"> of</w:t>
            </w:r>
            <w:r w:rsidR="00546529">
              <w:t xml:space="preserve"> information </w:t>
            </w:r>
            <w:r w:rsidR="00B925E6">
              <w:t xml:space="preserve">technology, </w:t>
            </w:r>
            <w:proofErr w:type="gramStart"/>
            <w:r w:rsidR="00B925E6">
              <w:t>elections</w:t>
            </w:r>
            <w:proofErr w:type="gramEnd"/>
            <w:r w:rsidR="004D6542">
              <w:t xml:space="preserve"> or access to justice</w:t>
            </w:r>
          </w:p>
        </w:tc>
        <w:tc>
          <w:tcPr>
            <w:tcW w:w="0" w:type="pct"/>
            <w:tcBorders>
              <w:top w:val="single" w:sz="4" w:space="0" w:color="auto"/>
              <w:left w:val="single" w:sz="4" w:space="0" w:color="auto"/>
              <w:bottom w:val="single" w:sz="4" w:space="0" w:color="auto"/>
              <w:right w:val="single" w:sz="4" w:space="0" w:color="auto"/>
            </w:tcBorders>
            <w:shd w:val="clear" w:color="auto" w:fill="F0DBD4"/>
          </w:tcPr>
          <w:p w14:paraId="46EFC6E1" w14:textId="24FD9947" w:rsidR="00994F7D" w:rsidRPr="00FA2C26" w:rsidRDefault="00994F7D" w:rsidP="00444048">
            <w:pPr>
              <w:pStyle w:val="TableBodyCopy"/>
            </w:pPr>
            <w:r w:rsidRPr="00FA2C26">
              <w:rPr>
                <w:kern w:val="2"/>
                <w14:ligatures w14:val="standardContextual"/>
              </w:rPr>
              <w:t xml:space="preserve">Policy and/or technical advice </w:t>
            </w:r>
            <w:r w:rsidRPr="00FA2C26">
              <w:t>to strengthen policies in the area</w:t>
            </w:r>
            <w:r w:rsidR="00644BD9">
              <w:t>s</w:t>
            </w:r>
            <w:r w:rsidRPr="00FA2C26">
              <w:t xml:space="preserve"> of</w:t>
            </w:r>
            <w:r w:rsidR="0099662C">
              <w:t xml:space="preserve"> information technology, </w:t>
            </w:r>
            <w:proofErr w:type="gramStart"/>
            <w:r w:rsidR="0099662C">
              <w:t>elections</w:t>
            </w:r>
            <w:proofErr w:type="gramEnd"/>
            <w:r w:rsidR="003D102D">
              <w:t xml:space="preserve"> or access to justice</w:t>
            </w:r>
          </w:p>
        </w:tc>
        <w:tc>
          <w:tcPr>
            <w:tcW w:w="0" w:type="pct"/>
            <w:shd w:val="clear" w:color="auto" w:fill="F0DBD4"/>
          </w:tcPr>
          <w:p w14:paraId="77AD845F" w14:textId="5953B949" w:rsidR="00994F7D" w:rsidRPr="00FA2C26" w:rsidRDefault="00D77E66" w:rsidP="00AA461F">
            <w:pPr>
              <w:pStyle w:val="TableBodyCopy"/>
            </w:pPr>
            <w:r>
              <w:t>SDG</w:t>
            </w:r>
            <w:r w:rsidR="00994F7D" w:rsidRPr="00FA2C26">
              <w:t>16</w:t>
            </w:r>
          </w:p>
        </w:tc>
      </w:tr>
      <w:tr w:rsidR="00994F7D" w:rsidRPr="00FA2C26" w14:paraId="66E837F7" w14:textId="77777777" w:rsidTr="00D86CA2">
        <w:trPr>
          <w:trHeight w:val="544"/>
        </w:trPr>
        <w:tc>
          <w:tcPr>
            <w:tcW w:w="833" w:type="pct"/>
            <w:shd w:val="clear" w:color="auto" w:fill="F0DBD4"/>
          </w:tcPr>
          <w:p w14:paraId="6F784821" w14:textId="14B1D542" w:rsidR="00994F7D" w:rsidRPr="00AA461F" w:rsidRDefault="00994F7D" w:rsidP="00AA461F">
            <w:pPr>
              <w:pStyle w:val="TableBodyCopy"/>
              <w:rPr>
                <w:b/>
                <w:bCs/>
              </w:rPr>
            </w:pPr>
            <w:r w:rsidRPr="00AA461F">
              <w:rPr>
                <w:b/>
                <w:bCs/>
              </w:rPr>
              <w:lastRenderedPageBreak/>
              <w:t>Outcome 3.2</w:t>
            </w:r>
          </w:p>
        </w:tc>
        <w:tc>
          <w:tcPr>
            <w:tcW w:w="834" w:type="pct"/>
            <w:shd w:val="clear" w:color="auto" w:fill="F0DBD4"/>
          </w:tcPr>
          <w:p w14:paraId="747416AB" w14:textId="3C945E81" w:rsidR="00994F7D" w:rsidRPr="00FA2C26" w:rsidRDefault="00994F7D" w:rsidP="00AA461F">
            <w:pPr>
              <w:pStyle w:val="TableBodyCopy"/>
              <w:rPr>
                <w:rFonts w:cstheme="majorHAnsi"/>
              </w:rPr>
            </w:pPr>
            <w:r w:rsidRPr="00FA2C26">
              <w:rPr>
                <w:rFonts w:cstheme="majorHAnsi"/>
              </w:rPr>
              <w:t xml:space="preserve">3.2.4 Number of civil society organisations </w:t>
            </w:r>
            <w:r w:rsidR="00F46105">
              <w:rPr>
                <w:rFonts w:cstheme="majorHAnsi"/>
              </w:rPr>
              <w:t xml:space="preserve">(CSOs) </w:t>
            </w:r>
            <w:r w:rsidRPr="00FA2C26">
              <w:rPr>
                <w:rFonts w:cstheme="majorHAnsi"/>
              </w:rPr>
              <w:t xml:space="preserve">supported to contribute </w:t>
            </w:r>
            <w:proofErr w:type="gramStart"/>
            <w:r w:rsidRPr="00FA2C26">
              <w:rPr>
                <w:rFonts w:cstheme="majorHAnsi"/>
              </w:rPr>
              <w:t>in</w:t>
            </w:r>
            <w:proofErr w:type="gramEnd"/>
            <w:r w:rsidRPr="00FA2C26">
              <w:rPr>
                <w:rFonts w:cstheme="majorHAnsi"/>
              </w:rPr>
              <w:t xml:space="preserve"> policy reforms</w:t>
            </w:r>
          </w:p>
        </w:tc>
        <w:tc>
          <w:tcPr>
            <w:tcW w:w="833" w:type="pct"/>
            <w:tcBorders>
              <w:top w:val="single" w:sz="4" w:space="0" w:color="auto"/>
              <w:left w:val="single" w:sz="4" w:space="0" w:color="auto"/>
              <w:bottom w:val="single" w:sz="4" w:space="0" w:color="auto"/>
              <w:right w:val="single" w:sz="4" w:space="0" w:color="auto"/>
            </w:tcBorders>
            <w:shd w:val="clear" w:color="auto" w:fill="F0DBD4"/>
          </w:tcPr>
          <w:p w14:paraId="2496818E" w14:textId="7A0701FF" w:rsidR="00994F7D" w:rsidRPr="00FA2C26" w:rsidRDefault="00994F7D" w:rsidP="00AA461F">
            <w:pPr>
              <w:pStyle w:val="TableBodyCopy"/>
              <w:rPr>
                <w:rFonts w:asciiTheme="majorHAnsi" w:hAnsiTheme="majorHAnsi" w:cstheme="majorHAnsi"/>
                <w:kern w:val="2"/>
                <w:sz w:val="22"/>
                <w:szCs w:val="22"/>
                <w14:ligatures w14:val="standardContextual"/>
              </w:rPr>
            </w:pPr>
            <w:r w:rsidRPr="00FA2C26">
              <w:rPr>
                <w:rFonts w:cstheme="majorHAnsi"/>
              </w:rPr>
              <w:t xml:space="preserve">120 </w:t>
            </w:r>
            <w:r w:rsidR="00F46105">
              <w:rPr>
                <w:rFonts w:cstheme="majorHAnsi"/>
              </w:rPr>
              <w:t>CSOs</w:t>
            </w:r>
          </w:p>
        </w:tc>
        <w:tc>
          <w:tcPr>
            <w:tcW w:w="834" w:type="pct"/>
            <w:tcBorders>
              <w:top w:val="single" w:sz="4" w:space="0" w:color="auto"/>
              <w:left w:val="single" w:sz="4" w:space="0" w:color="auto"/>
              <w:bottom w:val="single" w:sz="4" w:space="0" w:color="auto"/>
              <w:right w:val="single" w:sz="4" w:space="0" w:color="auto"/>
            </w:tcBorders>
            <w:shd w:val="clear" w:color="auto" w:fill="F0DBD4"/>
          </w:tcPr>
          <w:p w14:paraId="3CF4D990" w14:textId="4647DB9F" w:rsidR="00994F7D" w:rsidRPr="00FA2C26" w:rsidRDefault="00994F7D" w:rsidP="00AA461F">
            <w:pPr>
              <w:pStyle w:val="TableBodyCopy"/>
              <w:rPr>
                <w:rFonts w:cstheme="majorHAnsi"/>
                <w:kern w:val="2"/>
                <w14:ligatures w14:val="standardContextual"/>
              </w:rPr>
            </w:pPr>
            <w:r w:rsidRPr="00FA2C26">
              <w:rPr>
                <w:rFonts w:cstheme="majorHAnsi"/>
              </w:rPr>
              <w:t xml:space="preserve">125 </w:t>
            </w:r>
            <w:r w:rsidR="00F46105">
              <w:rPr>
                <w:rFonts w:cstheme="majorHAnsi"/>
              </w:rPr>
              <w:t>CSOs</w:t>
            </w:r>
          </w:p>
        </w:tc>
        <w:tc>
          <w:tcPr>
            <w:tcW w:w="833" w:type="pct"/>
            <w:tcBorders>
              <w:top w:val="single" w:sz="4" w:space="0" w:color="auto"/>
              <w:left w:val="single" w:sz="4" w:space="0" w:color="auto"/>
              <w:bottom w:val="single" w:sz="4" w:space="0" w:color="auto"/>
              <w:right w:val="single" w:sz="4" w:space="0" w:color="auto"/>
            </w:tcBorders>
            <w:shd w:val="clear" w:color="auto" w:fill="F0DBD4"/>
          </w:tcPr>
          <w:p w14:paraId="184B2CE7" w14:textId="4DC132DC" w:rsidR="00994F7D" w:rsidRPr="00FA2C26" w:rsidRDefault="00994F7D" w:rsidP="00AA461F">
            <w:pPr>
              <w:pStyle w:val="TableBodyCopy"/>
              <w:rPr>
                <w:rFonts w:cstheme="majorHAnsi"/>
                <w:kern w:val="2"/>
                <w14:ligatures w14:val="standardContextual"/>
              </w:rPr>
            </w:pPr>
            <w:r w:rsidRPr="00FA2C26">
              <w:rPr>
                <w:rFonts w:cstheme="majorHAnsi"/>
              </w:rPr>
              <w:t xml:space="preserve">130 </w:t>
            </w:r>
            <w:r w:rsidR="00F46105">
              <w:rPr>
                <w:rFonts w:cstheme="majorHAnsi"/>
              </w:rPr>
              <w:t>CSOs</w:t>
            </w:r>
          </w:p>
        </w:tc>
        <w:tc>
          <w:tcPr>
            <w:tcW w:w="834" w:type="pct"/>
            <w:shd w:val="clear" w:color="auto" w:fill="F0DBD4"/>
          </w:tcPr>
          <w:p w14:paraId="17064741" w14:textId="456F0E00" w:rsidR="00994F7D" w:rsidRPr="00FA2C26" w:rsidRDefault="00D77E66" w:rsidP="00AA461F">
            <w:pPr>
              <w:pStyle w:val="TableBodyCopy"/>
              <w:rPr>
                <w:rFonts w:cstheme="majorHAnsi"/>
              </w:rPr>
            </w:pPr>
            <w:r>
              <w:rPr>
                <w:rFonts w:cstheme="majorHAnsi"/>
              </w:rPr>
              <w:t>SDG</w:t>
            </w:r>
            <w:r w:rsidR="00994F7D" w:rsidRPr="00FA2C26">
              <w:rPr>
                <w:rFonts w:cstheme="majorHAnsi"/>
              </w:rPr>
              <w:t>17</w:t>
            </w:r>
          </w:p>
        </w:tc>
      </w:tr>
      <w:tr w:rsidR="00994F7D" w:rsidRPr="00FA2C26" w14:paraId="1CC502A2" w14:textId="77777777" w:rsidTr="00D86CA2">
        <w:trPr>
          <w:trHeight w:val="544"/>
        </w:trPr>
        <w:tc>
          <w:tcPr>
            <w:tcW w:w="833" w:type="pct"/>
            <w:shd w:val="clear" w:color="auto" w:fill="F0DBD4"/>
          </w:tcPr>
          <w:p w14:paraId="35883B78" w14:textId="5079003F" w:rsidR="00994F7D" w:rsidRPr="00AA461F" w:rsidRDefault="00994F7D" w:rsidP="00AA461F">
            <w:pPr>
              <w:pStyle w:val="TableBodyCopy"/>
              <w:rPr>
                <w:b/>
                <w:bCs/>
              </w:rPr>
            </w:pPr>
            <w:r w:rsidRPr="00AA461F">
              <w:rPr>
                <w:b/>
                <w:bCs/>
              </w:rPr>
              <w:t>Outcome 3.3</w:t>
            </w:r>
          </w:p>
          <w:p w14:paraId="773CA97D" w14:textId="465E2D5B" w:rsidR="00994F7D" w:rsidRPr="00994F7D" w:rsidRDefault="00994F7D" w:rsidP="00AA461F">
            <w:pPr>
              <w:pStyle w:val="TableBodyCopy"/>
            </w:pPr>
            <w:r w:rsidRPr="00FA2C26">
              <w:t>Institutional links between Australian and Indonesian public sector institutions are stronger and continuing to grow</w:t>
            </w:r>
          </w:p>
        </w:tc>
        <w:tc>
          <w:tcPr>
            <w:tcW w:w="834" w:type="pct"/>
            <w:shd w:val="clear" w:color="auto" w:fill="F0DBD4"/>
          </w:tcPr>
          <w:p w14:paraId="6D3F234F" w14:textId="0EF14F11" w:rsidR="00994F7D" w:rsidRPr="00FA2C26" w:rsidRDefault="00994F7D" w:rsidP="00AA461F">
            <w:pPr>
              <w:pStyle w:val="TableBodyCopy"/>
              <w:rPr>
                <w:rFonts w:cstheme="majorHAnsi"/>
              </w:rPr>
            </w:pPr>
            <w:r w:rsidRPr="00FA2C26">
              <w:rPr>
                <w:rFonts w:cstheme="majorHAnsi"/>
              </w:rPr>
              <w:t xml:space="preserve">3.3.1 Number of engagements demonstrating Australian and Indonesian public sector institution linkages </w:t>
            </w:r>
          </w:p>
        </w:tc>
        <w:tc>
          <w:tcPr>
            <w:tcW w:w="833" w:type="pct"/>
            <w:tcBorders>
              <w:top w:val="single" w:sz="4" w:space="0" w:color="auto"/>
              <w:left w:val="single" w:sz="4" w:space="0" w:color="auto"/>
              <w:bottom w:val="single" w:sz="4" w:space="0" w:color="auto"/>
              <w:right w:val="single" w:sz="4" w:space="0" w:color="auto"/>
            </w:tcBorders>
            <w:shd w:val="clear" w:color="auto" w:fill="F0DBD4"/>
          </w:tcPr>
          <w:p w14:paraId="2A3A7421" w14:textId="4D0B6074" w:rsidR="00994F7D" w:rsidRPr="00FA2C26" w:rsidRDefault="00994F7D" w:rsidP="00AA461F">
            <w:pPr>
              <w:pStyle w:val="TableBodyCopy"/>
              <w:rPr>
                <w:rFonts w:cstheme="majorHAnsi"/>
              </w:rPr>
            </w:pPr>
            <w:r w:rsidRPr="00FA2C26">
              <w:rPr>
                <w:rFonts w:cstheme="majorHAnsi"/>
              </w:rPr>
              <w:t>At least 10</w:t>
            </w:r>
            <w:r w:rsidR="00F46105">
              <w:rPr>
                <w:rFonts w:cstheme="majorHAnsi"/>
              </w:rPr>
              <w:t> </w:t>
            </w:r>
            <w:r w:rsidRPr="00FA2C26">
              <w:rPr>
                <w:rFonts w:cstheme="majorHAnsi"/>
              </w:rPr>
              <w:t>engagements</w:t>
            </w:r>
          </w:p>
        </w:tc>
        <w:tc>
          <w:tcPr>
            <w:tcW w:w="834" w:type="pct"/>
            <w:tcBorders>
              <w:top w:val="single" w:sz="4" w:space="0" w:color="auto"/>
              <w:left w:val="single" w:sz="4" w:space="0" w:color="auto"/>
              <w:bottom w:val="single" w:sz="4" w:space="0" w:color="auto"/>
              <w:right w:val="single" w:sz="4" w:space="0" w:color="auto"/>
            </w:tcBorders>
            <w:shd w:val="clear" w:color="auto" w:fill="F0DBD4"/>
          </w:tcPr>
          <w:p w14:paraId="1F85D528" w14:textId="38111FB5" w:rsidR="00994F7D" w:rsidRPr="00FA2C26" w:rsidRDefault="00994F7D" w:rsidP="00AA461F">
            <w:pPr>
              <w:pStyle w:val="TableBodyCopy"/>
              <w:rPr>
                <w:rFonts w:cstheme="majorHAnsi"/>
              </w:rPr>
            </w:pPr>
            <w:r w:rsidRPr="00FA2C26">
              <w:rPr>
                <w:rFonts w:cstheme="majorHAnsi"/>
              </w:rPr>
              <w:t>At least 12</w:t>
            </w:r>
            <w:r w:rsidR="00F46105">
              <w:rPr>
                <w:rFonts w:cstheme="majorHAnsi"/>
              </w:rPr>
              <w:t> </w:t>
            </w:r>
            <w:r w:rsidRPr="00FA2C26">
              <w:rPr>
                <w:rFonts w:cstheme="majorHAnsi"/>
              </w:rPr>
              <w:t>engagements</w:t>
            </w:r>
          </w:p>
        </w:tc>
        <w:tc>
          <w:tcPr>
            <w:tcW w:w="833" w:type="pct"/>
            <w:tcBorders>
              <w:top w:val="single" w:sz="4" w:space="0" w:color="auto"/>
              <w:left w:val="single" w:sz="4" w:space="0" w:color="auto"/>
              <w:bottom w:val="single" w:sz="4" w:space="0" w:color="auto"/>
              <w:right w:val="single" w:sz="4" w:space="0" w:color="auto"/>
            </w:tcBorders>
            <w:shd w:val="clear" w:color="auto" w:fill="F0DBD4"/>
          </w:tcPr>
          <w:p w14:paraId="6C4F17BA" w14:textId="2E7CDCF1" w:rsidR="00994F7D" w:rsidRPr="00FA2C26" w:rsidRDefault="00994F7D" w:rsidP="00AA461F">
            <w:pPr>
              <w:pStyle w:val="TableBodyCopy"/>
              <w:rPr>
                <w:rFonts w:cstheme="majorHAnsi"/>
              </w:rPr>
            </w:pPr>
            <w:r w:rsidRPr="00FA2C26">
              <w:rPr>
                <w:rFonts w:cstheme="majorHAnsi"/>
              </w:rPr>
              <w:t>At least 15</w:t>
            </w:r>
            <w:r w:rsidR="00F46105">
              <w:rPr>
                <w:rFonts w:cstheme="majorHAnsi"/>
              </w:rPr>
              <w:t> </w:t>
            </w:r>
            <w:r w:rsidRPr="00FA2C26">
              <w:rPr>
                <w:rFonts w:cstheme="majorHAnsi"/>
              </w:rPr>
              <w:t>engagements</w:t>
            </w:r>
          </w:p>
        </w:tc>
        <w:tc>
          <w:tcPr>
            <w:tcW w:w="834" w:type="pct"/>
            <w:shd w:val="clear" w:color="auto" w:fill="F0DBD4"/>
          </w:tcPr>
          <w:p w14:paraId="314E1D41" w14:textId="3354F4FC" w:rsidR="00994F7D" w:rsidRPr="00FA2C26" w:rsidRDefault="00D77E66" w:rsidP="00AA461F">
            <w:pPr>
              <w:pStyle w:val="TableBodyCopy"/>
              <w:rPr>
                <w:rFonts w:cstheme="majorHAnsi"/>
              </w:rPr>
            </w:pPr>
            <w:r>
              <w:rPr>
                <w:rFonts w:cstheme="majorHAnsi"/>
              </w:rPr>
              <w:t>SDG</w:t>
            </w:r>
            <w:r w:rsidR="00994F7D" w:rsidRPr="00FA2C26">
              <w:rPr>
                <w:rFonts w:cstheme="majorHAnsi"/>
              </w:rPr>
              <w:t>17</w:t>
            </w:r>
          </w:p>
        </w:tc>
      </w:tr>
      <w:tr w:rsidR="00994F7D" w:rsidRPr="00FA2C26" w14:paraId="4B6496E8" w14:textId="77777777" w:rsidTr="00D86CA2">
        <w:trPr>
          <w:trHeight w:val="544"/>
        </w:trPr>
        <w:tc>
          <w:tcPr>
            <w:tcW w:w="833" w:type="pct"/>
            <w:shd w:val="clear" w:color="auto" w:fill="F0DBD4"/>
          </w:tcPr>
          <w:p w14:paraId="462FAD3D" w14:textId="24A14B8D" w:rsidR="00994F7D" w:rsidRPr="00AA461F" w:rsidRDefault="00994F7D" w:rsidP="00AA461F">
            <w:pPr>
              <w:pStyle w:val="TableBodyCopy"/>
              <w:rPr>
                <w:b/>
                <w:bCs/>
              </w:rPr>
            </w:pPr>
            <w:r w:rsidRPr="00AA461F">
              <w:rPr>
                <w:b/>
                <w:bCs/>
              </w:rPr>
              <w:t>Outcome 3.3</w:t>
            </w:r>
          </w:p>
        </w:tc>
        <w:tc>
          <w:tcPr>
            <w:tcW w:w="834" w:type="pct"/>
            <w:shd w:val="clear" w:color="auto" w:fill="F0DBD4"/>
          </w:tcPr>
          <w:p w14:paraId="2E15E17E" w14:textId="1CAAF00E" w:rsidR="00994F7D" w:rsidRPr="00FA2C26" w:rsidRDefault="00994F7D" w:rsidP="00AA461F">
            <w:pPr>
              <w:pStyle w:val="TableBodyCopy"/>
              <w:rPr>
                <w:rFonts w:cstheme="majorHAnsi"/>
              </w:rPr>
            </w:pPr>
            <w:r w:rsidRPr="00FA2C26">
              <w:rPr>
                <w:rFonts w:cstheme="majorHAnsi"/>
              </w:rPr>
              <w:t>3.3.2 Strengthened institutional capacity as the result of Australian and Indonesian institutional linkages</w:t>
            </w:r>
          </w:p>
        </w:tc>
        <w:tc>
          <w:tcPr>
            <w:tcW w:w="833" w:type="pct"/>
            <w:tcBorders>
              <w:top w:val="single" w:sz="4" w:space="0" w:color="auto"/>
              <w:left w:val="single" w:sz="4" w:space="0" w:color="auto"/>
              <w:bottom w:val="single" w:sz="4" w:space="0" w:color="auto"/>
              <w:right w:val="single" w:sz="4" w:space="0" w:color="auto"/>
            </w:tcBorders>
            <w:shd w:val="clear" w:color="auto" w:fill="F0DBD4"/>
          </w:tcPr>
          <w:p w14:paraId="64C7FAB0" w14:textId="77777777" w:rsidR="00994F7D" w:rsidRPr="00FA2C26" w:rsidRDefault="00994F7D" w:rsidP="00AA461F">
            <w:pPr>
              <w:pStyle w:val="TableBodyCopy"/>
              <w:rPr>
                <w:rFonts w:cstheme="majorHAnsi"/>
              </w:rPr>
            </w:pPr>
            <w:r w:rsidRPr="00FA2C26">
              <w:rPr>
                <w:rFonts w:cstheme="majorHAnsi"/>
              </w:rPr>
              <w:t>Strengthened institutional capacity as the result of Australian and Indonesian institutional linkages, including:</w:t>
            </w:r>
          </w:p>
          <w:p w14:paraId="66E91537" w14:textId="5D4738C5" w:rsidR="00994F7D" w:rsidRPr="00FA2C26" w:rsidRDefault="00994F7D" w:rsidP="00885295">
            <w:pPr>
              <w:pStyle w:val="Tablebullet"/>
              <w:ind w:left="415"/>
            </w:pPr>
            <w:r w:rsidRPr="00FA2C26">
              <w:t>Statistics Indonesia</w:t>
            </w:r>
            <w:r w:rsidR="004D712D">
              <w:t xml:space="preserve"> to</w:t>
            </w:r>
            <w:r w:rsidRPr="00FA2C26">
              <w:t xml:space="preserve"> lead the national statistics </w:t>
            </w:r>
            <w:proofErr w:type="gramStart"/>
            <w:r w:rsidRPr="00FA2C26">
              <w:t>system</w:t>
            </w:r>
            <w:proofErr w:type="gramEnd"/>
          </w:p>
          <w:p w14:paraId="16DFD2AC" w14:textId="5C48692D" w:rsidR="00994F7D" w:rsidRPr="00FA2C26" w:rsidRDefault="00541085" w:rsidP="00885295">
            <w:pPr>
              <w:pStyle w:val="Tablebullet"/>
              <w:ind w:left="415"/>
            </w:pPr>
            <w:r>
              <w:t xml:space="preserve">the </w:t>
            </w:r>
            <w:r w:rsidR="00F46105">
              <w:t>Ministry of Finance’s (</w:t>
            </w:r>
            <w:r w:rsidR="00F46105" w:rsidRPr="00FA2C26">
              <w:t>MoF</w:t>
            </w:r>
            <w:r w:rsidR="00F46105">
              <w:t>)</w:t>
            </w:r>
            <w:r w:rsidR="00F46105" w:rsidRPr="00FA2C26">
              <w:t xml:space="preserve"> </w:t>
            </w:r>
            <w:r w:rsidR="00994F7D" w:rsidRPr="00FA2C26">
              <w:t xml:space="preserve">Directorate General of Taxes on data analytics and </w:t>
            </w:r>
            <w:r w:rsidR="00F46105">
              <w:t xml:space="preserve">human resources </w:t>
            </w:r>
            <w:r w:rsidR="00994F7D" w:rsidRPr="00FA2C26">
              <w:t xml:space="preserve">systems </w:t>
            </w:r>
          </w:p>
          <w:p w14:paraId="23A1D558" w14:textId="1E6EC617" w:rsidR="00994F7D" w:rsidRPr="00FA2C26" w:rsidRDefault="002B05F8" w:rsidP="00885295">
            <w:pPr>
              <w:pStyle w:val="Tablebullet"/>
              <w:ind w:left="415"/>
            </w:pPr>
            <w:r>
              <w:lastRenderedPageBreak/>
              <w:t xml:space="preserve">the </w:t>
            </w:r>
            <w:r w:rsidR="00994F7D" w:rsidRPr="00FA2C26">
              <w:t>Indonesia National Research and Innovation Agency (BRIN) to improve knowledge and skills in research commercialisation in coordination with Australia</w:t>
            </w:r>
            <w:r w:rsidR="00660A80">
              <w:t>’s</w:t>
            </w:r>
            <w:r w:rsidR="00994F7D" w:rsidRPr="00FA2C26">
              <w:t xml:space="preserve"> Commonwealth Scientific and Industrial Research Organisation (CSIRO)</w:t>
            </w:r>
          </w:p>
          <w:p w14:paraId="1282680A" w14:textId="77777777" w:rsidR="00994F7D" w:rsidRPr="00FA2C26" w:rsidRDefault="00994F7D" w:rsidP="00885295">
            <w:pPr>
              <w:pStyle w:val="Tablebullet"/>
              <w:ind w:left="415"/>
            </w:pPr>
            <w:r w:rsidRPr="00FA2C26">
              <w:t>Indonesian courts through court-to-court cooperation</w:t>
            </w:r>
          </w:p>
          <w:p w14:paraId="18785A92" w14:textId="51802F58" w:rsidR="00994F7D" w:rsidRPr="00FA2C26" w:rsidRDefault="002B05F8" w:rsidP="00AA461F">
            <w:pPr>
              <w:pStyle w:val="TableBodyCopy"/>
              <w:rPr>
                <w:rFonts w:cstheme="majorHAnsi"/>
              </w:rPr>
            </w:pPr>
            <w:r>
              <w:t>E</w:t>
            </w:r>
            <w:r w:rsidR="00994F7D" w:rsidRPr="00FA2C26">
              <w:t xml:space="preserve">stablished joint action plans between </w:t>
            </w:r>
            <w:r w:rsidR="004D712D">
              <w:t>Ministry of Health (</w:t>
            </w:r>
            <w:r w:rsidR="00994F7D" w:rsidRPr="00FA2C26">
              <w:t>MoH</w:t>
            </w:r>
            <w:r w:rsidR="004D712D">
              <w:t>)</w:t>
            </w:r>
            <w:r w:rsidR="00994F7D" w:rsidRPr="00FA2C26">
              <w:t xml:space="preserve"> and </w:t>
            </w:r>
            <w:r>
              <w:t xml:space="preserve">Australian Government </w:t>
            </w:r>
            <w:r w:rsidR="00994F7D" w:rsidRPr="00FA2C26">
              <w:t>Department of Health and Aged Care (</w:t>
            </w:r>
            <w:proofErr w:type="spellStart"/>
            <w:r w:rsidR="00994F7D" w:rsidRPr="00FA2C26">
              <w:t>DoHAC</w:t>
            </w:r>
            <w:proofErr w:type="spellEnd"/>
            <w:r w:rsidR="00994F7D" w:rsidRPr="00FA2C26">
              <w:t>)</w:t>
            </w:r>
          </w:p>
        </w:tc>
        <w:tc>
          <w:tcPr>
            <w:tcW w:w="834" w:type="pct"/>
            <w:tcBorders>
              <w:top w:val="single" w:sz="4" w:space="0" w:color="auto"/>
              <w:left w:val="single" w:sz="4" w:space="0" w:color="auto"/>
              <w:bottom w:val="single" w:sz="4" w:space="0" w:color="auto"/>
              <w:right w:val="single" w:sz="4" w:space="0" w:color="auto"/>
            </w:tcBorders>
            <w:shd w:val="clear" w:color="auto" w:fill="F0DBD4"/>
          </w:tcPr>
          <w:p w14:paraId="7258EE72" w14:textId="77777777" w:rsidR="00994F7D" w:rsidRPr="00FA2C26" w:rsidRDefault="00994F7D" w:rsidP="00AA461F">
            <w:pPr>
              <w:pStyle w:val="TableBodyCopy"/>
              <w:rPr>
                <w:rFonts w:cstheme="majorHAnsi"/>
              </w:rPr>
            </w:pPr>
            <w:r w:rsidRPr="00FA2C26">
              <w:rPr>
                <w:rFonts w:cstheme="majorHAnsi"/>
              </w:rPr>
              <w:lastRenderedPageBreak/>
              <w:t>New and continued strengthened institutional capacity as the result of Australian and Indonesian institutional linkages, including:</w:t>
            </w:r>
          </w:p>
          <w:p w14:paraId="58C07224" w14:textId="3DA519D0" w:rsidR="00994F7D" w:rsidRPr="00FA2C26" w:rsidRDefault="00994F7D" w:rsidP="00885295">
            <w:pPr>
              <w:pStyle w:val="Tablebullet"/>
              <w:ind w:left="476"/>
            </w:pPr>
            <w:r w:rsidRPr="00FA2C26">
              <w:t>Indonesian courts through court-to-court cooperation</w:t>
            </w:r>
          </w:p>
          <w:p w14:paraId="5C374491" w14:textId="42F68D03" w:rsidR="00994F7D" w:rsidRPr="00FA2C26" w:rsidRDefault="00994F7D" w:rsidP="00AA461F">
            <w:pPr>
              <w:pStyle w:val="TableBodyCopy"/>
              <w:rPr>
                <w:rFonts w:cstheme="majorHAnsi"/>
              </w:rPr>
            </w:pPr>
            <w:r w:rsidRPr="00FA2C26">
              <w:t xml:space="preserve">MoH to benchmark at least one of its health reform systems for better improvement in coordination with </w:t>
            </w:r>
            <w:proofErr w:type="spellStart"/>
            <w:r w:rsidRPr="00FA2C26">
              <w:t>DoHAC</w:t>
            </w:r>
            <w:proofErr w:type="spellEnd"/>
          </w:p>
        </w:tc>
        <w:tc>
          <w:tcPr>
            <w:tcW w:w="833" w:type="pct"/>
            <w:tcBorders>
              <w:top w:val="single" w:sz="4" w:space="0" w:color="auto"/>
              <w:left w:val="single" w:sz="4" w:space="0" w:color="auto"/>
              <w:bottom w:val="single" w:sz="4" w:space="0" w:color="auto"/>
              <w:right w:val="single" w:sz="4" w:space="0" w:color="auto"/>
            </w:tcBorders>
            <w:shd w:val="clear" w:color="auto" w:fill="F0DBD4"/>
          </w:tcPr>
          <w:p w14:paraId="77760EF8" w14:textId="77777777" w:rsidR="00994F7D" w:rsidRPr="00FA2C26" w:rsidRDefault="00994F7D" w:rsidP="00AA461F">
            <w:pPr>
              <w:pStyle w:val="TableBodyCopy"/>
              <w:rPr>
                <w:rFonts w:cstheme="majorHAnsi"/>
              </w:rPr>
            </w:pPr>
            <w:r w:rsidRPr="00FA2C26">
              <w:rPr>
                <w:rFonts w:cstheme="majorHAnsi"/>
              </w:rPr>
              <w:t>New and continued strengthened institutional capacity as the result of Australian and Indonesian institutional linkages, including:</w:t>
            </w:r>
          </w:p>
          <w:p w14:paraId="07294AA4" w14:textId="3562487A" w:rsidR="00994F7D" w:rsidRPr="00FA2C26" w:rsidRDefault="00994F7D" w:rsidP="00885295">
            <w:pPr>
              <w:pStyle w:val="Tablebullet"/>
              <w:ind w:left="381"/>
            </w:pPr>
            <w:r w:rsidRPr="00FA2C26">
              <w:t>Indonesian courts through court-to-court cooperation</w:t>
            </w:r>
          </w:p>
          <w:p w14:paraId="4F4E4AFD" w14:textId="0D3A1FD4" w:rsidR="00994F7D" w:rsidRPr="00FA2C26" w:rsidRDefault="00994F7D" w:rsidP="00AA461F">
            <w:pPr>
              <w:pStyle w:val="TableBodyCopy"/>
              <w:rPr>
                <w:rFonts w:cstheme="majorHAnsi"/>
              </w:rPr>
            </w:pPr>
            <w:r w:rsidRPr="00FA2C26">
              <w:t xml:space="preserve">MoH to improve health reform systems in coordination with </w:t>
            </w:r>
            <w:proofErr w:type="spellStart"/>
            <w:r w:rsidRPr="00FA2C26">
              <w:t>DoHAC</w:t>
            </w:r>
            <w:proofErr w:type="spellEnd"/>
          </w:p>
        </w:tc>
        <w:tc>
          <w:tcPr>
            <w:tcW w:w="834" w:type="pct"/>
            <w:shd w:val="clear" w:color="auto" w:fill="F0DBD4"/>
          </w:tcPr>
          <w:p w14:paraId="099F9D5C" w14:textId="02F2878D" w:rsidR="00994F7D" w:rsidRPr="00FA2C26" w:rsidRDefault="0013070B" w:rsidP="00AA461F">
            <w:pPr>
              <w:pStyle w:val="TableBodyCopy"/>
              <w:rPr>
                <w:rFonts w:cstheme="majorHAnsi"/>
              </w:rPr>
            </w:pPr>
            <w:r>
              <w:rPr>
                <w:rFonts w:cstheme="majorHAnsi"/>
              </w:rPr>
              <w:t>SDG</w:t>
            </w:r>
            <w:r w:rsidR="00994F7D" w:rsidRPr="00FA2C26">
              <w:rPr>
                <w:rFonts w:cstheme="majorHAnsi"/>
              </w:rPr>
              <w:t>17</w:t>
            </w:r>
          </w:p>
        </w:tc>
      </w:tr>
    </w:tbl>
    <w:p w14:paraId="37C37454" w14:textId="41CE06FB" w:rsidR="00DE0ED3" w:rsidRDefault="00DE0ED3" w:rsidP="00CF5050">
      <w:pPr>
        <w:pStyle w:val="Tablenote"/>
        <w:rPr>
          <w:lang w:val="en-US"/>
        </w:rPr>
      </w:pPr>
      <w:bookmarkStart w:id="8" w:name="Tn3d"/>
      <w:r>
        <w:t>d</w:t>
      </w:r>
      <w:r>
        <w:tab/>
        <w:t xml:space="preserve">A major </w:t>
      </w:r>
      <w:r w:rsidRPr="0097595E">
        <w:rPr>
          <w:lang w:val="en-US"/>
        </w:rPr>
        <w:t xml:space="preserve">contributing </w:t>
      </w:r>
      <w:r>
        <w:rPr>
          <w:lang w:val="en-US"/>
        </w:rPr>
        <w:t>i</w:t>
      </w:r>
      <w:r w:rsidRPr="0097595E">
        <w:rPr>
          <w:lang w:val="en-US"/>
        </w:rPr>
        <w:t>nvestment to this indicator will be concluded in 2026</w:t>
      </w:r>
      <w:r>
        <w:rPr>
          <w:lang w:val="en-US"/>
        </w:rPr>
        <w:t>–27</w:t>
      </w:r>
      <w:r w:rsidRPr="0097595E">
        <w:rPr>
          <w:lang w:val="en-US"/>
        </w:rPr>
        <w:t>.</w:t>
      </w:r>
      <w:bookmarkEnd w:id="8"/>
    </w:p>
    <w:p w14:paraId="74C6BF82" w14:textId="72960951" w:rsidR="00E60A50" w:rsidRDefault="00E60A50" w:rsidP="00CF5050">
      <w:pPr>
        <w:pStyle w:val="Tablenote"/>
        <w:rPr>
          <w:rFonts w:cstheme="majorHAnsi"/>
        </w:rPr>
      </w:pPr>
      <w:bookmarkStart w:id="9" w:name="Tn3e"/>
      <w:r>
        <w:t>e</w:t>
      </w:r>
      <w:r>
        <w:tab/>
        <w:t xml:space="preserve">A major </w:t>
      </w:r>
      <w:r w:rsidRPr="0097595E">
        <w:rPr>
          <w:lang w:val="en-US"/>
        </w:rPr>
        <w:t xml:space="preserve">contributing </w:t>
      </w:r>
      <w:r>
        <w:rPr>
          <w:lang w:val="en-US"/>
        </w:rPr>
        <w:t>i</w:t>
      </w:r>
      <w:r w:rsidRPr="0097595E">
        <w:rPr>
          <w:lang w:val="en-US"/>
        </w:rPr>
        <w:t>nvestment to this indicator will be concluded in 2026</w:t>
      </w:r>
      <w:r>
        <w:rPr>
          <w:lang w:val="en-US"/>
        </w:rPr>
        <w:t>–27</w:t>
      </w:r>
      <w:r w:rsidRPr="0097595E">
        <w:rPr>
          <w:lang w:val="en-US"/>
        </w:rPr>
        <w:t>.</w:t>
      </w:r>
    </w:p>
    <w:bookmarkEnd w:id="9"/>
    <w:p w14:paraId="2996F780" w14:textId="77777777" w:rsidR="00E60A50" w:rsidRDefault="00E60A50" w:rsidP="00CF5050">
      <w:pPr>
        <w:pStyle w:val="Endnotes"/>
        <w:rPr>
          <w:rFonts w:cstheme="majorHAnsi"/>
        </w:rPr>
      </w:pPr>
    </w:p>
    <w:p w14:paraId="363E6DF7" w14:textId="4F8B7AFF" w:rsidR="00737E87" w:rsidRPr="00484BDE" w:rsidRDefault="00737E87" w:rsidP="00CF5050">
      <w:pPr>
        <w:rPr>
          <w:lang w:eastAsia="en-AU"/>
        </w:rPr>
      </w:pPr>
      <w:r w:rsidRPr="00CF5050">
        <w:rPr>
          <w:b/>
          <w:bCs/>
        </w:rPr>
        <w:t>Cross-</w:t>
      </w:r>
      <w:r w:rsidR="00994F7D" w:rsidRPr="00CF5050">
        <w:rPr>
          <w:b/>
          <w:bCs/>
        </w:rPr>
        <w:t>p</w:t>
      </w:r>
      <w:r w:rsidRPr="00CF5050">
        <w:rPr>
          <w:b/>
          <w:bCs/>
        </w:rPr>
        <w:t>rogram</w:t>
      </w:r>
    </w:p>
    <w:tbl>
      <w:tblPr>
        <w:tblStyle w:val="DFATBluegum"/>
        <w:tblW w:w="4809" w:type="pct"/>
        <w:tblLayout w:type="fixed"/>
        <w:tblLook w:val="04A0" w:firstRow="1" w:lastRow="0" w:firstColumn="1" w:lastColumn="0" w:noHBand="0" w:noVBand="1"/>
        <w:tblCaption w:val="Cross-program performance assessment framework"/>
        <w:tblDescription w:val="Expected results for the first 3 years of the DPP and against the Sustainable Development Goals"/>
      </w:tblPr>
      <w:tblGrid>
        <w:gridCol w:w="1798"/>
        <w:gridCol w:w="3159"/>
        <w:gridCol w:w="2311"/>
        <w:gridCol w:w="2311"/>
        <w:gridCol w:w="2311"/>
        <w:gridCol w:w="2523"/>
      </w:tblGrid>
      <w:tr w:rsidR="00AD6BF9" w:rsidRPr="007016DB" w14:paraId="354BB7CF" w14:textId="77777777" w:rsidTr="00CF5050">
        <w:trPr>
          <w:cnfStyle w:val="100000000000" w:firstRow="1" w:lastRow="0" w:firstColumn="0" w:lastColumn="0" w:oddVBand="0" w:evenVBand="0" w:oddHBand="0" w:evenHBand="0" w:firstRowFirstColumn="0" w:firstRowLastColumn="0" w:lastRowFirstColumn="0" w:lastRowLastColumn="0"/>
          <w:trHeight w:val="787"/>
        </w:trPr>
        <w:tc>
          <w:tcPr>
            <w:tcW w:w="1798" w:type="dxa"/>
            <w:shd w:val="clear" w:color="auto" w:fill="3A586E"/>
            <w:vAlign w:val="center"/>
            <w:hideMark/>
          </w:tcPr>
          <w:p w14:paraId="140D7BAB" w14:textId="05F104DD" w:rsidR="004F0D95" w:rsidRPr="007016DB" w:rsidRDefault="004E242A" w:rsidP="007016DB">
            <w:pPr>
              <w:pStyle w:val="TableHeading"/>
              <w:rPr>
                <w:b w:val="0"/>
                <w:bCs w:val="0"/>
              </w:rPr>
            </w:pPr>
            <w:r>
              <w:rPr>
                <w:b w:val="0"/>
                <w:bCs w:val="0"/>
              </w:rPr>
              <w:lastRenderedPageBreak/>
              <w:t>Theme</w:t>
            </w:r>
          </w:p>
        </w:tc>
        <w:tc>
          <w:tcPr>
            <w:tcW w:w="3159" w:type="dxa"/>
            <w:shd w:val="clear" w:color="auto" w:fill="3A586E"/>
          </w:tcPr>
          <w:p w14:paraId="02076F1D" w14:textId="4BC93390" w:rsidR="004F0D95" w:rsidRPr="007016DB" w:rsidRDefault="004E242A" w:rsidP="007016DB">
            <w:pPr>
              <w:pStyle w:val="TableHeading"/>
              <w:rPr>
                <w:b w:val="0"/>
                <w:bCs w:val="0"/>
              </w:rPr>
            </w:pPr>
            <w:r w:rsidRPr="007016DB">
              <w:rPr>
                <w:b w:val="0"/>
                <w:bCs w:val="0"/>
              </w:rPr>
              <w:t>Indicator</w:t>
            </w:r>
          </w:p>
        </w:tc>
        <w:tc>
          <w:tcPr>
            <w:tcW w:w="2311" w:type="dxa"/>
            <w:shd w:val="clear" w:color="auto" w:fill="3A586E"/>
            <w:vAlign w:val="center"/>
            <w:hideMark/>
          </w:tcPr>
          <w:p w14:paraId="644E07EA" w14:textId="606F1FB4" w:rsidR="004F0D95" w:rsidRPr="007016DB" w:rsidRDefault="004F0D95" w:rsidP="007016DB">
            <w:pPr>
              <w:pStyle w:val="TableHeading"/>
              <w:rPr>
                <w:b w:val="0"/>
                <w:bCs w:val="0"/>
              </w:rPr>
            </w:pPr>
            <w:r w:rsidRPr="007016DB">
              <w:rPr>
                <w:b w:val="0"/>
                <w:bCs w:val="0"/>
              </w:rPr>
              <w:t xml:space="preserve">Expected </w:t>
            </w:r>
            <w:r w:rsidR="00994F7D">
              <w:rPr>
                <w:b w:val="0"/>
                <w:bCs w:val="0"/>
              </w:rPr>
              <w:t>r</w:t>
            </w:r>
            <w:r w:rsidRPr="007016DB">
              <w:rPr>
                <w:b w:val="0"/>
                <w:bCs w:val="0"/>
              </w:rPr>
              <w:t>esults</w:t>
            </w:r>
            <w:r w:rsidRPr="007016DB">
              <w:rPr>
                <w:b w:val="0"/>
                <w:bCs w:val="0"/>
              </w:rPr>
              <w:br/>
              <w:t>2024</w:t>
            </w:r>
            <w:r w:rsidR="00994F7D">
              <w:rPr>
                <w:b w:val="0"/>
                <w:bCs w:val="0"/>
              </w:rPr>
              <w:t>–</w:t>
            </w:r>
            <w:r w:rsidRPr="007016DB">
              <w:rPr>
                <w:b w:val="0"/>
                <w:bCs w:val="0"/>
              </w:rPr>
              <w:t>25</w:t>
            </w:r>
          </w:p>
        </w:tc>
        <w:tc>
          <w:tcPr>
            <w:tcW w:w="2311" w:type="dxa"/>
            <w:shd w:val="clear" w:color="auto" w:fill="3A586E"/>
            <w:vAlign w:val="center"/>
            <w:hideMark/>
          </w:tcPr>
          <w:p w14:paraId="20929013" w14:textId="49234C01" w:rsidR="004F0D95" w:rsidRPr="007016DB" w:rsidRDefault="004F0D95" w:rsidP="007016DB">
            <w:pPr>
              <w:pStyle w:val="TableHeading"/>
              <w:rPr>
                <w:b w:val="0"/>
                <w:bCs w:val="0"/>
              </w:rPr>
            </w:pPr>
            <w:r w:rsidRPr="007016DB">
              <w:rPr>
                <w:b w:val="0"/>
                <w:bCs w:val="0"/>
              </w:rPr>
              <w:t xml:space="preserve">Expected </w:t>
            </w:r>
            <w:r w:rsidR="00994F7D">
              <w:rPr>
                <w:b w:val="0"/>
                <w:bCs w:val="0"/>
              </w:rPr>
              <w:t>r</w:t>
            </w:r>
            <w:r w:rsidRPr="007016DB">
              <w:rPr>
                <w:b w:val="0"/>
                <w:bCs w:val="0"/>
              </w:rPr>
              <w:t>esults</w:t>
            </w:r>
            <w:r w:rsidRPr="007016DB">
              <w:rPr>
                <w:b w:val="0"/>
                <w:bCs w:val="0"/>
              </w:rPr>
              <w:br/>
              <w:t>2025</w:t>
            </w:r>
            <w:r w:rsidR="00994F7D">
              <w:rPr>
                <w:b w:val="0"/>
                <w:bCs w:val="0"/>
              </w:rPr>
              <w:t>–</w:t>
            </w:r>
            <w:r w:rsidRPr="007016DB">
              <w:rPr>
                <w:b w:val="0"/>
                <w:bCs w:val="0"/>
              </w:rPr>
              <w:t>26</w:t>
            </w:r>
          </w:p>
        </w:tc>
        <w:tc>
          <w:tcPr>
            <w:tcW w:w="2311" w:type="dxa"/>
            <w:shd w:val="clear" w:color="auto" w:fill="3A586E"/>
            <w:vAlign w:val="center"/>
            <w:hideMark/>
          </w:tcPr>
          <w:p w14:paraId="31ADEA3E" w14:textId="0C07EF6C" w:rsidR="004F0D95" w:rsidRPr="007016DB" w:rsidRDefault="004F0D95" w:rsidP="007016DB">
            <w:pPr>
              <w:pStyle w:val="TableHeading"/>
              <w:rPr>
                <w:b w:val="0"/>
                <w:bCs w:val="0"/>
              </w:rPr>
            </w:pPr>
            <w:r w:rsidRPr="007016DB">
              <w:rPr>
                <w:b w:val="0"/>
                <w:bCs w:val="0"/>
              </w:rPr>
              <w:t xml:space="preserve">Expected </w:t>
            </w:r>
            <w:r w:rsidR="00994F7D">
              <w:rPr>
                <w:b w:val="0"/>
                <w:bCs w:val="0"/>
              </w:rPr>
              <w:t>r</w:t>
            </w:r>
            <w:r w:rsidRPr="007016DB">
              <w:rPr>
                <w:b w:val="0"/>
                <w:bCs w:val="0"/>
              </w:rPr>
              <w:t>esults</w:t>
            </w:r>
            <w:r w:rsidRPr="007016DB">
              <w:rPr>
                <w:b w:val="0"/>
                <w:bCs w:val="0"/>
              </w:rPr>
              <w:br/>
              <w:t>2026</w:t>
            </w:r>
            <w:r w:rsidR="00994F7D">
              <w:rPr>
                <w:b w:val="0"/>
                <w:bCs w:val="0"/>
              </w:rPr>
              <w:t>–</w:t>
            </w:r>
            <w:r w:rsidRPr="007016DB">
              <w:rPr>
                <w:b w:val="0"/>
                <w:bCs w:val="0"/>
              </w:rPr>
              <w:t>27</w:t>
            </w:r>
          </w:p>
        </w:tc>
        <w:tc>
          <w:tcPr>
            <w:tcW w:w="2523" w:type="dxa"/>
            <w:shd w:val="clear" w:color="auto" w:fill="3A586E"/>
            <w:vAlign w:val="center"/>
            <w:hideMark/>
          </w:tcPr>
          <w:p w14:paraId="78000EFB" w14:textId="5BB72A98" w:rsidR="004F0D95" w:rsidRPr="007016DB" w:rsidRDefault="00994F7D" w:rsidP="007016DB">
            <w:pPr>
              <w:pStyle w:val="TableHeading"/>
              <w:rPr>
                <w:b w:val="0"/>
                <w:bCs w:val="0"/>
              </w:rPr>
            </w:pPr>
            <w:r>
              <w:rPr>
                <w:b w:val="0"/>
                <w:bCs w:val="0"/>
              </w:rPr>
              <w:t xml:space="preserve">Sustainable Development </w:t>
            </w:r>
            <w:r w:rsidR="004F0D95" w:rsidRPr="007016DB">
              <w:rPr>
                <w:b w:val="0"/>
                <w:bCs w:val="0"/>
              </w:rPr>
              <w:t>Goals</w:t>
            </w:r>
            <w:r>
              <w:rPr>
                <w:b w:val="0"/>
                <w:bCs w:val="0"/>
              </w:rPr>
              <w:t xml:space="preserve"> (SDGs)</w:t>
            </w:r>
          </w:p>
        </w:tc>
      </w:tr>
      <w:tr w:rsidR="00AD6BF9" w:rsidRPr="00FA2C26" w14:paraId="66FBCBD6" w14:textId="77777777" w:rsidTr="00CF5050">
        <w:trPr>
          <w:trHeight w:val="762"/>
        </w:trPr>
        <w:tc>
          <w:tcPr>
            <w:tcW w:w="1798" w:type="dxa"/>
            <w:tcBorders>
              <w:top w:val="single" w:sz="4" w:space="0" w:color="auto"/>
              <w:left w:val="single" w:sz="4" w:space="0" w:color="auto"/>
              <w:bottom w:val="single" w:sz="4" w:space="0" w:color="auto"/>
              <w:right w:val="single" w:sz="4" w:space="0" w:color="auto"/>
            </w:tcBorders>
            <w:shd w:val="clear" w:color="auto" w:fill="D2DEE7"/>
          </w:tcPr>
          <w:p w14:paraId="34D74728" w14:textId="2F04C41E" w:rsidR="00994F7D" w:rsidRPr="00FA2C26" w:rsidRDefault="00994F7D" w:rsidP="00AA461F">
            <w:pPr>
              <w:pStyle w:val="TableBodyCopy"/>
            </w:pPr>
            <w:r>
              <w:t>Gender equality</w:t>
            </w:r>
          </w:p>
        </w:tc>
        <w:tc>
          <w:tcPr>
            <w:tcW w:w="3159" w:type="dxa"/>
            <w:tcBorders>
              <w:top w:val="single" w:sz="4" w:space="0" w:color="auto"/>
              <w:left w:val="single" w:sz="4" w:space="0" w:color="auto"/>
              <w:bottom w:val="single" w:sz="4" w:space="0" w:color="auto"/>
              <w:right w:val="single" w:sz="4" w:space="0" w:color="auto"/>
            </w:tcBorders>
            <w:shd w:val="clear" w:color="auto" w:fill="D2DEE7"/>
          </w:tcPr>
          <w:p w14:paraId="14FEBC07" w14:textId="2817F9D0" w:rsidR="00994F7D" w:rsidRPr="00FA2C26" w:rsidRDefault="00994F7D" w:rsidP="00AA461F">
            <w:pPr>
              <w:pStyle w:val="TableBodyCopy"/>
              <w:rPr>
                <w:kern w:val="2"/>
                <w14:ligatures w14:val="standardContextual"/>
              </w:rPr>
            </w:pPr>
            <w:r w:rsidRPr="00FA2C26">
              <w:t>Indonesia development investments address gender equality effectively (Tier 3)</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41D1A3E5" w14:textId="4C0FCB80" w:rsidR="00994F7D" w:rsidRPr="00FA2C26" w:rsidRDefault="00994F7D" w:rsidP="00AA461F">
            <w:pPr>
              <w:pStyle w:val="TableBodyCopy"/>
            </w:pPr>
            <w:r w:rsidRPr="00FA2C26">
              <w:rPr>
                <w:kern w:val="2"/>
                <w14:ligatures w14:val="standardContextual"/>
              </w:rPr>
              <w:t>80%</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22896448" w14:textId="77777777" w:rsidR="00994F7D" w:rsidRPr="00FA2C26" w:rsidRDefault="00994F7D" w:rsidP="00AA461F">
            <w:pPr>
              <w:pStyle w:val="TableBodyCopy"/>
            </w:pPr>
            <w:r w:rsidRPr="00FA2C26">
              <w:t>80%</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0BD8DAB4" w14:textId="77777777" w:rsidR="00994F7D" w:rsidRPr="00FA2C26" w:rsidRDefault="00994F7D" w:rsidP="00AA461F">
            <w:pPr>
              <w:pStyle w:val="TableBodyCopy"/>
            </w:pPr>
            <w:r w:rsidRPr="00FA2C26">
              <w:t>80%</w:t>
            </w:r>
          </w:p>
        </w:tc>
        <w:tc>
          <w:tcPr>
            <w:tcW w:w="2523" w:type="dxa"/>
            <w:shd w:val="clear" w:color="auto" w:fill="D2DEE7"/>
          </w:tcPr>
          <w:p w14:paraId="194AD5E1" w14:textId="3607F087" w:rsidR="00994F7D" w:rsidRPr="00FA2C26" w:rsidRDefault="0013070B" w:rsidP="00AA461F">
            <w:pPr>
              <w:pStyle w:val="TableBodyCopy"/>
            </w:pPr>
            <w:r>
              <w:t>SGD</w:t>
            </w:r>
            <w:r w:rsidR="00994F7D" w:rsidRPr="00FA2C26">
              <w:t>5</w:t>
            </w:r>
            <w:r>
              <w:t>:</w:t>
            </w:r>
            <w:r w:rsidR="00994F7D" w:rsidRPr="00FA2C26">
              <w:t xml:space="preserve"> Gender </w:t>
            </w:r>
            <w:r>
              <w:t>e</w:t>
            </w:r>
            <w:r w:rsidR="00994F7D" w:rsidRPr="00FA2C26">
              <w:t>quality</w:t>
            </w:r>
          </w:p>
        </w:tc>
      </w:tr>
      <w:tr w:rsidR="00AD6BF9" w:rsidRPr="00FA2C26" w14:paraId="5581E8D8" w14:textId="77777777" w:rsidTr="00CF5050">
        <w:trPr>
          <w:trHeight w:val="688"/>
        </w:trPr>
        <w:tc>
          <w:tcPr>
            <w:tcW w:w="1798" w:type="dxa"/>
            <w:tcBorders>
              <w:top w:val="single" w:sz="4" w:space="0" w:color="auto"/>
              <w:left w:val="single" w:sz="4" w:space="0" w:color="auto"/>
              <w:bottom w:val="single" w:sz="4" w:space="0" w:color="auto"/>
              <w:right w:val="single" w:sz="4" w:space="0" w:color="auto"/>
            </w:tcBorders>
            <w:shd w:val="clear" w:color="auto" w:fill="D2DEE7"/>
          </w:tcPr>
          <w:p w14:paraId="64C7CC4C" w14:textId="0797A2F0" w:rsidR="00994F7D" w:rsidRPr="00FA2C26" w:rsidRDefault="00994F7D" w:rsidP="00AA461F">
            <w:pPr>
              <w:pStyle w:val="TableBodyCopy"/>
            </w:pPr>
            <w:r>
              <w:t>Disability equity</w:t>
            </w:r>
          </w:p>
        </w:tc>
        <w:tc>
          <w:tcPr>
            <w:tcW w:w="3159" w:type="dxa"/>
            <w:tcBorders>
              <w:top w:val="single" w:sz="4" w:space="0" w:color="auto"/>
              <w:left w:val="single" w:sz="4" w:space="0" w:color="auto"/>
              <w:bottom w:val="single" w:sz="4" w:space="0" w:color="auto"/>
              <w:right w:val="single" w:sz="4" w:space="0" w:color="auto"/>
            </w:tcBorders>
            <w:shd w:val="clear" w:color="auto" w:fill="D2DEE7"/>
          </w:tcPr>
          <w:p w14:paraId="1C0A0502" w14:textId="6FA8B2E2" w:rsidR="00994F7D" w:rsidRPr="00FA2C26" w:rsidRDefault="00994F7D" w:rsidP="00AA461F">
            <w:pPr>
              <w:pStyle w:val="TableBodyCopy"/>
              <w:rPr>
                <w:kern w:val="2"/>
                <w14:ligatures w14:val="standardContextual"/>
              </w:rPr>
            </w:pPr>
            <w:r w:rsidRPr="00FA2C26">
              <w:t>Indonesia development investments effectively address disability equity in implementation (Tier 3)</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5FF56D9A" w14:textId="35E386A8" w:rsidR="00994F7D" w:rsidRPr="00FA2C26" w:rsidRDefault="007C61BF" w:rsidP="00AA461F">
            <w:pPr>
              <w:pStyle w:val="TableBodyCopy"/>
            </w:pPr>
            <w:r>
              <w:rPr>
                <w:kern w:val="2"/>
                <w14:ligatures w14:val="standardContextual"/>
              </w:rPr>
              <w:t>Results collected centrally</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657A9FA9" w14:textId="74B1ACED" w:rsidR="00994F7D" w:rsidRPr="00FA2C26" w:rsidRDefault="007C61BF" w:rsidP="00AA461F">
            <w:pPr>
              <w:pStyle w:val="TableBodyCopy"/>
            </w:pPr>
            <w:r>
              <w:t>Results collected centrally</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2C4BF3C2" w14:textId="5F43EE64" w:rsidR="00994F7D" w:rsidRPr="00FA2C26" w:rsidRDefault="007C61BF" w:rsidP="00AA461F">
            <w:pPr>
              <w:pStyle w:val="TableBodyCopy"/>
            </w:pPr>
            <w:r>
              <w:t>Results collected centrally</w:t>
            </w:r>
          </w:p>
        </w:tc>
        <w:tc>
          <w:tcPr>
            <w:tcW w:w="2523" w:type="dxa"/>
            <w:shd w:val="clear" w:color="auto" w:fill="D2DEE7"/>
          </w:tcPr>
          <w:p w14:paraId="78D31963" w14:textId="19F584A5" w:rsidR="00994F7D" w:rsidRPr="00FA2C26" w:rsidRDefault="0013070B" w:rsidP="00AA461F">
            <w:pPr>
              <w:pStyle w:val="TableBodyCopy"/>
            </w:pPr>
            <w:r>
              <w:t>SDG</w:t>
            </w:r>
            <w:r w:rsidR="00994F7D" w:rsidRPr="00FA2C26">
              <w:t>10</w:t>
            </w:r>
            <w:r>
              <w:t>:</w:t>
            </w:r>
            <w:r w:rsidR="00994F7D" w:rsidRPr="00FA2C26">
              <w:t xml:space="preserve"> Reduced </w:t>
            </w:r>
            <w:r>
              <w:t>i</w:t>
            </w:r>
            <w:r w:rsidR="00994F7D" w:rsidRPr="00FA2C26">
              <w:t>nequalities</w:t>
            </w:r>
          </w:p>
        </w:tc>
      </w:tr>
      <w:tr w:rsidR="00AD6BF9" w:rsidRPr="00FA2C26" w14:paraId="4C161CFB" w14:textId="77777777" w:rsidTr="00CF5050">
        <w:trPr>
          <w:trHeight w:val="700"/>
        </w:trPr>
        <w:tc>
          <w:tcPr>
            <w:tcW w:w="1798" w:type="dxa"/>
            <w:tcBorders>
              <w:top w:val="single" w:sz="4" w:space="0" w:color="auto"/>
              <w:left w:val="single" w:sz="4" w:space="0" w:color="auto"/>
              <w:bottom w:val="single" w:sz="4" w:space="0" w:color="auto"/>
              <w:right w:val="single" w:sz="4" w:space="0" w:color="auto"/>
            </w:tcBorders>
            <w:shd w:val="clear" w:color="auto" w:fill="D2DEE7"/>
          </w:tcPr>
          <w:p w14:paraId="73CE864D" w14:textId="2FEE89CE" w:rsidR="00994F7D" w:rsidRPr="00FA2C26" w:rsidRDefault="00994F7D" w:rsidP="00AA461F">
            <w:pPr>
              <w:pStyle w:val="TableBodyCopy"/>
            </w:pPr>
            <w:r>
              <w:t>Disability equity</w:t>
            </w:r>
          </w:p>
        </w:tc>
        <w:tc>
          <w:tcPr>
            <w:tcW w:w="3159" w:type="dxa"/>
            <w:tcBorders>
              <w:top w:val="single" w:sz="4" w:space="0" w:color="auto"/>
              <w:left w:val="single" w:sz="4" w:space="0" w:color="auto"/>
              <w:bottom w:val="single" w:sz="4" w:space="0" w:color="auto"/>
              <w:right w:val="single" w:sz="4" w:space="0" w:color="auto"/>
            </w:tcBorders>
            <w:shd w:val="clear" w:color="auto" w:fill="D2DEE7"/>
          </w:tcPr>
          <w:p w14:paraId="11EAFEAC" w14:textId="1BB009C3" w:rsidR="00994F7D" w:rsidRPr="00FA2C26" w:rsidRDefault="00994F7D" w:rsidP="00AA461F">
            <w:pPr>
              <w:pStyle w:val="TableBodyCopy"/>
            </w:pPr>
            <w:r w:rsidRPr="00FA2C26">
              <w:t xml:space="preserve">Number of organisations of </w:t>
            </w:r>
            <w:r w:rsidR="00E36DA3">
              <w:t>persons</w:t>
            </w:r>
            <w:r w:rsidR="000F33D8" w:rsidRPr="00FA2C26">
              <w:t xml:space="preserve"> </w:t>
            </w:r>
            <w:r w:rsidRPr="00FA2C26">
              <w:t>with disabilit</w:t>
            </w:r>
            <w:r w:rsidR="000F33D8">
              <w:t>y</w:t>
            </w:r>
            <w:r w:rsidRPr="00FA2C26">
              <w:t xml:space="preserve"> (regional/national/state/</w:t>
            </w:r>
            <w:r w:rsidR="008D7094">
              <w:br/>
            </w:r>
            <w:r w:rsidRPr="00FA2C26">
              <w:t>local) receiving capacity building support (Tier 2)</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73A3B54D" w14:textId="6F2C4351" w:rsidR="00994F7D" w:rsidRPr="00FA2C26" w:rsidRDefault="00994F7D" w:rsidP="00AA461F">
            <w:pPr>
              <w:pStyle w:val="TableBodyCopy"/>
            </w:pPr>
            <w:r w:rsidRPr="00FA2C26">
              <w:t>150 organisations</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49BAF9A5" w14:textId="3E0A8131" w:rsidR="00994F7D" w:rsidRPr="00FA2C26" w:rsidRDefault="00994F7D" w:rsidP="00AA461F">
            <w:pPr>
              <w:pStyle w:val="TableBodyCopy"/>
            </w:pPr>
            <w:r w:rsidRPr="00FA2C26">
              <w:t>150 organisations</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40934ED6" w14:textId="49875E7B" w:rsidR="00994F7D" w:rsidRPr="00FA2C26" w:rsidRDefault="00994F7D" w:rsidP="00AA461F">
            <w:pPr>
              <w:pStyle w:val="TableBodyCopy"/>
            </w:pPr>
            <w:r w:rsidRPr="00FA2C26">
              <w:t>150 organisations</w:t>
            </w:r>
          </w:p>
        </w:tc>
        <w:tc>
          <w:tcPr>
            <w:tcW w:w="2523" w:type="dxa"/>
            <w:shd w:val="clear" w:color="auto" w:fill="D2DEE7"/>
          </w:tcPr>
          <w:p w14:paraId="6E4444F3" w14:textId="6A695EFE" w:rsidR="00994F7D" w:rsidRPr="00FA2C26" w:rsidRDefault="0013070B" w:rsidP="00AA461F">
            <w:pPr>
              <w:pStyle w:val="TableBodyCopy"/>
            </w:pPr>
            <w:r>
              <w:t>SDG</w:t>
            </w:r>
            <w:r w:rsidR="00994F7D" w:rsidRPr="00FA2C26">
              <w:t>10</w:t>
            </w:r>
          </w:p>
        </w:tc>
      </w:tr>
      <w:tr w:rsidR="00AD6BF9" w:rsidRPr="00FA2C26" w14:paraId="05B49BF8" w14:textId="77777777" w:rsidTr="00CF5050">
        <w:trPr>
          <w:trHeight w:val="700"/>
        </w:trPr>
        <w:tc>
          <w:tcPr>
            <w:tcW w:w="1798" w:type="dxa"/>
            <w:tcBorders>
              <w:top w:val="single" w:sz="4" w:space="0" w:color="auto"/>
              <w:left w:val="single" w:sz="4" w:space="0" w:color="auto"/>
              <w:bottom w:val="single" w:sz="4" w:space="0" w:color="auto"/>
              <w:right w:val="single" w:sz="4" w:space="0" w:color="auto"/>
            </w:tcBorders>
            <w:shd w:val="clear" w:color="auto" w:fill="D2DEE7"/>
          </w:tcPr>
          <w:p w14:paraId="0762A905" w14:textId="6D88D20C" w:rsidR="00994F7D" w:rsidRPr="00FA2C26" w:rsidRDefault="00994F7D" w:rsidP="00AA461F">
            <w:pPr>
              <w:pStyle w:val="TableBodyCopy"/>
            </w:pPr>
            <w:r>
              <w:t>Climate change</w:t>
            </w:r>
          </w:p>
        </w:tc>
        <w:tc>
          <w:tcPr>
            <w:tcW w:w="3159" w:type="dxa"/>
            <w:tcBorders>
              <w:top w:val="single" w:sz="4" w:space="0" w:color="auto"/>
              <w:left w:val="single" w:sz="4" w:space="0" w:color="auto"/>
              <w:bottom w:val="single" w:sz="4" w:space="0" w:color="auto"/>
              <w:right w:val="single" w:sz="4" w:space="0" w:color="auto"/>
            </w:tcBorders>
            <w:shd w:val="clear" w:color="auto" w:fill="D2DEE7"/>
          </w:tcPr>
          <w:p w14:paraId="41E0D131" w14:textId="7251FB36" w:rsidR="00994F7D" w:rsidRPr="00FA2C26" w:rsidRDefault="00994F7D" w:rsidP="00AA461F">
            <w:pPr>
              <w:pStyle w:val="TableBodyCopy"/>
            </w:pPr>
            <w:r w:rsidRPr="00FA2C26">
              <w:t>Percentage of new Indonesia</w:t>
            </w:r>
            <w:r w:rsidR="000F33D8">
              <w:t>n</w:t>
            </w:r>
            <w:r w:rsidRPr="00FA2C26">
              <w:t xml:space="preserve"> investment</w:t>
            </w:r>
            <w:r w:rsidR="00AC3E71">
              <w:t>s</w:t>
            </w:r>
            <w:r w:rsidRPr="00FA2C26">
              <w:t xml:space="preserve"> over $3</w:t>
            </w:r>
            <w:r w:rsidR="000F33D8">
              <w:t> </w:t>
            </w:r>
            <w:r w:rsidRPr="00FA2C26">
              <w:t>m</w:t>
            </w:r>
            <w:r w:rsidR="000F33D8">
              <w:t>illion</w:t>
            </w:r>
            <w:r w:rsidRPr="00FA2C26">
              <w:t xml:space="preserve"> that have a climate change objective (Tier 3)</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6EFAE481" w14:textId="0270F12C" w:rsidR="00994F7D" w:rsidRPr="00FA2C26" w:rsidRDefault="00994F7D" w:rsidP="00AA461F">
            <w:pPr>
              <w:pStyle w:val="TableBodyCopy"/>
            </w:pPr>
            <w:r w:rsidRPr="00FA2C26">
              <w:t>50%</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2A1D11D7" w14:textId="77777777" w:rsidR="00994F7D" w:rsidRPr="00FA2C26" w:rsidRDefault="00994F7D" w:rsidP="00AA461F">
            <w:pPr>
              <w:pStyle w:val="TableBodyCopy"/>
            </w:pPr>
            <w:r w:rsidRPr="00FA2C26">
              <w:t>50%</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38422B04" w14:textId="77777777" w:rsidR="00994F7D" w:rsidRPr="00FA2C26" w:rsidRDefault="00994F7D" w:rsidP="00AA461F">
            <w:pPr>
              <w:pStyle w:val="TableBodyCopy"/>
            </w:pPr>
            <w:r w:rsidRPr="00FA2C26">
              <w:t>60%</w:t>
            </w:r>
          </w:p>
        </w:tc>
        <w:tc>
          <w:tcPr>
            <w:tcW w:w="2523" w:type="dxa"/>
            <w:shd w:val="clear" w:color="auto" w:fill="D2DEE7"/>
          </w:tcPr>
          <w:p w14:paraId="5D78FDFC" w14:textId="5FAA0850" w:rsidR="00994F7D" w:rsidRPr="00FA2C26" w:rsidRDefault="0013070B" w:rsidP="00AA461F">
            <w:pPr>
              <w:pStyle w:val="TableBodyCopy"/>
            </w:pPr>
            <w:r>
              <w:t>SDG</w:t>
            </w:r>
            <w:r w:rsidR="00994F7D" w:rsidRPr="00FA2C26">
              <w:t>13</w:t>
            </w:r>
            <w:r>
              <w:t>:</w:t>
            </w:r>
            <w:r w:rsidR="00994F7D" w:rsidRPr="00FA2C26">
              <w:t xml:space="preserve"> Climate </w:t>
            </w:r>
            <w:r>
              <w:t>a</w:t>
            </w:r>
            <w:r w:rsidR="00994F7D" w:rsidRPr="00FA2C26">
              <w:t>ction</w:t>
            </w:r>
          </w:p>
        </w:tc>
      </w:tr>
      <w:tr w:rsidR="00AD6BF9" w:rsidRPr="00FA2C26" w14:paraId="0BFB21C1" w14:textId="77777777" w:rsidTr="00CF5050">
        <w:trPr>
          <w:trHeight w:val="700"/>
        </w:trPr>
        <w:tc>
          <w:tcPr>
            <w:tcW w:w="1798" w:type="dxa"/>
            <w:tcBorders>
              <w:top w:val="single" w:sz="4" w:space="0" w:color="auto"/>
              <w:left w:val="single" w:sz="4" w:space="0" w:color="auto"/>
              <w:bottom w:val="single" w:sz="4" w:space="0" w:color="auto"/>
              <w:right w:val="single" w:sz="4" w:space="0" w:color="auto"/>
            </w:tcBorders>
            <w:shd w:val="clear" w:color="auto" w:fill="D2DEE7"/>
          </w:tcPr>
          <w:p w14:paraId="7CD03063" w14:textId="1DB8C355" w:rsidR="00994F7D" w:rsidRPr="00994F7D" w:rsidRDefault="00994F7D" w:rsidP="00AA461F">
            <w:pPr>
              <w:pStyle w:val="TableBodyCopy"/>
            </w:pPr>
            <w:r>
              <w:t>Localisation</w:t>
            </w:r>
          </w:p>
        </w:tc>
        <w:tc>
          <w:tcPr>
            <w:tcW w:w="3159" w:type="dxa"/>
            <w:tcBorders>
              <w:top w:val="single" w:sz="4" w:space="0" w:color="auto"/>
              <w:left w:val="single" w:sz="4" w:space="0" w:color="auto"/>
              <w:bottom w:val="single" w:sz="4" w:space="0" w:color="auto"/>
              <w:right w:val="single" w:sz="4" w:space="0" w:color="auto"/>
            </w:tcBorders>
            <w:shd w:val="clear" w:color="auto" w:fill="D2DEE7"/>
          </w:tcPr>
          <w:p w14:paraId="753BE2AC" w14:textId="542A4D6C" w:rsidR="00994F7D" w:rsidRPr="00FA2C26" w:rsidRDefault="00994F7D" w:rsidP="00AA461F">
            <w:pPr>
              <w:pStyle w:val="TableBodyCopy"/>
            </w:pPr>
            <w:r w:rsidRPr="00FA2C26">
              <w:t xml:space="preserve">Percentage of bilateral investment designs and evaluations </w:t>
            </w:r>
            <w:r w:rsidR="00764B53">
              <w:t xml:space="preserve">that </w:t>
            </w:r>
            <w:r w:rsidRPr="00FA2C26">
              <w:t>include local participation (Tier 3)</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59DD481D" w14:textId="7D77BA88" w:rsidR="00994F7D" w:rsidRPr="00FA2C26" w:rsidRDefault="00994F7D" w:rsidP="00AA461F">
            <w:pPr>
              <w:pStyle w:val="TableBodyCopy"/>
            </w:pPr>
            <w:r w:rsidRPr="00FA2C26">
              <w:t>60%</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19246E02" w14:textId="77777777" w:rsidR="00994F7D" w:rsidRPr="00FA2C26" w:rsidRDefault="00994F7D" w:rsidP="00AA461F">
            <w:pPr>
              <w:pStyle w:val="TableBodyCopy"/>
            </w:pPr>
            <w:r w:rsidRPr="00FA2C26">
              <w:t>80%</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259D04AA" w14:textId="77777777" w:rsidR="00994F7D" w:rsidRPr="00FA2C26" w:rsidRDefault="00994F7D" w:rsidP="00AA461F">
            <w:pPr>
              <w:pStyle w:val="TableBodyCopy"/>
            </w:pPr>
            <w:r w:rsidRPr="00FA2C26">
              <w:t>80%</w:t>
            </w:r>
          </w:p>
        </w:tc>
        <w:tc>
          <w:tcPr>
            <w:tcW w:w="2523" w:type="dxa"/>
            <w:shd w:val="clear" w:color="auto" w:fill="D2DEE7"/>
          </w:tcPr>
          <w:p w14:paraId="46ED0059" w14:textId="0D3320AA" w:rsidR="00E5101E" w:rsidRDefault="00E5101E" w:rsidP="00AA461F">
            <w:pPr>
              <w:pStyle w:val="TableBodyCopy"/>
            </w:pPr>
            <w:r>
              <w:t>SDG</w:t>
            </w:r>
            <w:r w:rsidRPr="00FA2C26">
              <w:t>8</w:t>
            </w:r>
            <w:r>
              <w:t>:</w:t>
            </w:r>
            <w:r w:rsidRPr="00FA2C26">
              <w:t xml:space="preserve"> Decent work and economic growth</w:t>
            </w:r>
          </w:p>
          <w:p w14:paraId="17B8149A" w14:textId="2AFD5BA4" w:rsidR="00994F7D" w:rsidRPr="00FA2C26" w:rsidRDefault="0013070B" w:rsidP="00AA461F">
            <w:pPr>
              <w:pStyle w:val="TableBodyCopy"/>
            </w:pPr>
            <w:r>
              <w:t>SDG</w:t>
            </w:r>
            <w:r w:rsidR="00994F7D" w:rsidRPr="00FA2C26">
              <w:t>16</w:t>
            </w:r>
            <w:r>
              <w:t>:</w:t>
            </w:r>
            <w:r w:rsidR="00994F7D" w:rsidRPr="00FA2C26">
              <w:t xml:space="preserve"> Peace, </w:t>
            </w:r>
            <w:proofErr w:type="gramStart"/>
            <w:r>
              <w:t>j</w:t>
            </w:r>
            <w:r w:rsidR="00994F7D" w:rsidRPr="00FA2C26">
              <w:t>ustice</w:t>
            </w:r>
            <w:proofErr w:type="gramEnd"/>
            <w:r w:rsidR="00994F7D" w:rsidRPr="00FA2C26">
              <w:t xml:space="preserve"> and </w:t>
            </w:r>
            <w:r>
              <w:t>s</w:t>
            </w:r>
            <w:r w:rsidR="00994F7D" w:rsidRPr="00FA2C26">
              <w:t xml:space="preserve">trong </w:t>
            </w:r>
            <w:r>
              <w:t>i</w:t>
            </w:r>
            <w:r w:rsidR="00994F7D" w:rsidRPr="00FA2C26">
              <w:t>nstitutions</w:t>
            </w:r>
          </w:p>
        </w:tc>
      </w:tr>
      <w:tr w:rsidR="00AD6BF9" w:rsidRPr="00FA2C26" w14:paraId="304DBC5A" w14:textId="77777777" w:rsidTr="00CF5050">
        <w:trPr>
          <w:trHeight w:val="700"/>
        </w:trPr>
        <w:tc>
          <w:tcPr>
            <w:tcW w:w="1798" w:type="dxa"/>
            <w:tcBorders>
              <w:top w:val="single" w:sz="4" w:space="0" w:color="auto"/>
              <w:left w:val="single" w:sz="4" w:space="0" w:color="auto"/>
              <w:bottom w:val="single" w:sz="4" w:space="0" w:color="auto"/>
              <w:right w:val="single" w:sz="4" w:space="0" w:color="auto"/>
            </w:tcBorders>
            <w:shd w:val="clear" w:color="auto" w:fill="D2DEE7"/>
          </w:tcPr>
          <w:p w14:paraId="3C4A995E" w14:textId="444EABD2" w:rsidR="00994F7D" w:rsidRPr="00FA2C26" w:rsidRDefault="00994F7D" w:rsidP="00AA461F">
            <w:pPr>
              <w:pStyle w:val="TableBodyCopy"/>
            </w:pPr>
            <w:r>
              <w:t>Localisation</w:t>
            </w:r>
          </w:p>
        </w:tc>
        <w:tc>
          <w:tcPr>
            <w:tcW w:w="3159" w:type="dxa"/>
            <w:tcBorders>
              <w:top w:val="single" w:sz="4" w:space="0" w:color="auto"/>
              <w:left w:val="single" w:sz="4" w:space="0" w:color="auto"/>
              <w:bottom w:val="single" w:sz="4" w:space="0" w:color="auto"/>
              <w:right w:val="single" w:sz="4" w:space="0" w:color="auto"/>
            </w:tcBorders>
            <w:shd w:val="clear" w:color="auto" w:fill="D2DEE7"/>
          </w:tcPr>
          <w:p w14:paraId="6E5E8DC1" w14:textId="1E254C18" w:rsidR="00994F7D" w:rsidRPr="00FA2C26" w:rsidRDefault="00994F7D" w:rsidP="00AA461F">
            <w:pPr>
              <w:pStyle w:val="TableBodyCopy"/>
            </w:pPr>
            <w:r w:rsidRPr="00FA2C26">
              <w:t>Number of local personnel, sub-contractors and staff engaged – Managing Contractors (</w:t>
            </w:r>
            <w:r w:rsidR="004B30BE" w:rsidRPr="00FA2C26">
              <w:t>Tier</w:t>
            </w:r>
            <w:r w:rsidR="004B30BE">
              <w:t> </w:t>
            </w:r>
            <w:r w:rsidRPr="00FA2C26">
              <w:t>3)</w:t>
            </w:r>
            <w:hyperlink w:anchor="Tn3f" w:history="1">
              <w:r w:rsidR="00EE574E">
                <w:rPr>
                  <w:rStyle w:val="Hyperlink"/>
                  <w:vertAlign w:val="superscript"/>
                </w:rPr>
                <w:t>f</w:t>
              </w:r>
            </w:hyperlink>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14EA8417" w14:textId="457B6304" w:rsidR="00994F7D" w:rsidRPr="00FA2C26" w:rsidRDefault="00411044" w:rsidP="00AA461F">
            <w:pPr>
              <w:pStyle w:val="TableBodyCopy"/>
            </w:pPr>
            <w:r>
              <w:rPr>
                <w:kern w:val="2"/>
                <w14:ligatures w14:val="standardContextual"/>
              </w:rPr>
              <w:t>Results collected centrally</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03DA3123" w14:textId="29925E88" w:rsidR="00994F7D" w:rsidRPr="00FA2C26" w:rsidRDefault="00411044" w:rsidP="00AA461F">
            <w:pPr>
              <w:pStyle w:val="TableBodyCopy"/>
            </w:pPr>
            <w:r>
              <w:rPr>
                <w:kern w:val="2"/>
                <w14:ligatures w14:val="standardContextual"/>
              </w:rPr>
              <w:t>Results collected centrally</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649BC9D4" w14:textId="6F414538" w:rsidR="00994F7D" w:rsidRPr="00FA2C26" w:rsidRDefault="00411044" w:rsidP="00AA461F">
            <w:pPr>
              <w:pStyle w:val="TableBodyCopy"/>
            </w:pPr>
            <w:r>
              <w:rPr>
                <w:kern w:val="2"/>
                <w14:ligatures w14:val="standardContextual"/>
              </w:rPr>
              <w:t>Results collected centrally</w:t>
            </w:r>
          </w:p>
        </w:tc>
        <w:tc>
          <w:tcPr>
            <w:tcW w:w="2523" w:type="dxa"/>
            <w:shd w:val="clear" w:color="auto" w:fill="D2DEE7"/>
          </w:tcPr>
          <w:p w14:paraId="15E293D3" w14:textId="13A07EA3" w:rsidR="00994F7D" w:rsidRPr="00FA2C26" w:rsidRDefault="00B07D29" w:rsidP="00AA461F">
            <w:pPr>
              <w:pStyle w:val="TableBodyCopy"/>
            </w:pPr>
            <w:r>
              <w:t xml:space="preserve">SDG8, </w:t>
            </w:r>
            <w:r w:rsidR="0013070B">
              <w:t>SDG</w:t>
            </w:r>
            <w:r w:rsidR="00994F7D" w:rsidRPr="00FA2C26">
              <w:t>16</w:t>
            </w:r>
          </w:p>
        </w:tc>
      </w:tr>
      <w:tr w:rsidR="00AD6BF9" w:rsidRPr="00FA2C26" w14:paraId="44DFE802" w14:textId="77777777" w:rsidTr="00CF5050">
        <w:trPr>
          <w:trHeight w:val="700"/>
        </w:trPr>
        <w:tc>
          <w:tcPr>
            <w:tcW w:w="1798" w:type="dxa"/>
            <w:tcBorders>
              <w:top w:val="single" w:sz="4" w:space="0" w:color="auto"/>
              <w:left w:val="single" w:sz="4" w:space="0" w:color="auto"/>
              <w:bottom w:val="single" w:sz="4" w:space="0" w:color="auto"/>
              <w:right w:val="single" w:sz="4" w:space="0" w:color="auto"/>
            </w:tcBorders>
            <w:shd w:val="clear" w:color="auto" w:fill="D2DEE7"/>
          </w:tcPr>
          <w:p w14:paraId="313F931A" w14:textId="1D0345D9" w:rsidR="00994F7D" w:rsidRPr="00FA2C26" w:rsidRDefault="00994F7D" w:rsidP="00AA461F">
            <w:pPr>
              <w:pStyle w:val="TableBodyCopy"/>
            </w:pPr>
            <w:r>
              <w:t>Localisation</w:t>
            </w:r>
          </w:p>
        </w:tc>
        <w:tc>
          <w:tcPr>
            <w:tcW w:w="3159" w:type="dxa"/>
            <w:tcBorders>
              <w:top w:val="single" w:sz="4" w:space="0" w:color="auto"/>
              <w:left w:val="single" w:sz="4" w:space="0" w:color="auto"/>
              <w:bottom w:val="single" w:sz="4" w:space="0" w:color="auto"/>
              <w:right w:val="single" w:sz="4" w:space="0" w:color="auto"/>
            </w:tcBorders>
            <w:shd w:val="clear" w:color="auto" w:fill="D2DEE7"/>
          </w:tcPr>
          <w:p w14:paraId="7434FC15" w14:textId="1E33FB09" w:rsidR="00994F7D" w:rsidRPr="00FA2C26" w:rsidRDefault="00994F7D" w:rsidP="00AA461F">
            <w:pPr>
              <w:pStyle w:val="TableBodyCopy"/>
            </w:pPr>
            <w:r w:rsidRPr="00FA2C26">
              <w:t>Number and dollar value of local cont</w:t>
            </w:r>
            <w:r w:rsidR="004B30BE">
              <w:t>r</w:t>
            </w:r>
            <w:r w:rsidRPr="00FA2C26">
              <w:t>acts and grants – Managing Contractors (Tier 3)</w:t>
            </w:r>
            <w:hyperlink w:anchor="Tn3g" w:history="1">
              <w:r w:rsidR="00EE574E">
                <w:rPr>
                  <w:rStyle w:val="Hyperlink"/>
                  <w:vertAlign w:val="superscript"/>
                </w:rPr>
                <w:t>g</w:t>
              </w:r>
            </w:hyperlink>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6EFB0E14" w14:textId="4B32555F" w:rsidR="00994F7D" w:rsidRPr="00FA2C26" w:rsidRDefault="00411044" w:rsidP="00AA461F">
            <w:pPr>
              <w:pStyle w:val="TableBodyCopy"/>
            </w:pPr>
            <w:r>
              <w:rPr>
                <w:kern w:val="2"/>
                <w14:ligatures w14:val="standardContextual"/>
              </w:rPr>
              <w:t>Results collected centrally</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305819F7" w14:textId="6501F3D4" w:rsidR="00994F7D" w:rsidRPr="00FA2C26" w:rsidRDefault="00411044" w:rsidP="00AA461F">
            <w:pPr>
              <w:pStyle w:val="TableBodyCopy"/>
            </w:pPr>
            <w:r>
              <w:rPr>
                <w:kern w:val="2"/>
                <w14:ligatures w14:val="standardContextual"/>
              </w:rPr>
              <w:t>Results collected centrally</w:t>
            </w:r>
          </w:p>
        </w:tc>
        <w:tc>
          <w:tcPr>
            <w:tcW w:w="2311" w:type="dxa"/>
            <w:tcBorders>
              <w:top w:val="single" w:sz="4" w:space="0" w:color="auto"/>
              <w:left w:val="single" w:sz="4" w:space="0" w:color="auto"/>
              <w:bottom w:val="single" w:sz="4" w:space="0" w:color="auto"/>
              <w:right w:val="single" w:sz="4" w:space="0" w:color="auto"/>
            </w:tcBorders>
            <w:shd w:val="clear" w:color="auto" w:fill="D2DEE7"/>
          </w:tcPr>
          <w:p w14:paraId="3EE8E695" w14:textId="16F3EF73" w:rsidR="00994F7D" w:rsidRPr="00FA2C26" w:rsidRDefault="00411044" w:rsidP="00AA461F">
            <w:pPr>
              <w:pStyle w:val="TableBodyCopy"/>
            </w:pPr>
            <w:r>
              <w:rPr>
                <w:kern w:val="2"/>
                <w14:ligatures w14:val="standardContextual"/>
              </w:rPr>
              <w:t>Results collected centrally</w:t>
            </w:r>
          </w:p>
        </w:tc>
        <w:tc>
          <w:tcPr>
            <w:tcW w:w="2523" w:type="dxa"/>
            <w:shd w:val="clear" w:color="auto" w:fill="D2DEE7"/>
          </w:tcPr>
          <w:p w14:paraId="1EBC9D01" w14:textId="5E0E4078" w:rsidR="00994F7D" w:rsidRPr="00FA2C26" w:rsidRDefault="00B07D29" w:rsidP="00AA461F">
            <w:pPr>
              <w:pStyle w:val="TableBodyCopy"/>
            </w:pPr>
            <w:r>
              <w:t xml:space="preserve">SDG8, </w:t>
            </w:r>
            <w:r w:rsidR="0013070B">
              <w:t>SDG</w:t>
            </w:r>
            <w:r w:rsidR="00994F7D" w:rsidRPr="00FA2C26">
              <w:t>16</w:t>
            </w:r>
          </w:p>
        </w:tc>
      </w:tr>
    </w:tbl>
    <w:p w14:paraId="5CD47ADA" w14:textId="6ABF8DEE" w:rsidR="003F0968" w:rsidRDefault="00E60A50" w:rsidP="00CF5050">
      <w:pPr>
        <w:pStyle w:val="Tablenote"/>
      </w:pPr>
      <w:bookmarkStart w:id="10" w:name="Tn3f"/>
      <w:bookmarkStart w:id="11" w:name="_Hlk130205496"/>
      <w:r>
        <w:t>f</w:t>
      </w:r>
      <w:r w:rsidR="007204A2">
        <w:tab/>
      </w:r>
      <w:r w:rsidR="007204A2" w:rsidRPr="00011398">
        <w:t>Targets are not required for this indicator.</w:t>
      </w:r>
    </w:p>
    <w:p w14:paraId="4502C9AF" w14:textId="5F07EC91" w:rsidR="003F0968" w:rsidRDefault="00EE574E" w:rsidP="00CF5050">
      <w:pPr>
        <w:pStyle w:val="Tablenote"/>
        <w:rPr>
          <w:rFonts w:cstheme="majorHAnsi"/>
        </w:rPr>
      </w:pPr>
      <w:bookmarkStart w:id="12" w:name="Tn3g"/>
      <w:bookmarkEnd w:id="10"/>
      <w:r>
        <w:t>g</w:t>
      </w:r>
      <w:r w:rsidR="007204A2">
        <w:tab/>
      </w:r>
      <w:r w:rsidR="007204A2" w:rsidRPr="00011398">
        <w:t>Targets are not required for this indicator.</w:t>
      </w:r>
      <w:bookmarkEnd w:id="12"/>
    </w:p>
    <w:p w14:paraId="6E749922" w14:textId="77777777" w:rsidR="007204A2" w:rsidRPr="00FA2C26" w:rsidRDefault="007204A2" w:rsidP="00EA0805">
      <w:pPr>
        <w:ind w:left="-426"/>
        <w:rPr>
          <w:rFonts w:cstheme="majorHAnsi"/>
        </w:rPr>
        <w:sectPr w:rsidR="007204A2" w:rsidRPr="00FA2C26" w:rsidSect="004F52E5">
          <w:headerReference w:type="default" r:id="rId16"/>
          <w:footerReference w:type="default" r:id="rId17"/>
          <w:endnotePr>
            <w:numFmt w:val="decimal"/>
          </w:endnotePr>
          <w:pgSz w:w="16838" w:h="11906" w:orient="landscape" w:code="9"/>
          <w:pgMar w:top="1134" w:right="992" w:bottom="1134" w:left="851" w:header="340" w:footer="414" w:gutter="0"/>
          <w:cols w:space="720"/>
          <w:noEndnote/>
          <w:docGrid w:linePitch="360"/>
        </w:sectPr>
      </w:pPr>
    </w:p>
    <w:bookmarkEnd w:id="11"/>
    <w:p w14:paraId="6DB05183" w14:textId="3A39DCD9" w:rsidR="002F4955" w:rsidRPr="00B70AE0" w:rsidRDefault="002F4955" w:rsidP="00AD414A">
      <w:pPr>
        <w:pStyle w:val="H2-Heading2"/>
      </w:pPr>
      <w:r w:rsidRPr="00B70AE0">
        <w:lastRenderedPageBreak/>
        <w:t>Annex 1</w:t>
      </w:r>
      <w:r w:rsidR="007242C7">
        <w:t>: S</w:t>
      </w:r>
      <w:r w:rsidR="007242C7" w:rsidRPr="00890471">
        <w:t>upporting investments/activities</w:t>
      </w:r>
      <w:r w:rsidR="00EF147D">
        <w:t xml:space="preserve"> in </w:t>
      </w:r>
      <w:proofErr w:type="gramStart"/>
      <w:r w:rsidR="00EF147D">
        <w:t>Indonesia</w:t>
      </w:r>
      <w:proofErr w:type="gramEnd"/>
    </w:p>
    <w:p w14:paraId="3A2C825E" w14:textId="54E88FF4" w:rsidR="00463AE2" w:rsidRDefault="00463AE2" w:rsidP="00463AE2">
      <w:pPr>
        <w:rPr>
          <w:lang w:eastAsia="en-AU"/>
        </w:rPr>
      </w:pPr>
      <w:r>
        <w:rPr>
          <w:lang w:eastAsia="en-AU"/>
        </w:rPr>
        <w:t xml:space="preserve">Australian Government </w:t>
      </w:r>
      <w:r w:rsidRPr="413282F0">
        <w:rPr>
          <w:lang w:eastAsia="en-AU"/>
        </w:rPr>
        <w:t xml:space="preserve">supporting investments/activities for </w:t>
      </w:r>
      <w:r w:rsidRPr="00E03887">
        <w:rPr>
          <w:lang w:eastAsia="en-AU"/>
        </w:rPr>
        <w:t>Objective 1</w:t>
      </w:r>
      <w:r w:rsidR="008E6D70" w:rsidRPr="00E03887">
        <w:rPr>
          <w:lang w:eastAsia="en-AU"/>
        </w:rPr>
        <w:t xml:space="preserve"> </w:t>
      </w:r>
      <w:r w:rsidR="008E5497" w:rsidRPr="00CF5050">
        <w:rPr>
          <w:lang w:eastAsia="en-AU"/>
        </w:rPr>
        <w:t xml:space="preserve">Equitable and </w:t>
      </w:r>
      <w:r w:rsidR="00EF147D" w:rsidRPr="00CF5050">
        <w:rPr>
          <w:lang w:eastAsia="en-AU"/>
        </w:rPr>
        <w:t>s</w:t>
      </w:r>
      <w:r w:rsidR="008E5497" w:rsidRPr="00CF5050">
        <w:rPr>
          <w:lang w:eastAsia="en-AU"/>
        </w:rPr>
        <w:t xml:space="preserve">ustainable </w:t>
      </w:r>
      <w:r w:rsidR="00EF147D" w:rsidRPr="00CF5050">
        <w:rPr>
          <w:lang w:eastAsia="en-AU"/>
        </w:rPr>
        <w:t>e</w:t>
      </w:r>
      <w:r w:rsidR="008E5497" w:rsidRPr="00CF5050">
        <w:rPr>
          <w:lang w:eastAsia="en-AU"/>
        </w:rPr>
        <w:t xml:space="preserve">conomic </w:t>
      </w:r>
      <w:r w:rsidR="00EF147D" w:rsidRPr="00CF5050">
        <w:rPr>
          <w:lang w:eastAsia="en-AU"/>
        </w:rPr>
        <w:t>t</w:t>
      </w:r>
      <w:r w:rsidR="008E5497" w:rsidRPr="00CF5050">
        <w:rPr>
          <w:lang w:eastAsia="en-AU"/>
        </w:rPr>
        <w:t>ransformation</w:t>
      </w:r>
      <w:r w:rsidRPr="413282F0">
        <w:rPr>
          <w:lang w:eastAsia="en-AU"/>
        </w:rPr>
        <w:t xml:space="preserve"> (</w:t>
      </w:r>
      <w:r w:rsidRPr="1121DF86">
        <w:rPr>
          <w:rFonts w:eastAsia="Calibri Light"/>
        </w:rPr>
        <w:t xml:space="preserve">bilateral </w:t>
      </w:r>
      <w:r w:rsidRPr="1121DF86">
        <w:rPr>
          <w:lang w:eastAsia="en-AU"/>
        </w:rPr>
        <w:t>Official Development Assistance (ODA) as well as significant regional and global ODA</w:t>
      </w:r>
      <w:r>
        <w:rPr>
          <w:lang w:eastAsia="en-AU"/>
        </w:rPr>
        <w:t>,</w:t>
      </w:r>
      <w:r w:rsidRPr="1121DF86">
        <w:rPr>
          <w:lang w:eastAsia="en-AU"/>
        </w:rPr>
        <w:t xml:space="preserve"> and significant non-ODA development </w:t>
      </w:r>
      <w:r w:rsidRPr="413282F0">
        <w:rPr>
          <w:lang w:eastAsia="en-AU"/>
        </w:rPr>
        <w:t>investments</w:t>
      </w:r>
      <w:r>
        <w:rPr>
          <w:lang w:eastAsia="en-AU"/>
        </w:rPr>
        <w:t>/</w:t>
      </w:r>
      <w:r w:rsidRPr="1121DF86">
        <w:rPr>
          <w:lang w:eastAsia="en-AU"/>
        </w:rPr>
        <w:t>activities</w:t>
      </w:r>
      <w:r>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1"/>
        <w:tblDescription w:val="Investments and activities, duration and key partners"/>
      </w:tblPr>
      <w:tblGrid>
        <w:gridCol w:w="3398"/>
        <w:gridCol w:w="3399"/>
        <w:gridCol w:w="3397"/>
      </w:tblGrid>
      <w:tr w:rsidR="00085127" w:rsidRPr="00085127" w14:paraId="0775D5B0" w14:textId="77777777" w:rsidTr="00D400F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667" w:type="pct"/>
          </w:tcPr>
          <w:p w14:paraId="74289407" w14:textId="78E76006" w:rsidR="00502359" w:rsidRPr="007A5BE5" w:rsidRDefault="00502359" w:rsidP="00DC39E5">
            <w:pPr>
              <w:pStyle w:val="TableHeading"/>
            </w:pPr>
            <w:bookmarkStart w:id="13" w:name="_Hlk171337237"/>
            <w:r w:rsidRPr="007A5BE5">
              <w:t xml:space="preserve">Name of </w:t>
            </w:r>
            <w:r w:rsidR="007A5BE5">
              <w:t>i</w:t>
            </w:r>
            <w:r w:rsidRPr="007A5BE5">
              <w:t>nvestment</w:t>
            </w:r>
          </w:p>
        </w:tc>
        <w:tc>
          <w:tcPr>
            <w:tcW w:w="1667" w:type="pct"/>
          </w:tcPr>
          <w:p w14:paraId="53C3D8FD" w14:textId="77777777" w:rsidR="00502359" w:rsidRPr="007A5BE5" w:rsidRDefault="00502359" w:rsidP="00DC39E5">
            <w:pPr>
              <w:pStyle w:val="TableHeading"/>
              <w:cnfStyle w:val="100000000000" w:firstRow="1" w:lastRow="0" w:firstColumn="0" w:lastColumn="0" w:oddVBand="0" w:evenVBand="0" w:oddHBand="0" w:evenHBand="0" w:firstRowFirstColumn="0" w:firstRowLastColumn="0" w:lastRowFirstColumn="0" w:lastRowLastColumn="0"/>
            </w:pPr>
            <w:r w:rsidRPr="007A5BE5">
              <w:t>Duration</w:t>
            </w:r>
          </w:p>
        </w:tc>
        <w:tc>
          <w:tcPr>
            <w:tcW w:w="1667" w:type="pct"/>
          </w:tcPr>
          <w:p w14:paraId="1B6832E9" w14:textId="77777777" w:rsidR="00502359" w:rsidRPr="007A5BE5" w:rsidRDefault="00502359" w:rsidP="00DC39E5">
            <w:pPr>
              <w:pStyle w:val="TableHeading"/>
              <w:cnfStyle w:val="100000000000" w:firstRow="1" w:lastRow="0" w:firstColumn="0" w:lastColumn="0" w:oddVBand="0" w:evenVBand="0" w:oddHBand="0" w:evenHBand="0" w:firstRowFirstColumn="0" w:firstRowLastColumn="0" w:lastRowFirstColumn="0" w:lastRowLastColumn="0"/>
            </w:pPr>
            <w:r w:rsidRPr="007A5BE5">
              <w:t>Key partners</w:t>
            </w:r>
          </w:p>
        </w:tc>
      </w:tr>
      <w:bookmarkEnd w:id="13"/>
      <w:tr w:rsidR="000855E3" w:rsidRPr="00FA2C26" w14:paraId="201686F7" w14:textId="77777777" w:rsidTr="00D40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D92CF1C" w14:textId="77777777" w:rsidR="00CA3EA7" w:rsidRDefault="00CA3EA7" w:rsidP="002B2C94">
            <w:pPr>
              <w:pStyle w:val="TableBodyCopy"/>
            </w:pPr>
            <w:r w:rsidRPr="00FA2C26">
              <w:t>Indonesia Australia Partnership for Infrastructure (KIAT)</w:t>
            </w:r>
          </w:p>
          <w:p w14:paraId="5DFE422D" w14:textId="4E521CEE" w:rsidR="005453D3" w:rsidRPr="00FA2C26" w:rsidRDefault="0059155A" w:rsidP="002B2C94">
            <w:pPr>
              <w:pStyle w:val="TableBodyCopy"/>
            </w:pPr>
            <w:r>
              <w:t>(</w:t>
            </w:r>
            <w:r w:rsidR="005023F7">
              <w:t>b</w:t>
            </w:r>
            <w:r>
              <w:t>ilateral)</w:t>
            </w:r>
          </w:p>
        </w:tc>
        <w:tc>
          <w:tcPr>
            <w:tcW w:w="1667" w:type="pct"/>
            <w:shd w:val="clear" w:color="auto" w:fill="D2DEE7" w:themeFill="accent1" w:themeFillTint="33"/>
          </w:tcPr>
          <w:p w14:paraId="7E3D91F5" w14:textId="3F2CBEFC" w:rsidR="00CA3EA7" w:rsidRPr="00FA2C26" w:rsidRDefault="00CA3EA7" w:rsidP="002B2C94">
            <w:pPr>
              <w:pStyle w:val="TableBodyCopy"/>
              <w:cnfStyle w:val="000000100000" w:firstRow="0" w:lastRow="0" w:firstColumn="0" w:lastColumn="0" w:oddVBand="0" w:evenVBand="0" w:oddHBand="1" w:evenHBand="0" w:firstRowFirstColumn="0" w:firstRowLastColumn="0" w:lastRowFirstColumn="0" w:lastRowLastColumn="0"/>
            </w:pPr>
            <w:r w:rsidRPr="00FA2C26">
              <w:t>2017</w:t>
            </w:r>
            <w:r w:rsidR="007711BB">
              <w:t>–</w:t>
            </w:r>
            <w:r w:rsidRPr="00FA2C26">
              <w:t>2026</w:t>
            </w:r>
          </w:p>
        </w:tc>
        <w:tc>
          <w:tcPr>
            <w:tcW w:w="1667" w:type="pct"/>
            <w:shd w:val="clear" w:color="auto" w:fill="F2F2F2" w:themeFill="background1" w:themeFillShade="F2"/>
          </w:tcPr>
          <w:p w14:paraId="1B156D80" w14:textId="32A7B24C" w:rsidR="00CA3EA7" w:rsidRPr="00FA2C26" w:rsidRDefault="000D65BD" w:rsidP="002B2C94">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National Development Planning Agency </w:t>
            </w:r>
            <w:r>
              <w:t>(</w:t>
            </w:r>
            <w:proofErr w:type="spellStart"/>
            <w:r w:rsidR="00CA3EA7" w:rsidRPr="00FA2C26">
              <w:t>Bappenas</w:t>
            </w:r>
            <w:proofErr w:type="spellEnd"/>
            <w:r>
              <w:t>)</w:t>
            </w:r>
            <w:r w:rsidR="00CA3EA7" w:rsidRPr="00FA2C26">
              <w:t xml:space="preserve">; Ministry of Public Works and Housing (MPWH); Ministry of Finance (MoF); </w:t>
            </w:r>
            <w:r w:rsidR="00E94B79">
              <w:t>p</w:t>
            </w:r>
            <w:r w:rsidR="00CA3EA7" w:rsidRPr="00FA2C26">
              <w:t xml:space="preserve">rovincial governments; private sector; </w:t>
            </w:r>
            <w:r w:rsidR="007711BB">
              <w:t>civil society organisations (</w:t>
            </w:r>
            <w:r w:rsidR="00CA3EA7" w:rsidRPr="00FA2C26">
              <w:t>CSOs</w:t>
            </w:r>
            <w:r w:rsidR="007711BB">
              <w:t>)</w:t>
            </w:r>
          </w:p>
        </w:tc>
      </w:tr>
      <w:tr w:rsidR="000855E3" w:rsidRPr="00FA2C26" w14:paraId="3F55FF62" w14:textId="77777777" w:rsidTr="00D400F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5239ECB" w14:textId="62285F73" w:rsidR="00CA3EA7" w:rsidRDefault="00CA3EA7" w:rsidP="002B2C94">
            <w:pPr>
              <w:pStyle w:val="TableBodyCopy"/>
            </w:pPr>
            <w:r w:rsidRPr="00FA2C26">
              <w:t>Australia</w:t>
            </w:r>
            <w:r w:rsidR="007711BB">
              <w:t>–</w:t>
            </w:r>
            <w:r w:rsidRPr="00FA2C26">
              <w:t>Indonesia Partnership for Economic Development (PROSPERA)</w:t>
            </w:r>
          </w:p>
          <w:p w14:paraId="2CC93496" w14:textId="41E2AEB8" w:rsidR="0059155A" w:rsidRPr="00FA2C26" w:rsidRDefault="0059155A" w:rsidP="00C56CF2">
            <w:pPr>
              <w:pStyle w:val="TableBodyCopy"/>
            </w:pPr>
            <w:r>
              <w:t>(</w:t>
            </w:r>
            <w:r w:rsidR="005023F7">
              <w:t>b</w:t>
            </w:r>
            <w:r>
              <w:t>ilateral)</w:t>
            </w:r>
          </w:p>
        </w:tc>
        <w:tc>
          <w:tcPr>
            <w:tcW w:w="1667" w:type="pct"/>
            <w:shd w:val="clear" w:color="auto" w:fill="D2DEE7" w:themeFill="accent1" w:themeFillTint="33"/>
          </w:tcPr>
          <w:p w14:paraId="3DF32081" w14:textId="3055B0EC" w:rsidR="00CA3EA7" w:rsidRPr="00FA2C26" w:rsidRDefault="00CA3EA7" w:rsidP="002B2C94">
            <w:pPr>
              <w:pStyle w:val="TableBodyCopy"/>
              <w:cnfStyle w:val="000000000000" w:firstRow="0" w:lastRow="0" w:firstColumn="0" w:lastColumn="0" w:oddVBand="0" w:evenVBand="0" w:oddHBand="0" w:evenHBand="0" w:firstRowFirstColumn="0" w:firstRowLastColumn="0" w:lastRowFirstColumn="0" w:lastRowLastColumn="0"/>
            </w:pPr>
            <w:r w:rsidRPr="00FA2C26">
              <w:t>2018</w:t>
            </w:r>
            <w:r w:rsidR="00C56CF2">
              <w:t>–</w:t>
            </w:r>
            <w:r w:rsidRPr="00FA2C26">
              <w:t>2026</w:t>
            </w:r>
          </w:p>
        </w:tc>
        <w:tc>
          <w:tcPr>
            <w:tcW w:w="1667" w:type="pct"/>
            <w:shd w:val="clear" w:color="auto" w:fill="F2F2F2" w:themeFill="background1" w:themeFillShade="F2"/>
          </w:tcPr>
          <w:p w14:paraId="3332CFAD" w14:textId="4693652C" w:rsidR="00CA3EA7" w:rsidRPr="00FA2C26" w:rsidRDefault="00DF7A27" w:rsidP="002B2C94">
            <w:pPr>
              <w:pStyle w:val="TableBodyCopy"/>
              <w:cnfStyle w:val="000000000000" w:firstRow="0" w:lastRow="0" w:firstColumn="0" w:lastColumn="0" w:oddVBand="0" w:evenVBand="0" w:oddHBand="0" w:evenHBand="0" w:firstRowFirstColumn="0" w:firstRowLastColumn="0" w:lastRowFirstColumn="0" w:lastRowLastColumn="0"/>
            </w:pPr>
            <w:r w:rsidRPr="00FA2C26">
              <w:t xml:space="preserve">Coordinating Ministry for Economic Affairs </w:t>
            </w:r>
            <w:r>
              <w:t>(</w:t>
            </w:r>
            <w:r w:rsidR="00CA3EA7" w:rsidRPr="00FA2C26">
              <w:t>CMEA</w:t>
            </w:r>
            <w:r>
              <w:t>)</w:t>
            </w:r>
            <w:r w:rsidR="00CA3EA7" w:rsidRPr="00FA2C26">
              <w:t xml:space="preserve">; MoF; Financial Services Authority (OJK); </w:t>
            </w:r>
            <w:r w:rsidR="001A0E56" w:rsidRPr="00FA2C26">
              <w:t xml:space="preserve">Coordinating Ministry of Maritime and Investment Affairs </w:t>
            </w:r>
            <w:r w:rsidR="001A0E56">
              <w:t>(</w:t>
            </w:r>
            <w:r w:rsidR="00CA3EA7" w:rsidRPr="00FA2C26">
              <w:t>MARVES</w:t>
            </w:r>
            <w:r w:rsidR="001A0E56">
              <w:t>)</w:t>
            </w:r>
            <w:r w:rsidR="00CA3EA7" w:rsidRPr="00FA2C26">
              <w:t>; Ministry of Women Empowerment and Child Protection (</w:t>
            </w:r>
            <w:proofErr w:type="spellStart"/>
            <w:r w:rsidR="00CA3EA7" w:rsidRPr="00FA2C26">
              <w:t>MoWECP</w:t>
            </w:r>
            <w:proofErr w:type="spellEnd"/>
            <w:r w:rsidR="00CA3EA7" w:rsidRPr="00FA2C26">
              <w:t>); Statistics Indonesia (BPS)</w:t>
            </w:r>
          </w:p>
        </w:tc>
      </w:tr>
      <w:tr w:rsidR="000855E3" w:rsidRPr="00FA2C26" w14:paraId="0D23F9E9" w14:textId="77777777" w:rsidTr="00D40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4100953" w14:textId="7E358A58" w:rsidR="00CA3EA7" w:rsidRPr="00FA2C26" w:rsidRDefault="00CA3EA7" w:rsidP="002B2C94">
            <w:pPr>
              <w:pStyle w:val="TableBodyCopy"/>
            </w:pPr>
            <w:r w:rsidRPr="00FA2C26">
              <w:t xml:space="preserve">New </w:t>
            </w:r>
            <w:r w:rsidR="00884400">
              <w:t>b</w:t>
            </w:r>
            <w:r w:rsidR="00884400" w:rsidRPr="00FA2C26">
              <w:t xml:space="preserve">ilateral </w:t>
            </w:r>
            <w:r w:rsidR="00884400">
              <w:t>h</w:t>
            </w:r>
            <w:r w:rsidR="00884400" w:rsidRPr="00FA2C26">
              <w:t xml:space="preserve">ealth </w:t>
            </w:r>
            <w:r w:rsidR="00884400">
              <w:t>i</w:t>
            </w:r>
            <w:r w:rsidR="00884400" w:rsidRPr="00FA2C26">
              <w:t xml:space="preserve">nvestment </w:t>
            </w:r>
            <w:r w:rsidRPr="00FA2C26">
              <w:t>in Indonesia</w:t>
            </w:r>
          </w:p>
          <w:p w14:paraId="2E5B4F2D" w14:textId="670950F8" w:rsidR="003E3A21" w:rsidRPr="00FA2C26" w:rsidRDefault="0059155A" w:rsidP="002B2C94">
            <w:pPr>
              <w:pStyle w:val="TableBodyCopy"/>
            </w:pPr>
            <w:r>
              <w:t>(</w:t>
            </w:r>
            <w:r w:rsidR="005023F7">
              <w:t>b</w:t>
            </w:r>
            <w:r>
              <w:t>ilateral)</w:t>
            </w:r>
          </w:p>
        </w:tc>
        <w:tc>
          <w:tcPr>
            <w:tcW w:w="1667" w:type="pct"/>
            <w:shd w:val="clear" w:color="auto" w:fill="D2DEE7" w:themeFill="accent1" w:themeFillTint="33"/>
          </w:tcPr>
          <w:p w14:paraId="7FF9506E" w14:textId="6B7435CC" w:rsidR="00CA3EA7" w:rsidRPr="00FA2C26" w:rsidRDefault="00CA3EA7" w:rsidP="002B2C94">
            <w:pPr>
              <w:pStyle w:val="TableBodyCopy"/>
              <w:cnfStyle w:val="000000100000" w:firstRow="0" w:lastRow="0" w:firstColumn="0" w:lastColumn="0" w:oddVBand="0" w:evenVBand="0" w:oddHBand="1" w:evenHBand="0" w:firstRowFirstColumn="0" w:firstRowLastColumn="0" w:lastRowFirstColumn="0" w:lastRowLastColumn="0"/>
            </w:pPr>
            <w:r w:rsidRPr="00FA2C26">
              <w:t>2025</w:t>
            </w:r>
            <w:r w:rsidR="00C56CF2">
              <w:t>–</w:t>
            </w:r>
            <w:r w:rsidRPr="00FA2C26">
              <w:t>2033</w:t>
            </w:r>
          </w:p>
        </w:tc>
        <w:tc>
          <w:tcPr>
            <w:tcW w:w="1667" w:type="pct"/>
            <w:shd w:val="clear" w:color="auto" w:fill="F2F2F2" w:themeFill="background1" w:themeFillShade="F2"/>
          </w:tcPr>
          <w:p w14:paraId="1A8F790F" w14:textId="27FF300F" w:rsidR="00CA3EA7" w:rsidRPr="00FA2C26" w:rsidRDefault="00CA3EA7" w:rsidP="002B2C94">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Ministry of Health (MoH); others </w:t>
            </w:r>
            <w:r w:rsidR="00001AD5">
              <w:t>to be confirmed (</w:t>
            </w:r>
            <w:r w:rsidRPr="00FA2C26">
              <w:t>TBC</w:t>
            </w:r>
            <w:r w:rsidR="00001AD5">
              <w:t>)</w:t>
            </w:r>
          </w:p>
        </w:tc>
      </w:tr>
      <w:tr w:rsidR="000855E3" w:rsidRPr="00FA2C26" w14:paraId="3B03B781" w14:textId="77777777" w:rsidTr="00D400F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652318E" w14:textId="117A6C56" w:rsidR="00B40294" w:rsidRPr="00FA2C26" w:rsidRDefault="00B40294" w:rsidP="002B2C94">
            <w:pPr>
              <w:pStyle w:val="TableBodyCopy"/>
            </w:pPr>
            <w:r w:rsidRPr="00FA2C26">
              <w:t>Australia</w:t>
            </w:r>
            <w:r w:rsidR="00F54723">
              <w:t>–Indonesia</w:t>
            </w:r>
            <w:r w:rsidRPr="00FA2C26">
              <w:t xml:space="preserve"> Health Security Partnership (AIHSP)</w:t>
            </w:r>
          </w:p>
          <w:p w14:paraId="7050D40B" w14:textId="209AD86A" w:rsidR="00B40294" w:rsidRPr="00FA2C26" w:rsidRDefault="0059155A" w:rsidP="00F434D5">
            <w:pPr>
              <w:pStyle w:val="TableBodyCopy"/>
            </w:pPr>
            <w:r>
              <w:t>(</w:t>
            </w:r>
            <w:r w:rsidR="005023F7">
              <w:t>b</w:t>
            </w:r>
            <w:r>
              <w:t>ilateral)</w:t>
            </w:r>
          </w:p>
        </w:tc>
        <w:tc>
          <w:tcPr>
            <w:tcW w:w="1667" w:type="pct"/>
            <w:shd w:val="clear" w:color="auto" w:fill="D2DEE7" w:themeFill="accent1" w:themeFillTint="33"/>
          </w:tcPr>
          <w:p w14:paraId="67E38C26" w14:textId="6F6D24AF" w:rsidR="00B40294" w:rsidRPr="00FA2C26" w:rsidRDefault="00B40294" w:rsidP="002B2C94">
            <w:pPr>
              <w:pStyle w:val="TableBodyCopy"/>
              <w:cnfStyle w:val="000000000000" w:firstRow="0" w:lastRow="0" w:firstColumn="0" w:lastColumn="0" w:oddVBand="0" w:evenVBand="0" w:oddHBand="0" w:evenHBand="0" w:firstRowFirstColumn="0" w:firstRowLastColumn="0" w:lastRowFirstColumn="0" w:lastRowLastColumn="0"/>
            </w:pPr>
            <w:r w:rsidRPr="00FA2C26">
              <w:t>2020</w:t>
            </w:r>
            <w:r w:rsidR="00C56CF2">
              <w:t>–</w:t>
            </w:r>
            <w:r w:rsidRPr="00FA2C26">
              <w:t>2025</w:t>
            </w:r>
          </w:p>
        </w:tc>
        <w:tc>
          <w:tcPr>
            <w:tcW w:w="1667" w:type="pct"/>
            <w:shd w:val="clear" w:color="auto" w:fill="F2F2F2" w:themeFill="background1" w:themeFillShade="F2"/>
          </w:tcPr>
          <w:p w14:paraId="1F848C36" w14:textId="11F1FFFE" w:rsidR="00B40294" w:rsidRPr="00FA2C26" w:rsidRDefault="00B40294" w:rsidP="002B2C94">
            <w:pPr>
              <w:pStyle w:val="TableBodyCopy"/>
              <w:cnfStyle w:val="000000000000" w:firstRow="0" w:lastRow="0" w:firstColumn="0" w:lastColumn="0" w:oddVBand="0" w:evenVBand="0" w:oddHBand="0" w:evenHBand="0" w:firstRowFirstColumn="0" w:firstRowLastColumn="0" w:lastRowFirstColumn="0" w:lastRowLastColumn="0"/>
            </w:pPr>
            <w:r w:rsidRPr="00FA2C26">
              <w:t xml:space="preserve">MoH; Ministry of Agriculture; </w:t>
            </w:r>
            <w:proofErr w:type="spellStart"/>
            <w:r w:rsidRPr="00FA2C26">
              <w:t>Bappenas</w:t>
            </w:r>
            <w:proofErr w:type="spellEnd"/>
            <w:r w:rsidRPr="00FA2C26">
              <w:t>; Ministry of Social Affairs (</w:t>
            </w:r>
            <w:proofErr w:type="spellStart"/>
            <w:r w:rsidRPr="00FA2C26">
              <w:t>MoSA</w:t>
            </w:r>
            <w:proofErr w:type="spellEnd"/>
            <w:r w:rsidRPr="00FA2C26">
              <w:t xml:space="preserve">); Ministry of Villages; </w:t>
            </w:r>
            <w:r w:rsidR="003268D9">
              <w:t>World Health Organization (</w:t>
            </w:r>
            <w:r w:rsidRPr="00FA2C26">
              <w:t>WHO</w:t>
            </w:r>
            <w:r w:rsidR="003268D9">
              <w:t>)</w:t>
            </w:r>
            <w:r w:rsidRPr="00FA2C26">
              <w:t xml:space="preserve">; </w:t>
            </w:r>
            <w:r w:rsidR="003268D9">
              <w:t>United Nations Children’s Fund (</w:t>
            </w:r>
            <w:r w:rsidRPr="00FA2C26">
              <w:t>UNICEF</w:t>
            </w:r>
            <w:r w:rsidR="003268D9">
              <w:t>)</w:t>
            </w:r>
            <w:r w:rsidRPr="00FA2C26">
              <w:t>; provincial governments; local governments</w:t>
            </w:r>
          </w:p>
        </w:tc>
      </w:tr>
      <w:tr w:rsidR="000855E3" w:rsidRPr="00FA2C26" w14:paraId="581AC3D0" w14:textId="77777777" w:rsidTr="00D40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40E992A" w14:textId="775FB649" w:rsidR="00F434D5" w:rsidRDefault="006014A9" w:rsidP="00F434D5">
            <w:pPr>
              <w:pStyle w:val="TableBodyCopy"/>
              <w:rPr>
                <w:b w:val="0"/>
                <w:bCs w:val="0"/>
              </w:rPr>
            </w:pPr>
            <w:r w:rsidRPr="00FA2C26">
              <w:t>Indonesia Health Transformation Multi-</w:t>
            </w:r>
            <w:r w:rsidR="00440532">
              <w:t>D</w:t>
            </w:r>
            <w:r w:rsidRPr="00FA2C26">
              <w:t>onor Trust Fund</w:t>
            </w:r>
          </w:p>
          <w:p w14:paraId="2F2A612C" w14:textId="2DE11398" w:rsidR="0059155A" w:rsidRPr="00FA2C26" w:rsidRDefault="0059155A" w:rsidP="00F434D5">
            <w:pPr>
              <w:pStyle w:val="TableBodyCopy"/>
            </w:pPr>
            <w:r>
              <w:t>(</w:t>
            </w:r>
            <w:r w:rsidR="005023F7">
              <w:t>b</w:t>
            </w:r>
            <w:r>
              <w:t>ilateral)</w:t>
            </w:r>
          </w:p>
        </w:tc>
        <w:tc>
          <w:tcPr>
            <w:tcW w:w="1667" w:type="pct"/>
            <w:shd w:val="clear" w:color="auto" w:fill="D2DEE7" w:themeFill="accent1" w:themeFillTint="33"/>
          </w:tcPr>
          <w:p w14:paraId="07DE9E31" w14:textId="2EB97879" w:rsidR="006014A9" w:rsidRPr="00FA2C26" w:rsidRDefault="006014A9" w:rsidP="002B2C94">
            <w:pPr>
              <w:pStyle w:val="TableBodyCopy"/>
              <w:cnfStyle w:val="000000100000" w:firstRow="0" w:lastRow="0" w:firstColumn="0" w:lastColumn="0" w:oddVBand="0" w:evenVBand="0" w:oddHBand="1" w:evenHBand="0" w:firstRowFirstColumn="0" w:firstRowLastColumn="0" w:lastRowFirstColumn="0" w:lastRowLastColumn="0"/>
            </w:pPr>
            <w:r w:rsidRPr="00FA2C26">
              <w:t>2023</w:t>
            </w:r>
            <w:r w:rsidR="00C56CF2">
              <w:t>–</w:t>
            </w:r>
            <w:r w:rsidRPr="00FA2C26">
              <w:t>2027</w:t>
            </w:r>
          </w:p>
        </w:tc>
        <w:tc>
          <w:tcPr>
            <w:tcW w:w="1667" w:type="pct"/>
            <w:shd w:val="clear" w:color="auto" w:fill="F2F2F2" w:themeFill="background1" w:themeFillShade="F2"/>
          </w:tcPr>
          <w:p w14:paraId="0267830A" w14:textId="3FDE5669" w:rsidR="006014A9" w:rsidRPr="00FA2C26" w:rsidRDefault="006014A9" w:rsidP="002B2C94">
            <w:pPr>
              <w:pStyle w:val="TableBodyCopy"/>
              <w:cnfStyle w:val="000000100000" w:firstRow="0" w:lastRow="0" w:firstColumn="0" w:lastColumn="0" w:oddVBand="0" w:evenVBand="0" w:oddHBand="1" w:evenHBand="0" w:firstRowFirstColumn="0" w:firstRowLastColumn="0" w:lastRowFirstColumn="0" w:lastRowLastColumn="0"/>
            </w:pPr>
            <w:r w:rsidRPr="00FA2C26">
              <w:t>World Bank Group</w:t>
            </w:r>
          </w:p>
        </w:tc>
      </w:tr>
      <w:tr w:rsidR="000855E3" w:rsidRPr="00FA2C26" w14:paraId="498D60D8" w14:textId="77777777" w:rsidTr="00D400F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D3A4B39" w14:textId="73362B48" w:rsidR="003326A4" w:rsidRDefault="003326A4" w:rsidP="002B2C94">
            <w:pPr>
              <w:pStyle w:val="TableBodyCopy"/>
            </w:pPr>
            <w:r w:rsidRPr="00FA2C26">
              <w:t>Australia</w:t>
            </w:r>
            <w:r w:rsidR="00F434D5">
              <w:t>–</w:t>
            </w:r>
            <w:r w:rsidRPr="00FA2C26">
              <w:t>Indonesia Partnership Towards an Inclusive Society (INKLUSI)</w:t>
            </w:r>
          </w:p>
          <w:p w14:paraId="0A124771" w14:textId="0027707B" w:rsidR="0059155A" w:rsidRPr="00FA2C26" w:rsidRDefault="0059155A" w:rsidP="002B2C94">
            <w:pPr>
              <w:pStyle w:val="TableBodyCopy"/>
            </w:pPr>
            <w:r>
              <w:t>(</w:t>
            </w:r>
            <w:r w:rsidR="005023F7">
              <w:t>b</w:t>
            </w:r>
            <w:r>
              <w:t>ilateral)</w:t>
            </w:r>
          </w:p>
        </w:tc>
        <w:tc>
          <w:tcPr>
            <w:tcW w:w="1667" w:type="pct"/>
            <w:shd w:val="clear" w:color="auto" w:fill="D2DEE7" w:themeFill="accent1" w:themeFillTint="33"/>
          </w:tcPr>
          <w:p w14:paraId="7A4B8234" w14:textId="0412D3F6" w:rsidR="003326A4" w:rsidRPr="00FA2C26" w:rsidRDefault="003326A4" w:rsidP="002B2C94">
            <w:pPr>
              <w:pStyle w:val="TableBodyCopy"/>
              <w:cnfStyle w:val="000000000000" w:firstRow="0" w:lastRow="0" w:firstColumn="0" w:lastColumn="0" w:oddVBand="0" w:evenVBand="0" w:oddHBand="0" w:evenHBand="0" w:firstRowFirstColumn="0" w:firstRowLastColumn="0" w:lastRowFirstColumn="0" w:lastRowLastColumn="0"/>
            </w:pPr>
            <w:r w:rsidRPr="00FA2C26">
              <w:t>2021</w:t>
            </w:r>
            <w:r w:rsidR="00C56CF2">
              <w:t>–</w:t>
            </w:r>
            <w:r w:rsidRPr="00FA2C26">
              <w:t>2029</w:t>
            </w:r>
          </w:p>
        </w:tc>
        <w:tc>
          <w:tcPr>
            <w:tcW w:w="1667" w:type="pct"/>
            <w:shd w:val="clear" w:color="auto" w:fill="F2F2F2" w:themeFill="background1" w:themeFillShade="F2"/>
          </w:tcPr>
          <w:p w14:paraId="3DCF0205" w14:textId="615A3D76" w:rsidR="003326A4" w:rsidRPr="00FA2C26" w:rsidRDefault="003326A4" w:rsidP="002B2C94">
            <w:pPr>
              <w:pStyle w:val="TableBodyCopy"/>
              <w:cnfStyle w:val="000000000000" w:firstRow="0" w:lastRow="0" w:firstColumn="0" w:lastColumn="0" w:oddVBand="0" w:evenVBand="0" w:oddHBand="0" w:evenHBand="0" w:firstRowFirstColumn="0" w:firstRowLastColumn="0" w:lastRowFirstColumn="0" w:lastRowLastColumn="0"/>
            </w:pPr>
            <w:proofErr w:type="spellStart"/>
            <w:r w:rsidRPr="00FA2C26">
              <w:t>Bappenas</w:t>
            </w:r>
            <w:proofErr w:type="spellEnd"/>
            <w:r w:rsidRPr="00FA2C26">
              <w:t xml:space="preserve">; </w:t>
            </w:r>
            <w:proofErr w:type="spellStart"/>
            <w:r w:rsidRPr="00FA2C26">
              <w:t>MoWECP</w:t>
            </w:r>
            <w:proofErr w:type="spellEnd"/>
            <w:r w:rsidRPr="00FA2C26">
              <w:t>; International Labour Organi</w:t>
            </w:r>
            <w:r w:rsidR="0044788C">
              <w:t>z</w:t>
            </w:r>
            <w:r w:rsidRPr="00FA2C26">
              <w:t>ation</w:t>
            </w:r>
            <w:r w:rsidR="0044788C">
              <w:t xml:space="preserve"> (ILO)</w:t>
            </w:r>
            <w:r w:rsidRPr="00FA2C26">
              <w:t>; CSOs</w:t>
            </w:r>
          </w:p>
        </w:tc>
      </w:tr>
      <w:tr w:rsidR="000855E3" w:rsidRPr="00FA2C26" w14:paraId="1B7E079C" w14:textId="77777777" w:rsidTr="00D40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A1673E9" w14:textId="5CDD77C9" w:rsidR="003326A4" w:rsidRDefault="003326A4" w:rsidP="002B2C94">
            <w:pPr>
              <w:pStyle w:val="TableBodyCopy"/>
            </w:pPr>
            <w:r w:rsidRPr="00FA2C26">
              <w:t xml:space="preserve">Australia Awards in Indonesia </w:t>
            </w:r>
            <w:r w:rsidR="005B7D6D">
              <w:t>p</w:t>
            </w:r>
            <w:r w:rsidRPr="00FA2C26">
              <w:t>rogram (AAI)</w:t>
            </w:r>
          </w:p>
          <w:p w14:paraId="640B1371" w14:textId="374952BB" w:rsidR="0059155A" w:rsidRPr="00FA2C26" w:rsidRDefault="0059155A" w:rsidP="002B2C94">
            <w:pPr>
              <w:pStyle w:val="TableBodyCopy"/>
            </w:pPr>
            <w:r>
              <w:t>(</w:t>
            </w:r>
            <w:r w:rsidR="005023F7">
              <w:t>b</w:t>
            </w:r>
            <w:r>
              <w:t>ilateral)</w:t>
            </w:r>
          </w:p>
        </w:tc>
        <w:tc>
          <w:tcPr>
            <w:tcW w:w="1667" w:type="pct"/>
            <w:shd w:val="clear" w:color="auto" w:fill="D2DEE7" w:themeFill="accent1" w:themeFillTint="33"/>
          </w:tcPr>
          <w:p w14:paraId="17F5C971" w14:textId="12F79B51" w:rsidR="003326A4" w:rsidRPr="00FA2C26" w:rsidRDefault="003326A4" w:rsidP="002B2C94">
            <w:pPr>
              <w:pStyle w:val="TableBodyCopy"/>
              <w:cnfStyle w:val="000000100000" w:firstRow="0" w:lastRow="0" w:firstColumn="0" w:lastColumn="0" w:oddVBand="0" w:evenVBand="0" w:oddHBand="1" w:evenHBand="0" w:firstRowFirstColumn="0" w:firstRowLastColumn="0" w:lastRowFirstColumn="0" w:lastRowLastColumn="0"/>
            </w:pPr>
            <w:r w:rsidRPr="00FA2C26">
              <w:t>2022</w:t>
            </w:r>
            <w:r w:rsidR="00C56CF2">
              <w:t>–</w:t>
            </w:r>
            <w:r w:rsidRPr="00FA2C26">
              <w:t>2026</w:t>
            </w:r>
          </w:p>
        </w:tc>
        <w:tc>
          <w:tcPr>
            <w:tcW w:w="1667" w:type="pct"/>
            <w:shd w:val="clear" w:color="auto" w:fill="F2F2F2" w:themeFill="background1" w:themeFillShade="F2"/>
          </w:tcPr>
          <w:p w14:paraId="4B3DC366" w14:textId="6E523534" w:rsidR="003326A4" w:rsidRPr="00FA2C26" w:rsidRDefault="003326A4" w:rsidP="002B2C94">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Ministry of State Secretariat; </w:t>
            </w:r>
            <w:r w:rsidR="00085127">
              <w:t>Ministry of Home Affairs (</w:t>
            </w:r>
            <w:proofErr w:type="spellStart"/>
            <w:r w:rsidRPr="00FA2C26">
              <w:t>MoHA</w:t>
            </w:r>
            <w:proofErr w:type="spellEnd"/>
            <w:r w:rsidR="00085127">
              <w:t>)</w:t>
            </w:r>
            <w:r w:rsidRPr="00FA2C26">
              <w:t xml:space="preserve">; </w:t>
            </w:r>
            <w:r w:rsidR="00085127" w:rsidRPr="00FA2C26">
              <w:t>Ministry of Education, Culture</w:t>
            </w:r>
            <w:r w:rsidR="000855E3">
              <w:t xml:space="preserve">, </w:t>
            </w:r>
            <w:r w:rsidR="000855E3" w:rsidRPr="00FA2C26">
              <w:t>Research,</w:t>
            </w:r>
            <w:r w:rsidR="00085127" w:rsidRPr="00FA2C26">
              <w:t xml:space="preserve"> and Technology (</w:t>
            </w:r>
            <w:proofErr w:type="spellStart"/>
            <w:r w:rsidR="00085127" w:rsidRPr="00FA2C26">
              <w:t>MoE</w:t>
            </w:r>
            <w:r w:rsidR="000855E3">
              <w:t>C</w:t>
            </w:r>
            <w:r w:rsidR="00085127" w:rsidRPr="00FA2C26">
              <w:t>RT</w:t>
            </w:r>
            <w:proofErr w:type="spellEnd"/>
            <w:r w:rsidR="00085127" w:rsidRPr="00FA2C26">
              <w:t>)</w:t>
            </w:r>
            <w:r w:rsidRPr="00FA2C26">
              <w:t xml:space="preserve">; </w:t>
            </w:r>
            <w:r w:rsidR="00971E8E">
              <w:t>o</w:t>
            </w:r>
            <w:r w:rsidR="004B16F6">
              <w:t xml:space="preserve">rganisations of </w:t>
            </w:r>
            <w:r w:rsidR="00971E8E">
              <w:t>p</w:t>
            </w:r>
            <w:r w:rsidR="004B16F6">
              <w:t xml:space="preserve">ersons with </w:t>
            </w:r>
            <w:r w:rsidR="00971E8E">
              <w:t>d</w:t>
            </w:r>
            <w:r w:rsidR="004B16F6">
              <w:t>isability (OPD</w:t>
            </w:r>
            <w:r w:rsidRPr="00FA2C26">
              <w:t>s</w:t>
            </w:r>
            <w:r w:rsidR="004B16F6">
              <w:t>)</w:t>
            </w:r>
          </w:p>
        </w:tc>
      </w:tr>
      <w:tr w:rsidR="000855E3" w:rsidRPr="00FA2C26" w14:paraId="72BAE76D" w14:textId="77777777" w:rsidTr="00D400F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C2A3530" w14:textId="0A752838" w:rsidR="00CA3EA7" w:rsidRDefault="00CA3EA7" w:rsidP="002B2C94">
            <w:pPr>
              <w:pStyle w:val="TableBodyCopy"/>
            </w:pPr>
            <w:r w:rsidRPr="00FA2C26">
              <w:t>Indonesia</w:t>
            </w:r>
            <w:r w:rsidR="00F434D5">
              <w:t>–</w:t>
            </w:r>
            <w:r w:rsidRPr="00FA2C26">
              <w:t>Australia Partnership on Food Security in the Red Meat and Cattle Sector (RCMP)</w:t>
            </w:r>
          </w:p>
          <w:p w14:paraId="61331CC7" w14:textId="4B9493C1" w:rsidR="0059155A" w:rsidRPr="00FA2C26" w:rsidRDefault="0059155A" w:rsidP="002B2C94">
            <w:pPr>
              <w:pStyle w:val="TableBodyCopy"/>
            </w:pPr>
            <w:r>
              <w:t>(</w:t>
            </w:r>
            <w:r w:rsidR="005023F7">
              <w:t>b</w:t>
            </w:r>
            <w:r>
              <w:t>ilateral)</w:t>
            </w:r>
          </w:p>
        </w:tc>
        <w:tc>
          <w:tcPr>
            <w:tcW w:w="1667" w:type="pct"/>
            <w:shd w:val="clear" w:color="auto" w:fill="D2DEE7" w:themeFill="accent1" w:themeFillTint="33"/>
          </w:tcPr>
          <w:p w14:paraId="00E3F7C2" w14:textId="1DF541C9" w:rsidR="00CA3EA7" w:rsidRPr="00FA2C26" w:rsidRDefault="00CA3EA7" w:rsidP="002B2C94">
            <w:pPr>
              <w:pStyle w:val="TableBodyCopy"/>
              <w:cnfStyle w:val="000000000000" w:firstRow="0" w:lastRow="0" w:firstColumn="0" w:lastColumn="0" w:oddVBand="0" w:evenVBand="0" w:oddHBand="0" w:evenHBand="0" w:firstRowFirstColumn="0" w:firstRowLastColumn="0" w:lastRowFirstColumn="0" w:lastRowLastColumn="0"/>
            </w:pPr>
            <w:r w:rsidRPr="00FA2C26">
              <w:t>2013</w:t>
            </w:r>
            <w:r w:rsidR="00C56CF2">
              <w:t>–</w:t>
            </w:r>
            <w:r w:rsidRPr="00FA2C26">
              <w:t>2024</w:t>
            </w:r>
          </w:p>
        </w:tc>
        <w:tc>
          <w:tcPr>
            <w:tcW w:w="1667" w:type="pct"/>
            <w:shd w:val="clear" w:color="auto" w:fill="F2F2F2" w:themeFill="background1" w:themeFillShade="F2"/>
          </w:tcPr>
          <w:p w14:paraId="44A46B73" w14:textId="7FBCEB1D" w:rsidR="00CA3EA7" w:rsidRPr="00FA2C26" w:rsidRDefault="00CA3EA7" w:rsidP="002B2C94">
            <w:pPr>
              <w:pStyle w:val="TableBodyCopy"/>
              <w:cnfStyle w:val="000000000000" w:firstRow="0" w:lastRow="0" w:firstColumn="0" w:lastColumn="0" w:oddVBand="0" w:evenVBand="0" w:oddHBand="0" w:evenHBand="0" w:firstRowFirstColumn="0" w:firstRowLastColumn="0" w:lastRowFirstColumn="0" w:lastRowLastColumn="0"/>
            </w:pPr>
            <w:r w:rsidRPr="00FA2C26">
              <w:t>Ministry of Investment (BKPM); Ministry of Agriculture (</w:t>
            </w:r>
            <w:proofErr w:type="spellStart"/>
            <w:r w:rsidRPr="00FA2C26">
              <w:t>MoA</w:t>
            </w:r>
            <w:proofErr w:type="spellEnd"/>
            <w:r w:rsidRPr="00FA2C26">
              <w:t>); private sector</w:t>
            </w:r>
          </w:p>
        </w:tc>
      </w:tr>
      <w:tr w:rsidR="000855E3" w:rsidRPr="00FA2C26" w14:paraId="0E6FDDAA" w14:textId="77777777" w:rsidTr="00D400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61F1094" w14:textId="4EE1ECC1" w:rsidR="00CA3EA7" w:rsidRDefault="00CA3EA7" w:rsidP="002B2C94">
            <w:pPr>
              <w:pStyle w:val="TableBodyCopy"/>
            </w:pPr>
            <w:r w:rsidRPr="00FA2C26">
              <w:lastRenderedPageBreak/>
              <w:t>Indonesia</w:t>
            </w:r>
            <w:r w:rsidR="00F434D5">
              <w:t>–</w:t>
            </w:r>
            <w:r w:rsidRPr="00FA2C26">
              <w:t>Australia Comprehensive Economic Partnership Agreement (IA</w:t>
            </w:r>
            <w:r w:rsidR="00F434D5">
              <w:noBreakHyphen/>
            </w:r>
            <w:r w:rsidRPr="00FA2C26">
              <w:t>CEPA) Economic Cooperation Program (</w:t>
            </w:r>
            <w:proofErr w:type="spellStart"/>
            <w:r w:rsidR="005A4D08" w:rsidRPr="00FA2C26">
              <w:t>K</w:t>
            </w:r>
            <w:r w:rsidR="005A4D08">
              <w:t>atalis</w:t>
            </w:r>
            <w:proofErr w:type="spellEnd"/>
            <w:r w:rsidRPr="00FA2C26">
              <w:t>)</w:t>
            </w:r>
          </w:p>
          <w:p w14:paraId="074D454D" w14:textId="4C448061" w:rsidR="0059155A" w:rsidRPr="00FA2C26" w:rsidRDefault="0059155A" w:rsidP="002B2C94">
            <w:pPr>
              <w:pStyle w:val="TableBodyCopy"/>
            </w:pPr>
            <w:r>
              <w:t>(</w:t>
            </w:r>
            <w:r w:rsidR="005023F7">
              <w:t>b</w:t>
            </w:r>
            <w:r>
              <w:t>ilateral)</w:t>
            </w:r>
          </w:p>
        </w:tc>
        <w:tc>
          <w:tcPr>
            <w:tcW w:w="1667" w:type="pct"/>
            <w:shd w:val="clear" w:color="auto" w:fill="D2DEE7" w:themeFill="accent1" w:themeFillTint="33"/>
          </w:tcPr>
          <w:p w14:paraId="3A684276" w14:textId="7AFDE206" w:rsidR="00CA3EA7" w:rsidRPr="00FA2C26" w:rsidRDefault="00CA3EA7" w:rsidP="002B2C94">
            <w:pPr>
              <w:pStyle w:val="TableBodyCopy"/>
              <w:cnfStyle w:val="000000100000" w:firstRow="0" w:lastRow="0" w:firstColumn="0" w:lastColumn="0" w:oddVBand="0" w:evenVBand="0" w:oddHBand="1" w:evenHBand="0" w:firstRowFirstColumn="0" w:firstRowLastColumn="0" w:lastRowFirstColumn="0" w:lastRowLastColumn="0"/>
            </w:pPr>
            <w:r w:rsidRPr="00FA2C26">
              <w:t>2020</w:t>
            </w:r>
            <w:r w:rsidR="00C56CF2">
              <w:t>–</w:t>
            </w:r>
            <w:r w:rsidRPr="00FA2C26">
              <w:t>2025</w:t>
            </w:r>
          </w:p>
        </w:tc>
        <w:tc>
          <w:tcPr>
            <w:tcW w:w="1667" w:type="pct"/>
            <w:shd w:val="clear" w:color="auto" w:fill="F2F2F2" w:themeFill="background1" w:themeFillShade="F2"/>
          </w:tcPr>
          <w:p w14:paraId="4CCA7824" w14:textId="1FAED6BC" w:rsidR="00CA3EA7" w:rsidRPr="00FA2C26" w:rsidRDefault="00C25FF3" w:rsidP="002B2C94">
            <w:pPr>
              <w:pStyle w:val="TableBodyCopy"/>
              <w:cnfStyle w:val="000000100000" w:firstRow="0" w:lastRow="0" w:firstColumn="0" w:lastColumn="0" w:oddVBand="0" w:evenVBand="0" w:oddHBand="1" w:evenHBand="0" w:firstRowFirstColumn="0" w:firstRowLastColumn="0" w:lastRowFirstColumn="0" w:lastRowLastColumn="0"/>
            </w:pPr>
            <w:proofErr w:type="spellStart"/>
            <w:r>
              <w:t>Bappenas</w:t>
            </w:r>
            <w:proofErr w:type="spellEnd"/>
            <w:r>
              <w:t>;</w:t>
            </w:r>
            <w:r w:rsidR="00CA3EA7" w:rsidRPr="00FA2C26">
              <w:t xml:space="preserve"> Ministry of Trade; Ministry of Foreign Affairs (</w:t>
            </w:r>
            <w:proofErr w:type="spellStart"/>
            <w:r w:rsidR="00CA3EA7" w:rsidRPr="00FA2C26">
              <w:t>Kemlu</w:t>
            </w:r>
            <w:proofErr w:type="spellEnd"/>
            <w:r w:rsidR="00CA3EA7" w:rsidRPr="00FA2C26">
              <w:t>); private sector</w:t>
            </w:r>
          </w:p>
        </w:tc>
      </w:tr>
      <w:tr w:rsidR="000855E3" w:rsidRPr="00FA2C26" w14:paraId="4EEFE5D7" w14:textId="77777777" w:rsidTr="00D400F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F05CCEB" w14:textId="2D69C204" w:rsidR="00CA3EA7" w:rsidRDefault="00CA3EA7" w:rsidP="002B2C94">
            <w:pPr>
              <w:pStyle w:val="TableBodyCopy"/>
            </w:pPr>
            <w:r w:rsidRPr="00FA2C26">
              <w:t>Australia</w:t>
            </w:r>
            <w:r w:rsidR="00C6788F">
              <w:t>–</w:t>
            </w:r>
            <w:r w:rsidRPr="00FA2C26">
              <w:t>Indonesia Partnership for Education Quality Improvement (INOVASI) phase 3</w:t>
            </w:r>
          </w:p>
          <w:p w14:paraId="1B4485CD" w14:textId="4D44D4F1" w:rsidR="0059155A" w:rsidRPr="00FA2C26" w:rsidRDefault="0059155A" w:rsidP="002B2C94">
            <w:pPr>
              <w:pStyle w:val="TableBodyCopy"/>
            </w:pPr>
            <w:r>
              <w:t>(</w:t>
            </w:r>
            <w:r w:rsidR="005023F7">
              <w:t>b</w:t>
            </w:r>
            <w:r>
              <w:t>ilateral)</w:t>
            </w:r>
          </w:p>
        </w:tc>
        <w:tc>
          <w:tcPr>
            <w:tcW w:w="1667" w:type="pct"/>
            <w:shd w:val="clear" w:color="auto" w:fill="D2DEE7" w:themeFill="accent1" w:themeFillTint="33"/>
          </w:tcPr>
          <w:p w14:paraId="2ECDDBAC" w14:textId="64A9F1F2" w:rsidR="00CA3EA7" w:rsidRPr="00FA2C26" w:rsidRDefault="00CA3EA7" w:rsidP="002B2C94">
            <w:pPr>
              <w:pStyle w:val="TableBodyCopy"/>
              <w:cnfStyle w:val="000000000000" w:firstRow="0" w:lastRow="0" w:firstColumn="0" w:lastColumn="0" w:oddVBand="0" w:evenVBand="0" w:oddHBand="0" w:evenHBand="0" w:firstRowFirstColumn="0" w:firstRowLastColumn="0" w:lastRowFirstColumn="0" w:lastRowLastColumn="0"/>
            </w:pPr>
            <w:r w:rsidRPr="00FA2C26">
              <w:t>2024</w:t>
            </w:r>
            <w:r w:rsidR="00C56CF2">
              <w:t>–</w:t>
            </w:r>
            <w:r w:rsidRPr="00FA2C26">
              <w:t>2031</w:t>
            </w:r>
          </w:p>
        </w:tc>
        <w:tc>
          <w:tcPr>
            <w:tcW w:w="1667" w:type="pct"/>
            <w:shd w:val="clear" w:color="auto" w:fill="F2F2F2" w:themeFill="background1" w:themeFillShade="F2"/>
          </w:tcPr>
          <w:p w14:paraId="2A7112ED" w14:textId="6A99579E" w:rsidR="00CA3EA7" w:rsidRPr="00FA2C26" w:rsidRDefault="00CA3EA7" w:rsidP="002B2C94">
            <w:pPr>
              <w:pStyle w:val="TableBodyCopy"/>
              <w:cnfStyle w:val="000000000000" w:firstRow="0" w:lastRow="0" w:firstColumn="0" w:lastColumn="0" w:oddVBand="0" w:evenVBand="0" w:oddHBand="0" w:evenHBand="0" w:firstRowFirstColumn="0" w:firstRowLastColumn="0" w:lastRowFirstColumn="0" w:lastRowLastColumn="0"/>
            </w:pPr>
            <w:proofErr w:type="spellStart"/>
            <w:r w:rsidRPr="00FA2C26">
              <w:t>MoE</w:t>
            </w:r>
            <w:r w:rsidR="000855E3">
              <w:t>C</w:t>
            </w:r>
            <w:r w:rsidRPr="00FA2C26">
              <w:t>RT</w:t>
            </w:r>
            <w:proofErr w:type="spellEnd"/>
            <w:r w:rsidRPr="00FA2C26">
              <w:t xml:space="preserve">; </w:t>
            </w:r>
            <w:proofErr w:type="spellStart"/>
            <w:r w:rsidRPr="00FA2C26">
              <w:t>Bappenas</w:t>
            </w:r>
            <w:proofErr w:type="spellEnd"/>
            <w:r w:rsidRPr="00FA2C26">
              <w:t>; Ministry of Religious Affairs (</w:t>
            </w:r>
            <w:proofErr w:type="spellStart"/>
            <w:r w:rsidRPr="00FA2C26">
              <w:t>MoRA</w:t>
            </w:r>
            <w:proofErr w:type="spellEnd"/>
            <w:r w:rsidRPr="00FA2C26">
              <w:t>); provincial governments; schools; universities; CSOs; OPDs</w:t>
            </w:r>
          </w:p>
        </w:tc>
      </w:tr>
      <w:tr w:rsidR="000855E3" w:rsidRPr="00FA2C26" w14:paraId="3C6A3B36" w14:textId="77777777" w:rsidTr="00D40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7130196" w14:textId="26DE311F" w:rsidR="006014A9" w:rsidRDefault="006014A9" w:rsidP="002B2C94">
            <w:pPr>
              <w:pStyle w:val="TableBodyCopy"/>
            </w:pPr>
            <w:r w:rsidRPr="00FA2C26">
              <w:t xml:space="preserve">Synergies and Collaboration for </w:t>
            </w:r>
            <w:r w:rsidR="00A55E6A">
              <w:t xml:space="preserve">Basic </w:t>
            </w:r>
            <w:r w:rsidRPr="00FA2C26">
              <w:t>Service Delivery Acceleration (SKALA)</w:t>
            </w:r>
          </w:p>
          <w:p w14:paraId="3EA4BFC2" w14:textId="771310A4" w:rsidR="0059155A" w:rsidRPr="00FA2C26" w:rsidRDefault="0059155A" w:rsidP="002B2C94">
            <w:pPr>
              <w:pStyle w:val="TableBodyCopy"/>
            </w:pPr>
            <w:r>
              <w:t>(</w:t>
            </w:r>
            <w:r w:rsidR="005023F7">
              <w:t>b</w:t>
            </w:r>
            <w:r>
              <w:t>ilateral)</w:t>
            </w:r>
          </w:p>
        </w:tc>
        <w:tc>
          <w:tcPr>
            <w:tcW w:w="1667" w:type="pct"/>
            <w:shd w:val="clear" w:color="auto" w:fill="D2DEE7" w:themeFill="accent1" w:themeFillTint="33"/>
          </w:tcPr>
          <w:p w14:paraId="515D5708" w14:textId="31726AFA" w:rsidR="006014A9" w:rsidRPr="00FA2C26" w:rsidRDefault="006014A9" w:rsidP="002B2C94">
            <w:pPr>
              <w:pStyle w:val="TableBodyCopy"/>
              <w:cnfStyle w:val="000000100000" w:firstRow="0" w:lastRow="0" w:firstColumn="0" w:lastColumn="0" w:oddVBand="0" w:evenVBand="0" w:oddHBand="1" w:evenHBand="0" w:firstRowFirstColumn="0" w:firstRowLastColumn="0" w:lastRowFirstColumn="0" w:lastRowLastColumn="0"/>
            </w:pPr>
            <w:r w:rsidRPr="00FA2C26">
              <w:t>2023</w:t>
            </w:r>
            <w:r w:rsidR="00C56CF2">
              <w:t>–</w:t>
            </w:r>
            <w:r w:rsidRPr="00FA2C26">
              <w:t>2030</w:t>
            </w:r>
          </w:p>
        </w:tc>
        <w:tc>
          <w:tcPr>
            <w:tcW w:w="1667" w:type="pct"/>
            <w:shd w:val="clear" w:color="auto" w:fill="F2F2F2" w:themeFill="background1" w:themeFillShade="F2"/>
          </w:tcPr>
          <w:p w14:paraId="04E0BAC8" w14:textId="7419EBDC" w:rsidR="006014A9" w:rsidRPr="00FA2C26" w:rsidRDefault="006014A9" w:rsidP="002B2C94">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MoF; </w:t>
            </w:r>
            <w:proofErr w:type="spellStart"/>
            <w:r w:rsidRPr="00FA2C26">
              <w:t>MoHA</w:t>
            </w:r>
            <w:proofErr w:type="spellEnd"/>
            <w:r w:rsidRPr="00FA2C26">
              <w:t xml:space="preserve">; </w:t>
            </w:r>
            <w:proofErr w:type="spellStart"/>
            <w:r w:rsidRPr="00FA2C26">
              <w:t>Bappenas</w:t>
            </w:r>
            <w:proofErr w:type="spellEnd"/>
            <w:r w:rsidRPr="00FA2C26">
              <w:t>; provincial governments; local governments</w:t>
            </w:r>
          </w:p>
        </w:tc>
      </w:tr>
      <w:tr w:rsidR="000855E3" w:rsidRPr="00FA2C26" w14:paraId="46196ECB" w14:textId="77777777" w:rsidTr="00D400F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ED5526E" w14:textId="77777777" w:rsidR="00CA3EA7" w:rsidRDefault="00CA3EA7" w:rsidP="002B2C94">
            <w:pPr>
              <w:pStyle w:val="TableBodyCopy"/>
            </w:pPr>
            <w:r w:rsidRPr="00FA2C26">
              <w:t>Indonesia Project, Australian National University</w:t>
            </w:r>
          </w:p>
          <w:p w14:paraId="4E936786" w14:textId="1AA290A3" w:rsidR="0059155A" w:rsidRPr="00FA2C26" w:rsidRDefault="0059155A" w:rsidP="002B2C94">
            <w:pPr>
              <w:pStyle w:val="TableBodyCopy"/>
            </w:pPr>
            <w:r>
              <w:t>(</w:t>
            </w:r>
            <w:r w:rsidR="005023F7">
              <w:t>b</w:t>
            </w:r>
            <w:r>
              <w:t>ilateral)</w:t>
            </w:r>
          </w:p>
        </w:tc>
        <w:tc>
          <w:tcPr>
            <w:tcW w:w="1667" w:type="pct"/>
            <w:shd w:val="clear" w:color="auto" w:fill="D2DEE7" w:themeFill="accent1" w:themeFillTint="33"/>
          </w:tcPr>
          <w:p w14:paraId="07F76E6D" w14:textId="69938A2A" w:rsidR="00CA3EA7" w:rsidRPr="00FA2C26" w:rsidRDefault="00CA3EA7" w:rsidP="002B2C94">
            <w:pPr>
              <w:pStyle w:val="TableBodyCopy"/>
              <w:cnfStyle w:val="000000000000" w:firstRow="0" w:lastRow="0" w:firstColumn="0" w:lastColumn="0" w:oddVBand="0" w:evenVBand="0" w:oddHBand="0" w:evenHBand="0" w:firstRowFirstColumn="0" w:firstRowLastColumn="0" w:lastRowFirstColumn="0" w:lastRowLastColumn="0"/>
            </w:pPr>
            <w:r w:rsidRPr="00FA2C26">
              <w:t>2022</w:t>
            </w:r>
            <w:r w:rsidR="00C56CF2">
              <w:t>–</w:t>
            </w:r>
            <w:r w:rsidRPr="00FA2C26">
              <w:t>2026</w:t>
            </w:r>
          </w:p>
        </w:tc>
        <w:tc>
          <w:tcPr>
            <w:tcW w:w="1667" w:type="pct"/>
            <w:shd w:val="clear" w:color="auto" w:fill="F2F2F2" w:themeFill="background1" w:themeFillShade="F2"/>
          </w:tcPr>
          <w:p w14:paraId="3A5410E8" w14:textId="7B0B8176" w:rsidR="00CA3EA7" w:rsidRPr="00FA2C26" w:rsidRDefault="00CA3EA7" w:rsidP="002B2C94">
            <w:pPr>
              <w:pStyle w:val="TableBodyCopy"/>
              <w:cnfStyle w:val="000000000000" w:firstRow="0" w:lastRow="0" w:firstColumn="0" w:lastColumn="0" w:oddVBand="0" w:evenVBand="0" w:oddHBand="0" w:evenHBand="0" w:firstRowFirstColumn="0" w:firstRowLastColumn="0" w:lastRowFirstColumn="0" w:lastRowLastColumn="0"/>
            </w:pPr>
            <w:r w:rsidRPr="00FA2C26">
              <w:t>Australian National University (ANU)</w:t>
            </w:r>
          </w:p>
        </w:tc>
      </w:tr>
      <w:tr w:rsidR="000855E3" w:rsidRPr="00FA2C26" w14:paraId="0D97FFF9" w14:textId="77777777" w:rsidTr="00D40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14A0478" w14:textId="77777777" w:rsidR="00881ACF" w:rsidRDefault="00881ACF" w:rsidP="002B2C94">
            <w:pPr>
              <w:pStyle w:val="TableBodyCopy"/>
            </w:pPr>
            <w:r w:rsidRPr="00FA2C26">
              <w:t>Partnerships for Infrastructure (P4I)</w:t>
            </w:r>
          </w:p>
          <w:p w14:paraId="06AEF0EC" w14:textId="57DDF972" w:rsidR="0059155A" w:rsidRPr="00FA2C26" w:rsidRDefault="0059155A" w:rsidP="002B2C94">
            <w:pPr>
              <w:pStyle w:val="TableBodyCopy"/>
            </w:pPr>
            <w:r>
              <w:t>(</w:t>
            </w:r>
            <w:r w:rsidR="005023F7">
              <w:t>r</w:t>
            </w:r>
            <w:r>
              <w:t>egional)</w:t>
            </w:r>
          </w:p>
        </w:tc>
        <w:tc>
          <w:tcPr>
            <w:tcW w:w="1667" w:type="pct"/>
            <w:shd w:val="clear" w:color="auto" w:fill="D2DEE7" w:themeFill="accent1" w:themeFillTint="33"/>
          </w:tcPr>
          <w:p w14:paraId="005D5080" w14:textId="79B7684C" w:rsidR="00881ACF" w:rsidRPr="00FA2C26" w:rsidRDefault="00881ACF" w:rsidP="002B2C94">
            <w:pPr>
              <w:pStyle w:val="TableBodyCopy"/>
              <w:cnfStyle w:val="000000100000" w:firstRow="0" w:lastRow="0" w:firstColumn="0" w:lastColumn="0" w:oddVBand="0" w:evenVBand="0" w:oddHBand="1" w:evenHBand="0" w:firstRowFirstColumn="0" w:firstRowLastColumn="0" w:lastRowFirstColumn="0" w:lastRowLastColumn="0"/>
            </w:pPr>
            <w:r w:rsidRPr="00FA2C26">
              <w:t>2024</w:t>
            </w:r>
            <w:r w:rsidR="00C56CF2">
              <w:t>–</w:t>
            </w:r>
            <w:r w:rsidRPr="00FA2C26">
              <w:t>2028 (Phase 2)</w:t>
            </w:r>
          </w:p>
        </w:tc>
        <w:tc>
          <w:tcPr>
            <w:tcW w:w="1667" w:type="pct"/>
            <w:shd w:val="clear" w:color="auto" w:fill="F2F2F2" w:themeFill="background1" w:themeFillShade="F2"/>
          </w:tcPr>
          <w:p w14:paraId="16E5EBE9" w14:textId="6EF0BCB0" w:rsidR="00881ACF" w:rsidRPr="00FA2C26" w:rsidRDefault="007003F6" w:rsidP="002B2C94">
            <w:pPr>
              <w:pStyle w:val="TableBodyCopy"/>
              <w:cnfStyle w:val="000000100000" w:firstRow="0" w:lastRow="0" w:firstColumn="0" w:lastColumn="0" w:oddVBand="0" w:evenVBand="0" w:oddHBand="1" w:evenHBand="0" w:firstRowFirstColumn="0" w:firstRowLastColumn="0" w:lastRowFirstColumn="0" w:lastRowLastColumn="0"/>
            </w:pPr>
            <w:r>
              <w:t xml:space="preserve">Southeast </w:t>
            </w:r>
            <w:r w:rsidR="00881ACF" w:rsidRPr="00FA2C26">
              <w:t>Asia government partners; private sector</w:t>
            </w:r>
          </w:p>
        </w:tc>
      </w:tr>
      <w:tr w:rsidR="000855E3" w:rsidRPr="00FA2C26" w14:paraId="4FEB30E0" w14:textId="77777777" w:rsidTr="00D400F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B1D1B53" w14:textId="77777777" w:rsidR="00881ACF" w:rsidRDefault="00881ACF" w:rsidP="002B2C94">
            <w:pPr>
              <w:pStyle w:val="TableBodyCopy"/>
            </w:pPr>
            <w:r w:rsidRPr="00FA2C26">
              <w:t>Australian Development Investments (ADI)</w:t>
            </w:r>
          </w:p>
          <w:p w14:paraId="1B43A964" w14:textId="56A48A89" w:rsidR="0059155A" w:rsidRPr="00FA2C26" w:rsidRDefault="0059155A" w:rsidP="002B2C94">
            <w:pPr>
              <w:pStyle w:val="TableBodyCopy"/>
            </w:pPr>
            <w:r>
              <w:t>(</w:t>
            </w:r>
            <w:r w:rsidR="005023F7">
              <w:t>r</w:t>
            </w:r>
            <w:r>
              <w:t>egional)</w:t>
            </w:r>
          </w:p>
        </w:tc>
        <w:tc>
          <w:tcPr>
            <w:tcW w:w="1667" w:type="pct"/>
            <w:shd w:val="clear" w:color="auto" w:fill="D2DEE7" w:themeFill="accent1" w:themeFillTint="33"/>
          </w:tcPr>
          <w:p w14:paraId="0DC61444" w14:textId="1FE37BA8" w:rsidR="00881ACF" w:rsidRPr="00FA2C26" w:rsidRDefault="004A2DA6" w:rsidP="002B2C94">
            <w:pPr>
              <w:pStyle w:val="TableBodyCopy"/>
              <w:cnfStyle w:val="000000000000" w:firstRow="0" w:lastRow="0" w:firstColumn="0" w:lastColumn="0" w:oddVBand="0" w:evenVBand="0" w:oddHBand="0" w:evenHBand="0" w:firstRowFirstColumn="0" w:firstRowLastColumn="0" w:lastRowFirstColumn="0" w:lastRowLastColumn="0"/>
            </w:pPr>
            <w:r>
              <w:t>20</w:t>
            </w:r>
            <w:r w:rsidR="00957E35">
              <w:t>23</w:t>
            </w:r>
            <w:r w:rsidR="007003F6">
              <w:t>–</w:t>
            </w:r>
            <w:r w:rsidR="00957E35">
              <w:t>20</w:t>
            </w:r>
            <w:r w:rsidR="00AB642A">
              <w:t>30</w:t>
            </w:r>
          </w:p>
        </w:tc>
        <w:tc>
          <w:tcPr>
            <w:tcW w:w="1667" w:type="pct"/>
            <w:shd w:val="clear" w:color="auto" w:fill="F2F2F2" w:themeFill="background1" w:themeFillShade="F2"/>
          </w:tcPr>
          <w:p w14:paraId="03041D78" w14:textId="24C137D6" w:rsidR="00881ACF" w:rsidRPr="00FA2C26" w:rsidRDefault="00881ACF" w:rsidP="002B2C94">
            <w:pPr>
              <w:pStyle w:val="TableBodyCopy"/>
              <w:cnfStyle w:val="000000000000" w:firstRow="0" w:lastRow="0" w:firstColumn="0" w:lastColumn="0" w:oddVBand="0" w:evenVBand="0" w:oddHBand="0" w:evenHBand="0" w:firstRowFirstColumn="0" w:firstRowLastColumn="0" w:lastRowFirstColumn="0" w:lastRowLastColumn="0"/>
            </w:pPr>
            <w:r w:rsidRPr="00FA2C26">
              <w:t>Private sector</w:t>
            </w:r>
          </w:p>
        </w:tc>
      </w:tr>
      <w:tr w:rsidR="000855E3" w:rsidRPr="00FA2C26" w14:paraId="004C8C68" w14:textId="77777777" w:rsidTr="00D40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D38A893" w14:textId="77777777" w:rsidR="00881ACF" w:rsidRDefault="00881ACF" w:rsidP="002B2C94">
            <w:pPr>
              <w:pStyle w:val="TableBodyCopy"/>
            </w:pPr>
            <w:r w:rsidRPr="00FA2C26">
              <w:t>Aus4ASEAN Futures</w:t>
            </w:r>
          </w:p>
          <w:p w14:paraId="0CBEE8A2" w14:textId="0FD53DAD" w:rsidR="0059155A" w:rsidRPr="00FA2C26" w:rsidRDefault="0059155A" w:rsidP="002B2C94">
            <w:pPr>
              <w:pStyle w:val="TableBodyCopy"/>
            </w:pPr>
            <w:r>
              <w:t>(</w:t>
            </w:r>
            <w:r w:rsidR="005023F7">
              <w:t>r</w:t>
            </w:r>
            <w:r>
              <w:t>egional)</w:t>
            </w:r>
          </w:p>
        </w:tc>
        <w:tc>
          <w:tcPr>
            <w:tcW w:w="1667" w:type="pct"/>
            <w:shd w:val="clear" w:color="auto" w:fill="D2DEE7" w:themeFill="accent1" w:themeFillTint="33"/>
          </w:tcPr>
          <w:p w14:paraId="12EF3E82" w14:textId="02ABBF49" w:rsidR="00881ACF" w:rsidRPr="00FA2C26" w:rsidRDefault="00881ACF" w:rsidP="002B2C94">
            <w:pPr>
              <w:pStyle w:val="TableBodyCopy"/>
              <w:cnfStyle w:val="000000100000" w:firstRow="0" w:lastRow="0" w:firstColumn="0" w:lastColumn="0" w:oddVBand="0" w:evenVBand="0" w:oddHBand="1" w:evenHBand="0" w:firstRowFirstColumn="0" w:firstRowLastColumn="0" w:lastRowFirstColumn="0" w:lastRowLastColumn="0"/>
            </w:pPr>
            <w:r w:rsidRPr="00FA2C26">
              <w:t>2020</w:t>
            </w:r>
            <w:r w:rsidR="00C56CF2">
              <w:t>–</w:t>
            </w:r>
            <w:r w:rsidRPr="00FA2C26">
              <w:t>2032</w:t>
            </w:r>
          </w:p>
        </w:tc>
        <w:tc>
          <w:tcPr>
            <w:tcW w:w="1667" w:type="pct"/>
            <w:shd w:val="clear" w:color="auto" w:fill="F2F2F2" w:themeFill="background1" w:themeFillShade="F2"/>
          </w:tcPr>
          <w:p w14:paraId="7F3DC8C8" w14:textId="5D6978B2" w:rsidR="00881ACF" w:rsidRPr="00FA2C26" w:rsidRDefault="00881ACF" w:rsidP="002B2C94">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ASEAN </w:t>
            </w:r>
            <w:r w:rsidR="00E47AFF">
              <w:t>M</w:t>
            </w:r>
            <w:r w:rsidR="00E47AFF" w:rsidRPr="00FA2C26">
              <w:t xml:space="preserve">ember </w:t>
            </w:r>
            <w:r w:rsidR="00E47AFF">
              <w:t>S</w:t>
            </w:r>
            <w:r w:rsidR="00E47AFF" w:rsidRPr="00FA2C26">
              <w:t>tates</w:t>
            </w:r>
          </w:p>
        </w:tc>
      </w:tr>
      <w:tr w:rsidR="000855E3" w:rsidRPr="00FA2C26" w14:paraId="61222CEB" w14:textId="77777777" w:rsidTr="00D400F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2B80FC5" w14:textId="7A20AE3E" w:rsidR="00881ACF" w:rsidRDefault="00881ACF" w:rsidP="002B2C94">
            <w:pPr>
              <w:pStyle w:val="TableBodyCopy"/>
            </w:pPr>
            <w:r w:rsidRPr="00FA2C26">
              <w:t>ASEAN</w:t>
            </w:r>
            <w:r w:rsidR="00C6788F">
              <w:t>–</w:t>
            </w:r>
            <w:r w:rsidRPr="00FA2C26">
              <w:t>Australia Smart Cities</w:t>
            </w:r>
          </w:p>
          <w:p w14:paraId="0F3ECDB5" w14:textId="52C96D52" w:rsidR="0059155A" w:rsidRPr="00FA2C26" w:rsidRDefault="0059155A" w:rsidP="002B2C94">
            <w:pPr>
              <w:pStyle w:val="TableBodyCopy"/>
            </w:pPr>
            <w:r>
              <w:t>(</w:t>
            </w:r>
            <w:r w:rsidR="005023F7">
              <w:t>r</w:t>
            </w:r>
            <w:r>
              <w:t>egional)</w:t>
            </w:r>
          </w:p>
        </w:tc>
        <w:tc>
          <w:tcPr>
            <w:tcW w:w="1667" w:type="pct"/>
            <w:shd w:val="clear" w:color="auto" w:fill="D2DEE7" w:themeFill="accent1" w:themeFillTint="33"/>
          </w:tcPr>
          <w:p w14:paraId="7766597D" w14:textId="1473B2BE" w:rsidR="00881ACF" w:rsidRPr="00FA2C26" w:rsidRDefault="00881ACF" w:rsidP="002B2C94">
            <w:pPr>
              <w:pStyle w:val="TableBodyCopy"/>
              <w:cnfStyle w:val="000000000000" w:firstRow="0" w:lastRow="0" w:firstColumn="0" w:lastColumn="0" w:oddVBand="0" w:evenVBand="0" w:oddHBand="0" w:evenHBand="0" w:firstRowFirstColumn="0" w:firstRowLastColumn="0" w:lastRowFirstColumn="0" w:lastRowLastColumn="0"/>
            </w:pPr>
            <w:r w:rsidRPr="00FA2C26">
              <w:t>2018</w:t>
            </w:r>
            <w:r w:rsidR="00704C02">
              <w:t>–</w:t>
            </w:r>
            <w:r w:rsidRPr="00FA2C26">
              <w:t>2024</w:t>
            </w:r>
          </w:p>
        </w:tc>
        <w:tc>
          <w:tcPr>
            <w:tcW w:w="1667" w:type="pct"/>
            <w:shd w:val="clear" w:color="auto" w:fill="F2F2F2" w:themeFill="background1" w:themeFillShade="F2"/>
          </w:tcPr>
          <w:p w14:paraId="2C840E37" w14:textId="5BC6EAB7" w:rsidR="00881ACF" w:rsidRPr="00FA2C26" w:rsidRDefault="00881ACF" w:rsidP="002B2C94">
            <w:pPr>
              <w:pStyle w:val="TableBodyCopy"/>
              <w:cnfStyle w:val="000000000000" w:firstRow="0" w:lastRow="0" w:firstColumn="0" w:lastColumn="0" w:oddVBand="0" w:evenVBand="0" w:oddHBand="0" w:evenHBand="0" w:firstRowFirstColumn="0" w:firstRowLastColumn="0" w:lastRowFirstColumn="0" w:lastRowLastColumn="0"/>
            </w:pPr>
            <w:r w:rsidRPr="00FA2C26">
              <w:t xml:space="preserve">ASEAN </w:t>
            </w:r>
            <w:r w:rsidR="00E47AFF">
              <w:t>M</w:t>
            </w:r>
            <w:r w:rsidR="00E47AFF" w:rsidRPr="00FA2C26">
              <w:t xml:space="preserve">ember </w:t>
            </w:r>
            <w:r w:rsidR="00E47AFF">
              <w:t>S</w:t>
            </w:r>
            <w:r w:rsidR="00E47AFF" w:rsidRPr="00FA2C26">
              <w:t>tates</w:t>
            </w:r>
          </w:p>
        </w:tc>
      </w:tr>
      <w:tr w:rsidR="000855E3" w:rsidRPr="00FA2C26" w14:paraId="1D2D5768" w14:textId="77777777" w:rsidTr="00D40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E121EE2" w14:textId="77777777" w:rsidR="00881ACF" w:rsidRDefault="00881ACF" w:rsidP="002B2C94">
            <w:pPr>
              <w:pStyle w:val="TableBodyCopy"/>
            </w:pPr>
            <w:r w:rsidRPr="00FA2C26">
              <w:t>Regional Trade for Development (RT4D)</w:t>
            </w:r>
          </w:p>
          <w:p w14:paraId="77730C33" w14:textId="6F94AAF4" w:rsidR="0059155A" w:rsidRPr="00FA2C26" w:rsidRDefault="0059155A" w:rsidP="002B2C94">
            <w:pPr>
              <w:pStyle w:val="TableBodyCopy"/>
            </w:pPr>
            <w:r>
              <w:t>(</w:t>
            </w:r>
            <w:r w:rsidR="005023F7">
              <w:t>r</w:t>
            </w:r>
            <w:r>
              <w:t>egional)</w:t>
            </w:r>
          </w:p>
        </w:tc>
        <w:tc>
          <w:tcPr>
            <w:tcW w:w="1667" w:type="pct"/>
            <w:shd w:val="clear" w:color="auto" w:fill="D2DEE7" w:themeFill="accent1" w:themeFillTint="33"/>
          </w:tcPr>
          <w:p w14:paraId="13A8071A" w14:textId="356F4428" w:rsidR="00881ACF" w:rsidRPr="00FA2C26" w:rsidRDefault="00881ACF" w:rsidP="002B2C94">
            <w:pPr>
              <w:pStyle w:val="TableBodyCopy"/>
              <w:cnfStyle w:val="000000100000" w:firstRow="0" w:lastRow="0" w:firstColumn="0" w:lastColumn="0" w:oddVBand="0" w:evenVBand="0" w:oddHBand="1" w:evenHBand="0" w:firstRowFirstColumn="0" w:firstRowLastColumn="0" w:lastRowFirstColumn="0" w:lastRowLastColumn="0"/>
            </w:pPr>
            <w:r w:rsidRPr="00FA2C26">
              <w:t>2022</w:t>
            </w:r>
            <w:r w:rsidR="00704C02">
              <w:t>–</w:t>
            </w:r>
            <w:r w:rsidRPr="00FA2C26">
              <w:t>2028</w:t>
            </w:r>
          </w:p>
        </w:tc>
        <w:tc>
          <w:tcPr>
            <w:tcW w:w="1667" w:type="pct"/>
            <w:shd w:val="clear" w:color="auto" w:fill="F2F2F2" w:themeFill="background1" w:themeFillShade="F2"/>
          </w:tcPr>
          <w:p w14:paraId="30252C9D" w14:textId="13A7DDC5" w:rsidR="00881ACF" w:rsidRPr="00FA2C26" w:rsidRDefault="00881ACF" w:rsidP="002B2C94">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ASEAN </w:t>
            </w:r>
            <w:r w:rsidR="00E47AFF">
              <w:t>M</w:t>
            </w:r>
            <w:r w:rsidR="00E47AFF" w:rsidRPr="00FA2C26">
              <w:t xml:space="preserve">ember </w:t>
            </w:r>
            <w:r w:rsidR="00E47AFF">
              <w:t>S</w:t>
            </w:r>
            <w:r w:rsidR="00E47AFF" w:rsidRPr="00FA2C26">
              <w:t>tates</w:t>
            </w:r>
          </w:p>
        </w:tc>
      </w:tr>
      <w:tr w:rsidR="000855E3" w:rsidRPr="00FA2C26" w14:paraId="3B4C1E64" w14:textId="77777777" w:rsidTr="00D400F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4F4AD9B" w14:textId="77777777" w:rsidR="00881ACF" w:rsidRDefault="00881ACF" w:rsidP="002B2C94">
            <w:pPr>
              <w:pStyle w:val="TableBodyCopy"/>
            </w:pPr>
            <w:r w:rsidRPr="00FA2C26">
              <w:t>Investing in Women (IW) Phase 2</w:t>
            </w:r>
          </w:p>
          <w:p w14:paraId="2088E3FE" w14:textId="109CA6B6" w:rsidR="0059155A" w:rsidRPr="00FA2C26" w:rsidRDefault="0059155A" w:rsidP="002B2C94">
            <w:pPr>
              <w:pStyle w:val="TableBodyCopy"/>
            </w:pPr>
            <w:r>
              <w:t>(</w:t>
            </w:r>
            <w:r w:rsidR="005023F7">
              <w:t>r</w:t>
            </w:r>
            <w:r>
              <w:t>egional)</w:t>
            </w:r>
          </w:p>
        </w:tc>
        <w:tc>
          <w:tcPr>
            <w:tcW w:w="1667" w:type="pct"/>
            <w:shd w:val="clear" w:color="auto" w:fill="D2DEE7" w:themeFill="accent1" w:themeFillTint="33"/>
          </w:tcPr>
          <w:p w14:paraId="3E9F5B1E" w14:textId="64B454A1" w:rsidR="00881ACF" w:rsidRPr="00FA2C26" w:rsidRDefault="00881ACF" w:rsidP="002B2C94">
            <w:pPr>
              <w:pStyle w:val="TableBodyCopy"/>
              <w:cnfStyle w:val="000000000000" w:firstRow="0" w:lastRow="0" w:firstColumn="0" w:lastColumn="0" w:oddVBand="0" w:evenVBand="0" w:oddHBand="0" w:evenHBand="0" w:firstRowFirstColumn="0" w:firstRowLastColumn="0" w:lastRowFirstColumn="0" w:lastRowLastColumn="0"/>
            </w:pPr>
            <w:r w:rsidRPr="00FA2C26">
              <w:t>2023</w:t>
            </w:r>
            <w:r w:rsidR="00704C02">
              <w:t>–</w:t>
            </w:r>
            <w:r w:rsidRPr="00FA2C26">
              <w:t xml:space="preserve">2028 </w:t>
            </w:r>
          </w:p>
        </w:tc>
        <w:tc>
          <w:tcPr>
            <w:tcW w:w="1667" w:type="pct"/>
            <w:shd w:val="clear" w:color="auto" w:fill="F2F2F2" w:themeFill="background1" w:themeFillShade="F2"/>
          </w:tcPr>
          <w:p w14:paraId="0277718F" w14:textId="567FF431" w:rsidR="00881ACF" w:rsidRPr="00FA2C26" w:rsidRDefault="00881ACF" w:rsidP="002B2C94">
            <w:pPr>
              <w:pStyle w:val="TableBodyCopy"/>
              <w:cnfStyle w:val="000000000000" w:firstRow="0" w:lastRow="0" w:firstColumn="0" w:lastColumn="0" w:oddVBand="0" w:evenVBand="0" w:oddHBand="0" w:evenHBand="0" w:firstRowFirstColumn="0" w:firstRowLastColumn="0" w:lastRowFirstColumn="0" w:lastRowLastColumn="0"/>
            </w:pPr>
            <w:r w:rsidRPr="00FA2C26">
              <w:t xml:space="preserve">ASEAN </w:t>
            </w:r>
            <w:r w:rsidR="00E47AFF">
              <w:t>M</w:t>
            </w:r>
            <w:r w:rsidR="00E47AFF" w:rsidRPr="00FA2C26">
              <w:t xml:space="preserve">ember </w:t>
            </w:r>
            <w:r w:rsidR="00E47AFF">
              <w:t>S</w:t>
            </w:r>
            <w:r w:rsidRPr="00FA2C26">
              <w:t xml:space="preserve">tates; </w:t>
            </w:r>
            <w:r w:rsidR="00E47AFF">
              <w:t>small and medium-sized enterprises (</w:t>
            </w:r>
            <w:r w:rsidRPr="00FA2C26">
              <w:t>SMEs</w:t>
            </w:r>
            <w:r w:rsidR="00E47AFF">
              <w:t>)</w:t>
            </w:r>
            <w:r w:rsidRPr="00FA2C26">
              <w:t>; CSOs</w:t>
            </w:r>
          </w:p>
        </w:tc>
      </w:tr>
      <w:tr w:rsidR="000855E3" w:rsidRPr="00FA2C26" w14:paraId="0D6D4155" w14:textId="77777777" w:rsidTr="00D40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0F81D3E" w14:textId="77777777" w:rsidR="0059155A" w:rsidRDefault="00881ACF" w:rsidP="002B2C94">
            <w:pPr>
              <w:pStyle w:val="TableBodyCopy"/>
            </w:pPr>
            <w:r w:rsidRPr="00FA2C26">
              <w:t>Support to the Economic Research Institute for ASEAN and East Asia (ERIA)</w:t>
            </w:r>
            <w:r w:rsidR="0059155A">
              <w:t xml:space="preserve"> </w:t>
            </w:r>
          </w:p>
          <w:p w14:paraId="58BC4BC5" w14:textId="1DFBA1B3" w:rsidR="00881ACF" w:rsidRPr="00FA2C26" w:rsidRDefault="0059155A" w:rsidP="002B2C94">
            <w:pPr>
              <w:pStyle w:val="TableBodyCopy"/>
            </w:pPr>
            <w:r>
              <w:t>(</w:t>
            </w:r>
            <w:r w:rsidR="005023F7">
              <w:t>r</w:t>
            </w:r>
            <w:r>
              <w:t>egional)</w:t>
            </w:r>
          </w:p>
        </w:tc>
        <w:tc>
          <w:tcPr>
            <w:tcW w:w="1667" w:type="pct"/>
            <w:shd w:val="clear" w:color="auto" w:fill="D2DEE7" w:themeFill="accent1" w:themeFillTint="33"/>
          </w:tcPr>
          <w:p w14:paraId="4AB39F3B" w14:textId="597710D7" w:rsidR="00881ACF" w:rsidRPr="00FA2C26" w:rsidRDefault="00881ACF" w:rsidP="002B2C94">
            <w:pPr>
              <w:pStyle w:val="TableBodyCopy"/>
              <w:cnfStyle w:val="000000100000" w:firstRow="0" w:lastRow="0" w:firstColumn="0" w:lastColumn="0" w:oddVBand="0" w:evenVBand="0" w:oddHBand="1" w:evenHBand="0" w:firstRowFirstColumn="0" w:firstRowLastColumn="0" w:lastRowFirstColumn="0" w:lastRowLastColumn="0"/>
            </w:pPr>
            <w:r w:rsidRPr="00FA2C26">
              <w:t>2022</w:t>
            </w:r>
            <w:r w:rsidR="00704C02">
              <w:t>–</w:t>
            </w:r>
            <w:r w:rsidRPr="00FA2C26">
              <w:t>2028</w:t>
            </w:r>
          </w:p>
        </w:tc>
        <w:tc>
          <w:tcPr>
            <w:tcW w:w="1667" w:type="pct"/>
            <w:shd w:val="clear" w:color="auto" w:fill="F2F2F2" w:themeFill="background1" w:themeFillShade="F2"/>
          </w:tcPr>
          <w:p w14:paraId="67F06C07" w14:textId="41112AB3" w:rsidR="00881ACF" w:rsidRPr="00FA2C26" w:rsidRDefault="00881ACF" w:rsidP="002B2C94">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ASEAN </w:t>
            </w:r>
            <w:r w:rsidR="00E47AFF">
              <w:t>M</w:t>
            </w:r>
            <w:r w:rsidR="00E47AFF" w:rsidRPr="00FA2C26">
              <w:t xml:space="preserve">ember </w:t>
            </w:r>
            <w:r w:rsidR="00E47AFF">
              <w:t>S</w:t>
            </w:r>
            <w:r w:rsidR="00E47AFF" w:rsidRPr="00FA2C26">
              <w:t>tates</w:t>
            </w:r>
          </w:p>
        </w:tc>
      </w:tr>
      <w:tr w:rsidR="000855E3" w:rsidRPr="00FA2C26" w14:paraId="74C16465" w14:textId="77777777" w:rsidTr="00D400F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6DC6DBF" w14:textId="51FA2657" w:rsidR="00881ACF" w:rsidRDefault="00881ACF" w:rsidP="002B2C94">
            <w:pPr>
              <w:pStyle w:val="TableBodyCopy"/>
            </w:pPr>
            <w:bookmarkStart w:id="14" w:name="_Hlk172538432"/>
            <w:r w:rsidRPr="00FA2C26">
              <w:t xml:space="preserve">International Finance Corporation Women’s Economic Empowerment, </w:t>
            </w:r>
            <w:proofErr w:type="gramStart"/>
            <w:r w:rsidRPr="00FA2C26">
              <w:t>Financing</w:t>
            </w:r>
            <w:proofErr w:type="gramEnd"/>
            <w:r w:rsidRPr="00FA2C26">
              <w:t xml:space="preserve"> and Inclusion Platform </w:t>
            </w:r>
            <w:r w:rsidR="00B0068D">
              <w:t>(IFC WEE FIP)</w:t>
            </w:r>
          </w:p>
          <w:p w14:paraId="1EDE9437" w14:textId="4A9FD936" w:rsidR="0059155A" w:rsidRPr="00FA2C26" w:rsidRDefault="0059155A" w:rsidP="002B2C94">
            <w:pPr>
              <w:pStyle w:val="TableBodyCopy"/>
            </w:pPr>
            <w:r>
              <w:t>(</w:t>
            </w:r>
            <w:r w:rsidR="005023F7">
              <w:t>r</w:t>
            </w:r>
            <w:r>
              <w:t>egional)</w:t>
            </w:r>
          </w:p>
        </w:tc>
        <w:tc>
          <w:tcPr>
            <w:tcW w:w="1667" w:type="pct"/>
            <w:shd w:val="clear" w:color="auto" w:fill="D2DEE7" w:themeFill="accent1" w:themeFillTint="33"/>
          </w:tcPr>
          <w:p w14:paraId="5BE8B9CD" w14:textId="3A79E28B" w:rsidR="00881ACF" w:rsidRPr="00FA2C26" w:rsidRDefault="00E96974" w:rsidP="002B2C94">
            <w:pPr>
              <w:pStyle w:val="TableBodyCopy"/>
              <w:cnfStyle w:val="000000000000" w:firstRow="0" w:lastRow="0" w:firstColumn="0" w:lastColumn="0" w:oddVBand="0" w:evenVBand="0" w:oddHBand="0" w:evenHBand="0" w:firstRowFirstColumn="0" w:firstRowLastColumn="0" w:lastRowFirstColumn="0" w:lastRowLastColumn="0"/>
            </w:pPr>
            <w:r>
              <w:t>July 2023 to June 2027</w:t>
            </w:r>
          </w:p>
        </w:tc>
        <w:tc>
          <w:tcPr>
            <w:tcW w:w="1667" w:type="pct"/>
            <w:shd w:val="clear" w:color="auto" w:fill="F2F2F2" w:themeFill="background1" w:themeFillShade="F2"/>
          </w:tcPr>
          <w:p w14:paraId="0A2CD3AE" w14:textId="702AA9A1" w:rsidR="00881ACF" w:rsidRPr="00FA2C26" w:rsidRDefault="00881ACF" w:rsidP="002B2C94">
            <w:pPr>
              <w:pStyle w:val="TableBodyCopy"/>
              <w:cnfStyle w:val="000000000000" w:firstRow="0" w:lastRow="0" w:firstColumn="0" w:lastColumn="0" w:oddVBand="0" w:evenVBand="0" w:oddHBand="0" w:evenHBand="0" w:firstRowFirstColumn="0" w:firstRowLastColumn="0" w:lastRowFirstColumn="0" w:lastRowLastColumn="0"/>
            </w:pPr>
            <w:r w:rsidRPr="00FA2C26">
              <w:t>International Finance Corporation</w:t>
            </w:r>
            <w:r w:rsidR="00B0068D">
              <w:t xml:space="preserve"> (IFC)</w:t>
            </w:r>
          </w:p>
        </w:tc>
      </w:tr>
      <w:bookmarkEnd w:id="14"/>
      <w:tr w:rsidR="000855E3" w:rsidRPr="00FA2C26" w14:paraId="7A052D68" w14:textId="77777777" w:rsidTr="00D40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AD9BF5F" w14:textId="1993CCD2" w:rsidR="00881ACF" w:rsidRDefault="00881ACF" w:rsidP="002B2C94">
            <w:pPr>
              <w:pStyle w:val="TableBodyCopy"/>
            </w:pPr>
            <w:r w:rsidRPr="00FA2C26">
              <w:t>ASEAN</w:t>
            </w:r>
            <w:r w:rsidR="00C6788F">
              <w:t>–</w:t>
            </w:r>
            <w:r w:rsidRPr="00FA2C26">
              <w:t>Australia Digital Trade Standards</w:t>
            </w:r>
            <w:r w:rsidR="00F8318C">
              <w:t xml:space="preserve"> (DTS)</w:t>
            </w:r>
            <w:r w:rsidRPr="00FA2C26">
              <w:t xml:space="preserve"> Initiative</w:t>
            </w:r>
          </w:p>
          <w:p w14:paraId="3A355AA5" w14:textId="562566B6" w:rsidR="0059155A" w:rsidRPr="00FA2C26" w:rsidRDefault="0059155A" w:rsidP="002B2C94">
            <w:pPr>
              <w:pStyle w:val="TableBodyCopy"/>
            </w:pPr>
            <w:r>
              <w:t>(</w:t>
            </w:r>
            <w:r w:rsidR="005023F7">
              <w:t>r</w:t>
            </w:r>
            <w:r>
              <w:t>egional)</w:t>
            </w:r>
          </w:p>
        </w:tc>
        <w:tc>
          <w:tcPr>
            <w:tcW w:w="1667" w:type="pct"/>
            <w:shd w:val="clear" w:color="auto" w:fill="D2DEE7" w:themeFill="accent1" w:themeFillTint="33"/>
          </w:tcPr>
          <w:p w14:paraId="2BE351C5" w14:textId="73E22676" w:rsidR="00881ACF" w:rsidRPr="00FA2C26" w:rsidRDefault="00881ACF" w:rsidP="002B2C94">
            <w:pPr>
              <w:pStyle w:val="TableBodyCopy"/>
              <w:cnfStyle w:val="000000100000" w:firstRow="0" w:lastRow="0" w:firstColumn="0" w:lastColumn="0" w:oddVBand="0" w:evenVBand="0" w:oddHBand="1" w:evenHBand="0" w:firstRowFirstColumn="0" w:firstRowLastColumn="0" w:lastRowFirstColumn="0" w:lastRowLastColumn="0"/>
            </w:pPr>
            <w:r w:rsidRPr="00FA2C26">
              <w:t>2018</w:t>
            </w:r>
            <w:r w:rsidR="00704C02">
              <w:t>–</w:t>
            </w:r>
            <w:r w:rsidRPr="00FA2C26">
              <w:t>2024</w:t>
            </w:r>
          </w:p>
        </w:tc>
        <w:tc>
          <w:tcPr>
            <w:tcW w:w="1667" w:type="pct"/>
            <w:shd w:val="clear" w:color="auto" w:fill="F2F2F2" w:themeFill="background1" w:themeFillShade="F2"/>
          </w:tcPr>
          <w:p w14:paraId="4AC4C6A3" w14:textId="4DA22652" w:rsidR="00881ACF" w:rsidRPr="00FA2C26" w:rsidRDefault="00881ACF" w:rsidP="002B2C94">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ASEAN </w:t>
            </w:r>
            <w:r w:rsidR="00E47AFF">
              <w:t>M</w:t>
            </w:r>
            <w:r w:rsidR="00E47AFF" w:rsidRPr="00FA2C26">
              <w:t xml:space="preserve">ember </w:t>
            </w:r>
            <w:r w:rsidR="00E47AFF">
              <w:t>S</w:t>
            </w:r>
            <w:r w:rsidR="00E47AFF" w:rsidRPr="00FA2C26">
              <w:t>tates</w:t>
            </w:r>
            <w:r w:rsidRPr="00FA2C26">
              <w:t>; private sector</w:t>
            </w:r>
          </w:p>
        </w:tc>
      </w:tr>
      <w:tr w:rsidR="000855E3" w:rsidRPr="00FA2C26" w14:paraId="547DF379" w14:textId="77777777" w:rsidTr="00D400F1">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8C7BAF4" w14:textId="11B8AC0F" w:rsidR="0059155A" w:rsidRDefault="00881ACF" w:rsidP="002B2C94">
            <w:pPr>
              <w:pStyle w:val="TableBodyCopy"/>
            </w:pPr>
            <w:r w:rsidRPr="00FA2C26">
              <w:lastRenderedPageBreak/>
              <w:t xml:space="preserve">Australia for ASEAN </w:t>
            </w:r>
            <w:r w:rsidR="00C57607">
              <w:t xml:space="preserve">(Aus4ASEAN) </w:t>
            </w:r>
            <w:r w:rsidRPr="00FA2C26">
              <w:t>Digital Transformation and Future Skills Initiative</w:t>
            </w:r>
          </w:p>
          <w:p w14:paraId="2B97717E" w14:textId="74AD7E22" w:rsidR="00881ACF" w:rsidRPr="00FA2C26" w:rsidRDefault="0059155A" w:rsidP="002B2C94">
            <w:pPr>
              <w:pStyle w:val="TableBodyCopy"/>
            </w:pPr>
            <w:r>
              <w:t>(</w:t>
            </w:r>
            <w:r w:rsidR="0088129B">
              <w:t>r</w:t>
            </w:r>
            <w:r>
              <w:t>egional)</w:t>
            </w:r>
          </w:p>
        </w:tc>
        <w:tc>
          <w:tcPr>
            <w:tcW w:w="1667" w:type="pct"/>
            <w:shd w:val="clear" w:color="auto" w:fill="D2DEE7" w:themeFill="accent1" w:themeFillTint="33"/>
          </w:tcPr>
          <w:p w14:paraId="6BE9B282" w14:textId="3ECCD184" w:rsidR="00881ACF" w:rsidRPr="00FA2C26" w:rsidRDefault="00881ACF" w:rsidP="002B2C94">
            <w:pPr>
              <w:pStyle w:val="TableBodyCopy"/>
              <w:cnfStyle w:val="000000000000" w:firstRow="0" w:lastRow="0" w:firstColumn="0" w:lastColumn="0" w:oddVBand="0" w:evenVBand="0" w:oddHBand="0" w:evenHBand="0" w:firstRowFirstColumn="0" w:firstRowLastColumn="0" w:lastRowFirstColumn="0" w:lastRowLastColumn="0"/>
            </w:pPr>
            <w:r w:rsidRPr="00FA2C26">
              <w:t>2022</w:t>
            </w:r>
            <w:r w:rsidR="00704C02">
              <w:t>–</w:t>
            </w:r>
            <w:r w:rsidRPr="00FA2C26">
              <w:t>2025</w:t>
            </w:r>
          </w:p>
        </w:tc>
        <w:tc>
          <w:tcPr>
            <w:tcW w:w="1667" w:type="pct"/>
            <w:shd w:val="clear" w:color="auto" w:fill="F2F2F2" w:themeFill="background1" w:themeFillShade="F2"/>
          </w:tcPr>
          <w:p w14:paraId="7F7206DB" w14:textId="43170743" w:rsidR="00881ACF" w:rsidRPr="00FA2C26" w:rsidRDefault="00881ACF" w:rsidP="002B2C94">
            <w:pPr>
              <w:pStyle w:val="TableBodyCopy"/>
              <w:cnfStyle w:val="000000000000" w:firstRow="0" w:lastRow="0" w:firstColumn="0" w:lastColumn="0" w:oddVBand="0" w:evenVBand="0" w:oddHBand="0" w:evenHBand="0" w:firstRowFirstColumn="0" w:firstRowLastColumn="0" w:lastRowFirstColumn="0" w:lastRowLastColumn="0"/>
            </w:pPr>
            <w:r w:rsidRPr="00FA2C26">
              <w:t xml:space="preserve">ASEAN </w:t>
            </w:r>
            <w:r w:rsidR="00E47AFF">
              <w:t>M</w:t>
            </w:r>
            <w:r w:rsidRPr="00FA2C26">
              <w:t xml:space="preserve">ember </w:t>
            </w:r>
            <w:r w:rsidR="00E47AFF">
              <w:t>S</w:t>
            </w:r>
            <w:r w:rsidRPr="00FA2C26">
              <w:t>tates</w:t>
            </w:r>
          </w:p>
        </w:tc>
      </w:tr>
      <w:tr w:rsidR="000855E3" w:rsidRPr="00FA2C26" w14:paraId="1142201B" w14:textId="77777777" w:rsidTr="00D40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7A731D3" w14:textId="77777777" w:rsidR="00881ACF" w:rsidRDefault="00881ACF" w:rsidP="002B2C94">
            <w:pPr>
              <w:pStyle w:val="TableBodyCopy"/>
            </w:pPr>
            <w:r w:rsidRPr="00FA2C26">
              <w:t>Investment deals teams</w:t>
            </w:r>
          </w:p>
          <w:p w14:paraId="293921F4" w14:textId="59FB4241" w:rsidR="0059155A" w:rsidRPr="00FA2C26" w:rsidRDefault="0059155A" w:rsidP="002B2C94">
            <w:pPr>
              <w:pStyle w:val="TableBodyCopy"/>
            </w:pPr>
            <w:r>
              <w:t>(</w:t>
            </w:r>
            <w:r w:rsidR="0088129B">
              <w:t>r</w:t>
            </w:r>
            <w:r>
              <w:t>egional)</w:t>
            </w:r>
          </w:p>
        </w:tc>
        <w:tc>
          <w:tcPr>
            <w:tcW w:w="1667" w:type="pct"/>
            <w:shd w:val="clear" w:color="auto" w:fill="D2DEE7" w:themeFill="accent1" w:themeFillTint="33"/>
          </w:tcPr>
          <w:p w14:paraId="0FD86709" w14:textId="17298F0F" w:rsidR="00881ACF" w:rsidRPr="00FA2C26" w:rsidRDefault="00881ACF" w:rsidP="002B2C94">
            <w:pPr>
              <w:pStyle w:val="TableBodyCopy"/>
              <w:cnfStyle w:val="000000100000" w:firstRow="0" w:lastRow="0" w:firstColumn="0" w:lastColumn="0" w:oddVBand="0" w:evenVBand="0" w:oddHBand="1" w:evenHBand="0" w:firstRowFirstColumn="0" w:firstRowLastColumn="0" w:lastRowFirstColumn="0" w:lastRowLastColumn="0"/>
            </w:pPr>
            <w:r w:rsidRPr="00FA2C26">
              <w:t>2024</w:t>
            </w:r>
            <w:r w:rsidR="00704C02">
              <w:t>–</w:t>
            </w:r>
            <w:r w:rsidRPr="00FA2C26">
              <w:t>2028</w:t>
            </w:r>
          </w:p>
        </w:tc>
        <w:tc>
          <w:tcPr>
            <w:tcW w:w="1667" w:type="pct"/>
            <w:shd w:val="clear" w:color="auto" w:fill="F2F2F2" w:themeFill="background1" w:themeFillShade="F2"/>
          </w:tcPr>
          <w:p w14:paraId="7BF56C21" w14:textId="2CB1AC61" w:rsidR="00881ACF" w:rsidRPr="00FA2C26" w:rsidRDefault="00FB59FE" w:rsidP="002B2C94">
            <w:pPr>
              <w:pStyle w:val="TableBodyCopy"/>
              <w:cnfStyle w:val="000000100000" w:firstRow="0" w:lastRow="0" w:firstColumn="0" w:lastColumn="0" w:oddVBand="0" w:evenVBand="0" w:oddHBand="1" w:evenHBand="0" w:firstRowFirstColumn="0" w:firstRowLastColumn="0" w:lastRowFirstColumn="0" w:lastRowLastColumn="0"/>
            </w:pPr>
            <w:r>
              <w:t>Southeast</w:t>
            </w:r>
            <w:r w:rsidR="00881ACF" w:rsidRPr="00FA2C26">
              <w:t xml:space="preserve"> Asia government partners</w:t>
            </w:r>
          </w:p>
        </w:tc>
      </w:tr>
      <w:tr w:rsidR="000855E3" w:rsidRPr="00FA2C26" w14:paraId="3341A954" w14:textId="77777777" w:rsidTr="00D400F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57756F4" w14:textId="18F7EECB" w:rsidR="00881ACF" w:rsidRDefault="00881ACF" w:rsidP="002B2C94">
            <w:pPr>
              <w:pStyle w:val="TableBodyCopy"/>
            </w:pPr>
            <w:r w:rsidRPr="00FA2C26">
              <w:t xml:space="preserve">Southeast Asia Business Exchange </w:t>
            </w:r>
            <w:r w:rsidR="003A2A18">
              <w:t>p</w:t>
            </w:r>
            <w:r w:rsidRPr="00FA2C26">
              <w:t>rogram</w:t>
            </w:r>
          </w:p>
          <w:p w14:paraId="7EF242CB" w14:textId="7A90961E" w:rsidR="0059155A" w:rsidRPr="00FA2C26" w:rsidRDefault="0059155A" w:rsidP="002B2C94">
            <w:pPr>
              <w:pStyle w:val="TableBodyCopy"/>
            </w:pPr>
            <w:r>
              <w:t>(</w:t>
            </w:r>
            <w:r w:rsidR="0088129B">
              <w:t>r</w:t>
            </w:r>
            <w:r>
              <w:t>egional)</w:t>
            </w:r>
          </w:p>
        </w:tc>
        <w:tc>
          <w:tcPr>
            <w:tcW w:w="1667" w:type="pct"/>
            <w:shd w:val="clear" w:color="auto" w:fill="D2DEE7" w:themeFill="accent1" w:themeFillTint="33"/>
          </w:tcPr>
          <w:p w14:paraId="2EF95DC8" w14:textId="17DBFBD4" w:rsidR="00881ACF" w:rsidRPr="00FA2C26" w:rsidRDefault="00881ACF" w:rsidP="002B2C94">
            <w:pPr>
              <w:pStyle w:val="TableBodyCopy"/>
              <w:cnfStyle w:val="000000000000" w:firstRow="0" w:lastRow="0" w:firstColumn="0" w:lastColumn="0" w:oddVBand="0" w:evenVBand="0" w:oddHBand="0" w:evenHBand="0" w:firstRowFirstColumn="0" w:firstRowLastColumn="0" w:lastRowFirstColumn="0" w:lastRowLastColumn="0"/>
            </w:pPr>
            <w:r w:rsidRPr="00FA2C26">
              <w:t>2023</w:t>
            </w:r>
            <w:r w:rsidR="00704C02">
              <w:t>–</w:t>
            </w:r>
            <w:r w:rsidRPr="00FA2C26">
              <w:t>2028</w:t>
            </w:r>
          </w:p>
        </w:tc>
        <w:tc>
          <w:tcPr>
            <w:tcW w:w="1667" w:type="pct"/>
            <w:shd w:val="clear" w:color="auto" w:fill="F2F2F2" w:themeFill="background1" w:themeFillShade="F2"/>
          </w:tcPr>
          <w:p w14:paraId="2F8F9B32" w14:textId="241EFD98" w:rsidR="00881ACF" w:rsidRPr="00FA2C26" w:rsidRDefault="003A2A18" w:rsidP="002B2C94">
            <w:pPr>
              <w:pStyle w:val="TableBodyCopy"/>
              <w:cnfStyle w:val="000000000000" w:firstRow="0" w:lastRow="0" w:firstColumn="0" w:lastColumn="0" w:oddVBand="0" w:evenVBand="0" w:oddHBand="0" w:evenHBand="0" w:firstRowFirstColumn="0" w:firstRowLastColumn="0" w:lastRowFirstColumn="0" w:lastRowLastColumn="0"/>
            </w:pPr>
            <w:r>
              <w:t>Southeast</w:t>
            </w:r>
            <w:r w:rsidR="00881ACF" w:rsidRPr="00FA2C26">
              <w:t xml:space="preserve"> Asia government partners; private sector</w:t>
            </w:r>
          </w:p>
        </w:tc>
      </w:tr>
      <w:tr w:rsidR="000855E3" w:rsidRPr="00FA2C26" w14:paraId="7A100EF3" w14:textId="77777777" w:rsidTr="00D40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5C627CC" w14:textId="77777777" w:rsidR="00881ACF" w:rsidRDefault="00881ACF" w:rsidP="002B2C94">
            <w:pPr>
              <w:pStyle w:val="TableBodyCopy"/>
            </w:pPr>
            <w:r w:rsidRPr="00FA2C26">
              <w:t>Trade and Gender Equality Incubator</w:t>
            </w:r>
          </w:p>
          <w:p w14:paraId="5F0FC5C1" w14:textId="26690F36" w:rsidR="0059155A" w:rsidRPr="00FA2C26" w:rsidRDefault="0059155A" w:rsidP="002B2C94">
            <w:pPr>
              <w:pStyle w:val="TableBodyCopy"/>
            </w:pPr>
            <w:r>
              <w:t>(</w:t>
            </w:r>
            <w:r w:rsidR="0088129B">
              <w:t>g</w:t>
            </w:r>
            <w:r>
              <w:t>lobal)</w:t>
            </w:r>
          </w:p>
        </w:tc>
        <w:tc>
          <w:tcPr>
            <w:tcW w:w="1667" w:type="pct"/>
            <w:shd w:val="clear" w:color="auto" w:fill="D2DEE7" w:themeFill="accent1" w:themeFillTint="33"/>
          </w:tcPr>
          <w:p w14:paraId="7B225AC5" w14:textId="2779461D" w:rsidR="00881ACF" w:rsidRPr="00FA2C26" w:rsidRDefault="00881ACF" w:rsidP="002B2C94">
            <w:pPr>
              <w:pStyle w:val="TableBodyCopy"/>
              <w:cnfStyle w:val="000000100000" w:firstRow="0" w:lastRow="0" w:firstColumn="0" w:lastColumn="0" w:oddVBand="0" w:evenVBand="0" w:oddHBand="1" w:evenHBand="0" w:firstRowFirstColumn="0" w:firstRowLastColumn="0" w:lastRowFirstColumn="0" w:lastRowLastColumn="0"/>
            </w:pPr>
            <w:r w:rsidRPr="00FA2C26">
              <w:t>2023</w:t>
            </w:r>
            <w:r w:rsidR="00704C02">
              <w:t>–</w:t>
            </w:r>
            <w:r w:rsidRPr="00FA2C26">
              <w:t>2028</w:t>
            </w:r>
          </w:p>
        </w:tc>
        <w:tc>
          <w:tcPr>
            <w:tcW w:w="1667" w:type="pct"/>
            <w:shd w:val="clear" w:color="auto" w:fill="F2F2F2" w:themeFill="background1" w:themeFillShade="F2"/>
          </w:tcPr>
          <w:p w14:paraId="700139B7" w14:textId="02BBB7C5" w:rsidR="00881ACF" w:rsidRPr="00FA2C26" w:rsidRDefault="00E73789" w:rsidP="002B2C94">
            <w:pPr>
              <w:pStyle w:val="TableBodyCopy"/>
              <w:cnfStyle w:val="000000100000" w:firstRow="0" w:lastRow="0" w:firstColumn="0" w:lastColumn="0" w:oddVBand="0" w:evenVBand="0" w:oddHBand="1" w:evenHBand="0" w:firstRowFirstColumn="0" w:firstRowLastColumn="0" w:lastRowFirstColumn="0" w:lastRowLastColumn="0"/>
            </w:pPr>
            <w:r>
              <w:t>Southeast</w:t>
            </w:r>
            <w:r w:rsidR="00881ACF" w:rsidRPr="00FA2C26">
              <w:t xml:space="preserve"> Asia government partners; private sector</w:t>
            </w:r>
          </w:p>
        </w:tc>
      </w:tr>
      <w:tr w:rsidR="000855E3" w:rsidRPr="00FA2C26" w14:paraId="342AEF4F" w14:textId="77777777" w:rsidTr="00D400F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8A40804" w14:textId="77777777" w:rsidR="00881ACF" w:rsidRDefault="00881ACF" w:rsidP="002B2C94">
            <w:pPr>
              <w:pStyle w:val="TableBodyCopy"/>
            </w:pPr>
            <w:r w:rsidRPr="00FA2C26">
              <w:t>Women’s World Banking (WWB)</w:t>
            </w:r>
          </w:p>
          <w:p w14:paraId="6109790D" w14:textId="49A258CB" w:rsidR="0059155A" w:rsidRPr="00FA2C26" w:rsidRDefault="0059155A" w:rsidP="002B2C94">
            <w:pPr>
              <w:pStyle w:val="TableBodyCopy"/>
            </w:pPr>
            <w:r>
              <w:t>(</w:t>
            </w:r>
            <w:r w:rsidR="0088129B">
              <w:t>g</w:t>
            </w:r>
            <w:r>
              <w:t>lobal)</w:t>
            </w:r>
          </w:p>
        </w:tc>
        <w:tc>
          <w:tcPr>
            <w:tcW w:w="1667" w:type="pct"/>
            <w:shd w:val="clear" w:color="auto" w:fill="D2DEE7" w:themeFill="accent1" w:themeFillTint="33"/>
          </w:tcPr>
          <w:p w14:paraId="4375D5DE" w14:textId="743550D7" w:rsidR="00881ACF" w:rsidRPr="00FA2C26" w:rsidRDefault="00881ACF" w:rsidP="002B2C94">
            <w:pPr>
              <w:pStyle w:val="TableBodyCopy"/>
              <w:cnfStyle w:val="000000000000" w:firstRow="0" w:lastRow="0" w:firstColumn="0" w:lastColumn="0" w:oddVBand="0" w:evenVBand="0" w:oddHBand="0" w:evenHBand="0" w:firstRowFirstColumn="0" w:firstRowLastColumn="0" w:lastRowFirstColumn="0" w:lastRowLastColumn="0"/>
            </w:pPr>
            <w:r w:rsidRPr="00FA2C26">
              <w:t>2016</w:t>
            </w:r>
            <w:r w:rsidR="00704C02">
              <w:t>–</w:t>
            </w:r>
            <w:r w:rsidRPr="00FA2C26">
              <w:t>2024</w:t>
            </w:r>
          </w:p>
        </w:tc>
        <w:tc>
          <w:tcPr>
            <w:tcW w:w="1667" w:type="pct"/>
            <w:shd w:val="clear" w:color="auto" w:fill="F2F2F2" w:themeFill="background1" w:themeFillShade="F2"/>
          </w:tcPr>
          <w:p w14:paraId="1A9A7FF1" w14:textId="4D960383" w:rsidR="00881ACF" w:rsidRPr="00FA2C26" w:rsidRDefault="00E73789" w:rsidP="002B2C94">
            <w:pPr>
              <w:pStyle w:val="TableBodyCopy"/>
              <w:cnfStyle w:val="000000000000" w:firstRow="0" w:lastRow="0" w:firstColumn="0" w:lastColumn="0" w:oddVBand="0" w:evenVBand="0" w:oddHBand="0" w:evenHBand="0" w:firstRowFirstColumn="0" w:firstRowLastColumn="0" w:lastRowFirstColumn="0" w:lastRowLastColumn="0"/>
            </w:pPr>
            <w:r>
              <w:t>Southeast</w:t>
            </w:r>
            <w:r w:rsidR="00881ACF" w:rsidRPr="00FA2C26">
              <w:t xml:space="preserve"> Asia government partners</w:t>
            </w:r>
          </w:p>
        </w:tc>
      </w:tr>
    </w:tbl>
    <w:p w14:paraId="04000783" w14:textId="6BEF5A89" w:rsidR="005C4294" w:rsidRPr="00CF5050" w:rsidRDefault="00E07411" w:rsidP="005C4294">
      <w:bookmarkStart w:id="15" w:name="_Hlk171337619"/>
      <w:r>
        <w:t>Australian Government</w:t>
      </w:r>
      <w:r w:rsidR="005C4294" w:rsidRPr="00CF5050">
        <w:t xml:space="preserve"> bilateral arrangements</w:t>
      </w:r>
      <w:r>
        <w:t xml:space="preserve"> </w:t>
      </w:r>
      <w:r w:rsidRPr="413282F0">
        <w:rPr>
          <w:lang w:eastAsia="en-AU"/>
        </w:rPr>
        <w:t xml:space="preserve">for </w:t>
      </w:r>
      <w:r w:rsidRPr="00E03887">
        <w:rPr>
          <w:lang w:eastAsia="en-AU"/>
        </w:rPr>
        <w:t xml:space="preserve">Objective 1 </w:t>
      </w:r>
      <w:r w:rsidRPr="00CF5050">
        <w:rPr>
          <w:lang w:eastAsia="en-AU"/>
        </w:rPr>
        <w:t>Equitable and sustainable economic transformation</w:t>
      </w:r>
    </w:p>
    <w:tbl>
      <w:tblPr>
        <w:tblStyle w:val="ListTable3-Accent12"/>
        <w:tblW w:w="10201" w:type="dxa"/>
        <w:tblLook w:val="04A0" w:firstRow="1" w:lastRow="0" w:firstColumn="1" w:lastColumn="0" w:noHBand="0" w:noVBand="1"/>
      </w:tblPr>
      <w:tblGrid>
        <w:gridCol w:w="3400"/>
        <w:gridCol w:w="3400"/>
        <w:gridCol w:w="3401"/>
      </w:tblGrid>
      <w:tr w:rsidR="00FD0C25" w:rsidRPr="007A5BE5" w14:paraId="19B1C809" w14:textId="77777777" w:rsidTr="00FD0C2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0" w:type="dxa"/>
          </w:tcPr>
          <w:p w14:paraId="27A993DE" w14:textId="7B36A6EF" w:rsidR="00FD0C25" w:rsidRPr="007A5BE5" w:rsidRDefault="00FD0C25" w:rsidP="000304FC">
            <w:pPr>
              <w:pStyle w:val="TableHeading"/>
            </w:pPr>
            <w:r w:rsidRPr="007A5BE5">
              <w:t xml:space="preserve">Name of </w:t>
            </w:r>
            <w:r w:rsidR="00EC4407">
              <w:t>arrangement</w:t>
            </w:r>
          </w:p>
        </w:tc>
        <w:tc>
          <w:tcPr>
            <w:tcW w:w="3400" w:type="dxa"/>
          </w:tcPr>
          <w:p w14:paraId="2F9A6545" w14:textId="1B676E36" w:rsidR="00FD0C25" w:rsidRPr="007A5BE5" w:rsidRDefault="00EC4407" w:rsidP="000304FC">
            <w:pPr>
              <w:pStyle w:val="TableHeading"/>
              <w:cnfStyle w:val="100000000000" w:firstRow="1" w:lastRow="0" w:firstColumn="0" w:lastColumn="0" w:oddVBand="0" w:evenVBand="0" w:oddHBand="0" w:evenHBand="0" w:firstRowFirstColumn="0" w:firstRowLastColumn="0" w:lastRowFirstColumn="0" w:lastRowLastColumn="0"/>
            </w:pPr>
            <w:r>
              <w:t>Entry into force</w:t>
            </w:r>
          </w:p>
        </w:tc>
        <w:tc>
          <w:tcPr>
            <w:tcW w:w="3401" w:type="dxa"/>
          </w:tcPr>
          <w:p w14:paraId="512BD5B1" w14:textId="6B3A4C90" w:rsidR="00FD0C25" w:rsidRPr="007A5BE5" w:rsidRDefault="00EC4407" w:rsidP="000304FC">
            <w:pPr>
              <w:pStyle w:val="TableHeading"/>
              <w:cnfStyle w:val="100000000000" w:firstRow="1" w:lastRow="0" w:firstColumn="0" w:lastColumn="0" w:oddVBand="0" w:evenVBand="0" w:oddHBand="0" w:evenHBand="0" w:firstRowFirstColumn="0" w:firstRowLastColumn="0" w:lastRowFirstColumn="0" w:lastRowLastColumn="0"/>
            </w:pPr>
            <w:r>
              <w:t>Duration</w:t>
            </w:r>
          </w:p>
        </w:tc>
      </w:tr>
      <w:tr w:rsidR="00B01D5C" w:rsidRPr="00FA2C26" w14:paraId="1FFA3EBA" w14:textId="77777777" w:rsidTr="00CF50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Pr>
          <w:p w14:paraId="2D26D415" w14:textId="45838D00" w:rsidR="00B01D5C" w:rsidRPr="00FA2C26" w:rsidRDefault="00B01D5C" w:rsidP="00B01D5C">
            <w:pPr>
              <w:pStyle w:val="TableBodyCopy"/>
            </w:pPr>
            <w:r>
              <w:t>Memorandum of Understanding (</w:t>
            </w:r>
            <w:r w:rsidRPr="00CF5050">
              <w:t>MoU</w:t>
            </w:r>
            <w:r>
              <w:t>)</w:t>
            </w:r>
            <w:r w:rsidRPr="00CF5050">
              <w:t xml:space="preserve"> on the Establishment of a Bilateral Mechanism to Progress Electric Vehicle Collaboration between Indonesia and Australia</w:t>
            </w:r>
          </w:p>
        </w:tc>
        <w:tc>
          <w:tcPr>
            <w:tcW w:w="0" w:type="dxa"/>
            <w:shd w:val="clear" w:color="auto" w:fill="D2DEE7" w:themeFill="accent1" w:themeFillTint="33"/>
          </w:tcPr>
          <w:p w14:paraId="45A2F3F5" w14:textId="2024EFD6" w:rsidR="00B01D5C" w:rsidRPr="00FA2C26" w:rsidRDefault="00B01D5C" w:rsidP="00B01D5C">
            <w:pPr>
              <w:pStyle w:val="TableBodyCopy"/>
              <w:cnfStyle w:val="000000100000" w:firstRow="0" w:lastRow="0" w:firstColumn="0" w:lastColumn="0" w:oddVBand="0" w:evenVBand="0" w:oddHBand="1" w:evenHBand="0" w:firstRowFirstColumn="0" w:firstRowLastColumn="0" w:lastRowFirstColumn="0" w:lastRowLastColumn="0"/>
            </w:pPr>
            <w:r w:rsidRPr="00CF5050">
              <w:t>21 November 2023</w:t>
            </w:r>
            <w:r w:rsidR="00454817">
              <w:t xml:space="preserve"> </w:t>
            </w:r>
            <w:r w:rsidR="00454817" w:rsidRPr="000304FC">
              <w:t>(signed)</w:t>
            </w:r>
          </w:p>
        </w:tc>
        <w:tc>
          <w:tcPr>
            <w:tcW w:w="0" w:type="dxa"/>
            <w:shd w:val="clear" w:color="auto" w:fill="F2F2F2" w:themeFill="background1" w:themeFillShade="F2"/>
          </w:tcPr>
          <w:p w14:paraId="1775DF0A" w14:textId="4411B00C" w:rsidR="00B01D5C" w:rsidRPr="00FA2C26" w:rsidRDefault="00B01D5C" w:rsidP="00B01D5C">
            <w:pPr>
              <w:pStyle w:val="TableBodyCopy"/>
              <w:cnfStyle w:val="000000100000" w:firstRow="0" w:lastRow="0" w:firstColumn="0" w:lastColumn="0" w:oddVBand="0" w:evenVBand="0" w:oddHBand="1" w:evenHBand="0" w:firstRowFirstColumn="0" w:firstRowLastColumn="0" w:lastRowFirstColumn="0" w:lastRowLastColumn="0"/>
            </w:pPr>
            <w:r>
              <w:t>4</w:t>
            </w:r>
            <w:r w:rsidRPr="00CF5050">
              <w:t xml:space="preserve"> years initially </w:t>
            </w:r>
          </w:p>
        </w:tc>
      </w:tr>
      <w:tr w:rsidR="00B01D5C" w:rsidRPr="00FA2C26" w14:paraId="7691792D" w14:textId="77777777" w:rsidTr="00CF5050">
        <w:trPr>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Pr>
          <w:p w14:paraId="1773111D" w14:textId="41FE77EB" w:rsidR="00B01D5C" w:rsidRPr="00FA2C26" w:rsidRDefault="00B01D5C" w:rsidP="00B01D5C">
            <w:pPr>
              <w:pStyle w:val="TableBodyCopy"/>
            </w:pPr>
            <w:r w:rsidRPr="00CF5050">
              <w:t>Amended MoU on the Indonesia</w:t>
            </w:r>
            <w:r>
              <w:t>–</w:t>
            </w:r>
            <w:r w:rsidRPr="00CF5050">
              <w:t>Australia Skills Development Exchange Pilot Project</w:t>
            </w:r>
          </w:p>
        </w:tc>
        <w:tc>
          <w:tcPr>
            <w:tcW w:w="0" w:type="dxa"/>
            <w:shd w:val="clear" w:color="auto" w:fill="D2DEE7" w:themeFill="accent1" w:themeFillTint="33"/>
          </w:tcPr>
          <w:p w14:paraId="34645316" w14:textId="012A8A22" w:rsidR="00B01D5C" w:rsidRPr="00FA2C26" w:rsidRDefault="00B01D5C" w:rsidP="00B01D5C">
            <w:pPr>
              <w:pStyle w:val="TableBodyCopy"/>
              <w:cnfStyle w:val="000000000000" w:firstRow="0" w:lastRow="0" w:firstColumn="0" w:lastColumn="0" w:oddVBand="0" w:evenVBand="0" w:oddHBand="0" w:evenHBand="0" w:firstRowFirstColumn="0" w:firstRowLastColumn="0" w:lastRowFirstColumn="0" w:lastRowLastColumn="0"/>
            </w:pPr>
            <w:r w:rsidRPr="00CF5050">
              <w:t>25 August 2023</w:t>
            </w:r>
          </w:p>
        </w:tc>
        <w:tc>
          <w:tcPr>
            <w:tcW w:w="0" w:type="dxa"/>
            <w:shd w:val="clear" w:color="auto" w:fill="F2F2F2" w:themeFill="background1" w:themeFillShade="F2"/>
          </w:tcPr>
          <w:p w14:paraId="07D44CC3" w14:textId="4D340041" w:rsidR="00B01D5C" w:rsidRPr="00FA2C26" w:rsidRDefault="00B01D5C" w:rsidP="00B01D5C">
            <w:pPr>
              <w:pStyle w:val="TableBodyCopy"/>
              <w:cnfStyle w:val="000000000000" w:firstRow="0" w:lastRow="0" w:firstColumn="0" w:lastColumn="0" w:oddVBand="0" w:evenVBand="0" w:oddHBand="0" w:evenHBand="0" w:firstRowFirstColumn="0" w:firstRowLastColumn="0" w:lastRowFirstColumn="0" w:lastRowLastColumn="0"/>
            </w:pPr>
            <w:r>
              <w:t>5</w:t>
            </w:r>
            <w:r w:rsidRPr="00CF5050">
              <w:t xml:space="preserve"> years</w:t>
            </w:r>
          </w:p>
        </w:tc>
      </w:tr>
      <w:tr w:rsidR="00B01D5C" w:rsidRPr="00FA2C26" w14:paraId="36AC22EC" w14:textId="77777777" w:rsidTr="00CF50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Pr>
          <w:p w14:paraId="084BC280" w14:textId="3EEE0F96" w:rsidR="00B01D5C" w:rsidRPr="00FA2C26" w:rsidRDefault="00B01D5C" w:rsidP="00B01D5C">
            <w:pPr>
              <w:pStyle w:val="TableBodyCopy"/>
            </w:pPr>
            <w:r w:rsidRPr="00CF5050">
              <w:t>Indonesia</w:t>
            </w:r>
            <w:r w:rsidR="00710C1C">
              <w:t>–</w:t>
            </w:r>
            <w:r w:rsidRPr="00CF5050">
              <w:t>Australia Comprehensive Economic Partnership Agreement (IA-CEPA)</w:t>
            </w:r>
          </w:p>
        </w:tc>
        <w:tc>
          <w:tcPr>
            <w:tcW w:w="0" w:type="dxa"/>
            <w:shd w:val="clear" w:color="auto" w:fill="D2DEE7" w:themeFill="accent1" w:themeFillTint="33"/>
          </w:tcPr>
          <w:p w14:paraId="5D716929" w14:textId="5801EA28" w:rsidR="00B01D5C" w:rsidRPr="00FA2C26" w:rsidRDefault="00B01D5C" w:rsidP="00B01D5C">
            <w:pPr>
              <w:pStyle w:val="TableBodyCopy"/>
              <w:cnfStyle w:val="000000100000" w:firstRow="0" w:lastRow="0" w:firstColumn="0" w:lastColumn="0" w:oddVBand="0" w:evenVBand="0" w:oddHBand="1" w:evenHBand="0" w:firstRowFirstColumn="0" w:firstRowLastColumn="0" w:lastRowFirstColumn="0" w:lastRowLastColumn="0"/>
            </w:pPr>
            <w:r w:rsidRPr="00CF5050">
              <w:t>5 July 2019</w:t>
            </w:r>
          </w:p>
        </w:tc>
        <w:tc>
          <w:tcPr>
            <w:tcW w:w="0" w:type="dxa"/>
            <w:shd w:val="clear" w:color="auto" w:fill="F2F2F2" w:themeFill="background1" w:themeFillShade="F2"/>
          </w:tcPr>
          <w:p w14:paraId="62DC40BB" w14:textId="745BFEF5" w:rsidR="00B01D5C" w:rsidRPr="00FA2C26" w:rsidRDefault="00B01D5C" w:rsidP="00B01D5C">
            <w:pPr>
              <w:pStyle w:val="TableBodyCopy"/>
              <w:cnfStyle w:val="000000100000" w:firstRow="0" w:lastRow="0" w:firstColumn="0" w:lastColumn="0" w:oddVBand="0" w:evenVBand="0" w:oddHBand="1" w:evenHBand="0" w:firstRowFirstColumn="0" w:firstRowLastColumn="0" w:lastRowFirstColumn="0" w:lastRowLastColumn="0"/>
            </w:pPr>
            <w:r>
              <w:t>Not applicable</w:t>
            </w:r>
          </w:p>
        </w:tc>
      </w:tr>
      <w:tr w:rsidR="00B01D5C" w:rsidRPr="00FA2C26" w14:paraId="24D1B7BC" w14:textId="77777777" w:rsidTr="00CF5050">
        <w:trPr>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Pr>
          <w:p w14:paraId="3A6A2F8D" w14:textId="0B63C913" w:rsidR="00B01D5C" w:rsidRPr="00FA2C26" w:rsidRDefault="00B01D5C" w:rsidP="00B01D5C">
            <w:pPr>
              <w:pStyle w:val="TableBodyCopy"/>
            </w:pPr>
            <w:r w:rsidRPr="00CF5050">
              <w:t>MoU between the Australian Treasury and the Ministry of Finance of the Republic of Indonesia</w:t>
            </w:r>
          </w:p>
        </w:tc>
        <w:tc>
          <w:tcPr>
            <w:tcW w:w="0" w:type="dxa"/>
            <w:shd w:val="clear" w:color="auto" w:fill="D2DEE7" w:themeFill="accent1" w:themeFillTint="33"/>
          </w:tcPr>
          <w:p w14:paraId="16AF0C7E" w14:textId="5C80D606" w:rsidR="00B01D5C" w:rsidRPr="00FA2C26" w:rsidRDefault="00B01D5C" w:rsidP="00B01D5C">
            <w:pPr>
              <w:pStyle w:val="TableBodyCopy"/>
              <w:cnfStyle w:val="000000000000" w:firstRow="0" w:lastRow="0" w:firstColumn="0" w:lastColumn="0" w:oddVBand="0" w:evenVBand="0" w:oddHBand="0" w:evenHBand="0" w:firstRowFirstColumn="0" w:firstRowLastColumn="0" w:lastRowFirstColumn="0" w:lastRowLastColumn="0"/>
            </w:pPr>
            <w:r w:rsidRPr="00CF5050">
              <w:t>5 November 2018</w:t>
            </w:r>
          </w:p>
        </w:tc>
        <w:tc>
          <w:tcPr>
            <w:tcW w:w="0" w:type="dxa"/>
            <w:shd w:val="clear" w:color="auto" w:fill="F2F2F2" w:themeFill="background1" w:themeFillShade="F2"/>
          </w:tcPr>
          <w:p w14:paraId="547EF033" w14:textId="1DAE4372" w:rsidR="00B01D5C" w:rsidRPr="00FA2C26" w:rsidRDefault="00B01D5C" w:rsidP="00B01D5C">
            <w:pPr>
              <w:pStyle w:val="TableBodyCopy"/>
              <w:cnfStyle w:val="000000000000" w:firstRow="0" w:lastRow="0" w:firstColumn="0" w:lastColumn="0" w:oddVBand="0" w:evenVBand="0" w:oddHBand="0" w:evenHBand="0" w:firstRowFirstColumn="0" w:firstRowLastColumn="0" w:lastRowFirstColumn="0" w:lastRowLastColumn="0"/>
            </w:pPr>
            <w:r>
              <w:t>Not applicable</w:t>
            </w:r>
            <w:r w:rsidRPr="00001AD5" w:rsidDel="00001AD5">
              <w:t xml:space="preserve"> </w:t>
            </w:r>
          </w:p>
        </w:tc>
      </w:tr>
      <w:tr w:rsidR="00B01D5C" w:rsidRPr="00FA2C26" w14:paraId="61C56CCE" w14:textId="77777777" w:rsidTr="00CF50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Pr>
          <w:p w14:paraId="42E47782" w14:textId="15FA7613" w:rsidR="00B01D5C" w:rsidRPr="00FA2C26" w:rsidRDefault="00B01D5C" w:rsidP="00B01D5C">
            <w:pPr>
              <w:pStyle w:val="TableBodyCopy"/>
            </w:pPr>
            <w:r w:rsidRPr="00CF5050">
              <w:t>Australia</w:t>
            </w:r>
            <w:r>
              <w:t>–</w:t>
            </w:r>
            <w:r w:rsidRPr="00CF5050">
              <w:t>Indonesia Energy Dialogue</w:t>
            </w:r>
          </w:p>
        </w:tc>
        <w:tc>
          <w:tcPr>
            <w:tcW w:w="0" w:type="dxa"/>
            <w:shd w:val="clear" w:color="auto" w:fill="D2DEE7" w:themeFill="accent1" w:themeFillTint="33"/>
          </w:tcPr>
          <w:p w14:paraId="51C97E88" w14:textId="559F9326" w:rsidR="00B01D5C" w:rsidRPr="00FA2C26" w:rsidRDefault="00B01D5C" w:rsidP="00B01D5C">
            <w:pPr>
              <w:pStyle w:val="TableBodyCopy"/>
              <w:cnfStyle w:val="000000100000" w:firstRow="0" w:lastRow="0" w:firstColumn="0" w:lastColumn="0" w:oddVBand="0" w:evenVBand="0" w:oddHBand="1" w:evenHBand="0" w:firstRowFirstColumn="0" w:firstRowLastColumn="0" w:lastRowFirstColumn="0" w:lastRowLastColumn="0"/>
            </w:pPr>
            <w:r w:rsidRPr="00CF5050">
              <w:t>1 September 2022</w:t>
            </w:r>
          </w:p>
        </w:tc>
        <w:tc>
          <w:tcPr>
            <w:tcW w:w="0" w:type="dxa"/>
            <w:shd w:val="clear" w:color="auto" w:fill="F2F2F2" w:themeFill="background1" w:themeFillShade="F2"/>
          </w:tcPr>
          <w:p w14:paraId="3A080C1C" w14:textId="5F46F243" w:rsidR="00B01D5C" w:rsidRPr="00FA2C26" w:rsidRDefault="00B01D5C" w:rsidP="00B01D5C">
            <w:pPr>
              <w:pStyle w:val="TableBodyCopy"/>
              <w:cnfStyle w:val="000000100000" w:firstRow="0" w:lastRow="0" w:firstColumn="0" w:lastColumn="0" w:oddVBand="0" w:evenVBand="0" w:oddHBand="1" w:evenHBand="0" w:firstRowFirstColumn="0" w:firstRowLastColumn="0" w:lastRowFirstColumn="0" w:lastRowLastColumn="0"/>
            </w:pPr>
            <w:r>
              <w:t>Not applicable</w:t>
            </w:r>
          </w:p>
        </w:tc>
      </w:tr>
      <w:tr w:rsidR="00946915" w:rsidRPr="00FA2C26" w14:paraId="6BE15CC8" w14:textId="77777777" w:rsidTr="00CF5050">
        <w:trPr>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Pr>
          <w:p w14:paraId="569FB97B" w14:textId="34B5E6FB" w:rsidR="00946915" w:rsidRPr="00C311D1" w:rsidRDefault="00946915" w:rsidP="00B01D5C">
            <w:pPr>
              <w:pStyle w:val="TableBodyCopy"/>
              <w:rPr>
                <w:b w:val="0"/>
                <w:bCs w:val="0"/>
              </w:rPr>
            </w:pPr>
            <w:r w:rsidRPr="00946915">
              <w:t xml:space="preserve">Authorised Economic Operator Mutual Recognition Arrangement between Australian Border Force and Indonesian Customs and Excise </w:t>
            </w:r>
          </w:p>
        </w:tc>
        <w:tc>
          <w:tcPr>
            <w:tcW w:w="0" w:type="dxa"/>
            <w:shd w:val="clear" w:color="auto" w:fill="D2DEE7" w:themeFill="accent1" w:themeFillTint="33"/>
          </w:tcPr>
          <w:p w14:paraId="489B9666" w14:textId="3DA7C534" w:rsidR="00946915" w:rsidRPr="00CF5050" w:rsidRDefault="00946915" w:rsidP="00B01D5C">
            <w:pPr>
              <w:pStyle w:val="TableBodyCopy"/>
              <w:cnfStyle w:val="000000000000" w:firstRow="0" w:lastRow="0" w:firstColumn="0" w:lastColumn="0" w:oddVBand="0" w:evenVBand="0" w:oddHBand="0" w:evenHBand="0" w:firstRowFirstColumn="0" w:firstRowLastColumn="0" w:lastRowFirstColumn="0" w:lastRowLastColumn="0"/>
            </w:pPr>
            <w:r w:rsidRPr="00946915">
              <w:t>7 August 2024</w:t>
            </w:r>
          </w:p>
        </w:tc>
        <w:tc>
          <w:tcPr>
            <w:tcW w:w="0" w:type="dxa"/>
            <w:shd w:val="clear" w:color="auto" w:fill="F2F2F2" w:themeFill="background1" w:themeFillShade="F2"/>
          </w:tcPr>
          <w:p w14:paraId="13E5A46B" w14:textId="77094AF6" w:rsidR="00946915" w:rsidRDefault="00143B3B" w:rsidP="00B01D5C">
            <w:pPr>
              <w:pStyle w:val="TableBodyCopy"/>
              <w:cnfStyle w:val="000000000000" w:firstRow="0" w:lastRow="0" w:firstColumn="0" w:lastColumn="0" w:oddVBand="0" w:evenVBand="0" w:oddHBand="0" w:evenHBand="0" w:firstRowFirstColumn="0" w:firstRowLastColumn="0" w:lastRowFirstColumn="0" w:lastRowLastColumn="0"/>
            </w:pPr>
            <w:r w:rsidRPr="00143B3B">
              <w:t>Not applicable</w:t>
            </w:r>
          </w:p>
        </w:tc>
      </w:tr>
    </w:tbl>
    <w:bookmarkEnd w:id="15"/>
    <w:p w14:paraId="62F8D1C9" w14:textId="2453D5B9" w:rsidR="002B2C94" w:rsidRDefault="002B2C94" w:rsidP="00CF5050">
      <w:pPr>
        <w:keepNext/>
        <w:rPr>
          <w:lang w:eastAsia="en-AU"/>
        </w:rPr>
      </w:pPr>
      <w:r>
        <w:rPr>
          <w:lang w:eastAsia="en-AU"/>
        </w:rPr>
        <w:lastRenderedPageBreak/>
        <w:t xml:space="preserve">Australian Government </w:t>
      </w:r>
      <w:r w:rsidRPr="413282F0">
        <w:rPr>
          <w:lang w:eastAsia="en-AU"/>
        </w:rPr>
        <w:t xml:space="preserve">supporting investments/activities for </w:t>
      </w:r>
      <w:r w:rsidRPr="00E03887">
        <w:rPr>
          <w:lang w:eastAsia="en-AU"/>
        </w:rPr>
        <w:t>Objective 2</w:t>
      </w:r>
      <w:r w:rsidR="00B97B5B" w:rsidRPr="00E03887">
        <w:rPr>
          <w:lang w:eastAsia="en-AU"/>
        </w:rPr>
        <w:t xml:space="preserve"> </w:t>
      </w:r>
      <w:r w:rsidR="00D57B7D" w:rsidRPr="00CF5050">
        <w:rPr>
          <w:lang w:eastAsia="en-AU"/>
        </w:rPr>
        <w:t xml:space="preserve">Climate </w:t>
      </w:r>
      <w:r w:rsidR="00EC5233" w:rsidRPr="00CF5050">
        <w:rPr>
          <w:lang w:eastAsia="en-AU"/>
        </w:rPr>
        <w:t>r</w:t>
      </w:r>
      <w:r w:rsidR="00D57B7D" w:rsidRPr="00CF5050">
        <w:rPr>
          <w:lang w:eastAsia="en-AU"/>
        </w:rPr>
        <w:t xml:space="preserve">esilient </w:t>
      </w:r>
      <w:r w:rsidR="00EC5233" w:rsidRPr="00CF5050">
        <w:rPr>
          <w:lang w:eastAsia="en-AU"/>
        </w:rPr>
        <w:t>c</w:t>
      </w:r>
      <w:r w:rsidR="00D57B7D" w:rsidRPr="00CF5050">
        <w:rPr>
          <w:lang w:eastAsia="en-AU"/>
        </w:rPr>
        <w:t>ommunities</w:t>
      </w:r>
      <w:r w:rsidRPr="413282F0">
        <w:rPr>
          <w:lang w:eastAsia="en-AU"/>
        </w:rPr>
        <w:t xml:space="preserve"> (</w:t>
      </w:r>
      <w:r w:rsidRPr="1121DF86">
        <w:rPr>
          <w:rFonts w:eastAsia="Calibri Light"/>
        </w:rPr>
        <w:t xml:space="preserve">bilateral </w:t>
      </w:r>
      <w:r w:rsidRPr="1121DF86">
        <w:rPr>
          <w:lang w:eastAsia="en-AU"/>
        </w:rPr>
        <w:t>ODA as well as significant regional and global ODA</w:t>
      </w:r>
      <w:r>
        <w:rPr>
          <w:lang w:eastAsia="en-AU"/>
        </w:rPr>
        <w:t>,</w:t>
      </w:r>
      <w:r w:rsidRPr="1121DF86">
        <w:rPr>
          <w:lang w:eastAsia="en-AU"/>
        </w:rPr>
        <w:t xml:space="preserve"> and significant non-ODA development </w:t>
      </w:r>
      <w:r w:rsidRPr="413282F0">
        <w:rPr>
          <w:lang w:eastAsia="en-AU"/>
        </w:rPr>
        <w:t>investments</w:t>
      </w:r>
      <w:r>
        <w:rPr>
          <w:lang w:eastAsia="en-AU"/>
        </w:rPr>
        <w:t>/</w:t>
      </w:r>
      <w:r w:rsidRPr="1121DF86">
        <w:rPr>
          <w:lang w:eastAsia="en-AU"/>
        </w:rPr>
        <w:t>activities</w:t>
      </w:r>
      <w:r>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2"/>
        <w:tblDescription w:val="Investments and activities, duration and key partners"/>
      </w:tblPr>
      <w:tblGrid>
        <w:gridCol w:w="3398"/>
        <w:gridCol w:w="3397"/>
        <w:gridCol w:w="3399"/>
      </w:tblGrid>
      <w:tr w:rsidR="002C7506" w:rsidRPr="007A5BE5" w14:paraId="22ED1500" w14:textId="77777777" w:rsidTr="00E0741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667" w:type="pct"/>
          </w:tcPr>
          <w:p w14:paraId="60D66464" w14:textId="3F3AEDC1" w:rsidR="002F4955" w:rsidRPr="007A5BE5" w:rsidRDefault="002F4955" w:rsidP="00967711">
            <w:pPr>
              <w:pStyle w:val="TableHeading"/>
            </w:pPr>
            <w:r w:rsidRPr="007A5BE5">
              <w:t xml:space="preserve">Name of </w:t>
            </w:r>
            <w:r w:rsidR="007A5BE5">
              <w:t>i</w:t>
            </w:r>
            <w:r w:rsidRPr="007A5BE5">
              <w:t>nvestment</w:t>
            </w:r>
          </w:p>
        </w:tc>
        <w:tc>
          <w:tcPr>
            <w:tcW w:w="1666" w:type="pct"/>
          </w:tcPr>
          <w:p w14:paraId="1BD63017" w14:textId="77777777" w:rsidR="002F4955" w:rsidRPr="007A5BE5" w:rsidRDefault="0C7E6A20" w:rsidP="00967711">
            <w:pPr>
              <w:pStyle w:val="TableHeading"/>
              <w:cnfStyle w:val="100000000000" w:firstRow="1" w:lastRow="0" w:firstColumn="0" w:lastColumn="0" w:oddVBand="0" w:evenVBand="0" w:oddHBand="0" w:evenHBand="0" w:firstRowFirstColumn="0" w:firstRowLastColumn="0" w:lastRowFirstColumn="0" w:lastRowLastColumn="0"/>
            </w:pPr>
            <w:r w:rsidRPr="007A5BE5">
              <w:t>D</w:t>
            </w:r>
            <w:r w:rsidR="3CF99CB8" w:rsidRPr="007A5BE5">
              <w:t>uration</w:t>
            </w:r>
          </w:p>
        </w:tc>
        <w:tc>
          <w:tcPr>
            <w:tcW w:w="1667" w:type="pct"/>
          </w:tcPr>
          <w:p w14:paraId="02FF9B15" w14:textId="77777777" w:rsidR="002F4955" w:rsidRPr="007A5BE5" w:rsidRDefault="002F4955" w:rsidP="00967711">
            <w:pPr>
              <w:pStyle w:val="TableHeading"/>
              <w:cnfStyle w:val="100000000000" w:firstRow="1" w:lastRow="0" w:firstColumn="0" w:lastColumn="0" w:oddVBand="0" w:evenVBand="0" w:oddHBand="0" w:evenHBand="0" w:firstRowFirstColumn="0" w:firstRowLastColumn="0" w:lastRowFirstColumn="0" w:lastRowLastColumn="0"/>
            </w:pPr>
            <w:r w:rsidRPr="007A5BE5">
              <w:t>Key partners</w:t>
            </w:r>
          </w:p>
        </w:tc>
      </w:tr>
      <w:tr w:rsidR="002C7506" w:rsidRPr="00FA2C26" w14:paraId="6C6E47C1"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cPr>
          <w:p w14:paraId="7E3F015B" w14:textId="6BCFCF57" w:rsidR="00943E53" w:rsidRPr="00FA2C26" w:rsidRDefault="00943E53" w:rsidP="000030A3">
            <w:pPr>
              <w:pStyle w:val="TableBodyCopy"/>
            </w:pPr>
            <w:r w:rsidRPr="00FA2C26">
              <w:t>Australia</w:t>
            </w:r>
            <w:r w:rsidR="00710C1C">
              <w:t>–</w:t>
            </w:r>
            <w:r w:rsidRPr="00FA2C26">
              <w:t>Indonesia Climate and Infrastructure Partnership (KINETIK)</w:t>
            </w:r>
          </w:p>
          <w:p w14:paraId="6B180A23" w14:textId="1E52243C" w:rsidR="003E3A21" w:rsidRPr="00FA2C26" w:rsidRDefault="00E47AFF" w:rsidP="000030A3">
            <w:pPr>
              <w:pStyle w:val="TableBodyCopy"/>
            </w:pPr>
            <w:r w:rsidRPr="007C3D55">
              <w:t>(</w:t>
            </w:r>
            <w:r w:rsidR="0088129B">
              <w:t>b</w:t>
            </w:r>
            <w:r w:rsidRPr="007C3D55">
              <w:t>ilateral)</w:t>
            </w:r>
          </w:p>
        </w:tc>
        <w:tc>
          <w:tcPr>
            <w:tcW w:w="1666" w:type="pct"/>
            <w:shd w:val="clear" w:color="auto" w:fill="D2DEE7"/>
          </w:tcPr>
          <w:p w14:paraId="1449DE86" w14:textId="5044CD5D"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r w:rsidRPr="00FA2C26">
              <w:t>2022</w:t>
            </w:r>
            <w:r w:rsidR="00C0635A">
              <w:t>–</w:t>
            </w:r>
            <w:r w:rsidRPr="00FA2C26">
              <w:t>2027</w:t>
            </w:r>
          </w:p>
        </w:tc>
        <w:tc>
          <w:tcPr>
            <w:tcW w:w="1667" w:type="pct"/>
            <w:shd w:val="clear" w:color="auto" w:fill="F2F2F2" w:themeFill="background1" w:themeFillShade="F2"/>
          </w:tcPr>
          <w:p w14:paraId="70EA6D41" w14:textId="755111F3"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MoF; Ministry of Energy and Mineral Resources (MEMR); </w:t>
            </w:r>
            <w:r w:rsidR="007F7BFD">
              <w:t>s</w:t>
            </w:r>
            <w:r w:rsidRPr="00FA2C26">
              <w:t xml:space="preserve">tate-owned enterprises (SOEs); SMEs; CMEA; MARVES; Ministry of Environment and Forestry </w:t>
            </w:r>
          </w:p>
        </w:tc>
      </w:tr>
      <w:tr w:rsidR="006014A9" w:rsidRPr="00FA2C26" w14:paraId="158FD77A"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27855A9" w14:textId="3C11C411" w:rsidR="006014A9" w:rsidRDefault="00DF5978" w:rsidP="000030A3">
            <w:pPr>
              <w:pStyle w:val="TableBodyCopy"/>
            </w:pPr>
            <w:r w:rsidRPr="00FA2C26">
              <w:t>Australia</w:t>
            </w:r>
            <w:r>
              <w:t>–</w:t>
            </w:r>
            <w:r w:rsidRPr="00FA2C26">
              <w:t xml:space="preserve">Indonesia </w:t>
            </w:r>
            <w:r w:rsidR="006014A9" w:rsidRPr="00FA2C26">
              <w:t>Knowledge Partnership Platform (KONEKSI)</w:t>
            </w:r>
          </w:p>
          <w:p w14:paraId="4F4CBE32" w14:textId="109B85B6" w:rsidR="00E47AFF" w:rsidRPr="00FA2C26" w:rsidRDefault="00E47AFF" w:rsidP="000030A3">
            <w:pPr>
              <w:pStyle w:val="TableBodyCopy"/>
            </w:pPr>
            <w:r w:rsidRPr="007C3D55">
              <w:t>(</w:t>
            </w:r>
            <w:r w:rsidR="0088129B">
              <w:t>b</w:t>
            </w:r>
            <w:r w:rsidRPr="007C3D55">
              <w:t>ilateral)</w:t>
            </w:r>
          </w:p>
        </w:tc>
        <w:tc>
          <w:tcPr>
            <w:tcW w:w="1666" w:type="pct"/>
            <w:shd w:val="clear" w:color="auto" w:fill="D2DEE7" w:themeFill="accent1" w:themeFillTint="33"/>
          </w:tcPr>
          <w:p w14:paraId="4E29644C" w14:textId="3965602C" w:rsidR="006014A9" w:rsidRPr="00FA2C26" w:rsidRDefault="003326A4" w:rsidP="000030A3">
            <w:pPr>
              <w:pStyle w:val="TableBodyCopy"/>
              <w:cnfStyle w:val="000000000000" w:firstRow="0" w:lastRow="0" w:firstColumn="0" w:lastColumn="0" w:oddVBand="0" w:evenVBand="0" w:oddHBand="0" w:evenHBand="0" w:firstRowFirstColumn="0" w:firstRowLastColumn="0" w:lastRowFirstColumn="0" w:lastRowLastColumn="0"/>
            </w:pPr>
            <w:r w:rsidRPr="00FA2C26">
              <w:t>2023</w:t>
            </w:r>
            <w:r w:rsidR="00C0635A">
              <w:t>–</w:t>
            </w:r>
            <w:r w:rsidRPr="00FA2C26">
              <w:t>2027</w:t>
            </w:r>
          </w:p>
        </w:tc>
        <w:tc>
          <w:tcPr>
            <w:tcW w:w="1667" w:type="pct"/>
            <w:shd w:val="clear" w:color="auto" w:fill="F2F2F2" w:themeFill="background1" w:themeFillShade="F2"/>
          </w:tcPr>
          <w:p w14:paraId="24F9932C" w14:textId="73CA067F" w:rsidR="006014A9" w:rsidRPr="00FA2C26" w:rsidRDefault="00465E62" w:rsidP="000030A3">
            <w:pPr>
              <w:pStyle w:val="TableBodyCopy"/>
              <w:cnfStyle w:val="000000000000" w:firstRow="0" w:lastRow="0" w:firstColumn="0" w:lastColumn="0" w:oddVBand="0" w:evenVBand="0" w:oddHBand="0" w:evenHBand="0" w:firstRowFirstColumn="0" w:firstRowLastColumn="0" w:lastRowFirstColumn="0" w:lastRowLastColumn="0"/>
            </w:pPr>
            <w:proofErr w:type="spellStart"/>
            <w:r w:rsidRPr="00FA2C26">
              <w:t>Bappenas</w:t>
            </w:r>
            <w:proofErr w:type="spellEnd"/>
            <w:r w:rsidRPr="00FA2C26">
              <w:t xml:space="preserve">; National Research and Innovation Agency (BRIN); </w:t>
            </w:r>
            <w:proofErr w:type="spellStart"/>
            <w:r w:rsidRPr="00FA2C26">
              <w:t>MoECRT</w:t>
            </w:r>
            <w:proofErr w:type="spellEnd"/>
            <w:r w:rsidR="003326A4" w:rsidRPr="00FA2C26">
              <w:t>; research institutions; CSOs; private sector</w:t>
            </w:r>
          </w:p>
        </w:tc>
      </w:tr>
      <w:tr w:rsidR="002C7506" w:rsidRPr="00FA2C26" w14:paraId="5340E847"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EAA3F4C" w14:textId="18ED2D0F" w:rsidR="00943E53" w:rsidRDefault="00943E53" w:rsidP="000030A3">
            <w:pPr>
              <w:pStyle w:val="TableBodyCopy"/>
            </w:pPr>
            <w:bookmarkStart w:id="16" w:name="_Hlk171353862"/>
            <w:r w:rsidRPr="00FA2C26">
              <w:t xml:space="preserve">Synergies and Collaboration for </w:t>
            </w:r>
            <w:r w:rsidR="005F11D7">
              <w:t xml:space="preserve">Basic </w:t>
            </w:r>
            <w:r w:rsidRPr="00FA2C26">
              <w:t>Service Delivery Acceleration (SKALA)</w:t>
            </w:r>
          </w:p>
          <w:p w14:paraId="23CDEB67" w14:textId="28682495" w:rsidR="00E47AFF" w:rsidRPr="00FA2C26" w:rsidRDefault="00E47AFF" w:rsidP="000030A3">
            <w:pPr>
              <w:pStyle w:val="TableBodyCopy"/>
            </w:pPr>
            <w:r w:rsidRPr="007C3D55">
              <w:t>(</w:t>
            </w:r>
            <w:r w:rsidR="0088129B">
              <w:t>b</w:t>
            </w:r>
            <w:r w:rsidRPr="007C3D55">
              <w:t>ilateral)</w:t>
            </w:r>
          </w:p>
        </w:tc>
        <w:tc>
          <w:tcPr>
            <w:tcW w:w="1666" w:type="pct"/>
            <w:shd w:val="clear" w:color="auto" w:fill="D2DEE7" w:themeFill="accent1" w:themeFillTint="33"/>
          </w:tcPr>
          <w:p w14:paraId="2DCC8245" w14:textId="3E503814"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r w:rsidRPr="00FA2C26">
              <w:t>2023</w:t>
            </w:r>
            <w:r w:rsidR="00C0635A">
              <w:t>–</w:t>
            </w:r>
            <w:r w:rsidRPr="00FA2C26">
              <w:t>2030</w:t>
            </w:r>
          </w:p>
        </w:tc>
        <w:tc>
          <w:tcPr>
            <w:tcW w:w="1667" w:type="pct"/>
            <w:shd w:val="clear" w:color="auto" w:fill="F2F2F2" w:themeFill="background1" w:themeFillShade="F2"/>
          </w:tcPr>
          <w:p w14:paraId="19AE6AB9" w14:textId="0D56EAAF"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MoF; </w:t>
            </w:r>
            <w:proofErr w:type="spellStart"/>
            <w:r w:rsidRPr="00FA2C26">
              <w:t>MoHA</w:t>
            </w:r>
            <w:proofErr w:type="spellEnd"/>
            <w:r w:rsidRPr="00FA2C26">
              <w:t xml:space="preserve">; </w:t>
            </w:r>
            <w:proofErr w:type="spellStart"/>
            <w:r w:rsidRPr="00FA2C26">
              <w:t>Bappenas</w:t>
            </w:r>
            <w:proofErr w:type="spellEnd"/>
            <w:r w:rsidRPr="00FA2C26">
              <w:t>; provincial governments; local governments</w:t>
            </w:r>
          </w:p>
        </w:tc>
      </w:tr>
      <w:bookmarkEnd w:id="16"/>
      <w:tr w:rsidR="002C7506" w:rsidRPr="00FA2C26" w14:paraId="7D25DA2A"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D6A01E6" w14:textId="0B47A702" w:rsidR="00943E53" w:rsidRDefault="00943E53" w:rsidP="000030A3">
            <w:pPr>
              <w:pStyle w:val="TableBodyCopy"/>
            </w:pPr>
            <w:r w:rsidRPr="00FA2C26">
              <w:t>Sustainable Infrastructure Assistance Program (SIAP2)</w:t>
            </w:r>
          </w:p>
          <w:p w14:paraId="183D17F7" w14:textId="56DEBED5" w:rsidR="00E47AFF" w:rsidRPr="00FA2C26" w:rsidRDefault="00E47AFF" w:rsidP="000030A3">
            <w:pPr>
              <w:pStyle w:val="TableBodyCopy"/>
            </w:pPr>
            <w:r w:rsidRPr="007C3D55">
              <w:t>(</w:t>
            </w:r>
            <w:r w:rsidR="0088129B">
              <w:t>b</w:t>
            </w:r>
            <w:r w:rsidRPr="007C3D55">
              <w:t>ilateral)</w:t>
            </w:r>
          </w:p>
        </w:tc>
        <w:tc>
          <w:tcPr>
            <w:tcW w:w="1666" w:type="pct"/>
            <w:shd w:val="clear" w:color="auto" w:fill="D2DEE7" w:themeFill="accent1" w:themeFillTint="33"/>
          </w:tcPr>
          <w:p w14:paraId="7ACD0AEF" w14:textId="3A4BD9AE" w:rsidR="00943E53" w:rsidRPr="00FA2C26" w:rsidRDefault="00943E53" w:rsidP="000030A3">
            <w:pPr>
              <w:pStyle w:val="TableBodyCopy"/>
              <w:cnfStyle w:val="000000000000" w:firstRow="0" w:lastRow="0" w:firstColumn="0" w:lastColumn="0" w:oddVBand="0" w:evenVBand="0" w:oddHBand="0" w:evenHBand="0" w:firstRowFirstColumn="0" w:firstRowLastColumn="0" w:lastRowFirstColumn="0" w:lastRowLastColumn="0"/>
            </w:pPr>
            <w:r w:rsidRPr="00FA2C26">
              <w:t>2019</w:t>
            </w:r>
            <w:r w:rsidR="00C0635A">
              <w:t>–</w:t>
            </w:r>
            <w:r w:rsidRPr="00FA2C26">
              <w:t>2024</w:t>
            </w:r>
          </w:p>
        </w:tc>
        <w:tc>
          <w:tcPr>
            <w:tcW w:w="1667" w:type="pct"/>
            <w:shd w:val="clear" w:color="auto" w:fill="F2F2F2" w:themeFill="background1" w:themeFillShade="F2"/>
          </w:tcPr>
          <w:p w14:paraId="27297979" w14:textId="0C161BA9" w:rsidR="00943E53" w:rsidRPr="00FA2C26" w:rsidRDefault="00943E53" w:rsidP="000030A3">
            <w:pPr>
              <w:pStyle w:val="TableBodyCopy"/>
              <w:cnfStyle w:val="000000000000" w:firstRow="0" w:lastRow="0" w:firstColumn="0" w:lastColumn="0" w:oddVBand="0" w:evenVBand="0" w:oddHBand="0" w:evenHBand="0" w:firstRowFirstColumn="0" w:firstRowLastColumn="0" w:lastRowFirstColumn="0" w:lastRowLastColumn="0"/>
            </w:pPr>
            <w:proofErr w:type="spellStart"/>
            <w:r w:rsidRPr="00FA2C26">
              <w:t>Bappenas</w:t>
            </w:r>
            <w:proofErr w:type="spellEnd"/>
            <w:r w:rsidRPr="00FA2C26">
              <w:t>; MEMR; MPWH; Asian Development Bank</w:t>
            </w:r>
            <w:r w:rsidR="00CB4836">
              <w:t xml:space="preserve"> (ADB)</w:t>
            </w:r>
          </w:p>
        </w:tc>
      </w:tr>
      <w:tr w:rsidR="002C7506" w:rsidRPr="00FA2C26" w14:paraId="5DF1E7CE"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05BE908" w14:textId="099C4BAE" w:rsidR="00943E53" w:rsidRDefault="00CB4836" w:rsidP="000030A3">
            <w:pPr>
              <w:pStyle w:val="TableBodyCopy"/>
            </w:pPr>
            <w:r>
              <w:t xml:space="preserve">Australian Government </w:t>
            </w:r>
            <w:r w:rsidR="00943E53" w:rsidRPr="00FA2C26">
              <w:t xml:space="preserve">Department of Agriculture, Fisheries and Forestry Support for Lumpy Skin </w:t>
            </w:r>
            <w:r w:rsidR="00245ADE">
              <w:t>Disease and</w:t>
            </w:r>
            <w:r w:rsidR="00245ADE" w:rsidRPr="00FA2C26">
              <w:t xml:space="preserve"> </w:t>
            </w:r>
            <w:r w:rsidR="00943E53" w:rsidRPr="00FA2C26">
              <w:t>Foot and Mouth Disease</w:t>
            </w:r>
          </w:p>
          <w:p w14:paraId="302F7AD7" w14:textId="4C1007DC" w:rsidR="00E47AFF" w:rsidRPr="00FA2C26" w:rsidRDefault="00E47AFF" w:rsidP="000030A3">
            <w:pPr>
              <w:pStyle w:val="TableBodyCopy"/>
            </w:pPr>
            <w:r w:rsidRPr="007C3D55">
              <w:t>(</w:t>
            </w:r>
            <w:r w:rsidR="0088129B">
              <w:t>b</w:t>
            </w:r>
            <w:r w:rsidRPr="007C3D55">
              <w:t>ilateral)</w:t>
            </w:r>
          </w:p>
        </w:tc>
        <w:tc>
          <w:tcPr>
            <w:tcW w:w="1666" w:type="pct"/>
            <w:shd w:val="clear" w:color="auto" w:fill="D2DEE7" w:themeFill="accent1" w:themeFillTint="33"/>
          </w:tcPr>
          <w:p w14:paraId="28884E11" w14:textId="1E0A5EDC"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r w:rsidRPr="00FA2C26">
              <w:t>2023</w:t>
            </w:r>
            <w:r w:rsidR="00C0635A">
              <w:t>–</w:t>
            </w:r>
            <w:r w:rsidRPr="00FA2C26">
              <w:t>2024</w:t>
            </w:r>
          </w:p>
        </w:tc>
        <w:tc>
          <w:tcPr>
            <w:tcW w:w="1667" w:type="pct"/>
            <w:shd w:val="clear" w:color="auto" w:fill="F2F2F2" w:themeFill="background1" w:themeFillShade="F2"/>
          </w:tcPr>
          <w:p w14:paraId="1027B25A" w14:textId="0EE5F2E5"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r w:rsidRPr="00FA2C26">
              <w:t>National Agency for Disaster Countermeasure (BNPB); Food and Agriculture Organi</w:t>
            </w:r>
            <w:r w:rsidR="00E81928">
              <w:t>z</w:t>
            </w:r>
            <w:r w:rsidRPr="00FA2C26">
              <w:t>ation</w:t>
            </w:r>
            <w:r w:rsidR="00305148">
              <w:t xml:space="preserve"> (FAO)</w:t>
            </w:r>
          </w:p>
        </w:tc>
      </w:tr>
      <w:tr w:rsidR="002C7506" w:rsidRPr="00FA2C26" w14:paraId="53683DC7"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703943C" w14:textId="77777777" w:rsidR="00943E53" w:rsidRDefault="00943E53" w:rsidP="000030A3">
            <w:pPr>
              <w:pStyle w:val="TableBodyCopy"/>
            </w:pPr>
            <w:r w:rsidRPr="00FA2C26">
              <w:t xml:space="preserve">Water and Sanitation </w:t>
            </w:r>
            <w:proofErr w:type="spellStart"/>
            <w:r w:rsidRPr="00FA2C26">
              <w:t>Hibah</w:t>
            </w:r>
            <w:proofErr w:type="spellEnd"/>
            <w:r w:rsidRPr="00FA2C26">
              <w:t xml:space="preserve"> Phase 2 and the Performance Based Grants for Water Utilities</w:t>
            </w:r>
          </w:p>
          <w:p w14:paraId="2456C41F" w14:textId="6285CF9E" w:rsidR="00E47AFF" w:rsidRPr="00FA2C26" w:rsidRDefault="00E47AFF" w:rsidP="000030A3">
            <w:pPr>
              <w:pStyle w:val="TableBodyCopy"/>
            </w:pPr>
            <w:r w:rsidRPr="007C3D55">
              <w:t>(</w:t>
            </w:r>
            <w:r w:rsidR="0088129B">
              <w:t>b</w:t>
            </w:r>
            <w:r w:rsidRPr="007C3D55">
              <w:t>ilateral)</w:t>
            </w:r>
          </w:p>
        </w:tc>
        <w:tc>
          <w:tcPr>
            <w:tcW w:w="1666" w:type="pct"/>
            <w:shd w:val="clear" w:color="auto" w:fill="D2DEE7" w:themeFill="accent1" w:themeFillTint="33"/>
          </w:tcPr>
          <w:p w14:paraId="2FAE9D86" w14:textId="427AC494" w:rsidR="00943E53" w:rsidRPr="00FA2C26" w:rsidRDefault="00943E53" w:rsidP="000030A3">
            <w:pPr>
              <w:pStyle w:val="TableBodyCopy"/>
              <w:cnfStyle w:val="000000000000" w:firstRow="0" w:lastRow="0" w:firstColumn="0" w:lastColumn="0" w:oddVBand="0" w:evenVBand="0" w:oddHBand="0" w:evenHBand="0" w:firstRowFirstColumn="0" w:firstRowLastColumn="0" w:lastRowFirstColumn="0" w:lastRowLastColumn="0"/>
            </w:pPr>
            <w:r w:rsidRPr="00FA2C26">
              <w:t>2012</w:t>
            </w:r>
            <w:r w:rsidR="00C0635A">
              <w:t>–</w:t>
            </w:r>
            <w:r w:rsidRPr="00FA2C26">
              <w:t>2024</w:t>
            </w:r>
          </w:p>
        </w:tc>
        <w:tc>
          <w:tcPr>
            <w:tcW w:w="1667" w:type="pct"/>
            <w:shd w:val="clear" w:color="auto" w:fill="F2F2F2" w:themeFill="background1" w:themeFillShade="F2"/>
          </w:tcPr>
          <w:p w14:paraId="58DDE35D" w14:textId="40CA66F4" w:rsidR="00943E53" w:rsidRPr="00FA2C26" w:rsidRDefault="00943E53" w:rsidP="000030A3">
            <w:pPr>
              <w:pStyle w:val="TableBodyCopy"/>
              <w:cnfStyle w:val="000000000000" w:firstRow="0" w:lastRow="0" w:firstColumn="0" w:lastColumn="0" w:oddVBand="0" w:evenVBand="0" w:oddHBand="0" w:evenHBand="0" w:firstRowFirstColumn="0" w:firstRowLastColumn="0" w:lastRowFirstColumn="0" w:lastRowLastColumn="0"/>
            </w:pPr>
            <w:r w:rsidRPr="00FA2C26">
              <w:t>MPWH; MoF; provincial governments; local governments</w:t>
            </w:r>
          </w:p>
        </w:tc>
      </w:tr>
      <w:tr w:rsidR="002C7506" w:rsidRPr="00FA2C26" w14:paraId="0906CF0C"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448330A" w14:textId="77777777" w:rsidR="00943E53" w:rsidRDefault="00943E53" w:rsidP="000030A3">
            <w:pPr>
              <w:pStyle w:val="TableBodyCopy"/>
            </w:pPr>
            <w:r w:rsidRPr="00FA2C26">
              <w:t>Palembang City Sanitation Project (PCSP)</w:t>
            </w:r>
          </w:p>
          <w:p w14:paraId="6B40CC86" w14:textId="133B97C0" w:rsidR="00E47AFF" w:rsidRPr="00FA2C26" w:rsidRDefault="00E47AFF" w:rsidP="000030A3">
            <w:pPr>
              <w:pStyle w:val="TableBodyCopy"/>
            </w:pPr>
            <w:r w:rsidRPr="007C3D55">
              <w:t>(</w:t>
            </w:r>
            <w:r w:rsidR="0088129B">
              <w:t>b</w:t>
            </w:r>
            <w:r w:rsidRPr="007C3D55">
              <w:t>ilateral)</w:t>
            </w:r>
          </w:p>
        </w:tc>
        <w:tc>
          <w:tcPr>
            <w:tcW w:w="1666" w:type="pct"/>
            <w:shd w:val="clear" w:color="auto" w:fill="D2DEE7" w:themeFill="accent1" w:themeFillTint="33"/>
          </w:tcPr>
          <w:p w14:paraId="2FF33035" w14:textId="70395143"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r w:rsidRPr="00FA2C26">
              <w:t>2017</w:t>
            </w:r>
            <w:r w:rsidR="00C0635A">
              <w:t>–</w:t>
            </w:r>
            <w:r w:rsidRPr="00FA2C26">
              <w:t>2024</w:t>
            </w:r>
          </w:p>
        </w:tc>
        <w:tc>
          <w:tcPr>
            <w:tcW w:w="1667" w:type="pct"/>
            <w:shd w:val="clear" w:color="auto" w:fill="F2F2F2" w:themeFill="background1" w:themeFillShade="F2"/>
          </w:tcPr>
          <w:p w14:paraId="1F8D4117" w14:textId="3B6F29D8"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MoF; MPWH; </w:t>
            </w:r>
            <w:r w:rsidR="00F94288">
              <w:t>p</w:t>
            </w:r>
            <w:r w:rsidRPr="00FA2C26">
              <w:t xml:space="preserve">rovincial governments; local governments; SOEs; </w:t>
            </w:r>
            <w:r w:rsidR="00F94288">
              <w:t>ADB</w:t>
            </w:r>
          </w:p>
        </w:tc>
      </w:tr>
      <w:tr w:rsidR="002C7506" w:rsidRPr="00FA2C26" w14:paraId="2CC632BD"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274C61D" w14:textId="5C55D51E" w:rsidR="00943E53" w:rsidRDefault="00943E53" w:rsidP="000030A3">
            <w:pPr>
              <w:pStyle w:val="TableBodyCopy"/>
            </w:pPr>
            <w:r w:rsidRPr="00FA2C26">
              <w:t>Australia</w:t>
            </w:r>
            <w:r w:rsidR="00F94288">
              <w:t>–</w:t>
            </w:r>
            <w:r w:rsidRPr="00FA2C26">
              <w:t>Indonesia Partnership for Disaster Risk Management (SIAP SIAGA)</w:t>
            </w:r>
          </w:p>
          <w:p w14:paraId="6541C1F8" w14:textId="63DDC161" w:rsidR="00E47AFF" w:rsidRPr="00FA2C26" w:rsidRDefault="00E47AFF" w:rsidP="000030A3">
            <w:pPr>
              <w:pStyle w:val="TableBodyCopy"/>
            </w:pPr>
            <w:r w:rsidRPr="007C3D55">
              <w:t>(</w:t>
            </w:r>
            <w:r w:rsidR="0088129B">
              <w:t>b</w:t>
            </w:r>
            <w:r w:rsidRPr="007C3D55">
              <w:t>ilateral)</w:t>
            </w:r>
          </w:p>
        </w:tc>
        <w:tc>
          <w:tcPr>
            <w:tcW w:w="1666" w:type="pct"/>
            <w:shd w:val="clear" w:color="auto" w:fill="D2DEE7" w:themeFill="accent1" w:themeFillTint="33"/>
          </w:tcPr>
          <w:p w14:paraId="26BB334B" w14:textId="4D508C24" w:rsidR="00943E53" w:rsidRPr="00FA2C26" w:rsidRDefault="00943E53" w:rsidP="000030A3">
            <w:pPr>
              <w:pStyle w:val="TableBodyCopy"/>
              <w:cnfStyle w:val="000000000000" w:firstRow="0" w:lastRow="0" w:firstColumn="0" w:lastColumn="0" w:oddVBand="0" w:evenVBand="0" w:oddHBand="0" w:evenHBand="0" w:firstRowFirstColumn="0" w:firstRowLastColumn="0" w:lastRowFirstColumn="0" w:lastRowLastColumn="0"/>
            </w:pPr>
            <w:r w:rsidRPr="00FA2C26">
              <w:t>2019</w:t>
            </w:r>
            <w:r w:rsidR="00C0635A">
              <w:t>–</w:t>
            </w:r>
            <w:r w:rsidRPr="00FA2C26">
              <w:t>2024</w:t>
            </w:r>
          </w:p>
        </w:tc>
        <w:tc>
          <w:tcPr>
            <w:tcW w:w="1667" w:type="pct"/>
            <w:shd w:val="clear" w:color="auto" w:fill="F2F2F2" w:themeFill="background1" w:themeFillShade="F2"/>
          </w:tcPr>
          <w:p w14:paraId="76AB82CF" w14:textId="3F3CF6BB" w:rsidR="00943E53" w:rsidRPr="00FA2C26" w:rsidRDefault="00943E53" w:rsidP="000030A3">
            <w:pPr>
              <w:pStyle w:val="TableBodyCopy"/>
              <w:cnfStyle w:val="000000000000" w:firstRow="0" w:lastRow="0" w:firstColumn="0" w:lastColumn="0" w:oddVBand="0" w:evenVBand="0" w:oddHBand="0" w:evenHBand="0" w:firstRowFirstColumn="0" w:firstRowLastColumn="0" w:lastRowFirstColumn="0" w:lastRowLastColumn="0"/>
            </w:pPr>
            <w:r w:rsidRPr="00FA2C26">
              <w:t xml:space="preserve">BNPB; </w:t>
            </w:r>
            <w:proofErr w:type="spellStart"/>
            <w:r w:rsidRPr="00FA2C26">
              <w:t>Bappenas</w:t>
            </w:r>
            <w:proofErr w:type="spellEnd"/>
            <w:r w:rsidRPr="00FA2C26">
              <w:t xml:space="preserve">; </w:t>
            </w:r>
            <w:proofErr w:type="spellStart"/>
            <w:r w:rsidRPr="00FA2C26">
              <w:t>MoHA</w:t>
            </w:r>
            <w:proofErr w:type="spellEnd"/>
            <w:r w:rsidRPr="00FA2C26">
              <w:t xml:space="preserve">; </w:t>
            </w:r>
            <w:proofErr w:type="spellStart"/>
            <w:r w:rsidRPr="00FA2C26">
              <w:t>MoSA</w:t>
            </w:r>
            <w:proofErr w:type="spellEnd"/>
            <w:r w:rsidRPr="00FA2C26">
              <w:t xml:space="preserve">; </w:t>
            </w:r>
            <w:proofErr w:type="spellStart"/>
            <w:r w:rsidRPr="00FA2C26">
              <w:t>Kemlu</w:t>
            </w:r>
            <w:proofErr w:type="spellEnd"/>
            <w:r w:rsidRPr="00FA2C26">
              <w:t>; faith-based organisations; CSOs</w:t>
            </w:r>
          </w:p>
        </w:tc>
      </w:tr>
      <w:tr w:rsidR="002C7506" w:rsidRPr="00FA2C26" w14:paraId="607AF5D5"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525077A" w14:textId="77777777" w:rsidR="00943E53" w:rsidRDefault="00943E53" w:rsidP="000030A3">
            <w:pPr>
              <w:pStyle w:val="TableBodyCopy"/>
            </w:pPr>
            <w:r w:rsidRPr="00FA2C26">
              <w:t>Poverty Alleviation and Comprehensive, Inclusive and Adaptive Social Protection (PROAKTIF)</w:t>
            </w:r>
          </w:p>
          <w:p w14:paraId="4A955A18" w14:textId="1B5DE500" w:rsidR="00E47AFF" w:rsidRPr="00FA2C26" w:rsidRDefault="00E47AFF" w:rsidP="000030A3">
            <w:pPr>
              <w:pStyle w:val="TableBodyCopy"/>
            </w:pPr>
            <w:r w:rsidRPr="007C3D55">
              <w:t>(</w:t>
            </w:r>
            <w:r w:rsidR="0088129B">
              <w:t>b</w:t>
            </w:r>
            <w:r w:rsidRPr="007C3D55">
              <w:t>ilateral)</w:t>
            </w:r>
          </w:p>
        </w:tc>
        <w:tc>
          <w:tcPr>
            <w:tcW w:w="1666" w:type="pct"/>
            <w:shd w:val="clear" w:color="auto" w:fill="D2DEE7" w:themeFill="accent1" w:themeFillTint="33"/>
          </w:tcPr>
          <w:p w14:paraId="5EAE37F6" w14:textId="7C26F482"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r w:rsidRPr="00FA2C26">
              <w:t>2023</w:t>
            </w:r>
            <w:r w:rsidR="00C0635A">
              <w:t>–</w:t>
            </w:r>
            <w:r w:rsidRPr="00FA2C26">
              <w:t>2025</w:t>
            </w:r>
          </w:p>
        </w:tc>
        <w:tc>
          <w:tcPr>
            <w:tcW w:w="1667" w:type="pct"/>
            <w:shd w:val="clear" w:color="auto" w:fill="F2F2F2" w:themeFill="background1" w:themeFillShade="F2"/>
          </w:tcPr>
          <w:p w14:paraId="5CA5D220" w14:textId="74701615"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r w:rsidRPr="00FA2C26">
              <w:t>Coordinating Ministry for Human Development and Cultural Affairs</w:t>
            </w:r>
          </w:p>
        </w:tc>
      </w:tr>
      <w:tr w:rsidR="002C7506" w:rsidRPr="00FA2C26" w14:paraId="60D2324A"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90F1CA3" w14:textId="658CDD66" w:rsidR="00943E53" w:rsidRDefault="00943E53" w:rsidP="000030A3">
            <w:pPr>
              <w:pStyle w:val="TableBodyCopy"/>
            </w:pPr>
            <w:r w:rsidRPr="00FA2C26">
              <w:t>Australia</w:t>
            </w:r>
            <w:r w:rsidR="00D018D4">
              <w:t>–</w:t>
            </w:r>
            <w:r w:rsidRPr="00FA2C26">
              <w:t>Indonesia Rural and Remote Education Initiative for Papua</w:t>
            </w:r>
            <w:r w:rsidR="002F7F32">
              <w:t>n</w:t>
            </w:r>
            <w:r w:rsidRPr="00FA2C26">
              <w:t xml:space="preserve"> Provinces (UNICEF-Papua)</w:t>
            </w:r>
          </w:p>
          <w:p w14:paraId="6835CEE8" w14:textId="68169181" w:rsidR="00E47AFF" w:rsidRPr="00FA2C26" w:rsidRDefault="00E47AFF" w:rsidP="000030A3">
            <w:pPr>
              <w:pStyle w:val="TableBodyCopy"/>
            </w:pPr>
            <w:r w:rsidRPr="007C3D55">
              <w:t>(</w:t>
            </w:r>
            <w:r w:rsidR="0088129B">
              <w:t>b</w:t>
            </w:r>
            <w:r w:rsidRPr="007C3D55">
              <w:t>ilateral)</w:t>
            </w:r>
          </w:p>
        </w:tc>
        <w:tc>
          <w:tcPr>
            <w:tcW w:w="1666" w:type="pct"/>
            <w:shd w:val="clear" w:color="auto" w:fill="D2DEE7" w:themeFill="accent1" w:themeFillTint="33"/>
          </w:tcPr>
          <w:p w14:paraId="734F9503" w14:textId="44D900F1" w:rsidR="00943E53" w:rsidRPr="00FA2C26" w:rsidRDefault="00943E53" w:rsidP="000030A3">
            <w:pPr>
              <w:pStyle w:val="TableBodyCopy"/>
              <w:cnfStyle w:val="000000000000" w:firstRow="0" w:lastRow="0" w:firstColumn="0" w:lastColumn="0" w:oddVBand="0" w:evenVBand="0" w:oddHBand="0" w:evenHBand="0" w:firstRowFirstColumn="0" w:firstRowLastColumn="0" w:lastRowFirstColumn="0" w:lastRowLastColumn="0"/>
            </w:pPr>
            <w:r w:rsidRPr="00FA2C26">
              <w:t>2020</w:t>
            </w:r>
            <w:r w:rsidR="00C0635A">
              <w:t>–</w:t>
            </w:r>
            <w:r w:rsidRPr="00FA2C26">
              <w:t>2027</w:t>
            </w:r>
          </w:p>
        </w:tc>
        <w:tc>
          <w:tcPr>
            <w:tcW w:w="1667" w:type="pct"/>
            <w:shd w:val="clear" w:color="auto" w:fill="F2F2F2" w:themeFill="background1" w:themeFillShade="F2"/>
          </w:tcPr>
          <w:p w14:paraId="4F148229" w14:textId="7B1D18D1" w:rsidR="00943E53" w:rsidRPr="00FA2C26" w:rsidRDefault="00943E53" w:rsidP="000030A3">
            <w:pPr>
              <w:pStyle w:val="TableBodyCopy"/>
              <w:cnfStyle w:val="000000000000" w:firstRow="0" w:lastRow="0" w:firstColumn="0" w:lastColumn="0" w:oddVBand="0" w:evenVBand="0" w:oddHBand="0" w:evenHBand="0" w:firstRowFirstColumn="0" w:firstRowLastColumn="0" w:lastRowFirstColumn="0" w:lastRowLastColumn="0"/>
            </w:pPr>
            <w:r w:rsidRPr="00FA2C26">
              <w:t xml:space="preserve">UNICEF; </w:t>
            </w:r>
            <w:proofErr w:type="spellStart"/>
            <w:r w:rsidRPr="00FA2C26">
              <w:t>MoHA</w:t>
            </w:r>
            <w:proofErr w:type="spellEnd"/>
            <w:r w:rsidRPr="00FA2C26">
              <w:t xml:space="preserve">; </w:t>
            </w:r>
            <w:proofErr w:type="spellStart"/>
            <w:r w:rsidRPr="00FA2C26">
              <w:t>MoECRT</w:t>
            </w:r>
            <w:proofErr w:type="spellEnd"/>
            <w:r w:rsidRPr="00FA2C26">
              <w:t>; provincial governments; local governments; universities; CSOs; OPDs</w:t>
            </w:r>
          </w:p>
        </w:tc>
      </w:tr>
      <w:tr w:rsidR="002C7506" w:rsidRPr="00FA2C26" w14:paraId="1C42CA52" w14:textId="77777777" w:rsidTr="00E0741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ECA1A17" w14:textId="21936804" w:rsidR="00943E53" w:rsidRDefault="00943E53" w:rsidP="000030A3">
            <w:pPr>
              <w:pStyle w:val="TableBodyCopy"/>
            </w:pPr>
            <w:r w:rsidRPr="00FA2C26">
              <w:lastRenderedPageBreak/>
              <w:t>World Mosquito Program in Indonesia MoH (WMP)</w:t>
            </w:r>
          </w:p>
          <w:p w14:paraId="7AE02116" w14:textId="2F0A22CB" w:rsidR="00E47AFF" w:rsidRPr="00FA2C26" w:rsidRDefault="00E47AFF" w:rsidP="000030A3">
            <w:pPr>
              <w:pStyle w:val="TableBodyCopy"/>
            </w:pPr>
            <w:r w:rsidRPr="007C3D55">
              <w:t>(</w:t>
            </w:r>
            <w:r w:rsidR="0088129B">
              <w:t>b</w:t>
            </w:r>
            <w:r w:rsidRPr="007C3D55">
              <w:t>ilateral)</w:t>
            </w:r>
          </w:p>
        </w:tc>
        <w:tc>
          <w:tcPr>
            <w:tcW w:w="1666" w:type="pct"/>
            <w:shd w:val="clear" w:color="auto" w:fill="D2DEE7" w:themeFill="accent1" w:themeFillTint="33"/>
          </w:tcPr>
          <w:p w14:paraId="036251E4" w14:textId="32E59F36"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r w:rsidRPr="00FA2C26">
              <w:t>2022</w:t>
            </w:r>
            <w:r w:rsidR="00C0635A">
              <w:t>–</w:t>
            </w:r>
            <w:r w:rsidRPr="00FA2C26">
              <w:t>2024</w:t>
            </w:r>
          </w:p>
        </w:tc>
        <w:tc>
          <w:tcPr>
            <w:tcW w:w="1667" w:type="pct"/>
            <w:shd w:val="clear" w:color="auto" w:fill="F2F2F2" w:themeFill="background1" w:themeFillShade="F2"/>
          </w:tcPr>
          <w:p w14:paraId="6DEC45E8" w14:textId="583377E5"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r w:rsidRPr="00FA2C26">
              <w:t>MoH; universities; provincial governments; local governments</w:t>
            </w:r>
          </w:p>
        </w:tc>
      </w:tr>
      <w:tr w:rsidR="002C7506" w:rsidRPr="00FA2C26" w14:paraId="4F44C35B"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DFA6323" w14:textId="20267F7B" w:rsidR="00943E53" w:rsidRDefault="00943E53" w:rsidP="000030A3">
            <w:pPr>
              <w:pStyle w:val="TableBodyCopy"/>
            </w:pPr>
            <w:r w:rsidRPr="00FA2C26">
              <w:t>Better Investment for Stunting Alleviation (BISA)/Micronutrient</w:t>
            </w:r>
          </w:p>
          <w:p w14:paraId="49587B23" w14:textId="7FF544B5" w:rsidR="00E47AFF" w:rsidRPr="00FA2C26" w:rsidRDefault="00E47AFF" w:rsidP="000030A3">
            <w:pPr>
              <w:pStyle w:val="TableBodyCopy"/>
            </w:pPr>
            <w:r w:rsidRPr="007C3D55">
              <w:t>(</w:t>
            </w:r>
            <w:r w:rsidR="0088129B">
              <w:t>b</w:t>
            </w:r>
            <w:r w:rsidRPr="007C3D55">
              <w:t>ilateral)</w:t>
            </w:r>
          </w:p>
        </w:tc>
        <w:tc>
          <w:tcPr>
            <w:tcW w:w="1666" w:type="pct"/>
            <w:shd w:val="clear" w:color="auto" w:fill="D2DEE7" w:themeFill="accent1" w:themeFillTint="33"/>
          </w:tcPr>
          <w:p w14:paraId="6278D544" w14:textId="7F59C857" w:rsidR="00943E53" w:rsidRPr="00FA2C26" w:rsidRDefault="00943E53" w:rsidP="000030A3">
            <w:pPr>
              <w:pStyle w:val="TableBodyCopy"/>
              <w:cnfStyle w:val="000000000000" w:firstRow="0" w:lastRow="0" w:firstColumn="0" w:lastColumn="0" w:oddVBand="0" w:evenVBand="0" w:oddHBand="0" w:evenHBand="0" w:firstRowFirstColumn="0" w:firstRowLastColumn="0" w:lastRowFirstColumn="0" w:lastRowLastColumn="0"/>
            </w:pPr>
            <w:r w:rsidRPr="00FA2C26">
              <w:t>2019</w:t>
            </w:r>
            <w:r w:rsidR="00C0635A">
              <w:t>–</w:t>
            </w:r>
            <w:r w:rsidRPr="00FA2C26">
              <w:t>2024</w:t>
            </w:r>
          </w:p>
        </w:tc>
        <w:tc>
          <w:tcPr>
            <w:tcW w:w="1667" w:type="pct"/>
            <w:shd w:val="clear" w:color="auto" w:fill="F2F2F2" w:themeFill="background1" w:themeFillShade="F2"/>
          </w:tcPr>
          <w:p w14:paraId="509A6C97" w14:textId="0D3BAF62" w:rsidR="00943E53" w:rsidRPr="00FA2C26" w:rsidRDefault="00943E53" w:rsidP="000030A3">
            <w:pPr>
              <w:pStyle w:val="TableBodyCopy"/>
              <w:cnfStyle w:val="000000000000" w:firstRow="0" w:lastRow="0" w:firstColumn="0" w:lastColumn="0" w:oddVBand="0" w:evenVBand="0" w:oddHBand="0" w:evenHBand="0" w:firstRowFirstColumn="0" w:firstRowLastColumn="0" w:lastRowFirstColumn="0" w:lastRowLastColumn="0"/>
            </w:pPr>
            <w:r w:rsidRPr="00FA2C26">
              <w:t xml:space="preserve">MoH; </w:t>
            </w:r>
            <w:proofErr w:type="spellStart"/>
            <w:r w:rsidRPr="00FA2C26">
              <w:t>Bappenas</w:t>
            </w:r>
            <w:proofErr w:type="spellEnd"/>
            <w:r w:rsidRPr="00FA2C26">
              <w:t xml:space="preserve">; National Family Planning Agency (BKKPN); </w:t>
            </w:r>
            <w:proofErr w:type="spellStart"/>
            <w:r w:rsidRPr="00FA2C26">
              <w:t>MoRA</w:t>
            </w:r>
            <w:proofErr w:type="spellEnd"/>
            <w:r w:rsidRPr="00FA2C26">
              <w:t xml:space="preserve">; </w:t>
            </w:r>
            <w:proofErr w:type="spellStart"/>
            <w:r w:rsidRPr="00FA2C26">
              <w:t>MoECRT</w:t>
            </w:r>
            <w:proofErr w:type="spellEnd"/>
            <w:r w:rsidRPr="00FA2C26">
              <w:t>; CSOs; OPDs</w:t>
            </w:r>
          </w:p>
        </w:tc>
      </w:tr>
      <w:tr w:rsidR="002C7506" w:rsidRPr="00FA2C26" w14:paraId="3C5D4161"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67D013A" w14:textId="77777777" w:rsidR="00943E53" w:rsidRDefault="00943E53" w:rsidP="000030A3">
            <w:pPr>
              <w:pStyle w:val="TableBodyCopy"/>
            </w:pPr>
            <w:r w:rsidRPr="00FA2C26">
              <w:t>Supporting Climate Change Integration and Environmental Sustainability in Indonesia</w:t>
            </w:r>
          </w:p>
          <w:p w14:paraId="1C07667B" w14:textId="71FBC7EF" w:rsidR="00E47AFF" w:rsidRPr="00FA2C26" w:rsidRDefault="00E47AFF" w:rsidP="000030A3">
            <w:pPr>
              <w:pStyle w:val="TableBodyCopy"/>
            </w:pPr>
            <w:r w:rsidRPr="007C3D55">
              <w:t>(</w:t>
            </w:r>
            <w:r w:rsidR="0088129B">
              <w:t>b</w:t>
            </w:r>
            <w:r w:rsidRPr="007C3D55">
              <w:t>ilateral)</w:t>
            </w:r>
          </w:p>
        </w:tc>
        <w:tc>
          <w:tcPr>
            <w:tcW w:w="1666" w:type="pct"/>
            <w:shd w:val="clear" w:color="auto" w:fill="D2DEE7" w:themeFill="accent1" w:themeFillTint="33"/>
          </w:tcPr>
          <w:p w14:paraId="62F35027" w14:textId="63321189"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r w:rsidRPr="00FA2C26">
              <w:t>2023</w:t>
            </w:r>
            <w:r w:rsidR="00C0635A">
              <w:t>–</w:t>
            </w:r>
            <w:r w:rsidRPr="00FA2C26">
              <w:t>2026</w:t>
            </w:r>
          </w:p>
        </w:tc>
        <w:tc>
          <w:tcPr>
            <w:tcW w:w="1667" w:type="pct"/>
            <w:shd w:val="clear" w:color="auto" w:fill="F2F2F2" w:themeFill="background1" w:themeFillShade="F2"/>
          </w:tcPr>
          <w:p w14:paraId="2B56CF59" w14:textId="3B13E042" w:rsidR="00943E53" w:rsidRPr="00FA2C26" w:rsidRDefault="00943E53" w:rsidP="000030A3">
            <w:pPr>
              <w:pStyle w:val="TableBodyCopy"/>
              <w:cnfStyle w:val="000000100000" w:firstRow="0" w:lastRow="0" w:firstColumn="0" w:lastColumn="0" w:oddVBand="0" w:evenVBand="0" w:oddHBand="1" w:evenHBand="0" w:firstRowFirstColumn="0" w:firstRowLastColumn="0" w:lastRowFirstColumn="0" w:lastRowLastColumn="0"/>
            </w:pPr>
            <w:proofErr w:type="spellStart"/>
            <w:r w:rsidRPr="00FA2C26">
              <w:t>MoECRT</w:t>
            </w:r>
            <w:proofErr w:type="spellEnd"/>
            <w:r w:rsidRPr="00FA2C26">
              <w:t>; International Bank for Reconstruction and Development</w:t>
            </w:r>
          </w:p>
        </w:tc>
      </w:tr>
      <w:tr w:rsidR="002C7506" w:rsidRPr="00FA2C26" w14:paraId="75C727B2"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ECC9FAB" w14:textId="77777777" w:rsidR="00F77C1A" w:rsidRDefault="00F77C1A" w:rsidP="000030A3">
            <w:pPr>
              <w:pStyle w:val="TableBodyCopy"/>
            </w:pPr>
            <w:r w:rsidRPr="00FA2C26">
              <w:t>Southeast Asia Gender-Based Violence Prevention Platform</w:t>
            </w:r>
          </w:p>
          <w:p w14:paraId="1831CD94" w14:textId="304BDA64" w:rsidR="00D84108" w:rsidRPr="00FA2C26" w:rsidRDefault="00D84108" w:rsidP="000030A3">
            <w:pPr>
              <w:pStyle w:val="TableBodyCopy"/>
            </w:pPr>
            <w:r>
              <w:t>(</w:t>
            </w:r>
            <w:r w:rsidR="0088129B">
              <w:t>r</w:t>
            </w:r>
            <w:r>
              <w:t>egional)</w:t>
            </w:r>
          </w:p>
        </w:tc>
        <w:tc>
          <w:tcPr>
            <w:tcW w:w="1666" w:type="pct"/>
            <w:shd w:val="clear" w:color="auto" w:fill="D2DEE7" w:themeFill="accent1" w:themeFillTint="33"/>
          </w:tcPr>
          <w:p w14:paraId="49A8651B" w14:textId="69060CA9" w:rsidR="00F77C1A" w:rsidRPr="00FA2C26" w:rsidRDefault="00F77C1A" w:rsidP="000030A3">
            <w:pPr>
              <w:pStyle w:val="TableBodyCopy"/>
              <w:cnfStyle w:val="000000000000" w:firstRow="0" w:lastRow="0" w:firstColumn="0" w:lastColumn="0" w:oddVBand="0" w:evenVBand="0" w:oddHBand="0" w:evenHBand="0" w:firstRowFirstColumn="0" w:firstRowLastColumn="0" w:lastRowFirstColumn="0" w:lastRowLastColumn="0"/>
            </w:pPr>
            <w:r w:rsidRPr="00FA2C26">
              <w:t>2024</w:t>
            </w:r>
            <w:r w:rsidR="00D84108">
              <w:t>–</w:t>
            </w:r>
            <w:r w:rsidRPr="00FA2C26">
              <w:t>2029</w:t>
            </w:r>
          </w:p>
        </w:tc>
        <w:tc>
          <w:tcPr>
            <w:tcW w:w="1667" w:type="pct"/>
            <w:shd w:val="clear" w:color="auto" w:fill="F2F2F2" w:themeFill="background1" w:themeFillShade="F2"/>
          </w:tcPr>
          <w:p w14:paraId="5C3B9B71" w14:textId="072E8714" w:rsidR="00F77C1A" w:rsidRPr="00FA2C26" w:rsidRDefault="00F77C1A" w:rsidP="000030A3">
            <w:pPr>
              <w:pStyle w:val="TableBodyCopy"/>
              <w:cnfStyle w:val="000000000000" w:firstRow="0" w:lastRow="0" w:firstColumn="0" w:lastColumn="0" w:oddVBand="0" w:evenVBand="0" w:oddHBand="0" w:evenHBand="0" w:firstRowFirstColumn="0" w:firstRowLastColumn="0" w:lastRowFirstColumn="0" w:lastRowLastColumn="0"/>
            </w:pPr>
            <w:r w:rsidRPr="00FA2C26">
              <w:t>South</w:t>
            </w:r>
            <w:r w:rsidR="001525B6">
              <w:t>east</w:t>
            </w:r>
            <w:r w:rsidRPr="00FA2C26">
              <w:t xml:space="preserve"> Asia government partners</w:t>
            </w:r>
          </w:p>
        </w:tc>
      </w:tr>
      <w:tr w:rsidR="002C7506" w:rsidRPr="00FA2C26" w14:paraId="15D65889"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74FDA21" w14:textId="34FC8462" w:rsidR="00F77C1A" w:rsidRDefault="00F77C1A" w:rsidP="000030A3">
            <w:pPr>
              <w:pStyle w:val="TableBodyCopy"/>
            </w:pPr>
            <w:r w:rsidRPr="00FA2C26">
              <w:t>ASEAN</w:t>
            </w:r>
            <w:r w:rsidR="000030A3">
              <w:t>–</w:t>
            </w:r>
            <w:r w:rsidRPr="00FA2C26">
              <w:t>Australia Health Security Initiative</w:t>
            </w:r>
          </w:p>
          <w:p w14:paraId="744ADC36" w14:textId="566F65B0" w:rsidR="00D84108" w:rsidRPr="00FA2C26" w:rsidRDefault="00D84108" w:rsidP="000030A3">
            <w:pPr>
              <w:pStyle w:val="TableBodyCopy"/>
            </w:pPr>
            <w:r>
              <w:t>(</w:t>
            </w:r>
            <w:r w:rsidR="0088129B">
              <w:t>r</w:t>
            </w:r>
            <w:r>
              <w:t>egional)</w:t>
            </w:r>
          </w:p>
        </w:tc>
        <w:tc>
          <w:tcPr>
            <w:tcW w:w="1666" w:type="pct"/>
            <w:shd w:val="clear" w:color="auto" w:fill="D2DEE7" w:themeFill="accent1" w:themeFillTint="33"/>
          </w:tcPr>
          <w:p w14:paraId="76EEE9E4" w14:textId="0A9CF2B9" w:rsidR="00F77C1A" w:rsidRPr="00FA2C26" w:rsidRDefault="00F77C1A" w:rsidP="000030A3">
            <w:pPr>
              <w:pStyle w:val="TableBodyCopy"/>
              <w:cnfStyle w:val="000000100000" w:firstRow="0" w:lastRow="0" w:firstColumn="0" w:lastColumn="0" w:oddVBand="0" w:evenVBand="0" w:oddHBand="1" w:evenHBand="0" w:firstRowFirstColumn="0" w:firstRowLastColumn="0" w:lastRowFirstColumn="0" w:lastRowLastColumn="0"/>
            </w:pPr>
            <w:r w:rsidRPr="00FA2C26">
              <w:t>2020</w:t>
            </w:r>
            <w:r w:rsidR="00D84108">
              <w:t>–</w:t>
            </w:r>
            <w:r w:rsidRPr="00FA2C26">
              <w:t>2024</w:t>
            </w:r>
          </w:p>
        </w:tc>
        <w:tc>
          <w:tcPr>
            <w:tcW w:w="1667" w:type="pct"/>
            <w:shd w:val="clear" w:color="auto" w:fill="F2F2F2" w:themeFill="background1" w:themeFillShade="F2"/>
          </w:tcPr>
          <w:p w14:paraId="468FCDC8" w14:textId="56477EFB" w:rsidR="00F77C1A" w:rsidRPr="00FA2C26" w:rsidRDefault="00F77C1A" w:rsidP="000030A3">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ASEAN </w:t>
            </w:r>
            <w:r w:rsidR="00D84108">
              <w:t>M</w:t>
            </w:r>
            <w:r w:rsidR="00D84108" w:rsidRPr="00FA2C26">
              <w:t xml:space="preserve">ember </w:t>
            </w:r>
            <w:r w:rsidR="00D84108">
              <w:t>S</w:t>
            </w:r>
            <w:r w:rsidR="00D84108" w:rsidRPr="00FA2C26">
              <w:t>tates</w:t>
            </w:r>
            <w:r w:rsidRPr="00FA2C26">
              <w:t xml:space="preserve">; </w:t>
            </w:r>
            <w:r w:rsidR="00305148">
              <w:t>FAO</w:t>
            </w:r>
          </w:p>
        </w:tc>
      </w:tr>
      <w:tr w:rsidR="002C7506" w:rsidRPr="00FA2C26" w14:paraId="455A6CBD"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52236FF" w14:textId="77777777" w:rsidR="00F77C1A" w:rsidRDefault="00F77C1A" w:rsidP="000030A3">
            <w:pPr>
              <w:pStyle w:val="TableBodyCopy"/>
            </w:pPr>
            <w:r w:rsidRPr="00FA2C26">
              <w:t>Support for the ASEAN Centre for Public Health Emergencies and Emerging Diseases (ACPHEED)</w:t>
            </w:r>
          </w:p>
          <w:p w14:paraId="5B0F424E" w14:textId="3BC28018" w:rsidR="00D84108" w:rsidRPr="00FA2C26" w:rsidRDefault="00D84108" w:rsidP="000030A3">
            <w:pPr>
              <w:pStyle w:val="TableBodyCopy"/>
            </w:pPr>
            <w:r>
              <w:t>(</w:t>
            </w:r>
            <w:r w:rsidR="0088129B">
              <w:t>r</w:t>
            </w:r>
            <w:r>
              <w:t>egional)</w:t>
            </w:r>
          </w:p>
        </w:tc>
        <w:tc>
          <w:tcPr>
            <w:tcW w:w="1666" w:type="pct"/>
            <w:shd w:val="clear" w:color="auto" w:fill="D2DEE7" w:themeFill="accent1" w:themeFillTint="33"/>
          </w:tcPr>
          <w:p w14:paraId="736F8F90" w14:textId="2FB8F88E" w:rsidR="00F77C1A" w:rsidRPr="00FA2C26" w:rsidRDefault="00F77C1A" w:rsidP="000030A3">
            <w:pPr>
              <w:pStyle w:val="TableBodyCopy"/>
              <w:cnfStyle w:val="000000000000" w:firstRow="0" w:lastRow="0" w:firstColumn="0" w:lastColumn="0" w:oddVBand="0" w:evenVBand="0" w:oddHBand="0" w:evenHBand="0" w:firstRowFirstColumn="0" w:firstRowLastColumn="0" w:lastRowFirstColumn="0" w:lastRowLastColumn="0"/>
            </w:pPr>
            <w:r w:rsidRPr="00FA2C26">
              <w:t>2020</w:t>
            </w:r>
            <w:r w:rsidR="00D84108">
              <w:t>–</w:t>
            </w:r>
            <w:r w:rsidRPr="00FA2C26">
              <w:t>2032</w:t>
            </w:r>
          </w:p>
        </w:tc>
        <w:tc>
          <w:tcPr>
            <w:tcW w:w="1667" w:type="pct"/>
            <w:shd w:val="clear" w:color="auto" w:fill="F2F2F2" w:themeFill="background1" w:themeFillShade="F2"/>
          </w:tcPr>
          <w:p w14:paraId="19E3705D" w14:textId="12D0A968" w:rsidR="00F77C1A" w:rsidRPr="00FA2C26" w:rsidRDefault="00F77C1A" w:rsidP="000030A3">
            <w:pPr>
              <w:pStyle w:val="TableBodyCopy"/>
              <w:cnfStyle w:val="000000000000" w:firstRow="0" w:lastRow="0" w:firstColumn="0" w:lastColumn="0" w:oddVBand="0" w:evenVBand="0" w:oddHBand="0" w:evenHBand="0" w:firstRowFirstColumn="0" w:firstRowLastColumn="0" w:lastRowFirstColumn="0" w:lastRowLastColumn="0"/>
            </w:pPr>
            <w:r w:rsidRPr="00FA2C26">
              <w:t xml:space="preserve">ASEAN </w:t>
            </w:r>
            <w:r w:rsidR="00D84108">
              <w:t>M</w:t>
            </w:r>
            <w:r w:rsidR="00D84108" w:rsidRPr="00FA2C26">
              <w:t xml:space="preserve">ember </w:t>
            </w:r>
            <w:r w:rsidR="00D84108">
              <w:t>S</w:t>
            </w:r>
            <w:r w:rsidR="00D84108" w:rsidRPr="00FA2C26">
              <w:t>tates</w:t>
            </w:r>
          </w:p>
        </w:tc>
      </w:tr>
      <w:tr w:rsidR="002C7506" w:rsidRPr="00FA2C26" w14:paraId="361046DB"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7CED2A1" w14:textId="77777777" w:rsidR="00F77C1A" w:rsidRDefault="00F77C1A" w:rsidP="000030A3">
            <w:pPr>
              <w:pStyle w:val="TableBodyCopy"/>
            </w:pPr>
            <w:r w:rsidRPr="00FA2C26">
              <w:t>Integrating Financing for Health Security</w:t>
            </w:r>
          </w:p>
          <w:p w14:paraId="390A570B" w14:textId="6701C4E3" w:rsidR="00D84108" w:rsidRPr="00FA2C26" w:rsidRDefault="00D84108" w:rsidP="000030A3">
            <w:pPr>
              <w:pStyle w:val="TableBodyCopy"/>
            </w:pPr>
            <w:r>
              <w:t>(</w:t>
            </w:r>
            <w:r w:rsidR="0088129B">
              <w:t>r</w:t>
            </w:r>
            <w:r>
              <w:t>egional)</w:t>
            </w:r>
          </w:p>
        </w:tc>
        <w:tc>
          <w:tcPr>
            <w:tcW w:w="1666" w:type="pct"/>
            <w:shd w:val="clear" w:color="auto" w:fill="D2DEE7" w:themeFill="accent1" w:themeFillTint="33"/>
          </w:tcPr>
          <w:p w14:paraId="5CBA064E" w14:textId="49EB37D8" w:rsidR="00F77C1A" w:rsidRPr="00FA2C26" w:rsidRDefault="00F77C1A" w:rsidP="000030A3">
            <w:pPr>
              <w:pStyle w:val="TableBodyCopy"/>
              <w:cnfStyle w:val="000000100000" w:firstRow="0" w:lastRow="0" w:firstColumn="0" w:lastColumn="0" w:oddVBand="0" w:evenVBand="0" w:oddHBand="1" w:evenHBand="0" w:firstRowFirstColumn="0" w:firstRowLastColumn="0" w:lastRowFirstColumn="0" w:lastRowLastColumn="0"/>
            </w:pPr>
            <w:r w:rsidRPr="00FA2C26">
              <w:t>2016</w:t>
            </w:r>
            <w:r w:rsidR="00D84108">
              <w:t>–</w:t>
            </w:r>
            <w:r w:rsidRPr="00FA2C26">
              <w:t>2025</w:t>
            </w:r>
          </w:p>
        </w:tc>
        <w:tc>
          <w:tcPr>
            <w:tcW w:w="1667" w:type="pct"/>
            <w:shd w:val="clear" w:color="auto" w:fill="F2F2F2" w:themeFill="background1" w:themeFillShade="F2"/>
          </w:tcPr>
          <w:p w14:paraId="6790B8D9" w14:textId="32BC59A7" w:rsidR="00F77C1A" w:rsidRPr="00FA2C26" w:rsidRDefault="00F77C1A" w:rsidP="000030A3">
            <w:pPr>
              <w:pStyle w:val="TableBodyCopy"/>
              <w:cnfStyle w:val="000000100000" w:firstRow="0" w:lastRow="0" w:firstColumn="0" w:lastColumn="0" w:oddVBand="0" w:evenVBand="0" w:oddHBand="1" w:evenHBand="0" w:firstRowFirstColumn="0" w:firstRowLastColumn="0" w:lastRowFirstColumn="0" w:lastRowLastColumn="0"/>
            </w:pPr>
            <w:r w:rsidRPr="00FA2C26">
              <w:t>World Bank Group</w:t>
            </w:r>
          </w:p>
        </w:tc>
      </w:tr>
      <w:tr w:rsidR="002C7506" w:rsidRPr="00FA2C26" w14:paraId="2CC5DCD3"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0C2F491" w14:textId="77777777" w:rsidR="00F77C1A" w:rsidRDefault="00F77C1A" w:rsidP="000030A3">
            <w:pPr>
              <w:pStyle w:val="TableBodyCopy"/>
            </w:pPr>
            <w:r w:rsidRPr="00FA2C26">
              <w:t>Water for Women</w:t>
            </w:r>
          </w:p>
          <w:p w14:paraId="297B1A39" w14:textId="776B6F9D" w:rsidR="00D84108" w:rsidRPr="00FA2C26" w:rsidRDefault="00D84108" w:rsidP="000030A3">
            <w:pPr>
              <w:pStyle w:val="TableBodyCopy"/>
            </w:pPr>
            <w:r>
              <w:t>(</w:t>
            </w:r>
            <w:r w:rsidR="0088129B">
              <w:t>r</w:t>
            </w:r>
            <w:r>
              <w:t>egional)</w:t>
            </w:r>
          </w:p>
        </w:tc>
        <w:tc>
          <w:tcPr>
            <w:tcW w:w="1666" w:type="pct"/>
            <w:shd w:val="clear" w:color="auto" w:fill="D2DEE7" w:themeFill="accent1" w:themeFillTint="33"/>
          </w:tcPr>
          <w:p w14:paraId="72A9CE4D" w14:textId="6FA5E480" w:rsidR="00F77C1A" w:rsidRPr="00FA2C26" w:rsidRDefault="00F77C1A" w:rsidP="000030A3">
            <w:pPr>
              <w:pStyle w:val="TableBodyCopy"/>
              <w:cnfStyle w:val="000000000000" w:firstRow="0" w:lastRow="0" w:firstColumn="0" w:lastColumn="0" w:oddVBand="0" w:evenVBand="0" w:oddHBand="0" w:evenHBand="0" w:firstRowFirstColumn="0" w:firstRowLastColumn="0" w:lastRowFirstColumn="0" w:lastRowLastColumn="0"/>
            </w:pPr>
            <w:r w:rsidRPr="00FA2C26">
              <w:t>2017</w:t>
            </w:r>
            <w:r w:rsidR="00D84108">
              <w:t>–</w:t>
            </w:r>
            <w:r w:rsidRPr="00FA2C26">
              <w:t>2025</w:t>
            </w:r>
          </w:p>
        </w:tc>
        <w:tc>
          <w:tcPr>
            <w:tcW w:w="1667" w:type="pct"/>
            <w:shd w:val="clear" w:color="auto" w:fill="F2F2F2" w:themeFill="background1" w:themeFillShade="F2"/>
          </w:tcPr>
          <w:p w14:paraId="775C58C1" w14:textId="1912AE80" w:rsidR="00F77C1A" w:rsidRPr="00FA2C26" w:rsidRDefault="00F77C1A" w:rsidP="000030A3">
            <w:pPr>
              <w:pStyle w:val="TableBodyCopy"/>
              <w:cnfStyle w:val="000000000000" w:firstRow="0" w:lastRow="0" w:firstColumn="0" w:lastColumn="0" w:oddVBand="0" w:evenVBand="0" w:oddHBand="0" w:evenHBand="0" w:firstRowFirstColumn="0" w:firstRowLastColumn="0" w:lastRowFirstColumn="0" w:lastRowLastColumn="0"/>
            </w:pPr>
            <w:r w:rsidRPr="00FA2C26">
              <w:t xml:space="preserve">International </w:t>
            </w:r>
            <w:r w:rsidR="00F329DE">
              <w:t>non-governmental organisations (</w:t>
            </w:r>
            <w:r w:rsidRPr="00FA2C26">
              <w:t>NGOs</w:t>
            </w:r>
            <w:r w:rsidR="00F329DE">
              <w:t>)</w:t>
            </w:r>
          </w:p>
        </w:tc>
      </w:tr>
      <w:tr w:rsidR="002C7506" w:rsidRPr="00FA2C26" w14:paraId="03D87B35"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267ED94" w14:textId="77777777" w:rsidR="00F77C1A" w:rsidRDefault="00F77C1A" w:rsidP="000030A3">
            <w:pPr>
              <w:pStyle w:val="TableBodyCopy"/>
            </w:pPr>
            <w:r w:rsidRPr="00FA2C26">
              <w:t>WASH Joint Monitoring Program</w:t>
            </w:r>
          </w:p>
          <w:p w14:paraId="3DB5561B" w14:textId="7047D79F" w:rsidR="000030A3" w:rsidRPr="00FA2C26" w:rsidRDefault="000030A3" w:rsidP="000030A3">
            <w:pPr>
              <w:pStyle w:val="TableBodyCopy"/>
            </w:pPr>
            <w:r>
              <w:t>(</w:t>
            </w:r>
            <w:r w:rsidR="0088129B">
              <w:t>r</w:t>
            </w:r>
            <w:r>
              <w:t>egional)</w:t>
            </w:r>
          </w:p>
        </w:tc>
        <w:tc>
          <w:tcPr>
            <w:tcW w:w="1666" w:type="pct"/>
            <w:shd w:val="clear" w:color="auto" w:fill="D2DEE7" w:themeFill="accent1" w:themeFillTint="33"/>
          </w:tcPr>
          <w:p w14:paraId="70B52046" w14:textId="0F27F077" w:rsidR="00F77C1A" w:rsidRPr="00FA2C26" w:rsidRDefault="00F77C1A" w:rsidP="000030A3">
            <w:pPr>
              <w:pStyle w:val="TableBodyCopy"/>
              <w:cnfStyle w:val="000000100000" w:firstRow="0" w:lastRow="0" w:firstColumn="0" w:lastColumn="0" w:oddVBand="0" w:evenVBand="0" w:oddHBand="1" w:evenHBand="0" w:firstRowFirstColumn="0" w:firstRowLastColumn="0" w:lastRowFirstColumn="0" w:lastRowLastColumn="0"/>
            </w:pPr>
            <w:r w:rsidRPr="00FA2C26">
              <w:t>2018</w:t>
            </w:r>
            <w:r w:rsidR="00D84108">
              <w:t>–</w:t>
            </w:r>
            <w:r w:rsidRPr="00FA2C26">
              <w:t>2026</w:t>
            </w:r>
          </w:p>
        </w:tc>
        <w:tc>
          <w:tcPr>
            <w:tcW w:w="1667" w:type="pct"/>
            <w:shd w:val="clear" w:color="auto" w:fill="F2F2F2" w:themeFill="background1" w:themeFillShade="F2"/>
          </w:tcPr>
          <w:p w14:paraId="6FA40ECB" w14:textId="2058CD8D" w:rsidR="00F77C1A" w:rsidRPr="00FA2C26" w:rsidRDefault="00F77C1A" w:rsidP="000030A3">
            <w:pPr>
              <w:pStyle w:val="TableBodyCopy"/>
              <w:cnfStyle w:val="000000100000" w:firstRow="0" w:lastRow="0" w:firstColumn="0" w:lastColumn="0" w:oddVBand="0" w:evenVBand="0" w:oddHBand="1" w:evenHBand="0" w:firstRowFirstColumn="0" w:firstRowLastColumn="0" w:lastRowFirstColumn="0" w:lastRowLastColumn="0"/>
            </w:pPr>
            <w:r w:rsidRPr="00FA2C26">
              <w:t>UNICEF; WHO</w:t>
            </w:r>
          </w:p>
        </w:tc>
      </w:tr>
      <w:tr w:rsidR="002C7506" w:rsidRPr="00FA2C26" w14:paraId="30F9ED28"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72B59DC" w14:textId="5CCAFEC7" w:rsidR="00F77C1A" w:rsidRDefault="00F77C1A" w:rsidP="000030A3">
            <w:pPr>
              <w:pStyle w:val="TableBodyCopy"/>
            </w:pPr>
            <w:r w:rsidRPr="00FA2C26">
              <w:t>Support for Asia</w:t>
            </w:r>
            <w:r w:rsidR="00F54723">
              <w:t>–Pacific</w:t>
            </w:r>
            <w:r w:rsidRPr="00FA2C26">
              <w:t xml:space="preserve"> Malaria Elimination</w:t>
            </w:r>
          </w:p>
          <w:p w14:paraId="50A0764E" w14:textId="729D0935" w:rsidR="000030A3" w:rsidRPr="00FA2C26" w:rsidRDefault="000030A3" w:rsidP="000030A3">
            <w:pPr>
              <w:pStyle w:val="TableBodyCopy"/>
            </w:pPr>
            <w:r>
              <w:t>(</w:t>
            </w:r>
            <w:r w:rsidR="0088129B">
              <w:t>r</w:t>
            </w:r>
            <w:r>
              <w:t>egional)</w:t>
            </w:r>
          </w:p>
        </w:tc>
        <w:tc>
          <w:tcPr>
            <w:tcW w:w="1666" w:type="pct"/>
            <w:shd w:val="clear" w:color="auto" w:fill="D2DEE7" w:themeFill="accent1" w:themeFillTint="33"/>
          </w:tcPr>
          <w:p w14:paraId="36E7615B" w14:textId="0D772C32" w:rsidR="00F77C1A" w:rsidRPr="00FA2C26" w:rsidRDefault="00F77C1A" w:rsidP="000030A3">
            <w:pPr>
              <w:pStyle w:val="TableBodyCopy"/>
              <w:cnfStyle w:val="000000000000" w:firstRow="0" w:lastRow="0" w:firstColumn="0" w:lastColumn="0" w:oddVBand="0" w:evenVBand="0" w:oddHBand="0" w:evenHBand="0" w:firstRowFirstColumn="0" w:firstRowLastColumn="0" w:lastRowFirstColumn="0" w:lastRowLastColumn="0"/>
            </w:pPr>
            <w:r w:rsidRPr="00FA2C26">
              <w:t>2018</w:t>
            </w:r>
            <w:r w:rsidR="00D84108">
              <w:t>–</w:t>
            </w:r>
            <w:r w:rsidRPr="00FA2C26">
              <w:t>2028</w:t>
            </w:r>
          </w:p>
        </w:tc>
        <w:tc>
          <w:tcPr>
            <w:tcW w:w="1667" w:type="pct"/>
            <w:shd w:val="clear" w:color="auto" w:fill="F2F2F2" w:themeFill="background1" w:themeFillShade="F2"/>
          </w:tcPr>
          <w:p w14:paraId="658EC3C9" w14:textId="5244C475" w:rsidR="00F77C1A" w:rsidRPr="00FA2C26" w:rsidRDefault="00F77C1A" w:rsidP="000030A3">
            <w:pPr>
              <w:pStyle w:val="TableBodyCopy"/>
              <w:cnfStyle w:val="000000000000" w:firstRow="0" w:lastRow="0" w:firstColumn="0" w:lastColumn="0" w:oddVBand="0" w:evenVBand="0" w:oddHBand="0" w:evenHBand="0" w:firstRowFirstColumn="0" w:firstRowLastColumn="0" w:lastRowFirstColumn="0" w:lastRowLastColumn="0"/>
            </w:pPr>
            <w:r w:rsidRPr="00FA2C26">
              <w:t xml:space="preserve">ASEAN </w:t>
            </w:r>
            <w:r w:rsidR="00D84108">
              <w:t>M</w:t>
            </w:r>
            <w:r w:rsidRPr="00FA2C26">
              <w:t xml:space="preserve">ember </w:t>
            </w:r>
            <w:r w:rsidR="00D84108">
              <w:t>S</w:t>
            </w:r>
            <w:r w:rsidRPr="00FA2C26">
              <w:t>tates; WHO</w:t>
            </w:r>
          </w:p>
        </w:tc>
      </w:tr>
      <w:tr w:rsidR="002C7506" w:rsidRPr="00FA2C26" w14:paraId="06666534"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1DDE972" w14:textId="77777777" w:rsidR="00F77C1A" w:rsidRDefault="00F77C1A" w:rsidP="000030A3">
            <w:pPr>
              <w:pStyle w:val="TableBodyCopy"/>
            </w:pPr>
            <w:r w:rsidRPr="00FA2C26">
              <w:t>Partnerships for a Healthy Region</w:t>
            </w:r>
          </w:p>
          <w:p w14:paraId="1FE718BD" w14:textId="121889BF" w:rsidR="000030A3" w:rsidRPr="00FA2C26" w:rsidRDefault="000030A3" w:rsidP="000030A3">
            <w:pPr>
              <w:pStyle w:val="TableBodyCopy"/>
            </w:pPr>
            <w:r>
              <w:t>(</w:t>
            </w:r>
            <w:r w:rsidR="0088129B">
              <w:t>g</w:t>
            </w:r>
            <w:r>
              <w:t>lobal)</w:t>
            </w:r>
          </w:p>
        </w:tc>
        <w:tc>
          <w:tcPr>
            <w:tcW w:w="1666" w:type="pct"/>
            <w:shd w:val="clear" w:color="auto" w:fill="D2DEE7" w:themeFill="accent1" w:themeFillTint="33"/>
          </w:tcPr>
          <w:p w14:paraId="7FACC0FB" w14:textId="52691371" w:rsidR="00F77C1A" w:rsidRPr="00FA2C26" w:rsidRDefault="00F77C1A" w:rsidP="000030A3">
            <w:pPr>
              <w:pStyle w:val="TableBodyCopy"/>
              <w:cnfStyle w:val="000000100000" w:firstRow="0" w:lastRow="0" w:firstColumn="0" w:lastColumn="0" w:oddVBand="0" w:evenVBand="0" w:oddHBand="1" w:evenHBand="0" w:firstRowFirstColumn="0" w:firstRowLastColumn="0" w:lastRowFirstColumn="0" w:lastRowLastColumn="0"/>
            </w:pPr>
            <w:r w:rsidRPr="00FA2C26">
              <w:t>2023</w:t>
            </w:r>
            <w:r w:rsidR="00D519E9">
              <w:t>–</w:t>
            </w:r>
            <w:r w:rsidRPr="00FA2C26">
              <w:t>2028</w:t>
            </w:r>
          </w:p>
        </w:tc>
        <w:tc>
          <w:tcPr>
            <w:tcW w:w="1667" w:type="pct"/>
            <w:shd w:val="clear" w:color="auto" w:fill="F2F2F2" w:themeFill="background1" w:themeFillShade="F2"/>
          </w:tcPr>
          <w:p w14:paraId="21745179" w14:textId="05084A69" w:rsidR="00F77C1A" w:rsidRPr="00FA2C26" w:rsidRDefault="00F77C1A" w:rsidP="000030A3">
            <w:pPr>
              <w:pStyle w:val="TableBodyCopy"/>
              <w:cnfStyle w:val="000000100000" w:firstRow="0" w:lastRow="0" w:firstColumn="0" w:lastColumn="0" w:oddVBand="0" w:evenVBand="0" w:oddHBand="1" w:evenHBand="0" w:firstRowFirstColumn="0" w:firstRowLastColumn="0" w:lastRowFirstColumn="0" w:lastRowLastColumn="0"/>
            </w:pPr>
            <w:r w:rsidRPr="00FA2C26">
              <w:t>Multilateral and regional bodies; private sector; health institutions</w:t>
            </w:r>
          </w:p>
        </w:tc>
      </w:tr>
      <w:tr w:rsidR="002C7506" w:rsidRPr="00FA2C26" w14:paraId="6F718F88"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0577C1E" w14:textId="77777777" w:rsidR="00F77C1A" w:rsidRDefault="00F77C1A" w:rsidP="000030A3">
            <w:pPr>
              <w:pStyle w:val="TableBodyCopy"/>
            </w:pPr>
            <w:r w:rsidRPr="00FA2C26">
              <w:t>Climate Resilient Communities</w:t>
            </w:r>
          </w:p>
          <w:p w14:paraId="214531FE" w14:textId="2FBB8AE6" w:rsidR="000030A3" w:rsidRPr="00FA2C26" w:rsidRDefault="000030A3" w:rsidP="000030A3">
            <w:pPr>
              <w:pStyle w:val="TableBodyCopy"/>
            </w:pPr>
            <w:r>
              <w:t>(</w:t>
            </w:r>
            <w:r w:rsidR="0088129B">
              <w:t>g</w:t>
            </w:r>
            <w:r>
              <w:t>lobal)</w:t>
            </w:r>
          </w:p>
        </w:tc>
        <w:tc>
          <w:tcPr>
            <w:tcW w:w="1666" w:type="pct"/>
            <w:shd w:val="clear" w:color="auto" w:fill="D2DEE7" w:themeFill="accent1" w:themeFillTint="33"/>
          </w:tcPr>
          <w:p w14:paraId="769B964A" w14:textId="48CC781D" w:rsidR="00F77C1A" w:rsidRPr="00FA2C26" w:rsidRDefault="00F77C1A" w:rsidP="000030A3">
            <w:pPr>
              <w:pStyle w:val="TableBodyCopy"/>
              <w:cnfStyle w:val="000000000000" w:firstRow="0" w:lastRow="0" w:firstColumn="0" w:lastColumn="0" w:oddVBand="0" w:evenVBand="0" w:oddHBand="0" w:evenHBand="0" w:firstRowFirstColumn="0" w:firstRowLastColumn="0" w:lastRowFirstColumn="0" w:lastRowLastColumn="0"/>
            </w:pPr>
            <w:r w:rsidRPr="00FA2C26">
              <w:t>2024</w:t>
            </w:r>
            <w:r w:rsidR="00D519E9">
              <w:t>–</w:t>
            </w:r>
            <w:r w:rsidRPr="00FA2C26">
              <w:t>2029</w:t>
            </w:r>
          </w:p>
        </w:tc>
        <w:tc>
          <w:tcPr>
            <w:tcW w:w="1667" w:type="pct"/>
            <w:shd w:val="clear" w:color="auto" w:fill="F2F2F2" w:themeFill="background1" w:themeFillShade="F2"/>
          </w:tcPr>
          <w:p w14:paraId="49E19DDA" w14:textId="3E7DFD93" w:rsidR="00F77C1A" w:rsidRPr="00FA2C26" w:rsidRDefault="00F77C1A" w:rsidP="000030A3">
            <w:pPr>
              <w:pStyle w:val="TableBodyCopy"/>
              <w:cnfStyle w:val="000000000000" w:firstRow="0" w:lastRow="0" w:firstColumn="0" w:lastColumn="0" w:oddVBand="0" w:evenVBand="0" w:oddHBand="0" w:evenHBand="0" w:firstRowFirstColumn="0" w:firstRowLastColumn="0" w:lastRowFirstColumn="0" w:lastRowLastColumn="0"/>
            </w:pPr>
            <w:r w:rsidRPr="00FA2C26">
              <w:t>Indo-Pacific government partners</w:t>
            </w:r>
          </w:p>
        </w:tc>
      </w:tr>
      <w:tr w:rsidR="002C7506" w:rsidRPr="00FA2C26" w14:paraId="4AEF6A27"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DA98D77" w14:textId="77777777" w:rsidR="00F77C1A" w:rsidRDefault="00F77C1A" w:rsidP="000030A3">
            <w:pPr>
              <w:pStyle w:val="TableBodyCopy"/>
            </w:pPr>
            <w:r w:rsidRPr="00FA2C26">
              <w:t>Global Partnership for Education</w:t>
            </w:r>
          </w:p>
          <w:p w14:paraId="729C3E5A" w14:textId="52D6A5B7" w:rsidR="000030A3" w:rsidRPr="00FA2C26" w:rsidRDefault="000030A3" w:rsidP="000030A3">
            <w:pPr>
              <w:pStyle w:val="TableBodyCopy"/>
            </w:pPr>
            <w:r>
              <w:t>(</w:t>
            </w:r>
            <w:r w:rsidR="0088129B">
              <w:t>g</w:t>
            </w:r>
            <w:r>
              <w:t>lobal)</w:t>
            </w:r>
          </w:p>
        </w:tc>
        <w:tc>
          <w:tcPr>
            <w:tcW w:w="1666" w:type="pct"/>
            <w:shd w:val="clear" w:color="auto" w:fill="D2DEE7" w:themeFill="accent1" w:themeFillTint="33"/>
          </w:tcPr>
          <w:p w14:paraId="6F10FCE7" w14:textId="0FA03F57" w:rsidR="00F77C1A" w:rsidRPr="00FA2C26" w:rsidRDefault="00F77C1A" w:rsidP="000030A3">
            <w:pPr>
              <w:pStyle w:val="TableBodyCopy"/>
              <w:cnfStyle w:val="000000100000" w:firstRow="0" w:lastRow="0" w:firstColumn="0" w:lastColumn="0" w:oddVBand="0" w:evenVBand="0" w:oddHBand="1" w:evenHBand="0" w:firstRowFirstColumn="0" w:firstRowLastColumn="0" w:lastRowFirstColumn="0" w:lastRowLastColumn="0"/>
            </w:pPr>
            <w:r w:rsidRPr="00FA2C26">
              <w:t>2021</w:t>
            </w:r>
            <w:r w:rsidR="00D519E9">
              <w:t>–</w:t>
            </w:r>
            <w:r w:rsidRPr="00FA2C26">
              <w:t>2025</w:t>
            </w:r>
          </w:p>
        </w:tc>
        <w:tc>
          <w:tcPr>
            <w:tcW w:w="1667" w:type="pct"/>
            <w:shd w:val="clear" w:color="auto" w:fill="F2F2F2" w:themeFill="background1" w:themeFillShade="F2"/>
          </w:tcPr>
          <w:p w14:paraId="79C30DA5" w14:textId="11AAA8A0" w:rsidR="00F77C1A" w:rsidRPr="00FA2C26" w:rsidRDefault="00F77C1A" w:rsidP="000030A3">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CSOs; </w:t>
            </w:r>
            <w:r w:rsidR="005F07C4">
              <w:t xml:space="preserve">United Nations </w:t>
            </w:r>
            <w:r w:rsidRPr="00FA2C26">
              <w:t>agencies; multilateral development banks; private sector</w:t>
            </w:r>
          </w:p>
        </w:tc>
      </w:tr>
      <w:tr w:rsidR="002C7506" w:rsidRPr="00FA2C26" w14:paraId="7C2C8ED3"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428CDAB" w14:textId="71C3E0CC" w:rsidR="00F77C1A" w:rsidRDefault="00F77C1A" w:rsidP="000030A3">
            <w:pPr>
              <w:pStyle w:val="TableBodyCopy"/>
            </w:pPr>
            <w:r w:rsidRPr="00FA2C26">
              <w:t>Amplify</w:t>
            </w:r>
            <w:r w:rsidR="005F07C4">
              <w:t>–</w:t>
            </w:r>
            <w:r w:rsidRPr="00FA2C26">
              <w:t>Invest</w:t>
            </w:r>
            <w:r w:rsidR="005F07C4">
              <w:t>–</w:t>
            </w:r>
            <w:r w:rsidRPr="00FA2C26">
              <w:t>Reach (AIR) Partnership</w:t>
            </w:r>
          </w:p>
          <w:p w14:paraId="5DC833B5" w14:textId="0293F157" w:rsidR="000030A3" w:rsidRPr="00FA2C26" w:rsidRDefault="000030A3" w:rsidP="000030A3">
            <w:pPr>
              <w:pStyle w:val="TableBodyCopy"/>
            </w:pPr>
            <w:r>
              <w:t>(</w:t>
            </w:r>
            <w:r w:rsidR="0088129B">
              <w:t>g</w:t>
            </w:r>
            <w:r>
              <w:t>lobal)</w:t>
            </w:r>
          </w:p>
        </w:tc>
        <w:tc>
          <w:tcPr>
            <w:tcW w:w="1666" w:type="pct"/>
            <w:shd w:val="clear" w:color="auto" w:fill="D2DEE7" w:themeFill="accent1" w:themeFillTint="33"/>
          </w:tcPr>
          <w:p w14:paraId="647482EA" w14:textId="009E5A92" w:rsidR="00F77C1A" w:rsidRPr="00FA2C26" w:rsidRDefault="00F77C1A" w:rsidP="000030A3">
            <w:pPr>
              <w:pStyle w:val="TableBodyCopy"/>
              <w:cnfStyle w:val="000000000000" w:firstRow="0" w:lastRow="0" w:firstColumn="0" w:lastColumn="0" w:oddVBand="0" w:evenVBand="0" w:oddHBand="0" w:evenHBand="0" w:firstRowFirstColumn="0" w:firstRowLastColumn="0" w:lastRowFirstColumn="0" w:lastRowLastColumn="0"/>
            </w:pPr>
            <w:r w:rsidRPr="00FA2C26">
              <w:t>2022</w:t>
            </w:r>
            <w:r w:rsidR="00D519E9">
              <w:t>–</w:t>
            </w:r>
            <w:r w:rsidRPr="00FA2C26">
              <w:t>2026</w:t>
            </w:r>
          </w:p>
        </w:tc>
        <w:tc>
          <w:tcPr>
            <w:tcW w:w="1667" w:type="pct"/>
            <w:shd w:val="clear" w:color="auto" w:fill="F2F2F2" w:themeFill="background1" w:themeFillShade="F2"/>
          </w:tcPr>
          <w:p w14:paraId="64CF34E1" w14:textId="37A6DB2A" w:rsidR="00F77C1A" w:rsidRPr="00FA2C26" w:rsidRDefault="00F77C1A" w:rsidP="000030A3">
            <w:pPr>
              <w:pStyle w:val="TableBodyCopy"/>
              <w:cnfStyle w:val="000000000000" w:firstRow="0" w:lastRow="0" w:firstColumn="0" w:lastColumn="0" w:oddVBand="0" w:evenVBand="0" w:oddHBand="0" w:evenHBand="0" w:firstRowFirstColumn="0" w:firstRowLastColumn="0" w:lastRowFirstColumn="0" w:lastRowLastColumn="0"/>
            </w:pPr>
            <w:r w:rsidRPr="00FA2C26">
              <w:t>International NGOs</w:t>
            </w:r>
          </w:p>
        </w:tc>
      </w:tr>
      <w:tr w:rsidR="002C7506" w:rsidRPr="00FA2C26" w14:paraId="66DE844A" w14:textId="77777777" w:rsidTr="00E0741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C2D04AA" w14:textId="77777777" w:rsidR="00F77C1A" w:rsidRDefault="00F77C1A" w:rsidP="000030A3">
            <w:pPr>
              <w:pStyle w:val="TableBodyCopy"/>
            </w:pPr>
            <w:r w:rsidRPr="00FA2C26">
              <w:lastRenderedPageBreak/>
              <w:t>Empowering Girls and Women through Social Protection in Southeast Asia</w:t>
            </w:r>
          </w:p>
          <w:p w14:paraId="29ECDE0E" w14:textId="700063CD" w:rsidR="000030A3" w:rsidRPr="00FA2C26" w:rsidRDefault="000030A3" w:rsidP="000030A3">
            <w:pPr>
              <w:pStyle w:val="TableBodyCopy"/>
            </w:pPr>
            <w:r>
              <w:t>(</w:t>
            </w:r>
            <w:r w:rsidR="0088129B">
              <w:t>g</w:t>
            </w:r>
            <w:r>
              <w:t>lobal)</w:t>
            </w:r>
          </w:p>
        </w:tc>
        <w:tc>
          <w:tcPr>
            <w:tcW w:w="1666" w:type="pct"/>
            <w:shd w:val="clear" w:color="auto" w:fill="D2DEE7" w:themeFill="accent1" w:themeFillTint="33"/>
          </w:tcPr>
          <w:p w14:paraId="7F0F8C69" w14:textId="5A019A9E" w:rsidR="00F77C1A" w:rsidRPr="00FA2C26" w:rsidRDefault="00F77C1A" w:rsidP="000030A3">
            <w:pPr>
              <w:pStyle w:val="TableBodyCopy"/>
              <w:cnfStyle w:val="000000100000" w:firstRow="0" w:lastRow="0" w:firstColumn="0" w:lastColumn="0" w:oddVBand="0" w:evenVBand="0" w:oddHBand="1" w:evenHBand="0" w:firstRowFirstColumn="0" w:firstRowLastColumn="0" w:lastRowFirstColumn="0" w:lastRowLastColumn="0"/>
            </w:pPr>
            <w:r w:rsidRPr="00FA2C26">
              <w:t>2023</w:t>
            </w:r>
            <w:r w:rsidR="00D519E9">
              <w:t>–</w:t>
            </w:r>
            <w:r w:rsidRPr="00FA2C26">
              <w:t>2026</w:t>
            </w:r>
          </w:p>
        </w:tc>
        <w:tc>
          <w:tcPr>
            <w:tcW w:w="1667" w:type="pct"/>
            <w:shd w:val="clear" w:color="auto" w:fill="F2F2F2" w:themeFill="background1" w:themeFillShade="F2"/>
          </w:tcPr>
          <w:p w14:paraId="128A835F" w14:textId="307CE996" w:rsidR="00F77C1A" w:rsidRPr="00FA2C26" w:rsidRDefault="00F77C1A" w:rsidP="000030A3">
            <w:pPr>
              <w:pStyle w:val="TableBodyCopy"/>
              <w:cnfStyle w:val="000000100000" w:firstRow="0" w:lastRow="0" w:firstColumn="0" w:lastColumn="0" w:oddVBand="0" w:evenVBand="0" w:oddHBand="1" w:evenHBand="0" w:firstRowFirstColumn="0" w:firstRowLastColumn="0" w:lastRowFirstColumn="0" w:lastRowLastColumn="0"/>
            </w:pPr>
            <w:r w:rsidRPr="00FA2C26">
              <w:t>UNICEF</w:t>
            </w:r>
          </w:p>
        </w:tc>
      </w:tr>
    </w:tbl>
    <w:p w14:paraId="71CA7961" w14:textId="4434CE8E" w:rsidR="00E07411" w:rsidRPr="00CF5050" w:rsidRDefault="00E07411" w:rsidP="00E07411">
      <w:bookmarkStart w:id="17" w:name="_Hlk171337726"/>
      <w:r>
        <w:t>Australian Government</w:t>
      </w:r>
      <w:r w:rsidRPr="00CF5050">
        <w:t xml:space="preserve"> bilateral arrangements</w:t>
      </w:r>
      <w:r>
        <w:t xml:space="preserve"> </w:t>
      </w:r>
      <w:r w:rsidRPr="413282F0">
        <w:rPr>
          <w:lang w:eastAsia="en-AU"/>
        </w:rPr>
        <w:t xml:space="preserve">for </w:t>
      </w:r>
      <w:r w:rsidRPr="00E03887">
        <w:rPr>
          <w:lang w:eastAsia="en-AU"/>
        </w:rPr>
        <w:t xml:space="preserve">Objective 2 </w:t>
      </w:r>
      <w:r w:rsidRPr="00CF5050">
        <w:rPr>
          <w:lang w:eastAsia="en-AU"/>
        </w:rPr>
        <w:t>Climate resilient communities</w:t>
      </w:r>
    </w:p>
    <w:tbl>
      <w:tblPr>
        <w:tblStyle w:val="ListTable3-Accent12"/>
        <w:tblW w:w="10201" w:type="dxa"/>
        <w:tblLook w:val="04A0" w:firstRow="1" w:lastRow="0" w:firstColumn="1" w:lastColumn="0" w:noHBand="0" w:noVBand="1"/>
      </w:tblPr>
      <w:tblGrid>
        <w:gridCol w:w="3400"/>
        <w:gridCol w:w="3400"/>
        <w:gridCol w:w="3401"/>
      </w:tblGrid>
      <w:tr w:rsidR="0023348B" w:rsidRPr="007A5BE5" w14:paraId="73F2A94B" w14:textId="77777777" w:rsidTr="00E6752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0" w:type="dxa"/>
          </w:tcPr>
          <w:p w14:paraId="1752B84E" w14:textId="77777777" w:rsidR="0023348B" w:rsidRPr="007A5BE5" w:rsidRDefault="0023348B" w:rsidP="000304FC">
            <w:pPr>
              <w:pStyle w:val="TableHeading"/>
            </w:pPr>
            <w:r w:rsidRPr="007A5BE5">
              <w:t xml:space="preserve">Name of </w:t>
            </w:r>
            <w:r>
              <w:t>arrangement</w:t>
            </w:r>
          </w:p>
        </w:tc>
        <w:tc>
          <w:tcPr>
            <w:tcW w:w="3400" w:type="dxa"/>
          </w:tcPr>
          <w:p w14:paraId="5B753BBC" w14:textId="77777777" w:rsidR="0023348B" w:rsidRPr="007A5BE5" w:rsidRDefault="0023348B" w:rsidP="000304FC">
            <w:pPr>
              <w:pStyle w:val="TableHeading"/>
              <w:cnfStyle w:val="100000000000" w:firstRow="1" w:lastRow="0" w:firstColumn="0" w:lastColumn="0" w:oddVBand="0" w:evenVBand="0" w:oddHBand="0" w:evenHBand="0" w:firstRowFirstColumn="0" w:firstRowLastColumn="0" w:lastRowFirstColumn="0" w:lastRowLastColumn="0"/>
            </w:pPr>
            <w:r>
              <w:t>Entry into force</w:t>
            </w:r>
          </w:p>
        </w:tc>
        <w:tc>
          <w:tcPr>
            <w:tcW w:w="3401" w:type="dxa"/>
          </w:tcPr>
          <w:p w14:paraId="3B818C5D" w14:textId="77777777" w:rsidR="0023348B" w:rsidRPr="007A5BE5" w:rsidRDefault="0023348B" w:rsidP="000304FC">
            <w:pPr>
              <w:pStyle w:val="TableHeading"/>
              <w:cnfStyle w:val="100000000000" w:firstRow="1" w:lastRow="0" w:firstColumn="0" w:lastColumn="0" w:oddVBand="0" w:evenVBand="0" w:oddHBand="0" w:evenHBand="0" w:firstRowFirstColumn="0" w:firstRowLastColumn="0" w:lastRowFirstColumn="0" w:lastRowLastColumn="0"/>
            </w:pPr>
            <w:r>
              <w:t>Duration</w:t>
            </w:r>
          </w:p>
        </w:tc>
      </w:tr>
      <w:tr w:rsidR="0023348B" w:rsidRPr="00FA2C26" w14:paraId="783FE8BF" w14:textId="77777777" w:rsidTr="00E675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5179FC37" w14:textId="136503E4" w:rsidR="00E363D5" w:rsidRPr="00C311D1" w:rsidRDefault="00454817" w:rsidP="000304FC">
            <w:pPr>
              <w:pStyle w:val="TableBodyCopy"/>
              <w:rPr>
                <w:b w:val="0"/>
                <w:bCs w:val="0"/>
              </w:rPr>
            </w:pPr>
            <w:r w:rsidRPr="00E53E3A">
              <w:t>MoU on Agricultural Cooperation</w:t>
            </w:r>
          </w:p>
        </w:tc>
        <w:tc>
          <w:tcPr>
            <w:tcW w:w="3400" w:type="dxa"/>
            <w:shd w:val="clear" w:color="auto" w:fill="D2DEE7" w:themeFill="accent1" w:themeFillTint="33"/>
          </w:tcPr>
          <w:p w14:paraId="4FCDB188" w14:textId="4AFBCF80" w:rsidR="0023348B" w:rsidRPr="00FA2C26" w:rsidRDefault="00454817" w:rsidP="000304FC">
            <w:pPr>
              <w:pStyle w:val="TableBodyCopy"/>
              <w:cnfStyle w:val="000000100000" w:firstRow="0" w:lastRow="0" w:firstColumn="0" w:lastColumn="0" w:oddVBand="0" w:evenVBand="0" w:oddHBand="1" w:evenHBand="0" w:firstRowFirstColumn="0" w:firstRowLastColumn="0" w:lastRowFirstColumn="0" w:lastRowLastColumn="0"/>
            </w:pPr>
            <w:r w:rsidRPr="00886ECE">
              <w:t>27 January 2022 (signed)</w:t>
            </w:r>
          </w:p>
        </w:tc>
        <w:tc>
          <w:tcPr>
            <w:tcW w:w="3401" w:type="dxa"/>
            <w:shd w:val="clear" w:color="auto" w:fill="F2F2F2" w:themeFill="background1" w:themeFillShade="F2"/>
          </w:tcPr>
          <w:p w14:paraId="2120894C" w14:textId="001C5E7A" w:rsidR="0023348B" w:rsidRPr="00FA2C26" w:rsidRDefault="00454817" w:rsidP="000304FC">
            <w:pPr>
              <w:pStyle w:val="TableBodyCopy"/>
              <w:cnfStyle w:val="000000100000" w:firstRow="0" w:lastRow="0" w:firstColumn="0" w:lastColumn="0" w:oddVBand="0" w:evenVBand="0" w:oddHBand="1" w:evenHBand="0" w:firstRowFirstColumn="0" w:firstRowLastColumn="0" w:lastRowFirstColumn="0" w:lastRowLastColumn="0"/>
            </w:pPr>
            <w:r w:rsidRPr="00025FC5">
              <w:t>Not applicable</w:t>
            </w:r>
          </w:p>
        </w:tc>
      </w:tr>
      <w:tr w:rsidR="00454817" w:rsidRPr="00FA2C26" w14:paraId="68E8D59A" w14:textId="77777777" w:rsidTr="00E67524">
        <w:trPr>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1AB3B36F" w14:textId="612F606E" w:rsidR="00454817" w:rsidRPr="00C311D1" w:rsidRDefault="00454817" w:rsidP="00454817">
            <w:pPr>
              <w:pStyle w:val="TableBodyCopy"/>
              <w:rPr>
                <w:b w:val="0"/>
                <w:bCs w:val="0"/>
              </w:rPr>
            </w:pPr>
            <w:r w:rsidRPr="000304FC">
              <w:t>MoU for Furthering Cooperation on Forestry and Natural Resource Management</w:t>
            </w:r>
          </w:p>
        </w:tc>
        <w:tc>
          <w:tcPr>
            <w:tcW w:w="3400" w:type="dxa"/>
            <w:shd w:val="clear" w:color="auto" w:fill="D2DEE7" w:themeFill="accent1" w:themeFillTint="33"/>
          </w:tcPr>
          <w:p w14:paraId="7AF75B00" w14:textId="4149751B" w:rsidR="00454817" w:rsidRPr="000304FC" w:rsidRDefault="00454817" w:rsidP="00454817">
            <w:pPr>
              <w:pStyle w:val="TableBodyCopy"/>
              <w:cnfStyle w:val="000000000000" w:firstRow="0" w:lastRow="0" w:firstColumn="0" w:lastColumn="0" w:oddVBand="0" w:evenVBand="0" w:oddHBand="0" w:evenHBand="0" w:firstRowFirstColumn="0" w:firstRowLastColumn="0" w:lastRowFirstColumn="0" w:lastRowLastColumn="0"/>
            </w:pPr>
            <w:r w:rsidRPr="00CF5050">
              <w:t>31 July 2019</w:t>
            </w:r>
          </w:p>
        </w:tc>
        <w:tc>
          <w:tcPr>
            <w:tcW w:w="3401" w:type="dxa"/>
            <w:shd w:val="clear" w:color="auto" w:fill="F2F2F2" w:themeFill="background1" w:themeFillShade="F2"/>
          </w:tcPr>
          <w:p w14:paraId="7E6AF93F" w14:textId="731A6A46" w:rsidR="00454817" w:rsidRDefault="00454817" w:rsidP="00454817">
            <w:pPr>
              <w:pStyle w:val="TableBodyCopy"/>
              <w:cnfStyle w:val="000000000000" w:firstRow="0" w:lastRow="0" w:firstColumn="0" w:lastColumn="0" w:oddVBand="0" w:evenVBand="0" w:oddHBand="0" w:evenHBand="0" w:firstRowFirstColumn="0" w:firstRowLastColumn="0" w:lastRowFirstColumn="0" w:lastRowLastColumn="0"/>
            </w:pPr>
            <w:r>
              <w:t>5 </w:t>
            </w:r>
            <w:r w:rsidRPr="00CF5050">
              <w:t>years</w:t>
            </w:r>
          </w:p>
        </w:tc>
      </w:tr>
      <w:tr w:rsidR="00454817" w:rsidRPr="00FA2C26" w14:paraId="323BF75E" w14:textId="77777777" w:rsidTr="00E675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5290C63B" w14:textId="0BEB4092" w:rsidR="00454817" w:rsidRPr="00C311D1" w:rsidRDefault="00454817" w:rsidP="00454817">
            <w:pPr>
              <w:pStyle w:val="TableBodyCopy"/>
              <w:rPr>
                <w:b w:val="0"/>
                <w:bCs w:val="0"/>
              </w:rPr>
            </w:pPr>
            <w:r w:rsidRPr="000304FC">
              <w:t>MoU on Water Resources Planning Cooperation</w:t>
            </w:r>
          </w:p>
        </w:tc>
        <w:tc>
          <w:tcPr>
            <w:tcW w:w="3400" w:type="dxa"/>
            <w:shd w:val="clear" w:color="auto" w:fill="D2DEE7" w:themeFill="accent1" w:themeFillTint="33"/>
          </w:tcPr>
          <w:p w14:paraId="1711A306" w14:textId="3A1E6BE5" w:rsidR="00454817" w:rsidRPr="000304FC" w:rsidRDefault="00454817" w:rsidP="00454817">
            <w:pPr>
              <w:pStyle w:val="TableBodyCopy"/>
              <w:cnfStyle w:val="000000100000" w:firstRow="0" w:lastRow="0" w:firstColumn="0" w:lastColumn="0" w:oddVBand="0" w:evenVBand="0" w:oddHBand="1" w:evenHBand="0" w:firstRowFirstColumn="0" w:firstRowLastColumn="0" w:lastRowFirstColumn="0" w:lastRowLastColumn="0"/>
            </w:pPr>
            <w:r w:rsidRPr="00CF5050">
              <w:t>17 April 2023 (signed)</w:t>
            </w:r>
          </w:p>
        </w:tc>
        <w:tc>
          <w:tcPr>
            <w:tcW w:w="3401" w:type="dxa"/>
            <w:shd w:val="clear" w:color="auto" w:fill="F2F2F2" w:themeFill="background1" w:themeFillShade="F2"/>
          </w:tcPr>
          <w:p w14:paraId="1AA7CBA3" w14:textId="36D1DBFC" w:rsidR="00454817" w:rsidRDefault="00454817" w:rsidP="00454817">
            <w:pPr>
              <w:pStyle w:val="TableBodyCopy"/>
              <w:cnfStyle w:val="000000100000" w:firstRow="0" w:lastRow="0" w:firstColumn="0" w:lastColumn="0" w:oddVBand="0" w:evenVBand="0" w:oddHBand="1" w:evenHBand="0" w:firstRowFirstColumn="0" w:firstRowLastColumn="0" w:lastRowFirstColumn="0" w:lastRowLastColumn="0"/>
            </w:pPr>
            <w:r>
              <w:t>5 </w:t>
            </w:r>
            <w:r w:rsidRPr="00CF5050">
              <w:t>years</w:t>
            </w:r>
          </w:p>
        </w:tc>
      </w:tr>
      <w:tr w:rsidR="00454817" w:rsidRPr="00FA2C26" w14:paraId="33EFE688" w14:textId="77777777" w:rsidTr="00E67524">
        <w:trPr>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543AB159" w14:textId="59D069E2" w:rsidR="00454817" w:rsidRPr="00C311D1" w:rsidRDefault="00454817" w:rsidP="00454817">
            <w:pPr>
              <w:pStyle w:val="TableBodyCopy"/>
              <w:rPr>
                <w:b w:val="0"/>
                <w:bCs w:val="0"/>
              </w:rPr>
            </w:pPr>
            <w:r w:rsidRPr="000304FC">
              <w:t>MoU in the Field of Health Cooperation</w:t>
            </w:r>
          </w:p>
        </w:tc>
        <w:tc>
          <w:tcPr>
            <w:tcW w:w="3400" w:type="dxa"/>
            <w:shd w:val="clear" w:color="auto" w:fill="D2DEE7" w:themeFill="accent1" w:themeFillTint="33"/>
          </w:tcPr>
          <w:p w14:paraId="6AB27D18" w14:textId="3C1E0DED" w:rsidR="00454817" w:rsidRPr="000304FC" w:rsidRDefault="00454817" w:rsidP="00454817">
            <w:pPr>
              <w:pStyle w:val="TableBodyCopy"/>
              <w:cnfStyle w:val="000000000000" w:firstRow="0" w:lastRow="0" w:firstColumn="0" w:lastColumn="0" w:oddVBand="0" w:evenVBand="0" w:oddHBand="0" w:evenHBand="0" w:firstRowFirstColumn="0" w:firstRowLastColumn="0" w:lastRowFirstColumn="0" w:lastRowLastColumn="0"/>
            </w:pPr>
            <w:r w:rsidRPr="00CF5050">
              <w:t>3 February 2022</w:t>
            </w:r>
          </w:p>
        </w:tc>
        <w:tc>
          <w:tcPr>
            <w:tcW w:w="3401" w:type="dxa"/>
            <w:shd w:val="clear" w:color="auto" w:fill="F2F2F2" w:themeFill="background1" w:themeFillShade="F2"/>
          </w:tcPr>
          <w:p w14:paraId="5C75F2C9" w14:textId="4C591183" w:rsidR="00454817" w:rsidRDefault="00454817" w:rsidP="00454817">
            <w:pPr>
              <w:pStyle w:val="TableBodyCopy"/>
              <w:cnfStyle w:val="000000000000" w:firstRow="0" w:lastRow="0" w:firstColumn="0" w:lastColumn="0" w:oddVBand="0" w:evenVBand="0" w:oddHBand="0" w:evenHBand="0" w:firstRowFirstColumn="0" w:firstRowLastColumn="0" w:lastRowFirstColumn="0" w:lastRowLastColumn="0"/>
            </w:pPr>
            <w:r>
              <w:t>5 </w:t>
            </w:r>
            <w:r w:rsidRPr="00CF5050">
              <w:t>years</w:t>
            </w:r>
          </w:p>
        </w:tc>
      </w:tr>
      <w:tr w:rsidR="00454817" w:rsidRPr="00FA2C26" w14:paraId="11AF673C" w14:textId="77777777" w:rsidTr="00E675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1ED8D7D8" w14:textId="06E20351" w:rsidR="00454817" w:rsidRPr="00C311D1" w:rsidRDefault="00454817" w:rsidP="00454817">
            <w:pPr>
              <w:pStyle w:val="TableBodyCopy"/>
              <w:rPr>
                <w:b w:val="0"/>
                <w:bCs w:val="0"/>
              </w:rPr>
            </w:pPr>
            <w:r w:rsidRPr="000304FC">
              <w:t>MoU Concerning Cooperation in the Transportation Sector</w:t>
            </w:r>
          </w:p>
        </w:tc>
        <w:tc>
          <w:tcPr>
            <w:tcW w:w="3400" w:type="dxa"/>
            <w:shd w:val="clear" w:color="auto" w:fill="D2DEE7" w:themeFill="accent1" w:themeFillTint="33"/>
          </w:tcPr>
          <w:p w14:paraId="7FDD3BC7" w14:textId="68091FDA" w:rsidR="00454817" w:rsidRPr="000304FC" w:rsidRDefault="00454817" w:rsidP="00454817">
            <w:pPr>
              <w:pStyle w:val="TableBodyCopy"/>
              <w:cnfStyle w:val="000000100000" w:firstRow="0" w:lastRow="0" w:firstColumn="0" w:lastColumn="0" w:oddVBand="0" w:evenVBand="0" w:oddHBand="1" w:evenHBand="0" w:firstRowFirstColumn="0" w:firstRowLastColumn="0" w:lastRowFirstColumn="0" w:lastRowLastColumn="0"/>
            </w:pPr>
            <w:r w:rsidRPr="00CF5050">
              <w:t>31 August 2018</w:t>
            </w:r>
          </w:p>
        </w:tc>
        <w:tc>
          <w:tcPr>
            <w:tcW w:w="3401" w:type="dxa"/>
            <w:shd w:val="clear" w:color="auto" w:fill="F2F2F2" w:themeFill="background1" w:themeFillShade="F2"/>
          </w:tcPr>
          <w:p w14:paraId="654B37FA" w14:textId="14AC6FDD" w:rsidR="00454817" w:rsidRDefault="00454817" w:rsidP="00454817">
            <w:pPr>
              <w:pStyle w:val="TableBodyCopy"/>
              <w:cnfStyle w:val="000000100000" w:firstRow="0" w:lastRow="0" w:firstColumn="0" w:lastColumn="0" w:oddVBand="0" w:evenVBand="0" w:oddHBand="1" w:evenHBand="0" w:firstRowFirstColumn="0" w:firstRowLastColumn="0" w:lastRowFirstColumn="0" w:lastRowLastColumn="0"/>
            </w:pPr>
            <w:r>
              <w:t>5 </w:t>
            </w:r>
            <w:r w:rsidRPr="00CF5050">
              <w:t>years (currently being renewed)</w:t>
            </w:r>
          </w:p>
        </w:tc>
      </w:tr>
    </w:tbl>
    <w:bookmarkEnd w:id="17"/>
    <w:p w14:paraId="688B799C" w14:textId="16A06C60" w:rsidR="002B2C94" w:rsidRDefault="002B2C94" w:rsidP="002B2C94">
      <w:pPr>
        <w:rPr>
          <w:lang w:eastAsia="en-AU"/>
        </w:rPr>
      </w:pPr>
      <w:r>
        <w:rPr>
          <w:lang w:eastAsia="en-AU"/>
        </w:rPr>
        <w:t xml:space="preserve">Australian Government </w:t>
      </w:r>
      <w:r w:rsidRPr="413282F0">
        <w:rPr>
          <w:lang w:eastAsia="en-AU"/>
        </w:rPr>
        <w:t xml:space="preserve">supporting investments/activities for </w:t>
      </w:r>
      <w:r w:rsidRPr="00CF5050">
        <w:t>Objective 3</w:t>
      </w:r>
      <w:r w:rsidR="007E1B69" w:rsidRPr="00CF5050">
        <w:t xml:space="preserve"> Strong </w:t>
      </w:r>
      <w:r w:rsidR="00BB16AA">
        <w:t>i</w:t>
      </w:r>
      <w:r w:rsidR="007E1B69" w:rsidRPr="00CF5050">
        <w:t>nstitutions</w:t>
      </w:r>
      <w:r w:rsidRPr="413282F0">
        <w:rPr>
          <w:lang w:eastAsia="en-AU"/>
        </w:rPr>
        <w:t xml:space="preserve"> (</w:t>
      </w:r>
      <w:r w:rsidRPr="1121DF86">
        <w:rPr>
          <w:rFonts w:eastAsia="Calibri Light"/>
        </w:rPr>
        <w:t xml:space="preserve">bilateral </w:t>
      </w:r>
      <w:r w:rsidRPr="1121DF86">
        <w:rPr>
          <w:lang w:eastAsia="en-AU"/>
        </w:rPr>
        <w:t>ODA as well as significant regional and global ODA</w:t>
      </w:r>
      <w:r>
        <w:rPr>
          <w:lang w:eastAsia="en-AU"/>
        </w:rPr>
        <w:t>,</w:t>
      </w:r>
      <w:r w:rsidRPr="1121DF86">
        <w:rPr>
          <w:lang w:eastAsia="en-AU"/>
        </w:rPr>
        <w:t xml:space="preserve"> and significant non-ODA development </w:t>
      </w:r>
      <w:r w:rsidRPr="413282F0">
        <w:rPr>
          <w:lang w:eastAsia="en-AU"/>
        </w:rPr>
        <w:t>investments</w:t>
      </w:r>
      <w:r>
        <w:rPr>
          <w:lang w:eastAsia="en-AU"/>
        </w:rPr>
        <w:t>/</w:t>
      </w:r>
      <w:r w:rsidRPr="1121DF86">
        <w:rPr>
          <w:lang w:eastAsia="en-AU"/>
        </w:rPr>
        <w:t>activities</w:t>
      </w:r>
      <w:r>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3"/>
        <w:tblDescription w:val="Investments and activities, duration and key partners"/>
      </w:tblPr>
      <w:tblGrid>
        <w:gridCol w:w="3398"/>
        <w:gridCol w:w="3397"/>
        <w:gridCol w:w="3399"/>
      </w:tblGrid>
      <w:tr w:rsidR="002C7506" w:rsidRPr="007A5BE5" w14:paraId="2ADA9CB6" w14:textId="77777777" w:rsidTr="00564A0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667" w:type="pct"/>
          </w:tcPr>
          <w:p w14:paraId="5B68B75B" w14:textId="236A5460" w:rsidR="002F4955" w:rsidRPr="007A5BE5" w:rsidRDefault="002F4955" w:rsidP="00967711">
            <w:pPr>
              <w:pStyle w:val="TableHeading"/>
            </w:pPr>
            <w:r w:rsidRPr="007A5BE5">
              <w:t xml:space="preserve">Name of </w:t>
            </w:r>
            <w:r w:rsidR="000030A3">
              <w:t>i</w:t>
            </w:r>
            <w:r w:rsidRPr="007A5BE5">
              <w:t>nvestment</w:t>
            </w:r>
          </w:p>
        </w:tc>
        <w:tc>
          <w:tcPr>
            <w:tcW w:w="1666" w:type="pct"/>
          </w:tcPr>
          <w:p w14:paraId="5B4EF918" w14:textId="77777777" w:rsidR="002F4955" w:rsidRPr="007A5BE5" w:rsidRDefault="7CCE640A" w:rsidP="00967711">
            <w:pPr>
              <w:pStyle w:val="TableHeading"/>
              <w:cnfStyle w:val="100000000000" w:firstRow="1" w:lastRow="0" w:firstColumn="0" w:lastColumn="0" w:oddVBand="0" w:evenVBand="0" w:oddHBand="0" w:evenHBand="0" w:firstRowFirstColumn="0" w:firstRowLastColumn="0" w:lastRowFirstColumn="0" w:lastRowLastColumn="0"/>
            </w:pPr>
            <w:r w:rsidRPr="007A5BE5">
              <w:t>D</w:t>
            </w:r>
            <w:r w:rsidR="3CF99CB8" w:rsidRPr="007A5BE5">
              <w:t>uration</w:t>
            </w:r>
          </w:p>
        </w:tc>
        <w:tc>
          <w:tcPr>
            <w:tcW w:w="1667" w:type="pct"/>
          </w:tcPr>
          <w:p w14:paraId="7FB70227" w14:textId="77777777" w:rsidR="002F4955" w:rsidRPr="007A5BE5" w:rsidRDefault="002F4955" w:rsidP="00967711">
            <w:pPr>
              <w:pStyle w:val="TableHeading"/>
              <w:cnfStyle w:val="100000000000" w:firstRow="1" w:lastRow="0" w:firstColumn="0" w:lastColumn="0" w:oddVBand="0" w:evenVBand="0" w:oddHBand="0" w:evenHBand="0" w:firstRowFirstColumn="0" w:firstRowLastColumn="0" w:lastRowFirstColumn="0" w:lastRowLastColumn="0"/>
            </w:pPr>
            <w:r w:rsidRPr="007A5BE5">
              <w:t>Key partners</w:t>
            </w:r>
          </w:p>
        </w:tc>
      </w:tr>
      <w:tr w:rsidR="002C7506" w:rsidRPr="00FA2C26" w14:paraId="5B7742F1" w14:textId="77777777" w:rsidTr="00564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8D2B75E" w14:textId="5445F891" w:rsidR="00417DB0" w:rsidRDefault="00417DB0" w:rsidP="00031AD8">
            <w:pPr>
              <w:pStyle w:val="TableBodyCopy"/>
            </w:pPr>
            <w:r w:rsidRPr="00FA2C26">
              <w:t>Australia</w:t>
            </w:r>
            <w:r w:rsidR="0099418B">
              <w:t>–</w:t>
            </w:r>
            <w:r w:rsidRPr="00FA2C26">
              <w:t>Indonesia Partnership for Justice Phase 2 (AIPJ2)</w:t>
            </w:r>
          </w:p>
          <w:p w14:paraId="058999C4" w14:textId="1B5DB955" w:rsidR="00031AD8" w:rsidRPr="00FA2C26" w:rsidRDefault="00031AD8" w:rsidP="00031AD8">
            <w:pPr>
              <w:pStyle w:val="TableBodyCopy"/>
            </w:pPr>
            <w:r>
              <w:t>(</w:t>
            </w:r>
            <w:r w:rsidR="0088129B">
              <w:t>b</w:t>
            </w:r>
            <w:r>
              <w:t>ilateral)</w:t>
            </w:r>
          </w:p>
        </w:tc>
        <w:tc>
          <w:tcPr>
            <w:tcW w:w="1666" w:type="pct"/>
            <w:shd w:val="clear" w:color="auto" w:fill="D2DEE7" w:themeFill="accent1" w:themeFillTint="33"/>
          </w:tcPr>
          <w:p w14:paraId="0ADCA343" w14:textId="759B9F82" w:rsidR="00417DB0" w:rsidRPr="00FA2C26" w:rsidRDefault="00417DB0" w:rsidP="00031AD8">
            <w:pPr>
              <w:pStyle w:val="TableBodyCopy"/>
              <w:cnfStyle w:val="000000100000" w:firstRow="0" w:lastRow="0" w:firstColumn="0" w:lastColumn="0" w:oddVBand="0" w:evenVBand="0" w:oddHBand="1" w:evenHBand="0" w:firstRowFirstColumn="0" w:firstRowLastColumn="0" w:lastRowFirstColumn="0" w:lastRowLastColumn="0"/>
            </w:pPr>
            <w:r w:rsidRPr="00FA2C26">
              <w:t>2017</w:t>
            </w:r>
            <w:r w:rsidR="000030A3">
              <w:t>–</w:t>
            </w:r>
            <w:r w:rsidRPr="00FA2C26">
              <w:t>2025</w:t>
            </w:r>
          </w:p>
        </w:tc>
        <w:tc>
          <w:tcPr>
            <w:tcW w:w="1667" w:type="pct"/>
            <w:shd w:val="clear" w:color="auto" w:fill="F2F2F2" w:themeFill="background1" w:themeFillShade="F2"/>
          </w:tcPr>
          <w:p w14:paraId="4D6FF783" w14:textId="228E4CDA" w:rsidR="00417DB0" w:rsidRPr="00FA2C26" w:rsidRDefault="00417DB0" w:rsidP="00031AD8">
            <w:pPr>
              <w:pStyle w:val="TableBodyCopy"/>
              <w:cnfStyle w:val="000000100000" w:firstRow="0" w:lastRow="0" w:firstColumn="0" w:lastColumn="0" w:oddVBand="0" w:evenVBand="0" w:oddHBand="1" w:evenHBand="0" w:firstRowFirstColumn="0" w:firstRowLastColumn="0" w:lastRowFirstColumn="0" w:lastRowLastColumn="0"/>
            </w:pPr>
            <w:proofErr w:type="spellStart"/>
            <w:r w:rsidRPr="00FA2C26">
              <w:t>Bappenas</w:t>
            </w:r>
            <w:proofErr w:type="spellEnd"/>
            <w:r w:rsidRPr="00FA2C26">
              <w:t>; provincial and local governments; CSOs</w:t>
            </w:r>
          </w:p>
        </w:tc>
      </w:tr>
      <w:tr w:rsidR="002C7506" w:rsidRPr="00FA2C26" w14:paraId="6B3A7F1F" w14:textId="77777777" w:rsidTr="00564A07">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91D44F6" w14:textId="0DD85335" w:rsidR="00417DB0" w:rsidRDefault="00417DB0" w:rsidP="00031AD8">
            <w:pPr>
              <w:pStyle w:val="TableBodyCopy"/>
            </w:pPr>
            <w:r w:rsidRPr="00FA2C26">
              <w:t>Australia</w:t>
            </w:r>
            <w:r w:rsidR="0099418B">
              <w:t>–</w:t>
            </w:r>
            <w:r w:rsidRPr="00FA2C26">
              <w:t>Indonesia Partnership for Justice Phase 3</w:t>
            </w:r>
          </w:p>
          <w:p w14:paraId="094FF60A" w14:textId="3EFCD805" w:rsidR="00031AD8" w:rsidRPr="00FA2C26" w:rsidRDefault="00031AD8" w:rsidP="00031AD8">
            <w:pPr>
              <w:pStyle w:val="TableBodyCopy"/>
            </w:pPr>
            <w:r>
              <w:t>(</w:t>
            </w:r>
            <w:r w:rsidR="0088129B">
              <w:t>b</w:t>
            </w:r>
            <w:r>
              <w:t>ilateral)</w:t>
            </w:r>
          </w:p>
        </w:tc>
        <w:tc>
          <w:tcPr>
            <w:tcW w:w="1666" w:type="pct"/>
            <w:shd w:val="clear" w:color="auto" w:fill="D2DEE7" w:themeFill="accent1" w:themeFillTint="33"/>
          </w:tcPr>
          <w:p w14:paraId="5B9E92FB" w14:textId="04F80166" w:rsidR="00417DB0" w:rsidRPr="00FA2C26" w:rsidRDefault="00417DB0" w:rsidP="00031AD8">
            <w:pPr>
              <w:pStyle w:val="TableBodyCopy"/>
              <w:cnfStyle w:val="000000000000" w:firstRow="0" w:lastRow="0" w:firstColumn="0" w:lastColumn="0" w:oddVBand="0" w:evenVBand="0" w:oddHBand="0" w:evenHBand="0" w:firstRowFirstColumn="0" w:firstRowLastColumn="0" w:lastRowFirstColumn="0" w:lastRowLastColumn="0"/>
            </w:pPr>
            <w:r w:rsidRPr="00FA2C26">
              <w:t>2025</w:t>
            </w:r>
            <w:r w:rsidR="000030A3">
              <w:t>–</w:t>
            </w:r>
            <w:r w:rsidRPr="00FA2C26">
              <w:t>2030</w:t>
            </w:r>
          </w:p>
        </w:tc>
        <w:tc>
          <w:tcPr>
            <w:tcW w:w="1667" w:type="pct"/>
            <w:shd w:val="clear" w:color="auto" w:fill="F2F2F2" w:themeFill="background1" w:themeFillShade="F2"/>
          </w:tcPr>
          <w:p w14:paraId="6D798D9C" w14:textId="6600698E" w:rsidR="00417DB0" w:rsidRPr="00FA2C26" w:rsidRDefault="00417DB0" w:rsidP="00031AD8">
            <w:pPr>
              <w:pStyle w:val="TableBodyCopy"/>
              <w:cnfStyle w:val="000000000000" w:firstRow="0" w:lastRow="0" w:firstColumn="0" w:lastColumn="0" w:oddVBand="0" w:evenVBand="0" w:oddHBand="0" w:evenHBand="0" w:firstRowFirstColumn="0" w:firstRowLastColumn="0" w:lastRowFirstColumn="0" w:lastRowLastColumn="0"/>
            </w:pPr>
            <w:proofErr w:type="spellStart"/>
            <w:r w:rsidRPr="00FA2C26">
              <w:t>Bappenas</w:t>
            </w:r>
            <w:proofErr w:type="spellEnd"/>
            <w:r w:rsidRPr="00FA2C26">
              <w:t>; provincial and local governments; CSOs</w:t>
            </w:r>
          </w:p>
        </w:tc>
      </w:tr>
      <w:tr w:rsidR="002C7506" w:rsidRPr="00FA2C26" w14:paraId="21A7C224" w14:textId="77777777" w:rsidTr="00564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911314A" w14:textId="77777777" w:rsidR="00417DB0" w:rsidRDefault="00417DB0" w:rsidP="00031AD8">
            <w:pPr>
              <w:pStyle w:val="TableBodyCopy"/>
            </w:pPr>
            <w:r w:rsidRPr="00FA2C26">
              <w:t>The Democratic Resilience Pilot Program (</w:t>
            </w:r>
            <w:proofErr w:type="spellStart"/>
            <w:r w:rsidRPr="00FA2C26">
              <w:t>DemRes</w:t>
            </w:r>
            <w:proofErr w:type="spellEnd"/>
            <w:r w:rsidRPr="00FA2C26">
              <w:t>)</w:t>
            </w:r>
          </w:p>
          <w:p w14:paraId="3E2BC65E" w14:textId="1B452F52" w:rsidR="00031AD8" w:rsidRPr="00FA2C26" w:rsidRDefault="00031AD8" w:rsidP="00031AD8">
            <w:pPr>
              <w:pStyle w:val="TableBodyCopy"/>
            </w:pPr>
            <w:r>
              <w:t>(</w:t>
            </w:r>
            <w:r w:rsidR="0088129B">
              <w:t>b</w:t>
            </w:r>
            <w:r>
              <w:t>ilateral)</w:t>
            </w:r>
          </w:p>
        </w:tc>
        <w:tc>
          <w:tcPr>
            <w:tcW w:w="1666" w:type="pct"/>
            <w:shd w:val="clear" w:color="auto" w:fill="D2DEE7" w:themeFill="accent1" w:themeFillTint="33"/>
          </w:tcPr>
          <w:p w14:paraId="3065D29A" w14:textId="483523F9" w:rsidR="00417DB0" w:rsidRPr="00FA2C26" w:rsidRDefault="00417DB0" w:rsidP="00031AD8">
            <w:pPr>
              <w:pStyle w:val="TableBodyCopy"/>
              <w:cnfStyle w:val="000000100000" w:firstRow="0" w:lastRow="0" w:firstColumn="0" w:lastColumn="0" w:oddVBand="0" w:evenVBand="0" w:oddHBand="1" w:evenHBand="0" w:firstRowFirstColumn="0" w:firstRowLastColumn="0" w:lastRowFirstColumn="0" w:lastRowLastColumn="0"/>
            </w:pPr>
            <w:r w:rsidRPr="00FA2C26">
              <w:t>2021</w:t>
            </w:r>
            <w:r w:rsidR="000030A3">
              <w:t>–</w:t>
            </w:r>
            <w:r w:rsidRPr="00FA2C26">
              <w:t>2024</w:t>
            </w:r>
          </w:p>
        </w:tc>
        <w:tc>
          <w:tcPr>
            <w:tcW w:w="1667" w:type="pct"/>
            <w:shd w:val="clear" w:color="auto" w:fill="F2F2F2" w:themeFill="background1" w:themeFillShade="F2"/>
          </w:tcPr>
          <w:p w14:paraId="4D4D183D" w14:textId="39B1D05D" w:rsidR="00417DB0" w:rsidRPr="00FA2C26" w:rsidRDefault="00417DB0" w:rsidP="00031AD8">
            <w:pPr>
              <w:pStyle w:val="TableBodyCopy"/>
              <w:cnfStyle w:val="000000100000" w:firstRow="0" w:lastRow="0" w:firstColumn="0" w:lastColumn="0" w:oddVBand="0" w:evenVBand="0" w:oddHBand="1" w:evenHBand="0" w:firstRowFirstColumn="0" w:firstRowLastColumn="0" w:lastRowFirstColumn="0" w:lastRowLastColumn="0"/>
            </w:pPr>
            <w:r w:rsidRPr="00FA2C26">
              <w:t>Indonesia’s Electoral Commission (KPU); Elections Supervisory Agency (</w:t>
            </w:r>
            <w:proofErr w:type="spellStart"/>
            <w:r w:rsidRPr="00FA2C26">
              <w:t>Bawaslu</w:t>
            </w:r>
            <w:proofErr w:type="spellEnd"/>
            <w:r w:rsidRPr="00FA2C26">
              <w:t xml:space="preserve">); CSOs; </w:t>
            </w:r>
            <w:r w:rsidR="0099418B">
              <w:t>m</w:t>
            </w:r>
            <w:r w:rsidRPr="00FA2C26">
              <w:t>edia organisations.</w:t>
            </w:r>
          </w:p>
        </w:tc>
      </w:tr>
      <w:tr w:rsidR="002C7506" w:rsidRPr="00FA2C26" w14:paraId="06422E7B" w14:textId="77777777" w:rsidTr="00564A07">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955C9DB" w14:textId="52970468" w:rsidR="00417DB0" w:rsidRDefault="006B4CF2" w:rsidP="00031AD8">
            <w:pPr>
              <w:pStyle w:val="TableBodyCopy"/>
            </w:pPr>
            <w:r w:rsidRPr="00FA2C26">
              <w:t>Australia</w:t>
            </w:r>
            <w:r>
              <w:t>–</w:t>
            </w:r>
            <w:r w:rsidR="00417DB0" w:rsidRPr="00FA2C26">
              <w:t>Indonesia Youth Exchange Program</w:t>
            </w:r>
          </w:p>
          <w:p w14:paraId="3BCF9AB9" w14:textId="0690E26D" w:rsidR="00031AD8" w:rsidRPr="00FA2C26" w:rsidRDefault="00031AD8" w:rsidP="00031AD8">
            <w:pPr>
              <w:pStyle w:val="TableBodyCopy"/>
            </w:pPr>
            <w:r>
              <w:t>(</w:t>
            </w:r>
            <w:r w:rsidR="0088129B">
              <w:t>b</w:t>
            </w:r>
            <w:r>
              <w:t>ilateral)</w:t>
            </w:r>
          </w:p>
        </w:tc>
        <w:tc>
          <w:tcPr>
            <w:tcW w:w="1666" w:type="pct"/>
            <w:shd w:val="clear" w:color="auto" w:fill="D2DEE7" w:themeFill="accent1" w:themeFillTint="33"/>
          </w:tcPr>
          <w:p w14:paraId="266F752A" w14:textId="25A318E0" w:rsidR="00417DB0" w:rsidRPr="00FA2C26" w:rsidRDefault="000030A3" w:rsidP="00031AD8">
            <w:pPr>
              <w:pStyle w:val="TableBodyCopy"/>
              <w:cnfStyle w:val="000000000000" w:firstRow="0" w:lastRow="0" w:firstColumn="0" w:lastColumn="0" w:oddVBand="0" w:evenVBand="0" w:oddHBand="0" w:evenHBand="0" w:firstRowFirstColumn="0" w:firstRowLastColumn="0" w:lastRowFirstColumn="0" w:lastRowLastColumn="0"/>
            </w:pPr>
            <w:r>
              <w:t>Not applicable</w:t>
            </w:r>
          </w:p>
        </w:tc>
        <w:tc>
          <w:tcPr>
            <w:tcW w:w="1667" w:type="pct"/>
            <w:shd w:val="clear" w:color="auto" w:fill="F2F2F2" w:themeFill="background1" w:themeFillShade="F2"/>
          </w:tcPr>
          <w:p w14:paraId="1CEE8A73" w14:textId="3F534B75" w:rsidR="00417DB0" w:rsidRPr="00FA2C26" w:rsidRDefault="00417DB0" w:rsidP="00031AD8">
            <w:pPr>
              <w:pStyle w:val="TableBodyCopy"/>
              <w:cnfStyle w:val="000000000000" w:firstRow="0" w:lastRow="0" w:firstColumn="0" w:lastColumn="0" w:oddVBand="0" w:evenVBand="0" w:oddHBand="0" w:evenHBand="0" w:firstRowFirstColumn="0" w:firstRowLastColumn="0" w:lastRowFirstColumn="0" w:lastRowLastColumn="0"/>
            </w:pPr>
            <w:r w:rsidRPr="00FA2C26">
              <w:t>Australia Indonesia Institute (AII)</w:t>
            </w:r>
          </w:p>
        </w:tc>
      </w:tr>
      <w:tr w:rsidR="002C7506" w:rsidRPr="00FA2C26" w14:paraId="4ADDA5AC" w14:textId="77777777" w:rsidTr="00564A07">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DF8D0E3" w14:textId="13310D64" w:rsidR="00031AD8" w:rsidRDefault="00DB6D7B" w:rsidP="00031AD8">
            <w:pPr>
              <w:pStyle w:val="TableBodyCopy"/>
            </w:pPr>
            <w:r w:rsidRPr="00FA2C26">
              <w:t>Australia</w:t>
            </w:r>
            <w:r>
              <w:t>–</w:t>
            </w:r>
            <w:r w:rsidR="00417DB0" w:rsidRPr="00FA2C26">
              <w:t>Indonesia Muslim Exchange Program</w:t>
            </w:r>
          </w:p>
          <w:p w14:paraId="33FDC9D9" w14:textId="29BC58DB" w:rsidR="00417DB0" w:rsidRPr="00FA2C26" w:rsidRDefault="00031AD8" w:rsidP="00031AD8">
            <w:pPr>
              <w:pStyle w:val="TableBodyCopy"/>
            </w:pPr>
            <w:r>
              <w:t>(</w:t>
            </w:r>
            <w:r w:rsidR="0088129B">
              <w:t>b</w:t>
            </w:r>
            <w:r>
              <w:t>ilateral)</w:t>
            </w:r>
          </w:p>
        </w:tc>
        <w:tc>
          <w:tcPr>
            <w:tcW w:w="1666" w:type="pct"/>
            <w:shd w:val="clear" w:color="auto" w:fill="D2DEE7" w:themeFill="accent1" w:themeFillTint="33"/>
          </w:tcPr>
          <w:p w14:paraId="2A356745" w14:textId="3E337C13" w:rsidR="00417DB0" w:rsidRPr="00FA2C26" w:rsidRDefault="000030A3" w:rsidP="00031AD8">
            <w:pPr>
              <w:pStyle w:val="TableBodyCopy"/>
              <w:cnfStyle w:val="000000100000" w:firstRow="0" w:lastRow="0" w:firstColumn="0" w:lastColumn="0" w:oddVBand="0" w:evenVBand="0" w:oddHBand="1" w:evenHBand="0" w:firstRowFirstColumn="0" w:firstRowLastColumn="0" w:lastRowFirstColumn="0" w:lastRowLastColumn="0"/>
            </w:pPr>
            <w:r>
              <w:t>Not applicable</w:t>
            </w:r>
          </w:p>
        </w:tc>
        <w:tc>
          <w:tcPr>
            <w:tcW w:w="1667" w:type="pct"/>
            <w:shd w:val="clear" w:color="auto" w:fill="F2F2F2" w:themeFill="background1" w:themeFillShade="F2"/>
          </w:tcPr>
          <w:p w14:paraId="5DC788F2" w14:textId="3B2DBA64" w:rsidR="00417DB0" w:rsidRPr="00FA2C26" w:rsidRDefault="00417DB0" w:rsidP="00031AD8">
            <w:pPr>
              <w:pStyle w:val="TableBodyCopy"/>
              <w:cnfStyle w:val="000000100000" w:firstRow="0" w:lastRow="0" w:firstColumn="0" w:lastColumn="0" w:oddVBand="0" w:evenVBand="0" w:oddHBand="1" w:evenHBand="0" w:firstRowFirstColumn="0" w:firstRowLastColumn="0" w:lastRowFirstColumn="0" w:lastRowLastColumn="0"/>
            </w:pPr>
            <w:r w:rsidRPr="00FA2C26">
              <w:t>AII</w:t>
            </w:r>
          </w:p>
        </w:tc>
      </w:tr>
      <w:tr w:rsidR="002C7506" w:rsidRPr="00FA2C26" w14:paraId="55E620AD" w14:textId="77777777" w:rsidTr="00564A07">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76B7CFB" w14:textId="2C76D953" w:rsidR="00E46F4B" w:rsidRDefault="00E46F4B" w:rsidP="00031AD8">
            <w:pPr>
              <w:pStyle w:val="TableBodyCopy"/>
              <w:rPr>
                <w:b w:val="0"/>
                <w:bCs w:val="0"/>
              </w:rPr>
            </w:pPr>
            <w:r w:rsidRPr="00FA2C26">
              <w:t>ASEAN</w:t>
            </w:r>
            <w:r w:rsidR="00DB6D7B">
              <w:t>–</w:t>
            </w:r>
            <w:r w:rsidRPr="00FA2C26">
              <w:t>Australia Counter Trafficking Program</w:t>
            </w:r>
          </w:p>
          <w:p w14:paraId="3F03DAD3" w14:textId="667C1014" w:rsidR="00976E6E" w:rsidRPr="00FA2C26" w:rsidRDefault="00976E6E" w:rsidP="00031AD8">
            <w:pPr>
              <w:pStyle w:val="TableBodyCopy"/>
            </w:pPr>
            <w:r>
              <w:t>(</w:t>
            </w:r>
            <w:r w:rsidR="0088129B">
              <w:t>r</w:t>
            </w:r>
            <w:r>
              <w:t>egional)</w:t>
            </w:r>
          </w:p>
        </w:tc>
        <w:tc>
          <w:tcPr>
            <w:tcW w:w="1666" w:type="pct"/>
            <w:shd w:val="clear" w:color="auto" w:fill="D2DEE7" w:themeFill="accent1" w:themeFillTint="33"/>
          </w:tcPr>
          <w:p w14:paraId="11EEA9E5" w14:textId="4081C1AE" w:rsidR="00E46F4B" w:rsidRPr="00FA2C26" w:rsidRDefault="00E46F4B" w:rsidP="00031AD8">
            <w:pPr>
              <w:pStyle w:val="TableBodyCopy"/>
              <w:cnfStyle w:val="000000000000" w:firstRow="0" w:lastRow="0" w:firstColumn="0" w:lastColumn="0" w:oddVBand="0" w:evenVBand="0" w:oddHBand="0" w:evenHBand="0" w:firstRowFirstColumn="0" w:firstRowLastColumn="0" w:lastRowFirstColumn="0" w:lastRowLastColumn="0"/>
            </w:pPr>
            <w:r w:rsidRPr="00FA2C26">
              <w:t>2018</w:t>
            </w:r>
            <w:r w:rsidR="0099418B">
              <w:t>–</w:t>
            </w:r>
            <w:r w:rsidRPr="00FA2C26">
              <w:t>2028</w:t>
            </w:r>
          </w:p>
        </w:tc>
        <w:tc>
          <w:tcPr>
            <w:tcW w:w="1667" w:type="pct"/>
            <w:shd w:val="clear" w:color="auto" w:fill="F2F2F2" w:themeFill="background1" w:themeFillShade="F2"/>
          </w:tcPr>
          <w:p w14:paraId="0BF8767C" w14:textId="31D7EE36" w:rsidR="00E46F4B" w:rsidRPr="00FA2C26" w:rsidRDefault="00E46F4B" w:rsidP="00031AD8">
            <w:pPr>
              <w:pStyle w:val="TableBodyCopy"/>
              <w:cnfStyle w:val="000000000000" w:firstRow="0" w:lastRow="0" w:firstColumn="0" w:lastColumn="0" w:oddVBand="0" w:evenVBand="0" w:oddHBand="0" w:evenHBand="0" w:firstRowFirstColumn="0" w:firstRowLastColumn="0" w:lastRowFirstColumn="0" w:lastRowLastColumn="0"/>
            </w:pPr>
            <w:r w:rsidRPr="00FA2C26">
              <w:t xml:space="preserve">ASEAN </w:t>
            </w:r>
            <w:r w:rsidR="0099418B">
              <w:t>M</w:t>
            </w:r>
            <w:r w:rsidRPr="00FA2C26">
              <w:t xml:space="preserve">ember </w:t>
            </w:r>
            <w:r w:rsidR="0099418B">
              <w:t>S</w:t>
            </w:r>
            <w:r w:rsidRPr="00FA2C26">
              <w:t>tates; CSOs</w:t>
            </w:r>
          </w:p>
        </w:tc>
      </w:tr>
      <w:tr w:rsidR="002C7506" w:rsidRPr="00FA2C26" w14:paraId="49C7BA8B" w14:textId="77777777" w:rsidTr="00564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07B9F52" w14:textId="5796AB68" w:rsidR="00E46F4B" w:rsidRDefault="00E46F4B" w:rsidP="00031AD8">
            <w:pPr>
              <w:pStyle w:val="TableBodyCopy"/>
              <w:rPr>
                <w:b w:val="0"/>
                <w:bCs w:val="0"/>
              </w:rPr>
            </w:pPr>
            <w:r w:rsidRPr="00FA2C26">
              <w:lastRenderedPageBreak/>
              <w:t>Combating Illegal, Unreported and Unregulated Fishing in Southeast Asia</w:t>
            </w:r>
          </w:p>
          <w:p w14:paraId="1B04700B" w14:textId="4A3A91FE" w:rsidR="00976E6E" w:rsidRPr="00FA2C26" w:rsidRDefault="00976E6E" w:rsidP="00031AD8">
            <w:pPr>
              <w:pStyle w:val="TableBodyCopy"/>
            </w:pPr>
            <w:r>
              <w:t>(</w:t>
            </w:r>
            <w:r w:rsidR="0088129B">
              <w:t>r</w:t>
            </w:r>
            <w:r>
              <w:t>egional)</w:t>
            </w:r>
          </w:p>
        </w:tc>
        <w:tc>
          <w:tcPr>
            <w:tcW w:w="1666" w:type="pct"/>
            <w:shd w:val="clear" w:color="auto" w:fill="D2DEE7" w:themeFill="accent1" w:themeFillTint="33"/>
          </w:tcPr>
          <w:p w14:paraId="144B1C35" w14:textId="43FF959D" w:rsidR="00E46F4B" w:rsidRPr="00FA2C26" w:rsidRDefault="00E46F4B" w:rsidP="00031AD8">
            <w:pPr>
              <w:pStyle w:val="TableBodyCopy"/>
              <w:cnfStyle w:val="000000100000" w:firstRow="0" w:lastRow="0" w:firstColumn="0" w:lastColumn="0" w:oddVBand="0" w:evenVBand="0" w:oddHBand="1" w:evenHBand="0" w:firstRowFirstColumn="0" w:firstRowLastColumn="0" w:lastRowFirstColumn="0" w:lastRowLastColumn="0"/>
            </w:pPr>
            <w:r w:rsidRPr="00FA2C26">
              <w:t>2019</w:t>
            </w:r>
            <w:r w:rsidR="0099418B">
              <w:t>–</w:t>
            </w:r>
            <w:r w:rsidRPr="00FA2C26">
              <w:t>2026</w:t>
            </w:r>
          </w:p>
        </w:tc>
        <w:tc>
          <w:tcPr>
            <w:tcW w:w="1667" w:type="pct"/>
            <w:shd w:val="clear" w:color="auto" w:fill="F2F2F2" w:themeFill="background1" w:themeFillShade="F2"/>
          </w:tcPr>
          <w:p w14:paraId="2085D84D" w14:textId="1E3555D5" w:rsidR="00E46F4B" w:rsidRPr="00FA2C26" w:rsidRDefault="00E46F4B" w:rsidP="00031AD8">
            <w:pPr>
              <w:pStyle w:val="TableBodyCopy"/>
              <w:cnfStyle w:val="000000100000" w:firstRow="0" w:lastRow="0" w:firstColumn="0" w:lastColumn="0" w:oddVBand="0" w:evenVBand="0" w:oddHBand="1" w:evenHBand="0" w:firstRowFirstColumn="0" w:firstRowLastColumn="0" w:lastRowFirstColumn="0" w:lastRowLastColumn="0"/>
            </w:pPr>
            <w:r w:rsidRPr="00FA2C26">
              <w:t>South</w:t>
            </w:r>
            <w:r w:rsidR="0086103A">
              <w:t xml:space="preserve">east </w:t>
            </w:r>
            <w:r w:rsidRPr="00FA2C26">
              <w:t>Asia government partners</w:t>
            </w:r>
          </w:p>
        </w:tc>
      </w:tr>
      <w:tr w:rsidR="002C7506" w:rsidRPr="00FA2C26" w14:paraId="28F9EBAE" w14:textId="77777777" w:rsidTr="00564A07">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5070675" w14:textId="1D13F658" w:rsidR="00E46F4B" w:rsidRDefault="00E46F4B" w:rsidP="00031AD8">
            <w:pPr>
              <w:pStyle w:val="TableBodyCopy"/>
              <w:rPr>
                <w:b w:val="0"/>
                <w:bCs w:val="0"/>
              </w:rPr>
            </w:pPr>
            <w:r w:rsidRPr="00FA2C26">
              <w:t>ASEAN</w:t>
            </w:r>
            <w:r w:rsidR="000203E1">
              <w:t>–Australia</w:t>
            </w:r>
            <w:r w:rsidRPr="00FA2C26">
              <w:t xml:space="preserve"> Development Cooperation Program</w:t>
            </w:r>
            <w:r w:rsidR="00557384">
              <w:t xml:space="preserve"> Phase </w:t>
            </w:r>
            <w:r w:rsidRPr="00FA2C26">
              <w:t>II</w:t>
            </w:r>
          </w:p>
          <w:p w14:paraId="0E4C45A9" w14:textId="21DE4F9C" w:rsidR="00976E6E" w:rsidRPr="00FA2C26" w:rsidRDefault="00976E6E" w:rsidP="00031AD8">
            <w:pPr>
              <w:pStyle w:val="TableBodyCopy"/>
            </w:pPr>
            <w:r>
              <w:t>(</w:t>
            </w:r>
            <w:r w:rsidR="0088129B">
              <w:t>r</w:t>
            </w:r>
            <w:r>
              <w:t>egional)</w:t>
            </w:r>
          </w:p>
        </w:tc>
        <w:tc>
          <w:tcPr>
            <w:tcW w:w="1666" w:type="pct"/>
            <w:shd w:val="clear" w:color="auto" w:fill="D2DEE7" w:themeFill="accent1" w:themeFillTint="33"/>
          </w:tcPr>
          <w:p w14:paraId="1F190BBC" w14:textId="68A0CBA4" w:rsidR="00E46F4B" w:rsidRPr="00FA2C26" w:rsidRDefault="00E46F4B" w:rsidP="00031AD8">
            <w:pPr>
              <w:pStyle w:val="TableBodyCopy"/>
              <w:cnfStyle w:val="000000000000" w:firstRow="0" w:lastRow="0" w:firstColumn="0" w:lastColumn="0" w:oddVBand="0" w:evenVBand="0" w:oddHBand="0" w:evenHBand="0" w:firstRowFirstColumn="0" w:firstRowLastColumn="0" w:lastRowFirstColumn="0" w:lastRowLastColumn="0"/>
            </w:pPr>
            <w:r w:rsidRPr="00FA2C26">
              <w:t>2007</w:t>
            </w:r>
            <w:r w:rsidR="0099418B">
              <w:t>–</w:t>
            </w:r>
            <w:r w:rsidRPr="00FA2C26">
              <w:t>2025</w:t>
            </w:r>
          </w:p>
        </w:tc>
        <w:tc>
          <w:tcPr>
            <w:tcW w:w="1667" w:type="pct"/>
            <w:shd w:val="clear" w:color="auto" w:fill="F2F2F2" w:themeFill="background1" w:themeFillShade="F2"/>
          </w:tcPr>
          <w:p w14:paraId="1EE3ECA3" w14:textId="5AF2C926" w:rsidR="00E46F4B" w:rsidRPr="00FA2C26" w:rsidRDefault="00E46F4B" w:rsidP="00031AD8">
            <w:pPr>
              <w:pStyle w:val="TableBodyCopy"/>
              <w:cnfStyle w:val="000000000000" w:firstRow="0" w:lastRow="0" w:firstColumn="0" w:lastColumn="0" w:oddVBand="0" w:evenVBand="0" w:oddHBand="0" w:evenHBand="0" w:firstRowFirstColumn="0" w:firstRowLastColumn="0" w:lastRowFirstColumn="0" w:lastRowLastColumn="0"/>
            </w:pPr>
            <w:r w:rsidRPr="00FA2C26">
              <w:t xml:space="preserve">ASEAN </w:t>
            </w:r>
            <w:r w:rsidR="0099418B">
              <w:t>M</w:t>
            </w:r>
            <w:r w:rsidRPr="00FA2C26">
              <w:t xml:space="preserve">ember </w:t>
            </w:r>
            <w:r w:rsidR="0099418B">
              <w:t>S</w:t>
            </w:r>
            <w:r w:rsidRPr="00FA2C26">
              <w:t>tates</w:t>
            </w:r>
          </w:p>
        </w:tc>
      </w:tr>
      <w:tr w:rsidR="002C7506" w:rsidRPr="00FA2C26" w14:paraId="5064F400" w14:textId="77777777" w:rsidTr="00564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0A84A8F" w14:textId="56B83B74" w:rsidR="00E46F4B" w:rsidRDefault="00E46F4B" w:rsidP="00031AD8">
            <w:pPr>
              <w:pStyle w:val="TableBodyCopy"/>
              <w:rPr>
                <w:b w:val="0"/>
                <w:bCs w:val="0"/>
              </w:rPr>
            </w:pPr>
            <w:r w:rsidRPr="00FA2C26">
              <w:t>ASEAN</w:t>
            </w:r>
            <w:r w:rsidR="00557384">
              <w:t>–</w:t>
            </w:r>
            <w:r w:rsidRPr="00FA2C26">
              <w:t>Australia Political Security Partnership</w:t>
            </w:r>
          </w:p>
          <w:p w14:paraId="16D32A1C" w14:textId="74CDAA27" w:rsidR="00976E6E" w:rsidRPr="00FA2C26" w:rsidRDefault="00976E6E" w:rsidP="00031AD8">
            <w:pPr>
              <w:pStyle w:val="TableBodyCopy"/>
            </w:pPr>
            <w:r>
              <w:t>(</w:t>
            </w:r>
            <w:r w:rsidR="0088129B">
              <w:t>r</w:t>
            </w:r>
            <w:r>
              <w:t>egional)</w:t>
            </w:r>
          </w:p>
        </w:tc>
        <w:tc>
          <w:tcPr>
            <w:tcW w:w="1666" w:type="pct"/>
            <w:shd w:val="clear" w:color="auto" w:fill="D2DEE7" w:themeFill="accent1" w:themeFillTint="33"/>
          </w:tcPr>
          <w:p w14:paraId="3E033AFB" w14:textId="11059248" w:rsidR="00E46F4B" w:rsidRPr="00FA2C26" w:rsidRDefault="00E46F4B" w:rsidP="00031AD8">
            <w:pPr>
              <w:pStyle w:val="TableBodyCopy"/>
              <w:cnfStyle w:val="000000100000" w:firstRow="0" w:lastRow="0" w:firstColumn="0" w:lastColumn="0" w:oddVBand="0" w:evenVBand="0" w:oddHBand="1" w:evenHBand="0" w:firstRowFirstColumn="0" w:firstRowLastColumn="0" w:lastRowFirstColumn="0" w:lastRowLastColumn="0"/>
            </w:pPr>
            <w:r w:rsidRPr="00FA2C26">
              <w:t>2019</w:t>
            </w:r>
            <w:r w:rsidR="0099418B">
              <w:t>–</w:t>
            </w:r>
            <w:r w:rsidRPr="00FA2C26">
              <w:t>2026</w:t>
            </w:r>
          </w:p>
        </w:tc>
        <w:tc>
          <w:tcPr>
            <w:tcW w:w="1667" w:type="pct"/>
            <w:shd w:val="clear" w:color="auto" w:fill="F2F2F2" w:themeFill="background1" w:themeFillShade="F2"/>
          </w:tcPr>
          <w:p w14:paraId="1CFA7B9D" w14:textId="58621824" w:rsidR="00E46F4B" w:rsidRPr="00FA2C26" w:rsidRDefault="00E46F4B" w:rsidP="00031AD8">
            <w:pPr>
              <w:pStyle w:val="TableBodyCopy"/>
              <w:cnfStyle w:val="000000100000" w:firstRow="0" w:lastRow="0" w:firstColumn="0" w:lastColumn="0" w:oddVBand="0" w:evenVBand="0" w:oddHBand="1" w:evenHBand="0" w:firstRowFirstColumn="0" w:firstRowLastColumn="0" w:lastRowFirstColumn="0" w:lastRowLastColumn="0"/>
            </w:pPr>
            <w:r w:rsidRPr="00FA2C26">
              <w:t xml:space="preserve">ASEAN </w:t>
            </w:r>
            <w:r w:rsidR="0099418B">
              <w:t>M</w:t>
            </w:r>
            <w:r w:rsidRPr="00FA2C26">
              <w:t xml:space="preserve">ember </w:t>
            </w:r>
            <w:r w:rsidR="0099418B">
              <w:t>S</w:t>
            </w:r>
            <w:r w:rsidRPr="00FA2C26">
              <w:t>tates</w:t>
            </w:r>
          </w:p>
        </w:tc>
      </w:tr>
      <w:tr w:rsidR="002C7506" w:rsidRPr="00FA2C26" w14:paraId="24DF9C6C" w14:textId="77777777" w:rsidTr="00564A07">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32D656A" w14:textId="77777777" w:rsidR="004817CC" w:rsidRDefault="004817CC" w:rsidP="00031AD8">
            <w:pPr>
              <w:pStyle w:val="TableBodyCopy"/>
              <w:rPr>
                <w:b w:val="0"/>
                <w:bCs w:val="0"/>
                <w:szCs w:val="20"/>
              </w:rPr>
            </w:pPr>
            <w:r w:rsidRPr="00FA2C26">
              <w:rPr>
                <w:szCs w:val="20"/>
              </w:rPr>
              <w:t xml:space="preserve">Cyber and Critical Tech Cooperation Program </w:t>
            </w:r>
          </w:p>
          <w:p w14:paraId="3C24AA0C" w14:textId="17F866B3" w:rsidR="00976E6E" w:rsidRPr="00FA2C26" w:rsidRDefault="00976E6E" w:rsidP="00031AD8">
            <w:pPr>
              <w:pStyle w:val="TableBodyCopy"/>
              <w:rPr>
                <w:szCs w:val="20"/>
              </w:rPr>
            </w:pPr>
            <w:r>
              <w:rPr>
                <w:szCs w:val="20"/>
              </w:rPr>
              <w:t>(</w:t>
            </w:r>
            <w:r w:rsidR="0088129B">
              <w:rPr>
                <w:szCs w:val="20"/>
              </w:rPr>
              <w:t>g</w:t>
            </w:r>
            <w:r>
              <w:rPr>
                <w:szCs w:val="20"/>
              </w:rPr>
              <w:t>lobal)</w:t>
            </w:r>
          </w:p>
        </w:tc>
        <w:tc>
          <w:tcPr>
            <w:tcW w:w="1666" w:type="pct"/>
            <w:shd w:val="clear" w:color="auto" w:fill="D2DEE7" w:themeFill="accent1" w:themeFillTint="33"/>
          </w:tcPr>
          <w:p w14:paraId="003C8DCA" w14:textId="2F88A1EB" w:rsidR="004817CC" w:rsidRPr="00FA2C26" w:rsidRDefault="004817CC" w:rsidP="00CF5050">
            <w:pPr>
              <w:pStyle w:val="TableBodyCopy"/>
              <w:cnfStyle w:val="000000000000" w:firstRow="0" w:lastRow="0" w:firstColumn="0" w:lastColumn="0" w:oddVBand="0" w:evenVBand="0" w:oddHBand="0" w:evenHBand="0" w:firstRowFirstColumn="0" w:firstRowLastColumn="0" w:lastRowFirstColumn="0" w:lastRowLastColumn="0"/>
              <w:rPr>
                <w:szCs w:val="20"/>
              </w:rPr>
            </w:pPr>
            <w:r w:rsidRPr="00FA2C26">
              <w:rPr>
                <w:szCs w:val="20"/>
              </w:rPr>
              <w:t>$47</w:t>
            </w:r>
            <w:r w:rsidR="00D9318B">
              <w:rPr>
                <w:szCs w:val="20"/>
              </w:rPr>
              <w:t> </w:t>
            </w:r>
            <w:r w:rsidRPr="00FA2C26">
              <w:rPr>
                <w:szCs w:val="20"/>
              </w:rPr>
              <w:t>million</w:t>
            </w:r>
          </w:p>
          <w:p w14:paraId="659C534B" w14:textId="27B87363" w:rsidR="004817CC" w:rsidRPr="00FA2C26" w:rsidRDefault="004817CC" w:rsidP="00031AD8">
            <w:pPr>
              <w:pStyle w:val="TableBodyCopy"/>
              <w:cnfStyle w:val="000000000000" w:firstRow="0" w:lastRow="0" w:firstColumn="0" w:lastColumn="0" w:oddVBand="0" w:evenVBand="0" w:oddHBand="0" w:evenHBand="0" w:firstRowFirstColumn="0" w:firstRowLastColumn="0" w:lastRowFirstColumn="0" w:lastRowLastColumn="0"/>
              <w:rPr>
                <w:szCs w:val="20"/>
              </w:rPr>
            </w:pPr>
            <w:r w:rsidRPr="00FA2C26">
              <w:rPr>
                <w:szCs w:val="20"/>
              </w:rPr>
              <w:t>2016</w:t>
            </w:r>
            <w:r w:rsidR="009D435D">
              <w:rPr>
                <w:szCs w:val="20"/>
              </w:rPr>
              <w:t>–</w:t>
            </w:r>
            <w:r w:rsidRPr="00FA2C26">
              <w:rPr>
                <w:szCs w:val="20"/>
              </w:rPr>
              <w:t>2025</w:t>
            </w:r>
          </w:p>
        </w:tc>
        <w:tc>
          <w:tcPr>
            <w:tcW w:w="1667" w:type="pct"/>
            <w:shd w:val="clear" w:color="auto" w:fill="F2F2F2" w:themeFill="background1" w:themeFillShade="F2"/>
          </w:tcPr>
          <w:p w14:paraId="39344248" w14:textId="388BFE6A" w:rsidR="004817CC" w:rsidRPr="00FA2C26" w:rsidRDefault="004817CC" w:rsidP="00031AD8">
            <w:pPr>
              <w:pStyle w:val="TableBodyCopy"/>
              <w:cnfStyle w:val="000000000000" w:firstRow="0" w:lastRow="0" w:firstColumn="0" w:lastColumn="0" w:oddVBand="0" w:evenVBand="0" w:oddHBand="0" w:evenHBand="0" w:firstRowFirstColumn="0" w:firstRowLastColumn="0" w:lastRowFirstColumn="0" w:lastRowLastColumn="0"/>
              <w:rPr>
                <w:szCs w:val="20"/>
              </w:rPr>
            </w:pPr>
            <w:r w:rsidRPr="00FA2C26">
              <w:rPr>
                <w:szCs w:val="20"/>
              </w:rPr>
              <w:t xml:space="preserve">ASEAN </w:t>
            </w:r>
            <w:r w:rsidR="0099418B">
              <w:rPr>
                <w:szCs w:val="20"/>
              </w:rPr>
              <w:t>M</w:t>
            </w:r>
            <w:r w:rsidRPr="00FA2C26">
              <w:rPr>
                <w:szCs w:val="20"/>
              </w:rPr>
              <w:t xml:space="preserve">ember </w:t>
            </w:r>
            <w:r w:rsidR="0099418B">
              <w:rPr>
                <w:szCs w:val="20"/>
              </w:rPr>
              <w:t>S</w:t>
            </w:r>
            <w:r w:rsidRPr="00FA2C26">
              <w:rPr>
                <w:szCs w:val="20"/>
              </w:rPr>
              <w:t>tates; universities; private sector</w:t>
            </w:r>
          </w:p>
        </w:tc>
      </w:tr>
      <w:tr w:rsidR="002C7506" w:rsidRPr="00FA2C26" w14:paraId="4FA43A22" w14:textId="77777777" w:rsidTr="00564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F5B52B9" w14:textId="77777777" w:rsidR="00976E6E" w:rsidRDefault="004817CC" w:rsidP="00031AD8">
            <w:pPr>
              <w:pStyle w:val="TableBodyCopy"/>
              <w:rPr>
                <w:b w:val="0"/>
                <w:bCs w:val="0"/>
                <w:szCs w:val="20"/>
              </w:rPr>
            </w:pPr>
            <w:r w:rsidRPr="00FA2C26">
              <w:rPr>
                <w:szCs w:val="20"/>
              </w:rPr>
              <w:t xml:space="preserve">Transparency International – Indo-Pacific Partnership – Anti-corruption </w:t>
            </w:r>
          </w:p>
          <w:p w14:paraId="3180B407" w14:textId="6DAC0A10" w:rsidR="004817CC" w:rsidRPr="00FA2C26" w:rsidRDefault="00976E6E" w:rsidP="00031AD8">
            <w:pPr>
              <w:pStyle w:val="TableBodyCopy"/>
              <w:rPr>
                <w:szCs w:val="20"/>
              </w:rPr>
            </w:pPr>
            <w:r>
              <w:rPr>
                <w:szCs w:val="20"/>
              </w:rPr>
              <w:t>(</w:t>
            </w:r>
            <w:r w:rsidR="0088129B">
              <w:rPr>
                <w:szCs w:val="20"/>
              </w:rPr>
              <w:t>g</w:t>
            </w:r>
            <w:r>
              <w:rPr>
                <w:szCs w:val="20"/>
              </w:rPr>
              <w:t>lobal)</w:t>
            </w:r>
          </w:p>
        </w:tc>
        <w:tc>
          <w:tcPr>
            <w:tcW w:w="1666" w:type="pct"/>
            <w:shd w:val="clear" w:color="auto" w:fill="D2DEE7" w:themeFill="accent1" w:themeFillTint="33"/>
          </w:tcPr>
          <w:p w14:paraId="14D9D537" w14:textId="7C0AF4AE" w:rsidR="004817CC" w:rsidRPr="00FA2C26" w:rsidRDefault="004817CC" w:rsidP="00CF5050">
            <w:pPr>
              <w:pStyle w:val="TableBodyCopy"/>
              <w:cnfStyle w:val="000000100000" w:firstRow="0" w:lastRow="0" w:firstColumn="0" w:lastColumn="0" w:oddVBand="0" w:evenVBand="0" w:oddHBand="1" w:evenHBand="0" w:firstRowFirstColumn="0" w:firstRowLastColumn="0" w:lastRowFirstColumn="0" w:lastRowLastColumn="0"/>
              <w:rPr>
                <w:szCs w:val="20"/>
              </w:rPr>
            </w:pPr>
            <w:r w:rsidRPr="00FA2C26">
              <w:rPr>
                <w:szCs w:val="20"/>
              </w:rPr>
              <w:t>$9.65</w:t>
            </w:r>
            <w:r w:rsidR="00D9318B">
              <w:rPr>
                <w:szCs w:val="20"/>
              </w:rPr>
              <w:t> </w:t>
            </w:r>
            <w:r w:rsidRPr="00FA2C26">
              <w:rPr>
                <w:szCs w:val="20"/>
              </w:rPr>
              <w:t>million</w:t>
            </w:r>
          </w:p>
          <w:p w14:paraId="31872D63" w14:textId="4B59B491" w:rsidR="004817CC" w:rsidRPr="00FA2C26" w:rsidRDefault="004817CC" w:rsidP="00031AD8">
            <w:pPr>
              <w:pStyle w:val="TableBodyCopy"/>
              <w:cnfStyle w:val="000000100000" w:firstRow="0" w:lastRow="0" w:firstColumn="0" w:lastColumn="0" w:oddVBand="0" w:evenVBand="0" w:oddHBand="1" w:evenHBand="0" w:firstRowFirstColumn="0" w:firstRowLastColumn="0" w:lastRowFirstColumn="0" w:lastRowLastColumn="0"/>
              <w:rPr>
                <w:szCs w:val="20"/>
              </w:rPr>
            </w:pPr>
            <w:r w:rsidRPr="00FA2C26">
              <w:rPr>
                <w:szCs w:val="20"/>
              </w:rPr>
              <w:t>2021</w:t>
            </w:r>
            <w:r w:rsidR="009D435D">
              <w:rPr>
                <w:szCs w:val="20"/>
              </w:rPr>
              <w:t>–</w:t>
            </w:r>
            <w:r w:rsidRPr="00FA2C26">
              <w:rPr>
                <w:szCs w:val="20"/>
              </w:rPr>
              <w:t>2024</w:t>
            </w:r>
          </w:p>
        </w:tc>
        <w:tc>
          <w:tcPr>
            <w:tcW w:w="1667" w:type="pct"/>
            <w:shd w:val="clear" w:color="auto" w:fill="F2F2F2" w:themeFill="background1" w:themeFillShade="F2"/>
          </w:tcPr>
          <w:p w14:paraId="29E4F553" w14:textId="4B70F42B" w:rsidR="004817CC" w:rsidRPr="00FA2C26" w:rsidRDefault="004817CC" w:rsidP="00031AD8">
            <w:pPr>
              <w:pStyle w:val="TableBodyCopy"/>
              <w:cnfStyle w:val="000000100000" w:firstRow="0" w:lastRow="0" w:firstColumn="0" w:lastColumn="0" w:oddVBand="0" w:evenVBand="0" w:oddHBand="1" w:evenHBand="0" w:firstRowFirstColumn="0" w:firstRowLastColumn="0" w:lastRowFirstColumn="0" w:lastRowLastColumn="0"/>
              <w:rPr>
                <w:szCs w:val="20"/>
              </w:rPr>
            </w:pPr>
            <w:r w:rsidRPr="00FA2C26">
              <w:rPr>
                <w:szCs w:val="20"/>
              </w:rPr>
              <w:t>Indo</w:t>
            </w:r>
            <w:r w:rsidR="00D9318B">
              <w:rPr>
                <w:szCs w:val="20"/>
              </w:rPr>
              <w:t>-</w:t>
            </w:r>
            <w:r w:rsidRPr="00FA2C26">
              <w:rPr>
                <w:szCs w:val="20"/>
              </w:rPr>
              <w:t>Pacific government partners; Transparency International</w:t>
            </w:r>
          </w:p>
        </w:tc>
      </w:tr>
    </w:tbl>
    <w:p w14:paraId="03F016AD" w14:textId="4C40EFE7" w:rsidR="00564A07" w:rsidRPr="00CF5050" w:rsidRDefault="00564A07" w:rsidP="00564A07">
      <w:r>
        <w:t>Australian Government</w:t>
      </w:r>
      <w:r w:rsidRPr="00CF5050">
        <w:t xml:space="preserve"> bilateral arrangements</w:t>
      </w:r>
      <w:r>
        <w:t xml:space="preserve"> </w:t>
      </w:r>
      <w:r w:rsidRPr="413282F0">
        <w:rPr>
          <w:lang w:eastAsia="en-AU"/>
        </w:rPr>
        <w:t xml:space="preserve">for </w:t>
      </w:r>
      <w:r w:rsidRPr="00CF5050">
        <w:t xml:space="preserve">Objective 3 Strong </w:t>
      </w:r>
      <w:r>
        <w:t>i</w:t>
      </w:r>
      <w:r w:rsidRPr="00CF5050">
        <w:t>nstitutions</w:t>
      </w:r>
    </w:p>
    <w:tbl>
      <w:tblPr>
        <w:tblStyle w:val="ListTable3-Accent12"/>
        <w:tblW w:w="10201" w:type="dxa"/>
        <w:tblLook w:val="04A0" w:firstRow="1" w:lastRow="0" w:firstColumn="1" w:lastColumn="0" w:noHBand="0" w:noVBand="1"/>
      </w:tblPr>
      <w:tblGrid>
        <w:gridCol w:w="3400"/>
        <w:gridCol w:w="3400"/>
        <w:gridCol w:w="3401"/>
      </w:tblGrid>
      <w:tr w:rsidR="00564A07" w:rsidRPr="007A5BE5" w14:paraId="3491F438" w14:textId="77777777" w:rsidTr="003D025D">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100" w:firstRow="0" w:lastRow="0" w:firstColumn="1" w:lastColumn="0" w:oddVBand="0" w:evenVBand="0" w:oddHBand="0" w:evenHBand="0" w:firstRowFirstColumn="1" w:firstRowLastColumn="0" w:lastRowFirstColumn="0" w:lastRowLastColumn="0"/>
            <w:tcW w:w="3400" w:type="dxa"/>
          </w:tcPr>
          <w:p w14:paraId="2CA2A19F" w14:textId="77777777" w:rsidR="00564A07" w:rsidRPr="007A5BE5" w:rsidRDefault="00564A07" w:rsidP="007B4456">
            <w:pPr>
              <w:pStyle w:val="TableHeading"/>
            </w:pPr>
            <w:r w:rsidRPr="007A5BE5">
              <w:t xml:space="preserve">Name of </w:t>
            </w:r>
            <w:r>
              <w:t>arrangement</w:t>
            </w:r>
          </w:p>
        </w:tc>
        <w:tc>
          <w:tcPr>
            <w:tcW w:w="3400" w:type="dxa"/>
          </w:tcPr>
          <w:p w14:paraId="761F2222" w14:textId="77777777" w:rsidR="00564A07" w:rsidRPr="007A5BE5" w:rsidRDefault="00564A07" w:rsidP="007B4456">
            <w:pPr>
              <w:pStyle w:val="TableHeading"/>
              <w:cnfStyle w:val="100000000000" w:firstRow="1" w:lastRow="0" w:firstColumn="0" w:lastColumn="0" w:oddVBand="0" w:evenVBand="0" w:oddHBand="0" w:evenHBand="0" w:firstRowFirstColumn="0" w:firstRowLastColumn="0" w:lastRowFirstColumn="0" w:lastRowLastColumn="0"/>
            </w:pPr>
            <w:r>
              <w:t>Entry into force</w:t>
            </w:r>
          </w:p>
        </w:tc>
        <w:tc>
          <w:tcPr>
            <w:tcW w:w="3401" w:type="dxa"/>
          </w:tcPr>
          <w:p w14:paraId="236D563C" w14:textId="77777777" w:rsidR="00564A07" w:rsidRPr="007A5BE5" w:rsidRDefault="00564A07" w:rsidP="007B4456">
            <w:pPr>
              <w:pStyle w:val="TableHeading"/>
              <w:cnfStyle w:val="100000000000" w:firstRow="1" w:lastRow="0" w:firstColumn="0" w:lastColumn="0" w:oddVBand="0" w:evenVBand="0" w:oddHBand="0" w:evenHBand="0" w:firstRowFirstColumn="0" w:firstRowLastColumn="0" w:lastRowFirstColumn="0" w:lastRowLastColumn="0"/>
            </w:pPr>
            <w:r>
              <w:t>Duration</w:t>
            </w:r>
          </w:p>
        </w:tc>
      </w:tr>
      <w:tr w:rsidR="00564A07" w:rsidRPr="00FA2C26" w14:paraId="461F20A2" w14:textId="77777777" w:rsidTr="003D025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2B71659F" w14:textId="58246C8D" w:rsidR="00564A07" w:rsidRPr="00FA2C26" w:rsidRDefault="00E40FF8" w:rsidP="007B4456">
            <w:pPr>
              <w:pStyle w:val="TableBodyCopy"/>
            </w:pPr>
            <w:r w:rsidRPr="00E40FF8">
              <w:t>Defence Cooperation Program</w:t>
            </w:r>
          </w:p>
        </w:tc>
        <w:tc>
          <w:tcPr>
            <w:tcW w:w="3400" w:type="dxa"/>
            <w:shd w:val="clear" w:color="auto" w:fill="D2DEE7" w:themeFill="accent1" w:themeFillTint="33"/>
          </w:tcPr>
          <w:p w14:paraId="3854455A" w14:textId="1DBEC2A0" w:rsidR="00564A07" w:rsidRPr="00FA2C26" w:rsidRDefault="00CC5E48" w:rsidP="007B4456">
            <w:pPr>
              <w:pStyle w:val="TableBodyCopy"/>
              <w:cnfStyle w:val="000000100000" w:firstRow="0" w:lastRow="0" w:firstColumn="0" w:lastColumn="0" w:oddVBand="0" w:evenVBand="0" w:oddHBand="1" w:evenHBand="0" w:firstRowFirstColumn="0" w:firstRowLastColumn="0" w:lastRowFirstColumn="0" w:lastRowLastColumn="0"/>
            </w:pPr>
            <w:r>
              <w:t>Not applicable</w:t>
            </w:r>
          </w:p>
        </w:tc>
        <w:tc>
          <w:tcPr>
            <w:tcW w:w="3401" w:type="dxa"/>
            <w:shd w:val="clear" w:color="auto" w:fill="F2F2F2" w:themeFill="background1" w:themeFillShade="F2"/>
          </w:tcPr>
          <w:p w14:paraId="13F55734" w14:textId="31BCA1E3" w:rsidR="00564A07" w:rsidRPr="00FA2C26" w:rsidRDefault="00CC5E48" w:rsidP="007B4456">
            <w:pPr>
              <w:pStyle w:val="TableBodyCopy"/>
              <w:cnfStyle w:val="000000100000" w:firstRow="0" w:lastRow="0" w:firstColumn="0" w:lastColumn="0" w:oddVBand="0" w:evenVBand="0" w:oddHBand="1" w:evenHBand="0" w:firstRowFirstColumn="0" w:firstRowLastColumn="0" w:lastRowFirstColumn="0" w:lastRowLastColumn="0"/>
            </w:pPr>
            <w:r>
              <w:t>Not applicable</w:t>
            </w:r>
          </w:p>
        </w:tc>
      </w:tr>
      <w:tr w:rsidR="00637AEB" w:rsidRPr="00FA2C26" w14:paraId="6586188B" w14:textId="77777777" w:rsidTr="003D025D">
        <w:trPr>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6C6F5FFA" w14:textId="6B5CDF2F" w:rsidR="00637AEB" w:rsidRPr="00FA2C26" w:rsidRDefault="00411D84" w:rsidP="007B4456">
            <w:pPr>
              <w:pStyle w:val="TableBodyCopy"/>
            </w:pPr>
            <w:r w:rsidRPr="00411D84">
              <w:t>AFP Liaison Network</w:t>
            </w:r>
          </w:p>
        </w:tc>
        <w:tc>
          <w:tcPr>
            <w:tcW w:w="3400" w:type="dxa"/>
            <w:shd w:val="clear" w:color="auto" w:fill="D2DEE7" w:themeFill="accent1" w:themeFillTint="33"/>
          </w:tcPr>
          <w:p w14:paraId="07C1DDC7" w14:textId="512C7621" w:rsidR="00637AEB" w:rsidRPr="00FA2C26" w:rsidRDefault="00CC5E48" w:rsidP="007B4456">
            <w:pPr>
              <w:pStyle w:val="TableBodyCopy"/>
              <w:cnfStyle w:val="000000000000" w:firstRow="0" w:lastRow="0" w:firstColumn="0" w:lastColumn="0" w:oddVBand="0" w:evenVBand="0" w:oddHBand="0" w:evenHBand="0" w:firstRowFirstColumn="0" w:firstRowLastColumn="0" w:lastRowFirstColumn="0" w:lastRowLastColumn="0"/>
            </w:pPr>
            <w:r>
              <w:t>Not applicable</w:t>
            </w:r>
          </w:p>
        </w:tc>
        <w:tc>
          <w:tcPr>
            <w:tcW w:w="3401" w:type="dxa"/>
            <w:shd w:val="clear" w:color="auto" w:fill="F2F2F2" w:themeFill="background1" w:themeFillShade="F2"/>
          </w:tcPr>
          <w:p w14:paraId="3365DAC2" w14:textId="2C9B4966" w:rsidR="00637AEB" w:rsidRPr="00FA2C26" w:rsidRDefault="00CC5E48" w:rsidP="007B4456">
            <w:pPr>
              <w:pStyle w:val="TableBodyCopy"/>
              <w:cnfStyle w:val="000000000000" w:firstRow="0" w:lastRow="0" w:firstColumn="0" w:lastColumn="0" w:oddVBand="0" w:evenVBand="0" w:oddHBand="0" w:evenHBand="0" w:firstRowFirstColumn="0" w:firstRowLastColumn="0" w:lastRowFirstColumn="0" w:lastRowLastColumn="0"/>
            </w:pPr>
            <w:r>
              <w:t>Not applicable</w:t>
            </w:r>
          </w:p>
        </w:tc>
      </w:tr>
      <w:tr w:rsidR="00637AEB" w:rsidRPr="00FA2C26" w14:paraId="1F14A5F9" w14:textId="77777777" w:rsidTr="003D025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0544DE6B" w14:textId="157293E1" w:rsidR="00637AEB" w:rsidRPr="00FA2C26" w:rsidRDefault="00CC5E48" w:rsidP="007B4456">
            <w:pPr>
              <w:pStyle w:val="TableBodyCopy"/>
            </w:pPr>
            <w:r w:rsidRPr="00CC5E48">
              <w:t>Memorandum of Understanding (MoU) on Judicial Cooperation between the Supreme Court of Indonesia and the Australian Federal Court &amp; the Federal Circuit and Family Court of Australia</w:t>
            </w:r>
          </w:p>
        </w:tc>
        <w:tc>
          <w:tcPr>
            <w:tcW w:w="3400" w:type="dxa"/>
            <w:shd w:val="clear" w:color="auto" w:fill="D2DEE7" w:themeFill="accent1" w:themeFillTint="33"/>
          </w:tcPr>
          <w:p w14:paraId="5CB2BDE0" w14:textId="77777777" w:rsidR="00CC5E48" w:rsidRDefault="00CC5E48" w:rsidP="00CC5E48">
            <w:pPr>
              <w:pStyle w:val="TableBodyCopy"/>
              <w:cnfStyle w:val="000000100000" w:firstRow="0" w:lastRow="0" w:firstColumn="0" w:lastColumn="0" w:oddVBand="0" w:evenVBand="0" w:oddHBand="1" w:evenHBand="0" w:firstRowFirstColumn="0" w:firstRowLastColumn="0" w:lastRowFirstColumn="0" w:lastRowLastColumn="0"/>
            </w:pPr>
            <w:r>
              <w:t>(signed) 18 March 2004</w:t>
            </w:r>
          </w:p>
          <w:p w14:paraId="502B1556" w14:textId="77777777" w:rsidR="00CC5E48" w:rsidRDefault="00CC5E48" w:rsidP="00CC5E48">
            <w:pPr>
              <w:pStyle w:val="TableBodyCopy"/>
              <w:cnfStyle w:val="000000100000" w:firstRow="0" w:lastRow="0" w:firstColumn="0" w:lastColumn="0" w:oddVBand="0" w:evenVBand="0" w:oddHBand="1" w:evenHBand="0" w:firstRowFirstColumn="0" w:firstRowLastColumn="0" w:lastRowFirstColumn="0" w:lastRowLastColumn="0"/>
            </w:pPr>
            <w:r>
              <w:t>(renewed) 8 December 2020</w:t>
            </w:r>
          </w:p>
          <w:p w14:paraId="3E156233" w14:textId="1FDE71B7" w:rsidR="00637AEB" w:rsidRPr="00FA2C26" w:rsidRDefault="00CC5E48" w:rsidP="00CC5E48">
            <w:pPr>
              <w:pStyle w:val="TableBodyCopy"/>
              <w:cnfStyle w:val="000000100000" w:firstRow="0" w:lastRow="0" w:firstColumn="0" w:lastColumn="0" w:oddVBand="0" w:evenVBand="0" w:oddHBand="1" w:evenHBand="0" w:firstRowFirstColumn="0" w:firstRowLastColumn="0" w:lastRowFirstColumn="0" w:lastRowLastColumn="0"/>
            </w:pPr>
            <w:r>
              <w:t>(renewed) 25 June 2024</w:t>
            </w:r>
          </w:p>
        </w:tc>
        <w:tc>
          <w:tcPr>
            <w:tcW w:w="3401" w:type="dxa"/>
            <w:shd w:val="clear" w:color="auto" w:fill="F2F2F2" w:themeFill="background1" w:themeFillShade="F2"/>
          </w:tcPr>
          <w:p w14:paraId="55650243" w14:textId="7ED93401" w:rsidR="00637AEB" w:rsidRPr="00FA2C26" w:rsidRDefault="00CC5E48" w:rsidP="007B4456">
            <w:pPr>
              <w:pStyle w:val="TableBodyCopy"/>
              <w:cnfStyle w:val="000000100000" w:firstRow="0" w:lastRow="0" w:firstColumn="0" w:lastColumn="0" w:oddVBand="0" w:evenVBand="0" w:oddHBand="1" w:evenHBand="0" w:firstRowFirstColumn="0" w:firstRowLastColumn="0" w:lastRowFirstColumn="0" w:lastRowLastColumn="0"/>
            </w:pPr>
            <w:r>
              <w:t>Ongoing</w:t>
            </w:r>
          </w:p>
        </w:tc>
      </w:tr>
      <w:tr w:rsidR="00637AEB" w:rsidRPr="00FA2C26" w14:paraId="3D70708D" w14:textId="77777777" w:rsidTr="003D025D">
        <w:trPr>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29E85280" w14:textId="4E87A276" w:rsidR="00637AEB" w:rsidRPr="00FA2C26" w:rsidRDefault="00733E71" w:rsidP="007B4456">
            <w:pPr>
              <w:pStyle w:val="TableBodyCopy"/>
            </w:pPr>
            <w:r w:rsidRPr="00733E71">
              <w:t>MoU between the National Narcotics Board and the Australian Federal Police on cooperation in combating illicit drug trafficking</w:t>
            </w:r>
          </w:p>
        </w:tc>
        <w:tc>
          <w:tcPr>
            <w:tcW w:w="3400" w:type="dxa"/>
            <w:shd w:val="clear" w:color="auto" w:fill="D2DEE7" w:themeFill="accent1" w:themeFillTint="33"/>
          </w:tcPr>
          <w:p w14:paraId="50B1C5C0" w14:textId="39AB84EB" w:rsidR="00637AEB" w:rsidRPr="00FA2C26" w:rsidRDefault="00733E71" w:rsidP="007B4456">
            <w:pPr>
              <w:pStyle w:val="TableBodyCopy"/>
              <w:cnfStyle w:val="000000000000" w:firstRow="0" w:lastRow="0" w:firstColumn="0" w:lastColumn="0" w:oddVBand="0" w:evenVBand="0" w:oddHBand="0" w:evenHBand="0" w:firstRowFirstColumn="0" w:firstRowLastColumn="0" w:lastRowFirstColumn="0" w:lastRowLastColumn="0"/>
            </w:pPr>
            <w:r w:rsidRPr="00733E71">
              <w:t>25 November 2021</w:t>
            </w:r>
          </w:p>
        </w:tc>
        <w:tc>
          <w:tcPr>
            <w:tcW w:w="3401" w:type="dxa"/>
            <w:shd w:val="clear" w:color="auto" w:fill="F2F2F2" w:themeFill="background1" w:themeFillShade="F2"/>
          </w:tcPr>
          <w:p w14:paraId="4EFC3B01" w14:textId="783BB14C" w:rsidR="00637AEB" w:rsidRPr="00FA2C26" w:rsidRDefault="00733E71" w:rsidP="007B4456">
            <w:pPr>
              <w:pStyle w:val="TableBodyCopy"/>
              <w:cnfStyle w:val="000000000000" w:firstRow="0" w:lastRow="0" w:firstColumn="0" w:lastColumn="0" w:oddVBand="0" w:evenVBand="0" w:oddHBand="0" w:evenHBand="0" w:firstRowFirstColumn="0" w:firstRowLastColumn="0" w:lastRowFirstColumn="0" w:lastRowLastColumn="0"/>
            </w:pPr>
            <w:r>
              <w:t>5 years</w:t>
            </w:r>
          </w:p>
        </w:tc>
      </w:tr>
      <w:tr w:rsidR="00637AEB" w:rsidRPr="00FA2C26" w14:paraId="4B948149" w14:textId="77777777" w:rsidTr="003D025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5DAC28CB" w14:textId="67BEAC92" w:rsidR="00637AEB" w:rsidRPr="00FA2C26" w:rsidRDefault="00733E71" w:rsidP="007B4456">
            <w:pPr>
              <w:pStyle w:val="TableBodyCopy"/>
            </w:pPr>
            <w:r w:rsidRPr="00733E71">
              <w:t>MoU on Countering Terrorism and Violent Extremism</w:t>
            </w:r>
          </w:p>
        </w:tc>
        <w:tc>
          <w:tcPr>
            <w:tcW w:w="3400" w:type="dxa"/>
            <w:shd w:val="clear" w:color="auto" w:fill="D2DEE7" w:themeFill="accent1" w:themeFillTint="33"/>
          </w:tcPr>
          <w:p w14:paraId="30A5CC76" w14:textId="25B7B3C7" w:rsidR="00637AEB" w:rsidRPr="00FA2C26" w:rsidRDefault="003D025D" w:rsidP="007B4456">
            <w:pPr>
              <w:pStyle w:val="TableBodyCopy"/>
              <w:cnfStyle w:val="000000100000" w:firstRow="0" w:lastRow="0" w:firstColumn="0" w:lastColumn="0" w:oddVBand="0" w:evenVBand="0" w:oddHBand="1" w:evenHBand="0" w:firstRowFirstColumn="0" w:firstRowLastColumn="0" w:lastRowFirstColumn="0" w:lastRowLastColumn="0"/>
            </w:pPr>
            <w:r w:rsidRPr="003D025D">
              <w:t>9 September 2021</w:t>
            </w:r>
          </w:p>
        </w:tc>
        <w:tc>
          <w:tcPr>
            <w:tcW w:w="3401" w:type="dxa"/>
            <w:shd w:val="clear" w:color="auto" w:fill="F2F2F2" w:themeFill="background1" w:themeFillShade="F2"/>
          </w:tcPr>
          <w:p w14:paraId="63A1A71A" w14:textId="6E335202" w:rsidR="00637AEB" w:rsidRPr="00FA2C26" w:rsidRDefault="003D025D" w:rsidP="007B4456">
            <w:pPr>
              <w:pStyle w:val="TableBodyCopy"/>
              <w:cnfStyle w:val="000000100000" w:firstRow="0" w:lastRow="0" w:firstColumn="0" w:lastColumn="0" w:oddVBand="0" w:evenVBand="0" w:oddHBand="1" w:evenHBand="0" w:firstRowFirstColumn="0" w:firstRowLastColumn="0" w:lastRowFirstColumn="0" w:lastRowLastColumn="0"/>
            </w:pPr>
            <w:r w:rsidRPr="003D025D">
              <w:t>Not applicable</w:t>
            </w:r>
          </w:p>
        </w:tc>
      </w:tr>
      <w:tr w:rsidR="00637AEB" w:rsidRPr="00FA2C26" w14:paraId="3335CBCA" w14:textId="77777777" w:rsidTr="003D025D">
        <w:trPr>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43C4B994" w14:textId="0F4A7616" w:rsidR="00637AEB" w:rsidRPr="00FA2C26" w:rsidRDefault="003D025D" w:rsidP="007B4456">
            <w:pPr>
              <w:pStyle w:val="TableBodyCopy"/>
            </w:pPr>
            <w:r w:rsidRPr="003D025D">
              <w:t>Arrangement between the Ministry of Defence and the Department of Defence for the Implementation of the Framework for Security Cooperation and its Plan of Action on Defence Cooperation</w:t>
            </w:r>
          </w:p>
        </w:tc>
        <w:tc>
          <w:tcPr>
            <w:tcW w:w="3400" w:type="dxa"/>
            <w:shd w:val="clear" w:color="auto" w:fill="D2DEE7" w:themeFill="accent1" w:themeFillTint="33"/>
          </w:tcPr>
          <w:p w14:paraId="6D1032DD" w14:textId="11DC88B5" w:rsidR="00637AEB" w:rsidRPr="00FA2C26" w:rsidRDefault="003D025D" w:rsidP="007B4456">
            <w:pPr>
              <w:pStyle w:val="TableBodyCopy"/>
              <w:cnfStyle w:val="000000000000" w:firstRow="0" w:lastRow="0" w:firstColumn="0" w:lastColumn="0" w:oddVBand="0" w:evenVBand="0" w:oddHBand="0" w:evenHBand="0" w:firstRowFirstColumn="0" w:firstRowLastColumn="0" w:lastRowFirstColumn="0" w:lastRowLastColumn="0"/>
            </w:pPr>
            <w:r w:rsidRPr="003D025D">
              <w:t>9 September 2021</w:t>
            </w:r>
          </w:p>
        </w:tc>
        <w:tc>
          <w:tcPr>
            <w:tcW w:w="3401" w:type="dxa"/>
            <w:shd w:val="clear" w:color="auto" w:fill="F2F2F2" w:themeFill="background1" w:themeFillShade="F2"/>
          </w:tcPr>
          <w:p w14:paraId="217C28CC" w14:textId="3B18EB05" w:rsidR="00637AEB" w:rsidRPr="00FA2C26" w:rsidRDefault="003D025D" w:rsidP="007B4456">
            <w:pPr>
              <w:pStyle w:val="TableBodyCopy"/>
              <w:cnfStyle w:val="000000000000" w:firstRow="0" w:lastRow="0" w:firstColumn="0" w:lastColumn="0" w:oddVBand="0" w:evenVBand="0" w:oddHBand="0" w:evenHBand="0" w:firstRowFirstColumn="0" w:firstRowLastColumn="0" w:lastRowFirstColumn="0" w:lastRowLastColumn="0"/>
            </w:pPr>
            <w:r>
              <w:t>5 years</w:t>
            </w:r>
          </w:p>
        </w:tc>
      </w:tr>
      <w:tr w:rsidR="00637AEB" w:rsidRPr="00FA2C26" w14:paraId="6F531E8E" w14:textId="77777777" w:rsidTr="003D025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03A44F4F" w14:textId="7D32B79A" w:rsidR="00637AEB" w:rsidRPr="00FA2C26" w:rsidRDefault="001F2B3C" w:rsidP="007B4456">
            <w:pPr>
              <w:pStyle w:val="TableBodyCopy"/>
            </w:pPr>
            <w:r w:rsidRPr="001F2B3C">
              <w:t>Arrangement between the Indonesian National Police and the Australian Federal Police on Cooperation in Preventing and Combating Transnational Crime</w:t>
            </w:r>
          </w:p>
        </w:tc>
        <w:tc>
          <w:tcPr>
            <w:tcW w:w="3400" w:type="dxa"/>
            <w:shd w:val="clear" w:color="auto" w:fill="D2DEE7" w:themeFill="accent1" w:themeFillTint="33"/>
          </w:tcPr>
          <w:p w14:paraId="51832B1E" w14:textId="36939B57" w:rsidR="00637AEB" w:rsidRPr="00FA2C26" w:rsidRDefault="001F2B3C" w:rsidP="007B4456">
            <w:pPr>
              <w:pStyle w:val="TableBodyCopy"/>
              <w:cnfStyle w:val="000000100000" w:firstRow="0" w:lastRow="0" w:firstColumn="0" w:lastColumn="0" w:oddVBand="0" w:evenVBand="0" w:oddHBand="1" w:evenHBand="0" w:firstRowFirstColumn="0" w:firstRowLastColumn="0" w:lastRowFirstColumn="0" w:lastRowLastColumn="0"/>
            </w:pPr>
            <w:r w:rsidRPr="001F2B3C">
              <w:t>12 August 2019</w:t>
            </w:r>
          </w:p>
        </w:tc>
        <w:tc>
          <w:tcPr>
            <w:tcW w:w="3401" w:type="dxa"/>
            <w:shd w:val="clear" w:color="auto" w:fill="F2F2F2" w:themeFill="background1" w:themeFillShade="F2"/>
          </w:tcPr>
          <w:p w14:paraId="3019F830" w14:textId="54E261E3" w:rsidR="00637AEB" w:rsidRPr="00FA2C26" w:rsidRDefault="001F2B3C" w:rsidP="007B4456">
            <w:pPr>
              <w:pStyle w:val="TableBodyCopy"/>
              <w:cnfStyle w:val="000000100000" w:firstRow="0" w:lastRow="0" w:firstColumn="0" w:lastColumn="0" w:oddVBand="0" w:evenVBand="0" w:oddHBand="1" w:evenHBand="0" w:firstRowFirstColumn="0" w:firstRowLastColumn="0" w:lastRowFirstColumn="0" w:lastRowLastColumn="0"/>
            </w:pPr>
            <w:r>
              <w:t>6 years</w:t>
            </w:r>
          </w:p>
        </w:tc>
      </w:tr>
      <w:tr w:rsidR="00637AEB" w:rsidRPr="00FA2C26" w14:paraId="75AFAFFA" w14:textId="77777777" w:rsidTr="003D025D">
        <w:trPr>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7777164E" w14:textId="2BC1C0BF" w:rsidR="00637AEB" w:rsidRPr="00FA2C26" w:rsidRDefault="001F2B3C" w:rsidP="007B4456">
            <w:pPr>
              <w:pStyle w:val="TableBodyCopy"/>
            </w:pPr>
            <w:r w:rsidRPr="001F2B3C">
              <w:lastRenderedPageBreak/>
              <w:t>MoU between the National Narcotics Board and the Australian Border Force on Border Protection in the Fight Against Illicit Trafficking of Border Controlled Drugs, Narcotic Plants and Precursors</w:t>
            </w:r>
          </w:p>
        </w:tc>
        <w:tc>
          <w:tcPr>
            <w:tcW w:w="3400" w:type="dxa"/>
            <w:shd w:val="clear" w:color="auto" w:fill="D2DEE7" w:themeFill="accent1" w:themeFillTint="33"/>
          </w:tcPr>
          <w:p w14:paraId="2E9F9AD5" w14:textId="1222470A" w:rsidR="00637AEB" w:rsidRPr="00FA2C26" w:rsidRDefault="000E2A30" w:rsidP="007B4456">
            <w:pPr>
              <w:pStyle w:val="TableBodyCopy"/>
              <w:cnfStyle w:val="000000000000" w:firstRow="0" w:lastRow="0" w:firstColumn="0" w:lastColumn="0" w:oddVBand="0" w:evenVBand="0" w:oddHBand="0" w:evenHBand="0" w:firstRowFirstColumn="0" w:firstRowLastColumn="0" w:lastRowFirstColumn="0" w:lastRowLastColumn="0"/>
            </w:pPr>
            <w:r w:rsidRPr="000E2A30">
              <w:t>6 November 2018</w:t>
            </w:r>
          </w:p>
        </w:tc>
        <w:tc>
          <w:tcPr>
            <w:tcW w:w="3401" w:type="dxa"/>
            <w:shd w:val="clear" w:color="auto" w:fill="F2F2F2" w:themeFill="background1" w:themeFillShade="F2"/>
          </w:tcPr>
          <w:p w14:paraId="3C03B7D1" w14:textId="76CDE90F" w:rsidR="00637AEB" w:rsidRPr="00FA2C26" w:rsidRDefault="000E2A30" w:rsidP="007B4456">
            <w:pPr>
              <w:pStyle w:val="TableBodyCopy"/>
              <w:cnfStyle w:val="000000000000" w:firstRow="0" w:lastRow="0" w:firstColumn="0" w:lastColumn="0" w:oddVBand="0" w:evenVBand="0" w:oddHBand="0" w:evenHBand="0" w:firstRowFirstColumn="0" w:firstRowLastColumn="0" w:lastRowFirstColumn="0" w:lastRowLastColumn="0"/>
            </w:pPr>
            <w:r w:rsidRPr="000E2A30">
              <w:t>10 years</w:t>
            </w:r>
          </w:p>
        </w:tc>
      </w:tr>
      <w:tr w:rsidR="00637AEB" w:rsidRPr="00FA2C26" w14:paraId="5B5E874D" w14:textId="77777777" w:rsidTr="003D025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18E514DD" w14:textId="0AEC9574" w:rsidR="00637AEB" w:rsidRPr="00FA2C26" w:rsidRDefault="000E2A30" w:rsidP="007B4456">
            <w:pPr>
              <w:pStyle w:val="TableBodyCopy"/>
            </w:pPr>
            <w:r w:rsidRPr="000E2A30">
              <w:t xml:space="preserve">MoU with Directorate General of Immigration, Ministry of </w:t>
            </w:r>
            <w:proofErr w:type="gramStart"/>
            <w:r w:rsidRPr="000E2A30">
              <w:t>Law</w:t>
            </w:r>
            <w:proofErr w:type="gramEnd"/>
            <w:r w:rsidRPr="000E2A30">
              <w:t xml:space="preserve"> and Human Rights of the Republic of Indonesia for cooperation on migration and border management</w:t>
            </w:r>
          </w:p>
        </w:tc>
        <w:tc>
          <w:tcPr>
            <w:tcW w:w="3400" w:type="dxa"/>
            <w:shd w:val="clear" w:color="auto" w:fill="D2DEE7" w:themeFill="accent1" w:themeFillTint="33"/>
          </w:tcPr>
          <w:p w14:paraId="275E280C" w14:textId="77E99529" w:rsidR="00637AEB" w:rsidRPr="00FA2C26" w:rsidRDefault="000E2A30" w:rsidP="007B4456">
            <w:pPr>
              <w:pStyle w:val="TableBodyCopy"/>
              <w:cnfStyle w:val="000000100000" w:firstRow="0" w:lastRow="0" w:firstColumn="0" w:lastColumn="0" w:oddVBand="0" w:evenVBand="0" w:oddHBand="1" w:evenHBand="0" w:firstRowFirstColumn="0" w:firstRowLastColumn="0" w:lastRowFirstColumn="0" w:lastRowLastColumn="0"/>
            </w:pPr>
            <w:r w:rsidRPr="000E2A30">
              <w:t>3 December 2019</w:t>
            </w:r>
          </w:p>
        </w:tc>
        <w:tc>
          <w:tcPr>
            <w:tcW w:w="3401" w:type="dxa"/>
            <w:shd w:val="clear" w:color="auto" w:fill="F2F2F2" w:themeFill="background1" w:themeFillShade="F2"/>
          </w:tcPr>
          <w:p w14:paraId="62330BF4" w14:textId="7F7006E2" w:rsidR="00637AEB" w:rsidRPr="00FA2C26" w:rsidRDefault="00527CD3" w:rsidP="007B4456">
            <w:pPr>
              <w:pStyle w:val="TableBodyCopy"/>
              <w:cnfStyle w:val="000000100000" w:firstRow="0" w:lastRow="0" w:firstColumn="0" w:lastColumn="0" w:oddVBand="0" w:evenVBand="0" w:oddHBand="1" w:evenHBand="0" w:firstRowFirstColumn="0" w:firstRowLastColumn="0" w:lastRowFirstColumn="0" w:lastRowLastColumn="0"/>
            </w:pPr>
            <w:r w:rsidRPr="00527CD3">
              <w:t>No expiry (</w:t>
            </w:r>
            <w:r w:rsidR="006B1AF0">
              <w:t>r</w:t>
            </w:r>
            <w:r w:rsidRPr="00527CD3">
              <w:t>eview date 3 Dec 2022)</w:t>
            </w:r>
          </w:p>
        </w:tc>
      </w:tr>
      <w:tr w:rsidR="00637AEB" w:rsidRPr="00FA2C26" w14:paraId="1E1AA0E5" w14:textId="77777777" w:rsidTr="003D025D">
        <w:trPr>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77C7BDF9" w14:textId="51F02BF7" w:rsidR="00637AEB" w:rsidRPr="00FA2C26" w:rsidRDefault="00527CD3" w:rsidP="007B4456">
            <w:pPr>
              <w:pStyle w:val="TableBodyCopy"/>
            </w:pPr>
            <w:r w:rsidRPr="00527CD3">
              <w:t>MoU with Directorate General of Customs and Excise of the Ministry of Finance of the Republic of Indonesia on cooperation and mutual administrative assistance in customs matters</w:t>
            </w:r>
          </w:p>
        </w:tc>
        <w:tc>
          <w:tcPr>
            <w:tcW w:w="3400" w:type="dxa"/>
            <w:shd w:val="clear" w:color="auto" w:fill="D2DEE7" w:themeFill="accent1" w:themeFillTint="33"/>
          </w:tcPr>
          <w:p w14:paraId="44CFF4A4" w14:textId="2F5EC28E" w:rsidR="00637AEB" w:rsidRPr="00FA2C26" w:rsidRDefault="00527CD3" w:rsidP="007B4456">
            <w:pPr>
              <w:pStyle w:val="TableBodyCopy"/>
              <w:cnfStyle w:val="000000000000" w:firstRow="0" w:lastRow="0" w:firstColumn="0" w:lastColumn="0" w:oddVBand="0" w:evenVBand="0" w:oddHBand="0" w:evenHBand="0" w:firstRowFirstColumn="0" w:firstRowLastColumn="0" w:lastRowFirstColumn="0" w:lastRowLastColumn="0"/>
            </w:pPr>
            <w:r w:rsidRPr="00527CD3">
              <w:t>3 December 2020</w:t>
            </w:r>
          </w:p>
        </w:tc>
        <w:tc>
          <w:tcPr>
            <w:tcW w:w="3401" w:type="dxa"/>
            <w:shd w:val="clear" w:color="auto" w:fill="F2F2F2" w:themeFill="background1" w:themeFillShade="F2"/>
          </w:tcPr>
          <w:p w14:paraId="78E902BA" w14:textId="2B92F3D0" w:rsidR="00637AEB" w:rsidRPr="00FA2C26" w:rsidRDefault="00527CD3" w:rsidP="007B4456">
            <w:pPr>
              <w:pStyle w:val="TableBodyCopy"/>
              <w:cnfStyle w:val="000000000000" w:firstRow="0" w:lastRow="0" w:firstColumn="0" w:lastColumn="0" w:oddVBand="0" w:evenVBand="0" w:oddHBand="0" w:evenHBand="0" w:firstRowFirstColumn="0" w:firstRowLastColumn="0" w:lastRowFirstColumn="0" w:lastRowLastColumn="0"/>
            </w:pPr>
            <w:r w:rsidRPr="00527CD3">
              <w:t>No expiry (</w:t>
            </w:r>
            <w:r w:rsidR="006B1AF0">
              <w:t>r</w:t>
            </w:r>
            <w:r w:rsidRPr="00527CD3">
              <w:t>eview date 3 Dec 202</w:t>
            </w:r>
            <w:r>
              <w:t>3</w:t>
            </w:r>
            <w:r w:rsidRPr="00527CD3">
              <w:t>)</w:t>
            </w:r>
          </w:p>
        </w:tc>
      </w:tr>
      <w:tr w:rsidR="00564A07" w:rsidRPr="00FA2C26" w14:paraId="296AD2F4" w14:textId="77777777" w:rsidTr="003D025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65C9FD12" w14:textId="7D4D1599" w:rsidR="00564A07" w:rsidRDefault="00173C3A" w:rsidP="007B4456">
            <w:pPr>
              <w:pStyle w:val="TableBodyCopy"/>
            </w:pPr>
            <w:r w:rsidRPr="00173C3A">
              <w:t>MoU on Fisheries Surveillance and Law Enforcement with the Directorate General for Marine and Fisheries Resources, the Ministry of Marine Affairs and Fisheries of the Republic of Indonesia</w:t>
            </w:r>
          </w:p>
        </w:tc>
        <w:tc>
          <w:tcPr>
            <w:tcW w:w="3400" w:type="dxa"/>
            <w:shd w:val="clear" w:color="auto" w:fill="D2DEE7" w:themeFill="accent1" w:themeFillTint="33"/>
          </w:tcPr>
          <w:p w14:paraId="10FE8E1C" w14:textId="3AFC3C8F" w:rsidR="00564A07" w:rsidRPr="000304FC" w:rsidRDefault="00173C3A" w:rsidP="007B4456">
            <w:pPr>
              <w:pStyle w:val="TableBodyCopy"/>
              <w:cnfStyle w:val="000000100000" w:firstRow="0" w:lastRow="0" w:firstColumn="0" w:lastColumn="0" w:oddVBand="0" w:evenVBand="0" w:oddHBand="1" w:evenHBand="0" w:firstRowFirstColumn="0" w:firstRowLastColumn="0" w:lastRowFirstColumn="0" w:lastRowLastColumn="0"/>
            </w:pPr>
            <w:r w:rsidRPr="00173C3A">
              <w:t>24 May 2021</w:t>
            </w:r>
          </w:p>
        </w:tc>
        <w:tc>
          <w:tcPr>
            <w:tcW w:w="3401" w:type="dxa"/>
            <w:shd w:val="clear" w:color="auto" w:fill="F2F2F2" w:themeFill="background1" w:themeFillShade="F2"/>
          </w:tcPr>
          <w:p w14:paraId="109E713C" w14:textId="7F1F30F2" w:rsidR="00564A07" w:rsidRDefault="00173C3A" w:rsidP="007B4456">
            <w:pPr>
              <w:pStyle w:val="TableBodyCopy"/>
              <w:cnfStyle w:val="000000100000" w:firstRow="0" w:lastRow="0" w:firstColumn="0" w:lastColumn="0" w:oddVBand="0" w:evenVBand="0" w:oddHBand="1" w:evenHBand="0" w:firstRowFirstColumn="0" w:firstRowLastColumn="0" w:lastRowFirstColumn="0" w:lastRowLastColumn="0"/>
            </w:pPr>
            <w:r w:rsidRPr="00173C3A">
              <w:t>No expiry (</w:t>
            </w:r>
            <w:r w:rsidR="006B1AF0">
              <w:t>r</w:t>
            </w:r>
            <w:r w:rsidRPr="00173C3A">
              <w:t>eview date 24 May 2026)</w:t>
            </w:r>
          </w:p>
        </w:tc>
      </w:tr>
      <w:tr w:rsidR="00564A07" w:rsidRPr="00FA2C26" w14:paraId="44301E49" w14:textId="77777777" w:rsidTr="003D025D">
        <w:trPr>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6141C9A8" w14:textId="0E077200" w:rsidR="00564A07" w:rsidRDefault="00173C3A" w:rsidP="007B4456">
            <w:pPr>
              <w:pStyle w:val="TableBodyCopy"/>
            </w:pPr>
            <w:r w:rsidRPr="00173C3A">
              <w:t>Arrangement on Maritime Security Cooperation with Maritime Security Agency (BAKAMLA) of the Republic of Indonesia</w:t>
            </w:r>
          </w:p>
        </w:tc>
        <w:tc>
          <w:tcPr>
            <w:tcW w:w="3400" w:type="dxa"/>
            <w:shd w:val="clear" w:color="auto" w:fill="D2DEE7" w:themeFill="accent1" w:themeFillTint="33"/>
          </w:tcPr>
          <w:p w14:paraId="33E21AEF" w14:textId="77039ACA" w:rsidR="00564A07" w:rsidRPr="000304FC" w:rsidRDefault="006B1AF0" w:rsidP="007B4456">
            <w:pPr>
              <w:pStyle w:val="TableBodyCopy"/>
              <w:cnfStyle w:val="000000000000" w:firstRow="0" w:lastRow="0" w:firstColumn="0" w:lastColumn="0" w:oddVBand="0" w:evenVBand="0" w:oddHBand="0" w:evenHBand="0" w:firstRowFirstColumn="0" w:firstRowLastColumn="0" w:lastRowFirstColumn="0" w:lastRowLastColumn="0"/>
            </w:pPr>
            <w:r w:rsidRPr="006B1AF0">
              <w:t>17 November 2017 (</w:t>
            </w:r>
            <w:r>
              <w:t>e</w:t>
            </w:r>
            <w:r w:rsidRPr="006B1AF0">
              <w:t>xtended to 17 Nov 2023)</w:t>
            </w:r>
          </w:p>
        </w:tc>
        <w:tc>
          <w:tcPr>
            <w:tcW w:w="3401" w:type="dxa"/>
            <w:shd w:val="clear" w:color="auto" w:fill="F2F2F2" w:themeFill="background1" w:themeFillShade="F2"/>
          </w:tcPr>
          <w:p w14:paraId="043018B2" w14:textId="62D3B2F3" w:rsidR="00564A07" w:rsidRDefault="006B1AF0" w:rsidP="007B4456">
            <w:pPr>
              <w:pStyle w:val="TableBodyCopy"/>
              <w:cnfStyle w:val="000000000000" w:firstRow="0" w:lastRow="0" w:firstColumn="0" w:lastColumn="0" w:oddVBand="0" w:evenVBand="0" w:oddHBand="0" w:evenHBand="0" w:firstRowFirstColumn="0" w:firstRowLastColumn="0" w:lastRowFirstColumn="0" w:lastRowLastColumn="0"/>
            </w:pPr>
            <w:r w:rsidRPr="006B1AF0">
              <w:t>17 November 2023 (</w:t>
            </w:r>
            <w:r>
              <w:t>n</w:t>
            </w:r>
            <w:r w:rsidRPr="006B1AF0">
              <w:t>ew agreement under negotiation)</w:t>
            </w:r>
          </w:p>
        </w:tc>
      </w:tr>
      <w:tr w:rsidR="00564A07" w:rsidRPr="00FA2C26" w14:paraId="0CDBEC68" w14:textId="77777777" w:rsidTr="003D025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6AD4002C" w14:textId="19B2F8DB" w:rsidR="00564A07" w:rsidRDefault="00D43966" w:rsidP="007B4456">
            <w:pPr>
              <w:pStyle w:val="TableBodyCopy"/>
            </w:pPr>
            <w:r w:rsidRPr="00D43966">
              <w:t>MoU with the Ministry of Health of the Republic of Indonesia in the Field of Health Cooperation</w:t>
            </w:r>
          </w:p>
        </w:tc>
        <w:tc>
          <w:tcPr>
            <w:tcW w:w="3400" w:type="dxa"/>
            <w:shd w:val="clear" w:color="auto" w:fill="D2DEE7" w:themeFill="accent1" w:themeFillTint="33"/>
          </w:tcPr>
          <w:p w14:paraId="621784EE" w14:textId="381A82F8" w:rsidR="00564A07" w:rsidRPr="000304FC" w:rsidRDefault="00867224" w:rsidP="007B4456">
            <w:pPr>
              <w:pStyle w:val="TableBodyCopy"/>
              <w:cnfStyle w:val="000000100000" w:firstRow="0" w:lastRow="0" w:firstColumn="0" w:lastColumn="0" w:oddVBand="0" w:evenVBand="0" w:oddHBand="1" w:evenHBand="0" w:firstRowFirstColumn="0" w:firstRowLastColumn="0" w:lastRowFirstColumn="0" w:lastRowLastColumn="0"/>
            </w:pPr>
            <w:r w:rsidRPr="00867224">
              <w:t>3 February 2022</w:t>
            </w:r>
          </w:p>
        </w:tc>
        <w:tc>
          <w:tcPr>
            <w:tcW w:w="3401" w:type="dxa"/>
            <w:shd w:val="clear" w:color="auto" w:fill="F2F2F2" w:themeFill="background1" w:themeFillShade="F2"/>
          </w:tcPr>
          <w:p w14:paraId="3B537C7F" w14:textId="1C2A9326" w:rsidR="00564A07" w:rsidRDefault="00867224" w:rsidP="007B4456">
            <w:pPr>
              <w:pStyle w:val="TableBodyCopy"/>
              <w:cnfStyle w:val="000000100000" w:firstRow="0" w:lastRow="0" w:firstColumn="0" w:lastColumn="0" w:oddVBand="0" w:evenVBand="0" w:oddHBand="1" w:evenHBand="0" w:firstRowFirstColumn="0" w:firstRowLastColumn="0" w:lastRowFirstColumn="0" w:lastRowLastColumn="0"/>
            </w:pPr>
            <w:r w:rsidRPr="00867224">
              <w:t>5 years</w:t>
            </w:r>
          </w:p>
        </w:tc>
      </w:tr>
      <w:tr w:rsidR="00564A07" w:rsidRPr="00FA2C26" w14:paraId="1143606B" w14:textId="77777777" w:rsidTr="003D025D">
        <w:trPr>
          <w:cantSplit/>
          <w:trHeight w:val="300"/>
        </w:trPr>
        <w:tc>
          <w:tcPr>
            <w:cnfStyle w:val="001000000000" w:firstRow="0" w:lastRow="0" w:firstColumn="1" w:lastColumn="0" w:oddVBand="0" w:evenVBand="0" w:oddHBand="0" w:evenHBand="0" w:firstRowFirstColumn="0" w:firstRowLastColumn="0" w:lastRowFirstColumn="0" w:lastRowLastColumn="0"/>
            <w:tcW w:w="3400" w:type="dxa"/>
            <w:shd w:val="clear" w:color="auto" w:fill="A5BDCF" w:themeFill="accent1" w:themeFillTint="66"/>
          </w:tcPr>
          <w:p w14:paraId="30F34876" w14:textId="25B4E822" w:rsidR="00564A07" w:rsidRDefault="00867224" w:rsidP="007B4456">
            <w:pPr>
              <w:pStyle w:val="TableBodyCopy"/>
            </w:pPr>
            <w:r w:rsidRPr="00867224">
              <w:t>MoU on Cyber and Emerging Cyber Technology Cooperation</w:t>
            </w:r>
          </w:p>
        </w:tc>
        <w:tc>
          <w:tcPr>
            <w:tcW w:w="3400" w:type="dxa"/>
            <w:shd w:val="clear" w:color="auto" w:fill="D2DEE7" w:themeFill="accent1" w:themeFillTint="33"/>
          </w:tcPr>
          <w:p w14:paraId="6B2166D7" w14:textId="77777777" w:rsidR="00867224" w:rsidRDefault="00867224" w:rsidP="00867224">
            <w:pPr>
              <w:pStyle w:val="TableBodyCopy"/>
              <w:cnfStyle w:val="000000000000" w:firstRow="0" w:lastRow="0" w:firstColumn="0" w:lastColumn="0" w:oddVBand="0" w:evenVBand="0" w:oddHBand="0" w:evenHBand="0" w:firstRowFirstColumn="0" w:firstRowLastColumn="0" w:lastRowFirstColumn="0" w:lastRowLastColumn="0"/>
            </w:pPr>
            <w:r>
              <w:t>8 September 2021 (signed)</w:t>
            </w:r>
          </w:p>
          <w:p w14:paraId="002F9D3B" w14:textId="7B73499A" w:rsidR="00564A07" w:rsidRPr="000304FC" w:rsidRDefault="00867224" w:rsidP="00867224">
            <w:pPr>
              <w:pStyle w:val="TableBodyCopy"/>
              <w:cnfStyle w:val="000000000000" w:firstRow="0" w:lastRow="0" w:firstColumn="0" w:lastColumn="0" w:oddVBand="0" w:evenVBand="0" w:oddHBand="0" w:evenHBand="0" w:firstRowFirstColumn="0" w:firstRowLastColumn="0" w:lastRowFirstColumn="0" w:lastRowLastColumn="0"/>
            </w:pPr>
            <w:r>
              <w:t>12 December 2023 (renewed)</w:t>
            </w:r>
          </w:p>
        </w:tc>
        <w:tc>
          <w:tcPr>
            <w:tcW w:w="3401" w:type="dxa"/>
            <w:shd w:val="clear" w:color="auto" w:fill="F2F2F2" w:themeFill="background1" w:themeFillShade="F2"/>
          </w:tcPr>
          <w:p w14:paraId="3DAF830D" w14:textId="5482F9D6" w:rsidR="00564A07" w:rsidRDefault="00867224" w:rsidP="007B4456">
            <w:pPr>
              <w:pStyle w:val="TableBodyCopy"/>
              <w:cnfStyle w:val="000000000000" w:firstRow="0" w:lastRow="0" w:firstColumn="0" w:lastColumn="0" w:oddVBand="0" w:evenVBand="0" w:oddHBand="0" w:evenHBand="0" w:firstRowFirstColumn="0" w:firstRowLastColumn="0" w:lastRowFirstColumn="0" w:lastRowLastColumn="0"/>
            </w:pPr>
            <w:r w:rsidRPr="00867224">
              <w:t>12 December 2024 (</w:t>
            </w:r>
            <w:r>
              <w:t>n</w:t>
            </w:r>
            <w:r w:rsidRPr="00867224">
              <w:t>ew MoU under development)</w:t>
            </w:r>
          </w:p>
        </w:tc>
      </w:tr>
    </w:tbl>
    <w:p w14:paraId="04A94E96" w14:textId="77777777" w:rsidR="000C1FB4" w:rsidRDefault="000C1FB4" w:rsidP="00CF5050">
      <w:pPr>
        <w:rPr>
          <w:rFonts w:ascii="Times New Roman" w:hAnsi="Times New Roman"/>
          <w:sz w:val="24"/>
          <w:szCs w:val="24"/>
          <w:lang w:eastAsia="en-AU"/>
        </w:rPr>
      </w:pPr>
      <w:r>
        <w:rPr>
          <w:lang w:eastAsia="en-AU"/>
        </w:rPr>
        <w:t xml:space="preserve">Australian Government supporting </w:t>
      </w:r>
      <w:r>
        <w:t>investments</w:t>
      </w:r>
      <w:r>
        <w:rPr>
          <w:lang w:eastAsia="en-AU"/>
        </w:rPr>
        <w:t xml:space="preserve">/activities across Objectives 1, 2 and 3 </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across objectives 1, 2 and 3"/>
        <w:tblDescription w:val="Investments and activities, duration and key partners"/>
      </w:tblPr>
      <w:tblGrid>
        <w:gridCol w:w="3398"/>
        <w:gridCol w:w="3399"/>
        <w:gridCol w:w="3397"/>
      </w:tblGrid>
      <w:tr w:rsidR="002C7506" w:rsidRPr="007A5BE5" w14:paraId="36AF52F3" w14:textId="77777777" w:rsidTr="00E0741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667" w:type="pct"/>
          </w:tcPr>
          <w:p w14:paraId="65A4CEAB" w14:textId="72CDFEFF" w:rsidR="008472D5" w:rsidRPr="007A5BE5" w:rsidRDefault="008472D5" w:rsidP="00D0584D">
            <w:pPr>
              <w:pStyle w:val="TableHeading"/>
            </w:pPr>
            <w:r w:rsidRPr="007A5BE5">
              <w:t xml:space="preserve">Name of </w:t>
            </w:r>
            <w:r w:rsidR="007A5BE5">
              <w:t>i</w:t>
            </w:r>
            <w:r w:rsidRPr="007A5BE5">
              <w:t>nvestment</w:t>
            </w:r>
          </w:p>
        </w:tc>
        <w:tc>
          <w:tcPr>
            <w:tcW w:w="1667" w:type="pct"/>
          </w:tcPr>
          <w:p w14:paraId="7E9964B7" w14:textId="77777777" w:rsidR="008472D5" w:rsidRPr="007A5BE5" w:rsidRDefault="008472D5" w:rsidP="00D0584D">
            <w:pPr>
              <w:pStyle w:val="TableHeading"/>
              <w:cnfStyle w:val="100000000000" w:firstRow="1" w:lastRow="0" w:firstColumn="0" w:lastColumn="0" w:oddVBand="0" w:evenVBand="0" w:oddHBand="0" w:evenHBand="0" w:firstRowFirstColumn="0" w:firstRowLastColumn="0" w:lastRowFirstColumn="0" w:lastRowLastColumn="0"/>
            </w:pPr>
            <w:r w:rsidRPr="007A5BE5">
              <w:t>Duration</w:t>
            </w:r>
          </w:p>
        </w:tc>
        <w:tc>
          <w:tcPr>
            <w:tcW w:w="1666" w:type="pct"/>
          </w:tcPr>
          <w:p w14:paraId="5DB9A9AE" w14:textId="77777777" w:rsidR="008472D5" w:rsidRPr="007A5BE5" w:rsidRDefault="008472D5" w:rsidP="00D0584D">
            <w:pPr>
              <w:pStyle w:val="TableHeading"/>
              <w:cnfStyle w:val="100000000000" w:firstRow="1" w:lastRow="0" w:firstColumn="0" w:lastColumn="0" w:oddVBand="0" w:evenVBand="0" w:oddHBand="0" w:evenHBand="0" w:firstRowFirstColumn="0" w:firstRowLastColumn="0" w:lastRowFirstColumn="0" w:lastRowLastColumn="0"/>
            </w:pPr>
            <w:r w:rsidRPr="007A5BE5">
              <w:t>Key partners</w:t>
            </w:r>
          </w:p>
        </w:tc>
      </w:tr>
      <w:tr w:rsidR="002C7506" w:rsidRPr="00FA2C26" w14:paraId="1780DDEC"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06296E5" w14:textId="21AE52E9" w:rsidR="004F7ABD" w:rsidRPr="003D7E78" w:rsidRDefault="004F7ABD" w:rsidP="004F7ABD">
            <w:pPr>
              <w:pStyle w:val="TableBodyCopy"/>
              <w:rPr>
                <w:rFonts w:asciiTheme="majorHAnsi" w:hAnsiTheme="majorHAnsi" w:cstheme="majorHAnsi"/>
              </w:rPr>
            </w:pPr>
            <w:r w:rsidRPr="003D7E78">
              <w:rPr>
                <w:rFonts w:asciiTheme="majorHAnsi" w:hAnsiTheme="majorHAnsi" w:cstheme="majorHAnsi"/>
              </w:rPr>
              <w:t>Australia</w:t>
            </w:r>
            <w:r w:rsidR="004F78F8">
              <w:rPr>
                <w:rFonts w:asciiTheme="majorHAnsi" w:hAnsiTheme="majorHAnsi" w:cstheme="majorHAnsi"/>
              </w:rPr>
              <w:t>–</w:t>
            </w:r>
            <w:r w:rsidRPr="003D7E78">
              <w:rPr>
                <w:rFonts w:asciiTheme="majorHAnsi" w:hAnsiTheme="majorHAnsi" w:cstheme="majorHAnsi"/>
              </w:rPr>
              <w:t>Indonesia Partnership Towards an Inclusive Society (INKLUSI)</w:t>
            </w:r>
          </w:p>
          <w:p w14:paraId="1F267E9D" w14:textId="37AF7BE7" w:rsidR="009D435D" w:rsidRPr="00FA2C26" w:rsidRDefault="009D435D" w:rsidP="004F7ABD">
            <w:pPr>
              <w:pStyle w:val="TableBodyCopy"/>
              <w:rPr>
                <w:rFonts w:asciiTheme="majorHAnsi" w:hAnsiTheme="majorHAnsi" w:cstheme="majorHAnsi"/>
              </w:rPr>
            </w:pPr>
            <w:r>
              <w:rPr>
                <w:rFonts w:asciiTheme="majorHAnsi" w:hAnsiTheme="majorHAnsi" w:cstheme="majorHAnsi"/>
              </w:rPr>
              <w:t>(</w:t>
            </w:r>
            <w:r w:rsidR="007331B4">
              <w:rPr>
                <w:rFonts w:asciiTheme="majorHAnsi" w:hAnsiTheme="majorHAnsi" w:cstheme="majorHAnsi"/>
              </w:rPr>
              <w:t>b</w:t>
            </w:r>
            <w:r>
              <w:rPr>
                <w:rFonts w:asciiTheme="majorHAnsi" w:hAnsiTheme="majorHAnsi" w:cstheme="majorHAnsi"/>
              </w:rPr>
              <w:t>ilateral)</w:t>
            </w:r>
          </w:p>
        </w:tc>
        <w:tc>
          <w:tcPr>
            <w:tcW w:w="1667" w:type="pct"/>
            <w:shd w:val="clear" w:color="auto" w:fill="D2DEE7" w:themeFill="accent1" w:themeFillTint="33"/>
          </w:tcPr>
          <w:p w14:paraId="22D403CF" w14:textId="62311CCA" w:rsidR="004F7ABD" w:rsidRPr="00FA2C26" w:rsidRDefault="004F7ABD" w:rsidP="004F7ABD">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2021</w:t>
            </w:r>
            <w:r w:rsidR="009D435D">
              <w:rPr>
                <w:rFonts w:asciiTheme="majorHAnsi" w:hAnsiTheme="majorHAnsi" w:cstheme="majorHAnsi"/>
              </w:rPr>
              <w:t>–</w:t>
            </w:r>
            <w:r w:rsidRPr="00FA2C26">
              <w:rPr>
                <w:rFonts w:asciiTheme="majorHAnsi" w:hAnsiTheme="majorHAnsi" w:cstheme="majorHAnsi"/>
              </w:rPr>
              <w:t>2029</w:t>
            </w:r>
          </w:p>
        </w:tc>
        <w:tc>
          <w:tcPr>
            <w:tcW w:w="1666" w:type="pct"/>
            <w:shd w:val="clear" w:color="auto" w:fill="F2F2F2" w:themeFill="background1" w:themeFillShade="F2"/>
          </w:tcPr>
          <w:p w14:paraId="3AA2ED92" w14:textId="08BD1D02" w:rsidR="004F7ABD" w:rsidRPr="00FA2C26" w:rsidRDefault="004F7ABD" w:rsidP="004F7ABD">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roofErr w:type="spellStart"/>
            <w:r w:rsidRPr="00FA2C26">
              <w:rPr>
                <w:rFonts w:asciiTheme="majorHAnsi" w:hAnsiTheme="majorHAnsi" w:cstheme="majorHAnsi"/>
              </w:rPr>
              <w:t>Bappenas</w:t>
            </w:r>
            <w:proofErr w:type="spellEnd"/>
            <w:r w:rsidRPr="00FA2C26">
              <w:rPr>
                <w:rFonts w:asciiTheme="majorHAnsi" w:hAnsiTheme="majorHAnsi" w:cstheme="majorHAnsi"/>
              </w:rPr>
              <w:t xml:space="preserve">; </w:t>
            </w:r>
            <w:proofErr w:type="spellStart"/>
            <w:r w:rsidRPr="00FA2C26">
              <w:rPr>
                <w:rFonts w:asciiTheme="majorHAnsi" w:hAnsiTheme="majorHAnsi" w:cstheme="majorHAnsi"/>
              </w:rPr>
              <w:t>MoWECP</w:t>
            </w:r>
            <w:proofErr w:type="spellEnd"/>
            <w:r w:rsidRPr="00FA2C26">
              <w:rPr>
                <w:rFonts w:asciiTheme="majorHAnsi" w:hAnsiTheme="majorHAnsi" w:cstheme="majorHAnsi"/>
              </w:rPr>
              <w:t xml:space="preserve">; </w:t>
            </w:r>
            <w:r w:rsidR="004F78F8">
              <w:rPr>
                <w:rFonts w:asciiTheme="majorHAnsi" w:hAnsiTheme="majorHAnsi" w:cstheme="majorHAnsi"/>
              </w:rPr>
              <w:t>ILO</w:t>
            </w:r>
            <w:r w:rsidRPr="00FA2C26">
              <w:rPr>
                <w:rFonts w:asciiTheme="majorHAnsi" w:hAnsiTheme="majorHAnsi" w:cstheme="majorHAnsi"/>
              </w:rPr>
              <w:t xml:space="preserve">; </w:t>
            </w:r>
            <w:r w:rsidR="009D435D" w:rsidRPr="00FA2C26">
              <w:rPr>
                <w:rFonts w:asciiTheme="majorHAnsi" w:hAnsiTheme="majorHAnsi" w:cstheme="majorHAnsi"/>
              </w:rPr>
              <w:t>CSOs</w:t>
            </w:r>
          </w:p>
        </w:tc>
      </w:tr>
      <w:tr w:rsidR="002C7506" w:rsidRPr="00FA2C26" w14:paraId="22918BD6"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40E5AED" w14:textId="28C68684" w:rsidR="00300F31" w:rsidRPr="003D7E78" w:rsidRDefault="00300F31" w:rsidP="00300F31">
            <w:pPr>
              <w:pStyle w:val="TableBodyCopy"/>
              <w:rPr>
                <w:rFonts w:asciiTheme="majorHAnsi" w:hAnsiTheme="majorHAnsi" w:cstheme="majorHAnsi"/>
              </w:rPr>
            </w:pPr>
            <w:r w:rsidRPr="003D7E78">
              <w:rPr>
                <w:rFonts w:asciiTheme="majorHAnsi" w:hAnsiTheme="majorHAnsi" w:cstheme="majorHAnsi"/>
              </w:rPr>
              <w:t>Australia</w:t>
            </w:r>
            <w:r w:rsidR="00FF6925">
              <w:rPr>
                <w:rFonts w:asciiTheme="majorHAnsi" w:hAnsiTheme="majorHAnsi" w:cstheme="majorHAnsi"/>
              </w:rPr>
              <w:t>–</w:t>
            </w:r>
            <w:r w:rsidRPr="003D7E78">
              <w:rPr>
                <w:rFonts w:asciiTheme="majorHAnsi" w:hAnsiTheme="majorHAnsi" w:cstheme="majorHAnsi"/>
              </w:rPr>
              <w:t>Indonesia Knowledge Partnerships Platform (KONEKSI)</w:t>
            </w:r>
          </w:p>
          <w:p w14:paraId="45CE5F15" w14:textId="63234E5E" w:rsidR="009D435D" w:rsidRPr="00FA2C26" w:rsidRDefault="009D435D" w:rsidP="00300F31">
            <w:pPr>
              <w:pStyle w:val="TableBodyCopy"/>
              <w:rPr>
                <w:rFonts w:asciiTheme="majorHAnsi" w:hAnsiTheme="majorHAnsi" w:cstheme="majorHAnsi"/>
              </w:rPr>
            </w:pPr>
            <w:r>
              <w:rPr>
                <w:rFonts w:asciiTheme="majorHAnsi" w:hAnsiTheme="majorHAnsi" w:cstheme="majorHAnsi"/>
              </w:rPr>
              <w:t>(</w:t>
            </w:r>
            <w:r w:rsidR="007331B4">
              <w:rPr>
                <w:rFonts w:asciiTheme="majorHAnsi" w:hAnsiTheme="majorHAnsi" w:cstheme="majorHAnsi"/>
              </w:rPr>
              <w:t>b</w:t>
            </w:r>
            <w:r>
              <w:rPr>
                <w:rFonts w:asciiTheme="majorHAnsi" w:hAnsiTheme="majorHAnsi" w:cstheme="majorHAnsi"/>
              </w:rPr>
              <w:t>ilateral)</w:t>
            </w:r>
          </w:p>
        </w:tc>
        <w:tc>
          <w:tcPr>
            <w:tcW w:w="1667" w:type="pct"/>
            <w:shd w:val="clear" w:color="auto" w:fill="D2DEE7" w:themeFill="accent1" w:themeFillTint="33"/>
          </w:tcPr>
          <w:p w14:paraId="192272E3" w14:textId="5C8252E0" w:rsidR="00300F31" w:rsidRPr="00FA2C26" w:rsidRDefault="00300F31" w:rsidP="00300F31">
            <w:pPr>
              <w:pStyle w:val="TableBodyCop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2023</w:t>
            </w:r>
            <w:r w:rsidR="009D435D">
              <w:rPr>
                <w:rFonts w:asciiTheme="majorHAnsi" w:hAnsiTheme="majorHAnsi" w:cstheme="majorHAnsi"/>
              </w:rPr>
              <w:t>–</w:t>
            </w:r>
            <w:r w:rsidRPr="00FA2C26">
              <w:rPr>
                <w:rFonts w:asciiTheme="majorHAnsi" w:hAnsiTheme="majorHAnsi" w:cstheme="majorHAnsi"/>
              </w:rPr>
              <w:t>2027</w:t>
            </w:r>
          </w:p>
        </w:tc>
        <w:tc>
          <w:tcPr>
            <w:tcW w:w="1666" w:type="pct"/>
            <w:shd w:val="clear" w:color="auto" w:fill="F2F2F2" w:themeFill="background1" w:themeFillShade="F2"/>
          </w:tcPr>
          <w:p w14:paraId="599E222A" w14:textId="65DB6EB6" w:rsidR="00300F31" w:rsidRPr="00FA2C26" w:rsidRDefault="00300F31" w:rsidP="00300F31">
            <w:pPr>
              <w:pStyle w:val="TableBodyCop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roofErr w:type="spellStart"/>
            <w:r w:rsidRPr="00FA2C26">
              <w:rPr>
                <w:rFonts w:asciiTheme="majorHAnsi" w:hAnsiTheme="majorHAnsi" w:cstheme="majorHAnsi"/>
              </w:rPr>
              <w:t>Bappenas</w:t>
            </w:r>
            <w:proofErr w:type="spellEnd"/>
            <w:r w:rsidRPr="00FA2C26">
              <w:rPr>
                <w:rFonts w:asciiTheme="majorHAnsi" w:hAnsiTheme="majorHAnsi" w:cstheme="majorHAnsi"/>
              </w:rPr>
              <w:t xml:space="preserve">; BRIN; </w:t>
            </w:r>
            <w:proofErr w:type="spellStart"/>
            <w:r w:rsidRPr="00FA2C26">
              <w:rPr>
                <w:rFonts w:asciiTheme="majorHAnsi" w:hAnsiTheme="majorHAnsi" w:cstheme="majorHAnsi"/>
              </w:rPr>
              <w:t>MoECRT</w:t>
            </w:r>
            <w:proofErr w:type="spellEnd"/>
            <w:r w:rsidRPr="00FA2C26">
              <w:rPr>
                <w:rFonts w:asciiTheme="majorHAnsi" w:hAnsiTheme="majorHAnsi" w:cstheme="majorHAnsi"/>
              </w:rPr>
              <w:t>; research institutions; CSOs; private sector</w:t>
            </w:r>
          </w:p>
        </w:tc>
      </w:tr>
      <w:tr w:rsidR="002C7506" w:rsidRPr="00FA2C26" w14:paraId="4F9E2FBA"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EA2DA9F" w14:textId="4382EF91" w:rsidR="000E5E21" w:rsidRPr="003D7E78" w:rsidRDefault="000E5E21" w:rsidP="000E5E21">
            <w:pPr>
              <w:pStyle w:val="TableBodyCopy"/>
              <w:rPr>
                <w:rFonts w:asciiTheme="majorHAnsi" w:hAnsiTheme="majorHAnsi" w:cstheme="majorHAnsi"/>
              </w:rPr>
            </w:pPr>
            <w:r w:rsidRPr="003D7E78">
              <w:rPr>
                <w:rFonts w:asciiTheme="majorHAnsi" w:hAnsiTheme="majorHAnsi" w:cstheme="majorHAnsi"/>
              </w:rPr>
              <w:t>Australia</w:t>
            </w:r>
            <w:r w:rsidR="00FF6925">
              <w:rPr>
                <w:rFonts w:asciiTheme="majorHAnsi" w:hAnsiTheme="majorHAnsi" w:cstheme="majorHAnsi"/>
              </w:rPr>
              <w:t>–</w:t>
            </w:r>
            <w:r w:rsidRPr="003D7E78">
              <w:rPr>
                <w:rFonts w:asciiTheme="majorHAnsi" w:hAnsiTheme="majorHAnsi" w:cstheme="majorHAnsi"/>
              </w:rPr>
              <w:t>World Bank Indonesia Partnership (ABIP)</w:t>
            </w:r>
          </w:p>
          <w:p w14:paraId="4C98818F" w14:textId="112D5430" w:rsidR="009D435D" w:rsidRPr="00FA2C26" w:rsidRDefault="009D435D" w:rsidP="000E5E21">
            <w:pPr>
              <w:pStyle w:val="TableBodyCopy"/>
              <w:rPr>
                <w:rFonts w:asciiTheme="majorHAnsi" w:hAnsiTheme="majorHAnsi" w:cstheme="majorHAnsi"/>
                <w:b w:val="0"/>
                <w:bCs w:val="0"/>
              </w:rPr>
            </w:pPr>
            <w:r>
              <w:rPr>
                <w:rFonts w:asciiTheme="majorHAnsi" w:hAnsiTheme="majorHAnsi" w:cstheme="majorHAnsi"/>
              </w:rPr>
              <w:t>(</w:t>
            </w:r>
            <w:r w:rsidR="007331B4">
              <w:rPr>
                <w:rFonts w:asciiTheme="majorHAnsi" w:hAnsiTheme="majorHAnsi" w:cstheme="majorHAnsi"/>
              </w:rPr>
              <w:t>b</w:t>
            </w:r>
            <w:r>
              <w:rPr>
                <w:rFonts w:asciiTheme="majorHAnsi" w:hAnsiTheme="majorHAnsi" w:cstheme="majorHAnsi"/>
              </w:rPr>
              <w:t>ilateral)</w:t>
            </w:r>
          </w:p>
        </w:tc>
        <w:tc>
          <w:tcPr>
            <w:tcW w:w="1667" w:type="pct"/>
            <w:shd w:val="clear" w:color="auto" w:fill="D2DEE7" w:themeFill="accent1" w:themeFillTint="33"/>
          </w:tcPr>
          <w:p w14:paraId="11AF25FE" w14:textId="130365FE" w:rsidR="000E5E21" w:rsidRPr="00FA2C26" w:rsidRDefault="000E5E21" w:rsidP="000E5E21">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2020</w:t>
            </w:r>
            <w:r w:rsidR="009D435D">
              <w:rPr>
                <w:rFonts w:asciiTheme="majorHAnsi" w:hAnsiTheme="majorHAnsi" w:cstheme="majorHAnsi"/>
              </w:rPr>
              <w:t>–</w:t>
            </w:r>
            <w:r w:rsidRPr="00FA2C26">
              <w:rPr>
                <w:rFonts w:asciiTheme="majorHAnsi" w:hAnsiTheme="majorHAnsi" w:cstheme="majorHAnsi"/>
              </w:rPr>
              <w:t>2024</w:t>
            </w:r>
          </w:p>
        </w:tc>
        <w:tc>
          <w:tcPr>
            <w:tcW w:w="1666" w:type="pct"/>
            <w:shd w:val="clear" w:color="auto" w:fill="F2F2F2" w:themeFill="background1" w:themeFillShade="F2"/>
          </w:tcPr>
          <w:p w14:paraId="075128FD" w14:textId="046C8FBA" w:rsidR="000E5E21" w:rsidRPr="00FA2C26" w:rsidRDefault="000E5E21" w:rsidP="000E5E21">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 xml:space="preserve">MoF; </w:t>
            </w:r>
            <w:proofErr w:type="spellStart"/>
            <w:r w:rsidRPr="00FA2C26">
              <w:rPr>
                <w:rFonts w:asciiTheme="majorHAnsi" w:hAnsiTheme="majorHAnsi" w:cstheme="majorHAnsi"/>
              </w:rPr>
              <w:t>Bappenas</w:t>
            </w:r>
            <w:proofErr w:type="spellEnd"/>
            <w:r w:rsidRPr="00FA2C26">
              <w:rPr>
                <w:rFonts w:asciiTheme="majorHAnsi" w:hAnsiTheme="majorHAnsi" w:cstheme="majorHAnsi"/>
              </w:rPr>
              <w:t xml:space="preserve">; Coordinating Ministry for Human Development and Culture; </w:t>
            </w:r>
            <w:proofErr w:type="spellStart"/>
            <w:r w:rsidRPr="00FA2C26">
              <w:rPr>
                <w:rFonts w:asciiTheme="majorHAnsi" w:hAnsiTheme="majorHAnsi" w:cstheme="majorHAnsi"/>
              </w:rPr>
              <w:t>MoWECP</w:t>
            </w:r>
            <w:proofErr w:type="spellEnd"/>
            <w:r w:rsidRPr="00FA2C26">
              <w:rPr>
                <w:rFonts w:asciiTheme="majorHAnsi" w:hAnsiTheme="majorHAnsi" w:cstheme="majorHAnsi"/>
              </w:rPr>
              <w:t>; Ministry of Communications and Informatics; Ministry of Manpower; Ministry of Environment and Forestry; World Bank</w:t>
            </w:r>
          </w:p>
        </w:tc>
      </w:tr>
      <w:tr w:rsidR="002C7506" w:rsidRPr="00FA2C26" w14:paraId="7A0FD971"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DE83098" w14:textId="65133049" w:rsidR="00350824" w:rsidRPr="003D7E78" w:rsidRDefault="00350824" w:rsidP="00350824">
            <w:pPr>
              <w:pStyle w:val="TableBodyCopy"/>
              <w:rPr>
                <w:rFonts w:asciiTheme="majorHAnsi" w:hAnsiTheme="majorHAnsi" w:cstheme="majorHAnsi"/>
              </w:rPr>
            </w:pPr>
            <w:r w:rsidRPr="003D7E78">
              <w:rPr>
                <w:rFonts w:asciiTheme="majorHAnsi" w:hAnsiTheme="majorHAnsi" w:cstheme="majorHAnsi"/>
              </w:rPr>
              <w:lastRenderedPageBreak/>
              <w:t>Building Relationships through Intercultural Dialogue and Growing Engagement (BRIDGE)</w:t>
            </w:r>
          </w:p>
          <w:p w14:paraId="0299C6CB" w14:textId="2C3045C0" w:rsidR="009D435D" w:rsidRPr="00FA2C26" w:rsidRDefault="009D435D" w:rsidP="00350824">
            <w:pPr>
              <w:pStyle w:val="TableBodyCopy"/>
              <w:rPr>
                <w:rFonts w:asciiTheme="majorHAnsi" w:hAnsiTheme="majorHAnsi" w:cstheme="majorHAnsi"/>
              </w:rPr>
            </w:pPr>
            <w:r>
              <w:rPr>
                <w:rFonts w:asciiTheme="majorHAnsi" w:hAnsiTheme="majorHAnsi" w:cstheme="majorHAnsi"/>
              </w:rPr>
              <w:t>(</w:t>
            </w:r>
            <w:r w:rsidR="007331B4">
              <w:rPr>
                <w:rFonts w:asciiTheme="majorHAnsi" w:hAnsiTheme="majorHAnsi" w:cstheme="majorHAnsi"/>
              </w:rPr>
              <w:t>b</w:t>
            </w:r>
            <w:r>
              <w:rPr>
                <w:rFonts w:asciiTheme="majorHAnsi" w:hAnsiTheme="majorHAnsi" w:cstheme="majorHAnsi"/>
              </w:rPr>
              <w:t>ilateral)</w:t>
            </w:r>
          </w:p>
        </w:tc>
        <w:tc>
          <w:tcPr>
            <w:tcW w:w="1667" w:type="pct"/>
            <w:shd w:val="clear" w:color="auto" w:fill="D2DEE7" w:themeFill="accent1" w:themeFillTint="33"/>
          </w:tcPr>
          <w:p w14:paraId="606C1384" w14:textId="52F0996F" w:rsidR="00350824" w:rsidRPr="00FA2C26" w:rsidRDefault="00350824" w:rsidP="00350824">
            <w:pPr>
              <w:pStyle w:val="TableBodyCop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2019</w:t>
            </w:r>
            <w:r w:rsidR="009D435D">
              <w:rPr>
                <w:rFonts w:asciiTheme="majorHAnsi" w:hAnsiTheme="majorHAnsi" w:cstheme="majorHAnsi"/>
              </w:rPr>
              <w:t>–</w:t>
            </w:r>
            <w:r w:rsidRPr="00FA2C26">
              <w:rPr>
                <w:rFonts w:asciiTheme="majorHAnsi" w:hAnsiTheme="majorHAnsi" w:cstheme="majorHAnsi"/>
              </w:rPr>
              <w:t>2025</w:t>
            </w:r>
          </w:p>
        </w:tc>
        <w:tc>
          <w:tcPr>
            <w:tcW w:w="1666" w:type="pct"/>
            <w:shd w:val="clear" w:color="auto" w:fill="F2F2F2" w:themeFill="background1" w:themeFillShade="F2"/>
          </w:tcPr>
          <w:p w14:paraId="2D358A85" w14:textId="733B2A7C" w:rsidR="00350824" w:rsidRPr="00FA2C26" w:rsidRDefault="00350824" w:rsidP="00350824">
            <w:pPr>
              <w:pStyle w:val="TableBodyCop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 xml:space="preserve">Indonesian schools; local and provincial governments; </w:t>
            </w:r>
            <w:proofErr w:type="spellStart"/>
            <w:r w:rsidRPr="00FA2C26">
              <w:rPr>
                <w:rFonts w:asciiTheme="majorHAnsi" w:hAnsiTheme="majorHAnsi" w:cstheme="majorHAnsi"/>
              </w:rPr>
              <w:t>MoE</w:t>
            </w:r>
            <w:r w:rsidR="00F64D11">
              <w:rPr>
                <w:rFonts w:asciiTheme="majorHAnsi" w:hAnsiTheme="majorHAnsi" w:cstheme="majorHAnsi"/>
              </w:rPr>
              <w:t>C</w:t>
            </w:r>
            <w:r w:rsidRPr="00FA2C26">
              <w:rPr>
                <w:rFonts w:asciiTheme="majorHAnsi" w:hAnsiTheme="majorHAnsi" w:cstheme="majorHAnsi"/>
              </w:rPr>
              <w:t>RT</w:t>
            </w:r>
            <w:proofErr w:type="spellEnd"/>
            <w:r w:rsidRPr="00FA2C26">
              <w:rPr>
                <w:rFonts w:asciiTheme="majorHAnsi" w:hAnsiTheme="majorHAnsi" w:cstheme="majorHAnsi"/>
              </w:rPr>
              <w:t xml:space="preserve">; </w:t>
            </w:r>
            <w:proofErr w:type="spellStart"/>
            <w:r w:rsidRPr="00FA2C26">
              <w:rPr>
                <w:rFonts w:asciiTheme="majorHAnsi" w:hAnsiTheme="majorHAnsi" w:cstheme="majorHAnsi"/>
              </w:rPr>
              <w:t>MoRA</w:t>
            </w:r>
            <w:proofErr w:type="spellEnd"/>
          </w:p>
        </w:tc>
      </w:tr>
      <w:tr w:rsidR="002C7506" w:rsidRPr="00FA2C26" w14:paraId="6FB35FF5"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BF3FF0A" w14:textId="219A4DAA" w:rsidR="008133D1" w:rsidRPr="003D7E78" w:rsidRDefault="008133D1" w:rsidP="008133D1">
            <w:pPr>
              <w:pStyle w:val="TableBodyCopy"/>
              <w:rPr>
                <w:rFonts w:asciiTheme="majorHAnsi" w:hAnsiTheme="majorHAnsi" w:cstheme="majorHAnsi"/>
              </w:rPr>
            </w:pPr>
            <w:r w:rsidRPr="003D7E78">
              <w:rPr>
                <w:rFonts w:asciiTheme="majorHAnsi" w:hAnsiTheme="majorHAnsi" w:cstheme="majorHAnsi"/>
              </w:rPr>
              <w:t xml:space="preserve">Australia Awards in Indonesia </w:t>
            </w:r>
            <w:r w:rsidR="00AD0DDB">
              <w:rPr>
                <w:rFonts w:asciiTheme="majorHAnsi" w:hAnsiTheme="majorHAnsi" w:cstheme="majorHAnsi"/>
              </w:rPr>
              <w:t>p</w:t>
            </w:r>
            <w:r w:rsidRPr="003D7E78">
              <w:rPr>
                <w:rFonts w:asciiTheme="majorHAnsi" w:hAnsiTheme="majorHAnsi" w:cstheme="majorHAnsi"/>
              </w:rPr>
              <w:t xml:space="preserve">rogram </w:t>
            </w:r>
            <w:r w:rsidR="00AD0DDB">
              <w:rPr>
                <w:rFonts w:asciiTheme="majorHAnsi" w:hAnsiTheme="majorHAnsi" w:cstheme="majorHAnsi"/>
              </w:rPr>
              <w:t>(AAI)</w:t>
            </w:r>
          </w:p>
          <w:p w14:paraId="4D15CF0B" w14:textId="37A228A2" w:rsidR="009D435D" w:rsidRPr="00FA2C26" w:rsidRDefault="009D435D" w:rsidP="008133D1">
            <w:pPr>
              <w:pStyle w:val="TableBodyCopy"/>
              <w:rPr>
                <w:rFonts w:asciiTheme="majorHAnsi" w:hAnsiTheme="majorHAnsi" w:cstheme="majorHAnsi"/>
              </w:rPr>
            </w:pPr>
            <w:r>
              <w:rPr>
                <w:rFonts w:asciiTheme="majorHAnsi" w:hAnsiTheme="majorHAnsi" w:cstheme="majorHAnsi"/>
              </w:rPr>
              <w:t>(</w:t>
            </w:r>
            <w:r w:rsidR="007331B4">
              <w:rPr>
                <w:rFonts w:asciiTheme="majorHAnsi" w:hAnsiTheme="majorHAnsi" w:cstheme="majorHAnsi"/>
              </w:rPr>
              <w:t>b</w:t>
            </w:r>
            <w:r>
              <w:rPr>
                <w:rFonts w:asciiTheme="majorHAnsi" w:hAnsiTheme="majorHAnsi" w:cstheme="majorHAnsi"/>
              </w:rPr>
              <w:t>ilateral)</w:t>
            </w:r>
          </w:p>
        </w:tc>
        <w:tc>
          <w:tcPr>
            <w:tcW w:w="1667" w:type="pct"/>
            <w:shd w:val="clear" w:color="auto" w:fill="D2DEE7" w:themeFill="accent1" w:themeFillTint="33"/>
          </w:tcPr>
          <w:p w14:paraId="58B4B0BC" w14:textId="62FD9954" w:rsidR="008133D1" w:rsidRPr="00FA2C26" w:rsidRDefault="008133D1" w:rsidP="008133D1">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2022</w:t>
            </w:r>
            <w:r w:rsidR="009D435D">
              <w:rPr>
                <w:rFonts w:asciiTheme="majorHAnsi" w:hAnsiTheme="majorHAnsi" w:cstheme="majorHAnsi"/>
              </w:rPr>
              <w:t>–</w:t>
            </w:r>
            <w:r w:rsidRPr="00FA2C26">
              <w:rPr>
                <w:rFonts w:asciiTheme="majorHAnsi" w:hAnsiTheme="majorHAnsi" w:cstheme="majorHAnsi"/>
              </w:rPr>
              <w:t>2026</w:t>
            </w:r>
          </w:p>
        </w:tc>
        <w:tc>
          <w:tcPr>
            <w:tcW w:w="1666" w:type="pct"/>
            <w:shd w:val="clear" w:color="auto" w:fill="F2F2F2" w:themeFill="background1" w:themeFillShade="F2"/>
          </w:tcPr>
          <w:p w14:paraId="26ED1109" w14:textId="120EFA59" w:rsidR="008133D1" w:rsidRPr="00FA2C26" w:rsidRDefault="008133D1" w:rsidP="008133D1">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 xml:space="preserve">Ministry of State Secretariat; </w:t>
            </w:r>
            <w:proofErr w:type="spellStart"/>
            <w:r w:rsidRPr="00FA2C26">
              <w:rPr>
                <w:rFonts w:asciiTheme="majorHAnsi" w:hAnsiTheme="majorHAnsi" w:cstheme="majorHAnsi"/>
              </w:rPr>
              <w:t>MoHA</w:t>
            </w:r>
            <w:proofErr w:type="spellEnd"/>
            <w:r w:rsidRPr="00FA2C26">
              <w:rPr>
                <w:rFonts w:asciiTheme="majorHAnsi" w:hAnsiTheme="majorHAnsi" w:cstheme="majorHAnsi"/>
              </w:rPr>
              <w:t xml:space="preserve">; </w:t>
            </w:r>
            <w:proofErr w:type="spellStart"/>
            <w:r w:rsidRPr="00FA2C26">
              <w:rPr>
                <w:rFonts w:asciiTheme="majorHAnsi" w:hAnsiTheme="majorHAnsi" w:cstheme="majorHAnsi"/>
              </w:rPr>
              <w:t>MoECRT</w:t>
            </w:r>
            <w:proofErr w:type="spellEnd"/>
            <w:r w:rsidRPr="00FA2C26">
              <w:rPr>
                <w:rFonts w:asciiTheme="majorHAnsi" w:hAnsiTheme="majorHAnsi" w:cstheme="majorHAnsi"/>
              </w:rPr>
              <w:t>; OPDs</w:t>
            </w:r>
          </w:p>
        </w:tc>
      </w:tr>
      <w:tr w:rsidR="002C7506" w:rsidRPr="00FA2C26" w14:paraId="21AF5AD2"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57AFBFE" w14:textId="2AA34037" w:rsidR="00120F04" w:rsidRPr="003D7E78" w:rsidRDefault="00120F04" w:rsidP="00120F04">
            <w:pPr>
              <w:pStyle w:val="TableBodyCopy"/>
              <w:rPr>
                <w:rFonts w:asciiTheme="majorHAnsi" w:hAnsiTheme="majorHAnsi" w:cstheme="majorHAnsi"/>
              </w:rPr>
            </w:pPr>
            <w:r w:rsidRPr="003D7E78">
              <w:rPr>
                <w:rFonts w:asciiTheme="majorHAnsi" w:hAnsiTheme="majorHAnsi" w:cstheme="majorHAnsi"/>
              </w:rPr>
              <w:t>Australia</w:t>
            </w:r>
            <w:r w:rsidR="00AD0DDB">
              <w:rPr>
                <w:rFonts w:asciiTheme="majorHAnsi" w:hAnsiTheme="majorHAnsi" w:cstheme="majorHAnsi"/>
              </w:rPr>
              <w:t>–</w:t>
            </w:r>
            <w:r w:rsidRPr="003D7E78">
              <w:rPr>
                <w:rFonts w:asciiTheme="majorHAnsi" w:hAnsiTheme="majorHAnsi" w:cstheme="majorHAnsi"/>
              </w:rPr>
              <w:t>Indonesia Institute (AII)</w:t>
            </w:r>
          </w:p>
          <w:p w14:paraId="4F75241A" w14:textId="53E33F51" w:rsidR="009D435D" w:rsidRPr="00FA2C26" w:rsidRDefault="009D435D" w:rsidP="00120F04">
            <w:pPr>
              <w:pStyle w:val="TableBodyCopy"/>
              <w:rPr>
                <w:rFonts w:asciiTheme="majorHAnsi" w:hAnsiTheme="majorHAnsi" w:cstheme="majorHAnsi"/>
              </w:rPr>
            </w:pPr>
            <w:r>
              <w:rPr>
                <w:rFonts w:asciiTheme="majorHAnsi" w:hAnsiTheme="majorHAnsi" w:cstheme="majorHAnsi"/>
              </w:rPr>
              <w:t>(</w:t>
            </w:r>
            <w:r w:rsidR="007331B4">
              <w:rPr>
                <w:rFonts w:asciiTheme="majorHAnsi" w:hAnsiTheme="majorHAnsi" w:cstheme="majorHAnsi"/>
              </w:rPr>
              <w:t>b</w:t>
            </w:r>
            <w:r>
              <w:rPr>
                <w:rFonts w:asciiTheme="majorHAnsi" w:hAnsiTheme="majorHAnsi" w:cstheme="majorHAnsi"/>
              </w:rPr>
              <w:t>ilateral)</w:t>
            </w:r>
          </w:p>
        </w:tc>
        <w:tc>
          <w:tcPr>
            <w:tcW w:w="1667" w:type="pct"/>
            <w:shd w:val="clear" w:color="auto" w:fill="D2DEE7" w:themeFill="accent1" w:themeFillTint="33"/>
          </w:tcPr>
          <w:p w14:paraId="5BF6DB13" w14:textId="5000EF40" w:rsidR="00120F04" w:rsidRPr="00FA2C26" w:rsidRDefault="00120F04" w:rsidP="00120F04">
            <w:pPr>
              <w:pStyle w:val="TableBodyCop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2023</w:t>
            </w:r>
            <w:r w:rsidR="009D435D">
              <w:rPr>
                <w:rFonts w:asciiTheme="majorHAnsi" w:hAnsiTheme="majorHAnsi" w:cstheme="majorHAnsi"/>
              </w:rPr>
              <w:t>–</w:t>
            </w:r>
            <w:r w:rsidRPr="00FA2C26">
              <w:rPr>
                <w:rFonts w:asciiTheme="majorHAnsi" w:hAnsiTheme="majorHAnsi" w:cstheme="majorHAnsi"/>
              </w:rPr>
              <w:t xml:space="preserve">2024 </w:t>
            </w:r>
          </w:p>
        </w:tc>
        <w:tc>
          <w:tcPr>
            <w:tcW w:w="1666" w:type="pct"/>
            <w:shd w:val="clear" w:color="auto" w:fill="F2F2F2" w:themeFill="background1" w:themeFillShade="F2"/>
          </w:tcPr>
          <w:p w14:paraId="283F5BBE" w14:textId="4EE74882" w:rsidR="00120F04" w:rsidRPr="00FA2C26" w:rsidRDefault="00AD0DDB" w:rsidP="00120F04">
            <w:pPr>
              <w:pStyle w:val="TableBodyCop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Australia</w:t>
            </w:r>
            <w:r>
              <w:rPr>
                <w:rFonts w:asciiTheme="majorHAnsi" w:hAnsiTheme="majorHAnsi" w:cstheme="majorHAnsi"/>
              </w:rPr>
              <w:t>–</w:t>
            </w:r>
            <w:r w:rsidR="00120F04" w:rsidRPr="00FA2C26">
              <w:rPr>
                <w:rFonts w:asciiTheme="majorHAnsi" w:hAnsiTheme="majorHAnsi" w:cstheme="majorHAnsi"/>
              </w:rPr>
              <w:t>Indonesia Institute (AII)</w:t>
            </w:r>
          </w:p>
        </w:tc>
      </w:tr>
      <w:tr w:rsidR="002C7506" w:rsidRPr="00FA2C26" w14:paraId="58D4954A"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00EC15B" w14:textId="77777777" w:rsidR="00993426" w:rsidRPr="003D7E78" w:rsidRDefault="00993426" w:rsidP="00993426">
            <w:pPr>
              <w:pStyle w:val="TableBodyCopy"/>
              <w:rPr>
                <w:rFonts w:asciiTheme="majorHAnsi" w:hAnsiTheme="majorHAnsi" w:cstheme="majorHAnsi"/>
              </w:rPr>
            </w:pPr>
            <w:r w:rsidRPr="003D7E78">
              <w:rPr>
                <w:rFonts w:asciiTheme="majorHAnsi" w:hAnsiTheme="majorHAnsi" w:cstheme="majorHAnsi"/>
              </w:rPr>
              <w:t xml:space="preserve">Women, </w:t>
            </w:r>
            <w:proofErr w:type="gramStart"/>
            <w:r w:rsidRPr="003D7E78">
              <w:rPr>
                <w:rFonts w:asciiTheme="majorHAnsi" w:hAnsiTheme="majorHAnsi" w:cstheme="majorHAnsi"/>
              </w:rPr>
              <w:t>Peace</w:t>
            </w:r>
            <w:proofErr w:type="gramEnd"/>
            <w:r w:rsidRPr="003D7E78">
              <w:rPr>
                <w:rFonts w:asciiTheme="majorHAnsi" w:hAnsiTheme="majorHAnsi" w:cstheme="majorHAnsi"/>
              </w:rPr>
              <w:t xml:space="preserve"> and Security </w:t>
            </w:r>
          </w:p>
          <w:p w14:paraId="0044E8C4" w14:textId="09F77287" w:rsidR="009D435D" w:rsidRPr="00FA2C26" w:rsidRDefault="009D435D" w:rsidP="00993426">
            <w:pPr>
              <w:pStyle w:val="TableBodyCopy"/>
              <w:rPr>
                <w:rFonts w:asciiTheme="majorHAnsi" w:hAnsiTheme="majorHAnsi" w:cstheme="majorHAnsi"/>
              </w:rPr>
            </w:pPr>
            <w:r>
              <w:rPr>
                <w:rFonts w:asciiTheme="majorHAnsi" w:hAnsiTheme="majorHAnsi" w:cstheme="majorHAnsi"/>
              </w:rPr>
              <w:t>(</w:t>
            </w:r>
            <w:r w:rsidR="007331B4">
              <w:rPr>
                <w:rFonts w:asciiTheme="majorHAnsi" w:hAnsiTheme="majorHAnsi" w:cstheme="majorHAnsi"/>
              </w:rPr>
              <w:t>r</w:t>
            </w:r>
            <w:r>
              <w:rPr>
                <w:rFonts w:asciiTheme="majorHAnsi" w:hAnsiTheme="majorHAnsi" w:cstheme="majorHAnsi"/>
              </w:rPr>
              <w:t>egional)</w:t>
            </w:r>
          </w:p>
        </w:tc>
        <w:tc>
          <w:tcPr>
            <w:tcW w:w="1667" w:type="pct"/>
            <w:shd w:val="clear" w:color="auto" w:fill="D2DEE7" w:themeFill="accent1" w:themeFillTint="33"/>
          </w:tcPr>
          <w:p w14:paraId="6EA2676A" w14:textId="74F15FDC" w:rsidR="00993426" w:rsidRPr="00FA2C26" w:rsidRDefault="00993426" w:rsidP="00993426">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2022</w:t>
            </w:r>
            <w:r w:rsidR="009D435D">
              <w:rPr>
                <w:rFonts w:asciiTheme="majorHAnsi" w:hAnsiTheme="majorHAnsi" w:cstheme="majorHAnsi"/>
              </w:rPr>
              <w:t>–</w:t>
            </w:r>
            <w:r w:rsidRPr="00FA2C26">
              <w:rPr>
                <w:rFonts w:asciiTheme="majorHAnsi" w:hAnsiTheme="majorHAnsi" w:cstheme="majorHAnsi"/>
              </w:rPr>
              <w:t>2027</w:t>
            </w:r>
          </w:p>
        </w:tc>
        <w:tc>
          <w:tcPr>
            <w:tcW w:w="1666" w:type="pct"/>
            <w:shd w:val="clear" w:color="auto" w:fill="F2F2F2" w:themeFill="background1" w:themeFillShade="F2"/>
          </w:tcPr>
          <w:p w14:paraId="676640E6" w14:textId="2817EFE7" w:rsidR="00993426" w:rsidRPr="00FA2C26" w:rsidRDefault="00993426" w:rsidP="00993426">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UN Women; CSOs</w:t>
            </w:r>
          </w:p>
        </w:tc>
      </w:tr>
      <w:tr w:rsidR="002C7506" w:rsidRPr="00FA2C26" w14:paraId="28C95D57"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97C0944" w14:textId="77777777" w:rsidR="00993426" w:rsidRPr="003D7E78" w:rsidRDefault="00993426" w:rsidP="00993426">
            <w:pPr>
              <w:pStyle w:val="TableBodyCopy"/>
              <w:rPr>
                <w:rFonts w:asciiTheme="majorHAnsi" w:hAnsiTheme="majorHAnsi" w:cstheme="majorHAnsi"/>
              </w:rPr>
            </w:pPr>
            <w:r w:rsidRPr="003D7E78">
              <w:rPr>
                <w:rFonts w:asciiTheme="majorHAnsi" w:hAnsiTheme="majorHAnsi" w:cstheme="majorHAnsi"/>
              </w:rPr>
              <w:t>Marine Resources Initiative</w:t>
            </w:r>
          </w:p>
          <w:p w14:paraId="4F9EBC89" w14:textId="14EBB3FA" w:rsidR="009D435D" w:rsidRPr="00FA2C26" w:rsidRDefault="009D435D" w:rsidP="00993426">
            <w:pPr>
              <w:pStyle w:val="TableBodyCopy"/>
              <w:rPr>
                <w:rFonts w:asciiTheme="majorHAnsi" w:hAnsiTheme="majorHAnsi" w:cstheme="majorHAnsi"/>
              </w:rPr>
            </w:pPr>
            <w:r>
              <w:rPr>
                <w:rFonts w:asciiTheme="majorHAnsi" w:hAnsiTheme="majorHAnsi" w:cstheme="majorHAnsi"/>
              </w:rPr>
              <w:t>(</w:t>
            </w:r>
            <w:r w:rsidR="007331B4">
              <w:rPr>
                <w:rFonts w:asciiTheme="majorHAnsi" w:hAnsiTheme="majorHAnsi" w:cstheme="majorHAnsi"/>
              </w:rPr>
              <w:t>r</w:t>
            </w:r>
            <w:r>
              <w:rPr>
                <w:rFonts w:asciiTheme="majorHAnsi" w:hAnsiTheme="majorHAnsi" w:cstheme="majorHAnsi"/>
              </w:rPr>
              <w:t>egional)</w:t>
            </w:r>
          </w:p>
        </w:tc>
        <w:tc>
          <w:tcPr>
            <w:tcW w:w="1667" w:type="pct"/>
            <w:shd w:val="clear" w:color="auto" w:fill="D2DEE7" w:themeFill="accent1" w:themeFillTint="33"/>
          </w:tcPr>
          <w:p w14:paraId="17B3A359" w14:textId="4B4F383E" w:rsidR="00993426" w:rsidRPr="00FA2C26" w:rsidRDefault="00993426" w:rsidP="00993426">
            <w:pPr>
              <w:pStyle w:val="TableBodyCop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2020</w:t>
            </w:r>
            <w:r w:rsidR="009D435D">
              <w:rPr>
                <w:rFonts w:asciiTheme="majorHAnsi" w:hAnsiTheme="majorHAnsi" w:cstheme="majorHAnsi"/>
              </w:rPr>
              <w:t>–</w:t>
            </w:r>
            <w:r w:rsidRPr="00FA2C26">
              <w:rPr>
                <w:rFonts w:asciiTheme="majorHAnsi" w:hAnsiTheme="majorHAnsi" w:cstheme="majorHAnsi"/>
              </w:rPr>
              <w:t xml:space="preserve">2024 </w:t>
            </w:r>
            <w:r w:rsidR="000125D8">
              <w:rPr>
                <w:rFonts w:asciiTheme="majorHAnsi" w:hAnsiTheme="majorHAnsi" w:cstheme="majorHAnsi"/>
              </w:rPr>
              <w:t>(</w:t>
            </w:r>
            <w:r w:rsidRPr="00FA2C26">
              <w:rPr>
                <w:rFonts w:asciiTheme="majorHAnsi" w:hAnsiTheme="majorHAnsi" w:cstheme="majorHAnsi"/>
              </w:rPr>
              <w:t>non-ODA</w:t>
            </w:r>
            <w:r w:rsidR="000125D8">
              <w:rPr>
                <w:rFonts w:asciiTheme="majorHAnsi" w:hAnsiTheme="majorHAnsi" w:cstheme="majorHAnsi"/>
              </w:rPr>
              <w:t>)</w:t>
            </w:r>
          </w:p>
        </w:tc>
        <w:tc>
          <w:tcPr>
            <w:tcW w:w="1666" w:type="pct"/>
            <w:shd w:val="clear" w:color="auto" w:fill="F2F2F2" w:themeFill="background1" w:themeFillShade="F2"/>
          </w:tcPr>
          <w:p w14:paraId="618E3D0F" w14:textId="22DA7882" w:rsidR="00993426" w:rsidRPr="00FA2C26" w:rsidRDefault="00993426" w:rsidP="00993426">
            <w:pPr>
              <w:pStyle w:val="TableBodyCop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 xml:space="preserve">ASEAN </w:t>
            </w:r>
            <w:r w:rsidR="009D435D">
              <w:rPr>
                <w:rFonts w:asciiTheme="majorHAnsi" w:hAnsiTheme="majorHAnsi" w:cstheme="majorHAnsi"/>
              </w:rPr>
              <w:t>M</w:t>
            </w:r>
            <w:r w:rsidRPr="00FA2C26">
              <w:rPr>
                <w:rFonts w:asciiTheme="majorHAnsi" w:hAnsiTheme="majorHAnsi" w:cstheme="majorHAnsi"/>
              </w:rPr>
              <w:t xml:space="preserve">ember </w:t>
            </w:r>
            <w:r w:rsidR="009D435D">
              <w:rPr>
                <w:rFonts w:asciiTheme="majorHAnsi" w:hAnsiTheme="majorHAnsi" w:cstheme="majorHAnsi"/>
              </w:rPr>
              <w:t>S</w:t>
            </w:r>
            <w:r w:rsidRPr="00FA2C26">
              <w:rPr>
                <w:rFonts w:asciiTheme="majorHAnsi" w:hAnsiTheme="majorHAnsi" w:cstheme="majorHAnsi"/>
              </w:rPr>
              <w:t>tates</w:t>
            </w:r>
          </w:p>
        </w:tc>
      </w:tr>
      <w:tr w:rsidR="002C7506" w:rsidRPr="00FA2C26" w14:paraId="1D5EE752"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F6C63FC" w14:textId="3F4717FA" w:rsidR="00993426" w:rsidRPr="003D7E78" w:rsidRDefault="00993426" w:rsidP="00993426">
            <w:pPr>
              <w:pStyle w:val="TableBodyCopy"/>
              <w:rPr>
                <w:rFonts w:asciiTheme="majorHAnsi" w:hAnsiTheme="majorHAnsi" w:cstheme="majorHAnsi"/>
              </w:rPr>
            </w:pPr>
            <w:r w:rsidRPr="003D7E78">
              <w:rPr>
                <w:rFonts w:asciiTheme="majorHAnsi" w:hAnsiTheme="majorHAnsi" w:cstheme="majorHAnsi"/>
              </w:rPr>
              <w:t>ASEAN</w:t>
            </w:r>
            <w:r w:rsidR="00B82B3B">
              <w:rPr>
                <w:rFonts w:asciiTheme="majorHAnsi" w:hAnsiTheme="majorHAnsi" w:cstheme="majorHAnsi"/>
              </w:rPr>
              <w:t>–</w:t>
            </w:r>
            <w:r w:rsidRPr="003D7E78">
              <w:rPr>
                <w:rFonts w:asciiTheme="majorHAnsi" w:hAnsiTheme="majorHAnsi" w:cstheme="majorHAnsi"/>
              </w:rPr>
              <w:t>Australia Plan of Action 2020</w:t>
            </w:r>
            <w:r w:rsidR="00B82B3B">
              <w:rPr>
                <w:rFonts w:asciiTheme="majorHAnsi" w:hAnsiTheme="majorHAnsi" w:cstheme="majorHAnsi"/>
              </w:rPr>
              <w:t>–20</w:t>
            </w:r>
            <w:r w:rsidRPr="003D7E78">
              <w:rPr>
                <w:rFonts w:asciiTheme="majorHAnsi" w:hAnsiTheme="majorHAnsi" w:cstheme="majorHAnsi"/>
              </w:rPr>
              <w:t>24</w:t>
            </w:r>
          </w:p>
          <w:p w14:paraId="500E93DE" w14:textId="256FB720" w:rsidR="009D435D" w:rsidRPr="00FA2C26" w:rsidRDefault="009D435D" w:rsidP="00993426">
            <w:pPr>
              <w:pStyle w:val="TableBodyCopy"/>
              <w:rPr>
                <w:rFonts w:asciiTheme="majorHAnsi" w:hAnsiTheme="majorHAnsi" w:cstheme="majorHAnsi"/>
              </w:rPr>
            </w:pPr>
            <w:r>
              <w:rPr>
                <w:rFonts w:asciiTheme="majorHAnsi" w:hAnsiTheme="majorHAnsi" w:cstheme="majorHAnsi"/>
              </w:rPr>
              <w:t>(</w:t>
            </w:r>
            <w:r w:rsidR="007331B4">
              <w:rPr>
                <w:rFonts w:asciiTheme="majorHAnsi" w:hAnsiTheme="majorHAnsi" w:cstheme="majorHAnsi"/>
              </w:rPr>
              <w:t>r</w:t>
            </w:r>
            <w:r>
              <w:rPr>
                <w:rFonts w:asciiTheme="majorHAnsi" w:hAnsiTheme="majorHAnsi" w:cstheme="majorHAnsi"/>
              </w:rPr>
              <w:t>egional)</w:t>
            </w:r>
          </w:p>
        </w:tc>
        <w:tc>
          <w:tcPr>
            <w:tcW w:w="1667" w:type="pct"/>
            <w:shd w:val="clear" w:color="auto" w:fill="D2DEE7" w:themeFill="accent1" w:themeFillTint="33"/>
          </w:tcPr>
          <w:p w14:paraId="5A4B8D81" w14:textId="49D11047" w:rsidR="00993426" w:rsidRPr="00FA2C26" w:rsidRDefault="00993426" w:rsidP="00993426">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2021</w:t>
            </w:r>
            <w:r w:rsidR="009D435D">
              <w:rPr>
                <w:rFonts w:asciiTheme="majorHAnsi" w:hAnsiTheme="majorHAnsi" w:cstheme="majorHAnsi"/>
              </w:rPr>
              <w:t>–</w:t>
            </w:r>
            <w:r w:rsidRPr="00FA2C26">
              <w:rPr>
                <w:rFonts w:asciiTheme="majorHAnsi" w:hAnsiTheme="majorHAnsi" w:cstheme="majorHAnsi"/>
              </w:rPr>
              <w:t>2027</w:t>
            </w:r>
          </w:p>
        </w:tc>
        <w:tc>
          <w:tcPr>
            <w:tcW w:w="1666" w:type="pct"/>
            <w:shd w:val="clear" w:color="auto" w:fill="F2F2F2" w:themeFill="background1" w:themeFillShade="F2"/>
          </w:tcPr>
          <w:p w14:paraId="1F80703F" w14:textId="305E8CED" w:rsidR="00993426" w:rsidRPr="00FA2C26" w:rsidRDefault="00993426" w:rsidP="00993426">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 xml:space="preserve">ASEAN </w:t>
            </w:r>
            <w:r w:rsidR="009D435D">
              <w:rPr>
                <w:rFonts w:asciiTheme="majorHAnsi" w:hAnsiTheme="majorHAnsi" w:cstheme="majorHAnsi"/>
              </w:rPr>
              <w:t>M</w:t>
            </w:r>
            <w:r w:rsidRPr="00FA2C26">
              <w:rPr>
                <w:rFonts w:asciiTheme="majorHAnsi" w:hAnsiTheme="majorHAnsi" w:cstheme="majorHAnsi"/>
              </w:rPr>
              <w:t xml:space="preserve">ember </w:t>
            </w:r>
            <w:r w:rsidR="009D435D">
              <w:rPr>
                <w:rFonts w:asciiTheme="majorHAnsi" w:hAnsiTheme="majorHAnsi" w:cstheme="majorHAnsi"/>
              </w:rPr>
              <w:t>S</w:t>
            </w:r>
            <w:r w:rsidRPr="00FA2C26">
              <w:rPr>
                <w:rFonts w:asciiTheme="majorHAnsi" w:hAnsiTheme="majorHAnsi" w:cstheme="majorHAnsi"/>
              </w:rPr>
              <w:t>tates</w:t>
            </w:r>
          </w:p>
        </w:tc>
      </w:tr>
      <w:tr w:rsidR="002C7506" w:rsidRPr="00FA2C26" w14:paraId="4145F1FB"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938BB52" w14:textId="77777777" w:rsidR="00993426" w:rsidRPr="003D7E78" w:rsidRDefault="00993426" w:rsidP="00993426">
            <w:pPr>
              <w:pStyle w:val="TableBodyCopy"/>
              <w:rPr>
                <w:rFonts w:asciiTheme="majorHAnsi" w:hAnsiTheme="majorHAnsi" w:cstheme="majorHAnsi"/>
              </w:rPr>
            </w:pPr>
            <w:r w:rsidRPr="003D7E78">
              <w:rPr>
                <w:rFonts w:asciiTheme="majorHAnsi" w:hAnsiTheme="majorHAnsi" w:cstheme="majorHAnsi"/>
              </w:rPr>
              <w:t>Australia for ASEAN Scholarships</w:t>
            </w:r>
          </w:p>
          <w:p w14:paraId="5CDD04BC" w14:textId="76BF21EF" w:rsidR="009D435D" w:rsidRPr="00FA2C26" w:rsidRDefault="009D435D" w:rsidP="00993426">
            <w:pPr>
              <w:pStyle w:val="TableBodyCopy"/>
              <w:rPr>
                <w:rFonts w:asciiTheme="majorHAnsi" w:hAnsiTheme="majorHAnsi" w:cstheme="majorHAnsi"/>
              </w:rPr>
            </w:pPr>
            <w:r>
              <w:rPr>
                <w:rFonts w:asciiTheme="majorHAnsi" w:hAnsiTheme="majorHAnsi" w:cstheme="majorHAnsi"/>
              </w:rPr>
              <w:t>(</w:t>
            </w:r>
            <w:r w:rsidR="007331B4">
              <w:rPr>
                <w:rFonts w:asciiTheme="majorHAnsi" w:hAnsiTheme="majorHAnsi" w:cstheme="majorHAnsi"/>
              </w:rPr>
              <w:t>r</w:t>
            </w:r>
            <w:r>
              <w:rPr>
                <w:rFonts w:asciiTheme="majorHAnsi" w:hAnsiTheme="majorHAnsi" w:cstheme="majorHAnsi"/>
              </w:rPr>
              <w:t>egional)</w:t>
            </w:r>
          </w:p>
        </w:tc>
        <w:tc>
          <w:tcPr>
            <w:tcW w:w="1667" w:type="pct"/>
            <w:shd w:val="clear" w:color="auto" w:fill="D2DEE7" w:themeFill="accent1" w:themeFillTint="33"/>
          </w:tcPr>
          <w:p w14:paraId="260B993C" w14:textId="1D85C9AF" w:rsidR="00993426" w:rsidRPr="00FA2C26" w:rsidRDefault="00993426" w:rsidP="00993426">
            <w:pPr>
              <w:pStyle w:val="TableBodyCop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2022</w:t>
            </w:r>
            <w:r w:rsidR="009D435D">
              <w:rPr>
                <w:rFonts w:asciiTheme="majorHAnsi" w:hAnsiTheme="majorHAnsi" w:cstheme="majorHAnsi"/>
              </w:rPr>
              <w:t>–</w:t>
            </w:r>
            <w:r w:rsidRPr="00FA2C26">
              <w:rPr>
                <w:rFonts w:asciiTheme="majorHAnsi" w:hAnsiTheme="majorHAnsi" w:cstheme="majorHAnsi"/>
              </w:rPr>
              <w:t>2025</w:t>
            </w:r>
          </w:p>
        </w:tc>
        <w:tc>
          <w:tcPr>
            <w:tcW w:w="1666" w:type="pct"/>
            <w:shd w:val="clear" w:color="auto" w:fill="F2F2F2" w:themeFill="background1" w:themeFillShade="F2"/>
          </w:tcPr>
          <w:p w14:paraId="26024CB8" w14:textId="2B465D95" w:rsidR="00993426" w:rsidRPr="00FA2C26" w:rsidRDefault="00993426" w:rsidP="00993426">
            <w:pPr>
              <w:pStyle w:val="TableBodyCop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 xml:space="preserve">ASEAN </w:t>
            </w:r>
            <w:r w:rsidR="009D435D">
              <w:rPr>
                <w:rFonts w:asciiTheme="majorHAnsi" w:hAnsiTheme="majorHAnsi" w:cstheme="majorHAnsi"/>
              </w:rPr>
              <w:t>M</w:t>
            </w:r>
            <w:r w:rsidRPr="00FA2C26">
              <w:rPr>
                <w:rFonts w:asciiTheme="majorHAnsi" w:hAnsiTheme="majorHAnsi" w:cstheme="majorHAnsi"/>
              </w:rPr>
              <w:t xml:space="preserve">ember </w:t>
            </w:r>
            <w:r w:rsidR="009D435D">
              <w:rPr>
                <w:rFonts w:asciiTheme="majorHAnsi" w:hAnsiTheme="majorHAnsi" w:cstheme="majorHAnsi"/>
              </w:rPr>
              <w:t>S</w:t>
            </w:r>
            <w:r w:rsidRPr="00FA2C26">
              <w:rPr>
                <w:rFonts w:asciiTheme="majorHAnsi" w:hAnsiTheme="majorHAnsi" w:cstheme="majorHAnsi"/>
              </w:rPr>
              <w:t>tates</w:t>
            </w:r>
          </w:p>
        </w:tc>
      </w:tr>
      <w:tr w:rsidR="002C7506" w:rsidRPr="00FA2C26" w14:paraId="1500E5C4"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429D39A" w14:textId="77777777" w:rsidR="00993426" w:rsidRPr="003D7E78" w:rsidRDefault="00993426" w:rsidP="00993426">
            <w:pPr>
              <w:pStyle w:val="TableBodyCopy"/>
              <w:rPr>
                <w:rFonts w:asciiTheme="majorHAnsi" w:hAnsiTheme="majorHAnsi" w:cstheme="majorHAnsi"/>
              </w:rPr>
            </w:pPr>
            <w:r w:rsidRPr="003D7E78">
              <w:rPr>
                <w:rFonts w:asciiTheme="majorHAnsi" w:hAnsiTheme="majorHAnsi" w:cstheme="majorHAnsi"/>
              </w:rPr>
              <w:t>Investing in Gender Statistics</w:t>
            </w:r>
          </w:p>
          <w:p w14:paraId="3360FA6F" w14:textId="3CC064DF" w:rsidR="009D435D" w:rsidRPr="00FA2C26" w:rsidRDefault="009D435D" w:rsidP="00993426">
            <w:pPr>
              <w:pStyle w:val="TableBodyCopy"/>
              <w:rPr>
                <w:rFonts w:asciiTheme="majorHAnsi" w:hAnsiTheme="majorHAnsi" w:cstheme="majorHAnsi"/>
              </w:rPr>
            </w:pPr>
            <w:r>
              <w:rPr>
                <w:rFonts w:asciiTheme="majorHAnsi" w:hAnsiTheme="majorHAnsi" w:cstheme="majorHAnsi"/>
              </w:rPr>
              <w:t>(</w:t>
            </w:r>
            <w:r w:rsidR="007331B4">
              <w:rPr>
                <w:rFonts w:asciiTheme="majorHAnsi" w:hAnsiTheme="majorHAnsi" w:cstheme="majorHAnsi"/>
              </w:rPr>
              <w:t>r</w:t>
            </w:r>
            <w:r>
              <w:rPr>
                <w:rFonts w:asciiTheme="majorHAnsi" w:hAnsiTheme="majorHAnsi" w:cstheme="majorHAnsi"/>
              </w:rPr>
              <w:t>egional)</w:t>
            </w:r>
          </w:p>
        </w:tc>
        <w:tc>
          <w:tcPr>
            <w:tcW w:w="1667" w:type="pct"/>
            <w:shd w:val="clear" w:color="auto" w:fill="D2DEE7" w:themeFill="accent1" w:themeFillTint="33"/>
          </w:tcPr>
          <w:p w14:paraId="2A743C68" w14:textId="3BEA8106" w:rsidR="00993426" w:rsidRPr="00FA2C26" w:rsidRDefault="00993426" w:rsidP="00993426">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2016</w:t>
            </w:r>
            <w:r w:rsidR="009D435D">
              <w:rPr>
                <w:rFonts w:asciiTheme="majorHAnsi" w:hAnsiTheme="majorHAnsi" w:cstheme="majorHAnsi"/>
              </w:rPr>
              <w:t>–</w:t>
            </w:r>
            <w:r w:rsidRPr="00FA2C26">
              <w:rPr>
                <w:rFonts w:asciiTheme="majorHAnsi" w:hAnsiTheme="majorHAnsi" w:cstheme="majorHAnsi"/>
              </w:rPr>
              <w:t>2026</w:t>
            </w:r>
          </w:p>
        </w:tc>
        <w:tc>
          <w:tcPr>
            <w:tcW w:w="1666" w:type="pct"/>
            <w:shd w:val="clear" w:color="auto" w:fill="F2F2F2" w:themeFill="background1" w:themeFillShade="F2"/>
          </w:tcPr>
          <w:p w14:paraId="483E3194" w14:textId="65A2E109" w:rsidR="00993426" w:rsidRPr="00FA2C26" w:rsidRDefault="00993426" w:rsidP="00993426">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UN Women</w:t>
            </w:r>
          </w:p>
        </w:tc>
      </w:tr>
      <w:tr w:rsidR="002C7506" w:rsidRPr="00FA2C26" w14:paraId="724CE5BD" w14:textId="77777777" w:rsidTr="00E07411">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7003DCA" w14:textId="394233AD" w:rsidR="00993426" w:rsidRPr="003D7E78" w:rsidRDefault="00993426" w:rsidP="00993426">
            <w:pPr>
              <w:pStyle w:val="TableBodyCopy"/>
              <w:rPr>
                <w:rFonts w:asciiTheme="majorHAnsi" w:hAnsiTheme="majorHAnsi" w:cstheme="majorHAnsi"/>
              </w:rPr>
            </w:pPr>
            <w:r w:rsidRPr="003D7E78">
              <w:rPr>
                <w:rFonts w:asciiTheme="majorHAnsi" w:hAnsiTheme="majorHAnsi" w:cstheme="majorHAnsi"/>
              </w:rPr>
              <w:t>U</w:t>
            </w:r>
            <w:r w:rsidR="001435F4">
              <w:rPr>
                <w:rFonts w:asciiTheme="majorHAnsi" w:hAnsiTheme="majorHAnsi" w:cstheme="majorHAnsi"/>
              </w:rPr>
              <w:t>nited Nations Development Programme (U</w:t>
            </w:r>
            <w:r w:rsidRPr="003D7E78">
              <w:rPr>
                <w:rFonts w:asciiTheme="majorHAnsi" w:hAnsiTheme="majorHAnsi" w:cstheme="majorHAnsi"/>
              </w:rPr>
              <w:t>NDP</w:t>
            </w:r>
            <w:r w:rsidR="001435F4">
              <w:rPr>
                <w:rFonts w:asciiTheme="majorHAnsi" w:hAnsiTheme="majorHAnsi" w:cstheme="majorHAnsi"/>
              </w:rPr>
              <w:t>)</w:t>
            </w:r>
            <w:r w:rsidRPr="003D7E78">
              <w:rPr>
                <w:rFonts w:asciiTheme="majorHAnsi" w:hAnsiTheme="majorHAnsi" w:cstheme="majorHAnsi"/>
              </w:rPr>
              <w:t xml:space="preserve"> Small Grants program</w:t>
            </w:r>
          </w:p>
          <w:p w14:paraId="5E7B525D" w14:textId="0C1FD596" w:rsidR="009D435D" w:rsidRPr="00FA2C26" w:rsidRDefault="009D435D" w:rsidP="00993426">
            <w:pPr>
              <w:pStyle w:val="TableBodyCopy"/>
              <w:rPr>
                <w:rFonts w:asciiTheme="majorHAnsi" w:hAnsiTheme="majorHAnsi" w:cstheme="majorHAnsi"/>
              </w:rPr>
            </w:pPr>
            <w:r>
              <w:rPr>
                <w:rFonts w:asciiTheme="majorHAnsi" w:hAnsiTheme="majorHAnsi" w:cstheme="majorHAnsi"/>
              </w:rPr>
              <w:t>(</w:t>
            </w:r>
            <w:r w:rsidR="007331B4">
              <w:rPr>
                <w:rFonts w:asciiTheme="majorHAnsi" w:hAnsiTheme="majorHAnsi" w:cstheme="majorHAnsi"/>
              </w:rPr>
              <w:t>r</w:t>
            </w:r>
            <w:r>
              <w:rPr>
                <w:rFonts w:asciiTheme="majorHAnsi" w:hAnsiTheme="majorHAnsi" w:cstheme="majorHAnsi"/>
              </w:rPr>
              <w:t>egional)</w:t>
            </w:r>
          </w:p>
        </w:tc>
        <w:tc>
          <w:tcPr>
            <w:tcW w:w="1667" w:type="pct"/>
            <w:shd w:val="clear" w:color="auto" w:fill="D2DEE7" w:themeFill="accent1" w:themeFillTint="33"/>
          </w:tcPr>
          <w:p w14:paraId="3C13A289" w14:textId="3C519CFB" w:rsidR="00993426" w:rsidRPr="00FA2C26" w:rsidRDefault="00993426" w:rsidP="00993426">
            <w:pPr>
              <w:pStyle w:val="TableBodyCop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2021</w:t>
            </w:r>
            <w:r w:rsidR="009D435D">
              <w:rPr>
                <w:rFonts w:asciiTheme="majorHAnsi" w:hAnsiTheme="majorHAnsi" w:cstheme="majorHAnsi"/>
              </w:rPr>
              <w:t>–</w:t>
            </w:r>
            <w:r w:rsidRPr="00FA2C26">
              <w:rPr>
                <w:rFonts w:asciiTheme="majorHAnsi" w:hAnsiTheme="majorHAnsi" w:cstheme="majorHAnsi"/>
              </w:rPr>
              <w:t>2026</w:t>
            </w:r>
          </w:p>
        </w:tc>
        <w:tc>
          <w:tcPr>
            <w:tcW w:w="1666" w:type="pct"/>
            <w:shd w:val="clear" w:color="auto" w:fill="F2F2F2" w:themeFill="background1" w:themeFillShade="F2"/>
          </w:tcPr>
          <w:p w14:paraId="584F390F" w14:textId="005E5360" w:rsidR="00993426" w:rsidRPr="00FA2C26" w:rsidRDefault="001435F4" w:rsidP="00993426">
            <w:pPr>
              <w:pStyle w:val="TableBodyCop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D7E78">
              <w:rPr>
                <w:rFonts w:asciiTheme="majorHAnsi" w:hAnsiTheme="majorHAnsi" w:cstheme="majorHAnsi"/>
              </w:rPr>
              <w:t>U</w:t>
            </w:r>
            <w:r>
              <w:rPr>
                <w:rFonts w:asciiTheme="majorHAnsi" w:hAnsiTheme="majorHAnsi" w:cstheme="majorHAnsi"/>
              </w:rPr>
              <w:t>nited Nations Development Programme (</w:t>
            </w:r>
            <w:r w:rsidR="00993426" w:rsidRPr="00FA2C26">
              <w:rPr>
                <w:rFonts w:asciiTheme="majorHAnsi" w:hAnsiTheme="majorHAnsi" w:cstheme="majorHAnsi"/>
              </w:rPr>
              <w:t>UNDP</w:t>
            </w:r>
            <w:r>
              <w:rPr>
                <w:rFonts w:asciiTheme="majorHAnsi" w:hAnsiTheme="majorHAnsi" w:cstheme="majorHAnsi"/>
              </w:rPr>
              <w:t>)</w:t>
            </w:r>
            <w:r w:rsidR="00993426" w:rsidRPr="00FA2C26">
              <w:rPr>
                <w:rFonts w:asciiTheme="majorHAnsi" w:hAnsiTheme="majorHAnsi" w:cstheme="majorHAnsi"/>
              </w:rPr>
              <w:t>; Indo-Pacific government partners</w:t>
            </w:r>
          </w:p>
        </w:tc>
      </w:tr>
      <w:tr w:rsidR="002C7506" w:rsidRPr="00FA2C26" w14:paraId="1945592B" w14:textId="77777777" w:rsidTr="00E074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4592054" w14:textId="77777777" w:rsidR="008972A6" w:rsidRPr="003D7E78" w:rsidRDefault="008972A6" w:rsidP="008972A6">
            <w:pPr>
              <w:pStyle w:val="TableBodyCopy"/>
              <w:rPr>
                <w:rFonts w:asciiTheme="majorHAnsi" w:hAnsiTheme="majorHAnsi" w:cstheme="majorHAnsi"/>
              </w:rPr>
            </w:pPr>
            <w:r w:rsidRPr="003D7E78">
              <w:rPr>
                <w:rFonts w:asciiTheme="majorHAnsi" w:hAnsiTheme="majorHAnsi" w:cstheme="majorHAnsi"/>
              </w:rPr>
              <w:t>Australia NGO Cooperation Program (ANCP)</w:t>
            </w:r>
          </w:p>
          <w:p w14:paraId="0BAFC752" w14:textId="5DCEE691" w:rsidR="009D435D" w:rsidRPr="00FA2C26" w:rsidRDefault="009D435D" w:rsidP="008972A6">
            <w:pPr>
              <w:pStyle w:val="TableBodyCopy"/>
              <w:rPr>
                <w:rFonts w:asciiTheme="majorHAnsi" w:hAnsiTheme="majorHAnsi" w:cstheme="majorHAnsi"/>
              </w:rPr>
            </w:pPr>
            <w:r>
              <w:rPr>
                <w:rFonts w:asciiTheme="majorHAnsi" w:hAnsiTheme="majorHAnsi" w:cstheme="majorHAnsi"/>
              </w:rPr>
              <w:t>(</w:t>
            </w:r>
            <w:r w:rsidR="007331B4">
              <w:rPr>
                <w:rFonts w:asciiTheme="majorHAnsi" w:hAnsiTheme="majorHAnsi" w:cstheme="majorHAnsi"/>
              </w:rPr>
              <w:t>g</w:t>
            </w:r>
            <w:r>
              <w:rPr>
                <w:rFonts w:asciiTheme="majorHAnsi" w:hAnsiTheme="majorHAnsi" w:cstheme="majorHAnsi"/>
              </w:rPr>
              <w:t>lobal)</w:t>
            </w:r>
          </w:p>
        </w:tc>
        <w:tc>
          <w:tcPr>
            <w:tcW w:w="1667" w:type="pct"/>
            <w:shd w:val="clear" w:color="auto" w:fill="D2DEE7" w:themeFill="accent1" w:themeFillTint="33"/>
          </w:tcPr>
          <w:p w14:paraId="717E4BDC" w14:textId="09D74CDD" w:rsidR="008972A6" w:rsidRPr="00FA2C26" w:rsidRDefault="000030A3" w:rsidP="008972A6">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Not applicable</w:t>
            </w:r>
          </w:p>
        </w:tc>
        <w:tc>
          <w:tcPr>
            <w:tcW w:w="1666" w:type="pct"/>
            <w:shd w:val="clear" w:color="auto" w:fill="F2F2F2" w:themeFill="background1" w:themeFillShade="F2"/>
          </w:tcPr>
          <w:p w14:paraId="1531242C" w14:textId="5720A14D" w:rsidR="008972A6" w:rsidRPr="00FA2C26" w:rsidRDefault="008972A6" w:rsidP="008972A6">
            <w:pPr>
              <w:pStyle w:val="TableBodyCop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A2C26">
              <w:rPr>
                <w:rFonts w:asciiTheme="majorHAnsi" w:hAnsiTheme="majorHAnsi" w:cstheme="majorHAnsi"/>
              </w:rPr>
              <w:t>Australia NGO Cooperation Program (ANCP)</w:t>
            </w:r>
          </w:p>
        </w:tc>
      </w:tr>
    </w:tbl>
    <w:p w14:paraId="3465C2B2" w14:textId="78DCB0A8" w:rsidR="00A55288" w:rsidRDefault="00E07411" w:rsidP="00A55288">
      <w:r>
        <w:t>Australian Government</w:t>
      </w:r>
      <w:r w:rsidRPr="00CF5050">
        <w:t xml:space="preserve"> bilateral arrangements</w:t>
      </w:r>
      <w:r>
        <w:t xml:space="preserve"> </w:t>
      </w:r>
      <w:r>
        <w:rPr>
          <w:lang w:eastAsia="en-AU"/>
        </w:rPr>
        <w:t>across Objectives 1, 2 and 3</w:t>
      </w:r>
    </w:p>
    <w:tbl>
      <w:tblPr>
        <w:tblStyle w:val="ListTable3-Accent12"/>
        <w:tblW w:w="10201" w:type="dxa"/>
        <w:tblLook w:val="04A0" w:firstRow="1" w:lastRow="0" w:firstColumn="1" w:lastColumn="0" w:noHBand="0" w:noVBand="1"/>
      </w:tblPr>
      <w:tblGrid>
        <w:gridCol w:w="3399"/>
        <w:gridCol w:w="3400"/>
        <w:gridCol w:w="3402"/>
      </w:tblGrid>
      <w:tr w:rsidR="00A55288" w:rsidRPr="007A5BE5" w14:paraId="2C3847B0" w14:textId="77777777" w:rsidTr="00CF505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tcPr>
          <w:p w14:paraId="3EEAEF58" w14:textId="77777777" w:rsidR="00A55288" w:rsidRPr="007A5BE5" w:rsidRDefault="00A55288" w:rsidP="000304FC">
            <w:pPr>
              <w:pStyle w:val="TableHeading"/>
            </w:pPr>
            <w:r w:rsidRPr="007A5BE5">
              <w:t xml:space="preserve">Name of </w:t>
            </w:r>
            <w:r>
              <w:t>arrangement</w:t>
            </w:r>
          </w:p>
        </w:tc>
        <w:tc>
          <w:tcPr>
            <w:tcW w:w="0" w:type="dxa"/>
          </w:tcPr>
          <w:p w14:paraId="55ECE426" w14:textId="77777777" w:rsidR="00A55288" w:rsidRPr="007A5BE5" w:rsidRDefault="00A55288" w:rsidP="000304FC">
            <w:pPr>
              <w:pStyle w:val="TableHeading"/>
              <w:cnfStyle w:val="100000000000" w:firstRow="1" w:lastRow="0" w:firstColumn="0" w:lastColumn="0" w:oddVBand="0" w:evenVBand="0" w:oddHBand="0" w:evenHBand="0" w:firstRowFirstColumn="0" w:firstRowLastColumn="0" w:lastRowFirstColumn="0" w:lastRowLastColumn="0"/>
            </w:pPr>
            <w:r>
              <w:t>Entry into force</w:t>
            </w:r>
          </w:p>
        </w:tc>
        <w:tc>
          <w:tcPr>
            <w:tcW w:w="0" w:type="dxa"/>
          </w:tcPr>
          <w:p w14:paraId="7BF97632" w14:textId="77777777" w:rsidR="00A55288" w:rsidRPr="007A5BE5" w:rsidRDefault="00A55288" w:rsidP="000304FC">
            <w:pPr>
              <w:pStyle w:val="TableHeading"/>
              <w:cnfStyle w:val="100000000000" w:firstRow="1" w:lastRow="0" w:firstColumn="0" w:lastColumn="0" w:oddVBand="0" w:evenVBand="0" w:oddHBand="0" w:evenHBand="0" w:firstRowFirstColumn="0" w:firstRowLastColumn="0" w:lastRowFirstColumn="0" w:lastRowLastColumn="0"/>
            </w:pPr>
            <w:r>
              <w:t>Duration</w:t>
            </w:r>
          </w:p>
        </w:tc>
      </w:tr>
      <w:tr w:rsidR="00A55288" w:rsidRPr="00FA2C26" w14:paraId="4FA33538" w14:textId="77777777" w:rsidTr="000304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shd w:val="clear" w:color="auto" w:fill="A5BDCF" w:themeFill="accent1" w:themeFillTint="66"/>
          </w:tcPr>
          <w:p w14:paraId="06812EBB" w14:textId="22D1E543" w:rsidR="00A55288" w:rsidRPr="00B711F0" w:rsidRDefault="00A55288" w:rsidP="00A55288">
            <w:pPr>
              <w:pStyle w:val="TableBodyCopy"/>
              <w:rPr>
                <w:rFonts w:asciiTheme="majorHAnsi" w:hAnsiTheme="majorHAnsi" w:cstheme="majorHAnsi"/>
              </w:rPr>
            </w:pPr>
            <w:r w:rsidRPr="003D7E78">
              <w:rPr>
                <w:rFonts w:asciiTheme="majorHAnsi" w:hAnsiTheme="majorHAnsi" w:cstheme="majorHAnsi"/>
              </w:rPr>
              <w:t>Memorandum of Understanding (MoU) concerning Trilateral Cooperation with Pacific Island Countries</w:t>
            </w:r>
          </w:p>
        </w:tc>
        <w:tc>
          <w:tcPr>
            <w:tcW w:w="3400" w:type="dxa"/>
            <w:shd w:val="clear" w:color="auto" w:fill="D2DEE7" w:themeFill="accent1" w:themeFillTint="33"/>
          </w:tcPr>
          <w:p w14:paraId="24EA6B5D" w14:textId="693E7B43" w:rsidR="00A55288" w:rsidRPr="00FA2C26" w:rsidRDefault="00A55288" w:rsidP="00A55288">
            <w:pPr>
              <w:pStyle w:val="TableBodyCopy"/>
              <w:cnfStyle w:val="000000100000" w:firstRow="0" w:lastRow="0" w:firstColumn="0" w:lastColumn="0" w:oddVBand="0" w:evenVBand="0" w:oddHBand="1" w:evenHBand="0" w:firstRowFirstColumn="0" w:firstRowLastColumn="0" w:lastRowFirstColumn="0" w:lastRowLastColumn="0"/>
            </w:pPr>
            <w:r w:rsidRPr="00FA2C26">
              <w:rPr>
                <w:rFonts w:asciiTheme="majorHAnsi" w:hAnsiTheme="majorHAnsi" w:cstheme="majorHAnsi"/>
              </w:rPr>
              <w:t>9 September 2021</w:t>
            </w:r>
          </w:p>
        </w:tc>
        <w:tc>
          <w:tcPr>
            <w:tcW w:w="3402" w:type="dxa"/>
            <w:shd w:val="clear" w:color="auto" w:fill="F2F2F2" w:themeFill="background1" w:themeFillShade="F2"/>
          </w:tcPr>
          <w:p w14:paraId="5025A7CD" w14:textId="1D0B9A87" w:rsidR="00A55288" w:rsidRPr="00FA2C26" w:rsidRDefault="00A55288" w:rsidP="00A55288">
            <w:pPr>
              <w:pStyle w:val="TableBodyCopy"/>
              <w:cnfStyle w:val="000000100000" w:firstRow="0" w:lastRow="0" w:firstColumn="0" w:lastColumn="0" w:oddVBand="0" w:evenVBand="0" w:oddHBand="1" w:evenHBand="0" w:firstRowFirstColumn="0" w:firstRowLastColumn="0" w:lastRowFirstColumn="0" w:lastRowLastColumn="0"/>
            </w:pPr>
            <w:r>
              <w:rPr>
                <w:rFonts w:asciiTheme="majorHAnsi" w:hAnsiTheme="majorHAnsi" w:cstheme="majorHAnsi"/>
              </w:rPr>
              <w:t>5</w:t>
            </w:r>
            <w:r w:rsidRPr="00FA2C26">
              <w:rPr>
                <w:rFonts w:asciiTheme="majorHAnsi" w:hAnsiTheme="majorHAnsi" w:cstheme="majorHAnsi"/>
              </w:rPr>
              <w:t xml:space="preserve"> years</w:t>
            </w:r>
          </w:p>
        </w:tc>
      </w:tr>
      <w:tr w:rsidR="00A55288" w:rsidRPr="00FA2C26" w14:paraId="185249D6" w14:textId="77777777" w:rsidTr="000304FC">
        <w:trPr>
          <w:trHeight w:val="300"/>
        </w:trPr>
        <w:tc>
          <w:tcPr>
            <w:cnfStyle w:val="001000000000" w:firstRow="0" w:lastRow="0" w:firstColumn="1" w:lastColumn="0" w:oddVBand="0" w:evenVBand="0" w:oddHBand="0" w:evenHBand="0" w:firstRowFirstColumn="0" w:firstRowLastColumn="0" w:lastRowFirstColumn="0" w:lastRowLastColumn="0"/>
            <w:tcW w:w="3399" w:type="dxa"/>
            <w:shd w:val="clear" w:color="auto" w:fill="A5BDCF" w:themeFill="accent1" w:themeFillTint="66"/>
          </w:tcPr>
          <w:p w14:paraId="423A84AF" w14:textId="5737D47A" w:rsidR="00A55288" w:rsidRPr="00B711F0" w:rsidRDefault="00A55288" w:rsidP="00A55288">
            <w:pPr>
              <w:pStyle w:val="TableBodyCopy"/>
              <w:rPr>
                <w:rFonts w:asciiTheme="majorHAnsi" w:hAnsiTheme="majorHAnsi" w:cstheme="majorHAnsi"/>
              </w:rPr>
            </w:pPr>
            <w:r w:rsidRPr="003D7E78">
              <w:rPr>
                <w:rFonts w:asciiTheme="majorHAnsi" w:hAnsiTheme="majorHAnsi" w:cstheme="majorHAnsi"/>
              </w:rPr>
              <w:t>MoU concerning Transboundary Marine Pollution Preparedness and Response</w:t>
            </w:r>
          </w:p>
        </w:tc>
        <w:tc>
          <w:tcPr>
            <w:tcW w:w="3400" w:type="dxa"/>
            <w:shd w:val="clear" w:color="auto" w:fill="D2DEE7" w:themeFill="accent1" w:themeFillTint="33"/>
          </w:tcPr>
          <w:p w14:paraId="5A01058A" w14:textId="149908A5" w:rsidR="00A55288" w:rsidRPr="00FA2C26" w:rsidRDefault="00A55288" w:rsidP="00A55288">
            <w:pPr>
              <w:pStyle w:val="TableBodyCopy"/>
              <w:cnfStyle w:val="000000000000" w:firstRow="0" w:lastRow="0" w:firstColumn="0" w:lastColumn="0" w:oddVBand="0" w:evenVBand="0" w:oddHBand="0" w:evenHBand="0" w:firstRowFirstColumn="0" w:firstRowLastColumn="0" w:lastRowFirstColumn="0" w:lastRowLastColumn="0"/>
            </w:pPr>
            <w:r w:rsidRPr="00FA2C26">
              <w:rPr>
                <w:rFonts w:asciiTheme="majorHAnsi" w:hAnsiTheme="majorHAnsi" w:cstheme="majorHAnsi"/>
              </w:rPr>
              <w:t>29 October 2018</w:t>
            </w:r>
          </w:p>
        </w:tc>
        <w:tc>
          <w:tcPr>
            <w:tcW w:w="3402" w:type="dxa"/>
            <w:shd w:val="clear" w:color="auto" w:fill="F2F2F2" w:themeFill="background1" w:themeFillShade="F2"/>
          </w:tcPr>
          <w:p w14:paraId="743E6269" w14:textId="4DED5A70" w:rsidR="00A55288" w:rsidRPr="00FA2C26" w:rsidRDefault="00A55288" w:rsidP="00A55288">
            <w:pPr>
              <w:pStyle w:val="TableBodyCopy"/>
              <w:cnfStyle w:val="000000000000" w:firstRow="0" w:lastRow="0" w:firstColumn="0" w:lastColumn="0" w:oddVBand="0" w:evenVBand="0" w:oddHBand="0" w:evenHBand="0" w:firstRowFirstColumn="0" w:firstRowLastColumn="0" w:lastRowFirstColumn="0" w:lastRowLastColumn="0"/>
            </w:pPr>
            <w:r>
              <w:rPr>
                <w:rFonts w:asciiTheme="majorHAnsi" w:hAnsiTheme="majorHAnsi" w:cstheme="majorHAnsi"/>
              </w:rPr>
              <w:t>5</w:t>
            </w:r>
            <w:r w:rsidRPr="00FA2C26">
              <w:rPr>
                <w:rFonts w:asciiTheme="majorHAnsi" w:hAnsiTheme="majorHAnsi" w:cstheme="majorHAnsi"/>
              </w:rPr>
              <w:t xml:space="preserve"> years</w:t>
            </w:r>
          </w:p>
        </w:tc>
      </w:tr>
      <w:tr w:rsidR="00A55288" w:rsidRPr="00FA2C26" w14:paraId="682FD5C9" w14:textId="77777777" w:rsidTr="000304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shd w:val="clear" w:color="auto" w:fill="A5BDCF" w:themeFill="accent1" w:themeFillTint="66"/>
          </w:tcPr>
          <w:p w14:paraId="60391F06" w14:textId="0CA79B91" w:rsidR="00A55288" w:rsidRPr="00B711F0" w:rsidRDefault="00A55288" w:rsidP="00A55288">
            <w:pPr>
              <w:pStyle w:val="TableBodyCopy"/>
              <w:rPr>
                <w:rFonts w:asciiTheme="majorHAnsi" w:hAnsiTheme="majorHAnsi" w:cstheme="majorHAnsi"/>
              </w:rPr>
            </w:pPr>
            <w:r w:rsidRPr="003D7E78">
              <w:rPr>
                <w:rFonts w:asciiTheme="majorHAnsi" w:hAnsiTheme="majorHAnsi" w:cstheme="majorHAnsi"/>
              </w:rPr>
              <w:t>Arrangement between Australia and Indonesia for the Coordination of Search and Rescue Services</w:t>
            </w:r>
          </w:p>
        </w:tc>
        <w:tc>
          <w:tcPr>
            <w:tcW w:w="3400" w:type="dxa"/>
            <w:shd w:val="clear" w:color="auto" w:fill="D2DEE7" w:themeFill="accent1" w:themeFillTint="33"/>
          </w:tcPr>
          <w:p w14:paraId="0A680BF0" w14:textId="7B5AF242" w:rsidR="00A55288" w:rsidRPr="00FA2C26" w:rsidRDefault="00A55288" w:rsidP="00A55288">
            <w:pPr>
              <w:pStyle w:val="TableBodyCopy"/>
              <w:cnfStyle w:val="000000100000" w:firstRow="0" w:lastRow="0" w:firstColumn="0" w:lastColumn="0" w:oddVBand="0" w:evenVBand="0" w:oddHBand="1" w:evenHBand="0" w:firstRowFirstColumn="0" w:firstRowLastColumn="0" w:lastRowFirstColumn="0" w:lastRowLastColumn="0"/>
            </w:pPr>
            <w:r w:rsidRPr="00FA2C26">
              <w:rPr>
                <w:rFonts w:asciiTheme="majorHAnsi" w:hAnsiTheme="majorHAnsi" w:cstheme="majorHAnsi"/>
              </w:rPr>
              <w:t>5 April 2004</w:t>
            </w:r>
          </w:p>
        </w:tc>
        <w:tc>
          <w:tcPr>
            <w:tcW w:w="3402" w:type="dxa"/>
            <w:shd w:val="clear" w:color="auto" w:fill="F2F2F2" w:themeFill="background1" w:themeFillShade="F2"/>
          </w:tcPr>
          <w:p w14:paraId="549EB919" w14:textId="6B0CCE54" w:rsidR="00A55288" w:rsidRPr="00FA2C26" w:rsidRDefault="00A55288" w:rsidP="00A55288">
            <w:pPr>
              <w:pStyle w:val="TableBodyCopy"/>
              <w:cnfStyle w:val="000000100000" w:firstRow="0" w:lastRow="0" w:firstColumn="0" w:lastColumn="0" w:oddVBand="0" w:evenVBand="0" w:oddHBand="1" w:evenHBand="0" w:firstRowFirstColumn="0" w:firstRowLastColumn="0" w:lastRowFirstColumn="0" w:lastRowLastColumn="0"/>
            </w:pPr>
            <w:r>
              <w:rPr>
                <w:rFonts w:asciiTheme="majorHAnsi" w:hAnsiTheme="majorHAnsi" w:cstheme="majorHAnsi"/>
              </w:rPr>
              <w:t>Not applicable</w:t>
            </w:r>
          </w:p>
        </w:tc>
      </w:tr>
      <w:tr w:rsidR="00A55288" w:rsidRPr="00FA2C26" w14:paraId="4AEDC56E" w14:textId="77777777" w:rsidTr="000304FC">
        <w:trPr>
          <w:trHeight w:val="300"/>
        </w:trPr>
        <w:tc>
          <w:tcPr>
            <w:cnfStyle w:val="001000000000" w:firstRow="0" w:lastRow="0" w:firstColumn="1" w:lastColumn="0" w:oddVBand="0" w:evenVBand="0" w:oddHBand="0" w:evenHBand="0" w:firstRowFirstColumn="0" w:firstRowLastColumn="0" w:lastRowFirstColumn="0" w:lastRowLastColumn="0"/>
            <w:tcW w:w="3399" w:type="dxa"/>
            <w:shd w:val="clear" w:color="auto" w:fill="A5BDCF" w:themeFill="accent1" w:themeFillTint="66"/>
          </w:tcPr>
          <w:p w14:paraId="74CE6AA4" w14:textId="02F3152A" w:rsidR="00A55288" w:rsidRPr="00B711F0" w:rsidRDefault="00A55288" w:rsidP="00A55288">
            <w:pPr>
              <w:pStyle w:val="TableBodyCopy"/>
              <w:rPr>
                <w:rFonts w:asciiTheme="majorHAnsi" w:hAnsiTheme="majorHAnsi" w:cstheme="majorHAnsi"/>
              </w:rPr>
            </w:pPr>
            <w:r w:rsidRPr="003D7E78">
              <w:rPr>
                <w:rFonts w:asciiTheme="majorHAnsi" w:hAnsiTheme="majorHAnsi" w:cstheme="majorHAnsi"/>
              </w:rPr>
              <w:lastRenderedPageBreak/>
              <w:t>MOU between the Commonwealth Scientific and Industrial Research Organisation (CSIRO) and the Indonesian Ministry of Education, Culture, Research and Technology</w:t>
            </w:r>
          </w:p>
        </w:tc>
        <w:tc>
          <w:tcPr>
            <w:tcW w:w="3400" w:type="dxa"/>
            <w:shd w:val="clear" w:color="auto" w:fill="D2DEE7" w:themeFill="accent1" w:themeFillTint="33"/>
          </w:tcPr>
          <w:p w14:paraId="2DDDF9D5" w14:textId="7B4D1CAA" w:rsidR="00A55288" w:rsidRPr="00FA2C26" w:rsidRDefault="00A55288" w:rsidP="00A55288">
            <w:pPr>
              <w:pStyle w:val="TableBodyCopy"/>
              <w:cnfStyle w:val="000000000000" w:firstRow="0" w:lastRow="0" w:firstColumn="0" w:lastColumn="0" w:oddVBand="0" w:evenVBand="0" w:oddHBand="0" w:evenHBand="0" w:firstRowFirstColumn="0" w:firstRowLastColumn="0" w:lastRowFirstColumn="0" w:lastRowLastColumn="0"/>
            </w:pPr>
            <w:r w:rsidRPr="00FA2C26">
              <w:rPr>
                <w:rFonts w:asciiTheme="majorHAnsi" w:hAnsiTheme="majorHAnsi" w:cstheme="majorHAnsi"/>
              </w:rPr>
              <w:t>14 February 2022</w:t>
            </w:r>
          </w:p>
        </w:tc>
        <w:tc>
          <w:tcPr>
            <w:tcW w:w="3402" w:type="dxa"/>
            <w:shd w:val="clear" w:color="auto" w:fill="F2F2F2" w:themeFill="background1" w:themeFillShade="F2"/>
          </w:tcPr>
          <w:p w14:paraId="37C63BB8" w14:textId="58518D15" w:rsidR="00A55288" w:rsidRPr="00FA2C26" w:rsidRDefault="00A55288" w:rsidP="00A55288">
            <w:pPr>
              <w:pStyle w:val="TableBodyCopy"/>
              <w:cnfStyle w:val="000000000000" w:firstRow="0" w:lastRow="0" w:firstColumn="0" w:lastColumn="0" w:oddVBand="0" w:evenVBand="0" w:oddHBand="0" w:evenHBand="0" w:firstRowFirstColumn="0" w:firstRowLastColumn="0" w:lastRowFirstColumn="0" w:lastRowLastColumn="0"/>
            </w:pPr>
            <w:r>
              <w:rPr>
                <w:rFonts w:asciiTheme="majorHAnsi" w:hAnsiTheme="majorHAnsi" w:cstheme="majorHAnsi"/>
              </w:rPr>
              <w:t>5</w:t>
            </w:r>
            <w:r w:rsidRPr="00FA2C26">
              <w:rPr>
                <w:rFonts w:asciiTheme="majorHAnsi" w:hAnsiTheme="majorHAnsi" w:cstheme="majorHAnsi"/>
              </w:rPr>
              <w:t xml:space="preserve"> years</w:t>
            </w:r>
          </w:p>
        </w:tc>
      </w:tr>
      <w:tr w:rsidR="00A55288" w:rsidRPr="00FA2C26" w14:paraId="17ED2DB4" w14:textId="77777777" w:rsidTr="00CF505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Pr>
          <w:p w14:paraId="75464C73" w14:textId="01D485FC" w:rsidR="00A55288" w:rsidRPr="00B711F0" w:rsidRDefault="00A55288" w:rsidP="00A55288">
            <w:pPr>
              <w:pStyle w:val="TableBodyCopy"/>
              <w:rPr>
                <w:rFonts w:asciiTheme="majorHAnsi" w:hAnsiTheme="majorHAnsi" w:cstheme="majorHAnsi"/>
              </w:rPr>
            </w:pPr>
            <w:r w:rsidRPr="003D7E78">
              <w:rPr>
                <w:rFonts w:asciiTheme="majorHAnsi" w:hAnsiTheme="majorHAnsi" w:cstheme="majorHAnsi"/>
              </w:rPr>
              <w:t>Cultural Agreement between the Government of the Commonwealth of Australia and the Government of the Republic of Indonesia</w:t>
            </w:r>
          </w:p>
        </w:tc>
        <w:tc>
          <w:tcPr>
            <w:tcW w:w="0" w:type="dxa"/>
            <w:shd w:val="clear" w:color="auto" w:fill="D2DEE7" w:themeFill="accent1" w:themeFillTint="33"/>
          </w:tcPr>
          <w:p w14:paraId="24EFBF7B" w14:textId="567B42A2" w:rsidR="00A55288" w:rsidRPr="00FA2C26" w:rsidRDefault="00A55288" w:rsidP="00A55288">
            <w:pPr>
              <w:pStyle w:val="TableBodyCopy"/>
              <w:cnfStyle w:val="000000100000" w:firstRow="0" w:lastRow="0" w:firstColumn="0" w:lastColumn="0" w:oddVBand="0" w:evenVBand="0" w:oddHBand="1" w:evenHBand="0" w:firstRowFirstColumn="0" w:firstRowLastColumn="0" w:lastRowFirstColumn="0" w:lastRowLastColumn="0"/>
            </w:pPr>
            <w:r w:rsidRPr="00FA2C26">
              <w:rPr>
                <w:rFonts w:asciiTheme="majorHAnsi" w:hAnsiTheme="majorHAnsi" w:cstheme="majorHAnsi"/>
              </w:rPr>
              <w:t>14 June 1968</w:t>
            </w:r>
          </w:p>
        </w:tc>
        <w:tc>
          <w:tcPr>
            <w:tcW w:w="0" w:type="dxa"/>
            <w:shd w:val="clear" w:color="auto" w:fill="F2F2F2" w:themeFill="background1" w:themeFillShade="F2"/>
          </w:tcPr>
          <w:p w14:paraId="1C919426" w14:textId="51B83537" w:rsidR="00A55288" w:rsidRPr="00FA2C26" w:rsidRDefault="00A55288" w:rsidP="00A55288">
            <w:pPr>
              <w:pStyle w:val="TableBodyCopy"/>
              <w:cnfStyle w:val="000000100000" w:firstRow="0" w:lastRow="0" w:firstColumn="0" w:lastColumn="0" w:oddVBand="0" w:evenVBand="0" w:oddHBand="1" w:evenHBand="0" w:firstRowFirstColumn="0" w:firstRowLastColumn="0" w:lastRowFirstColumn="0" w:lastRowLastColumn="0"/>
            </w:pPr>
            <w:r>
              <w:rPr>
                <w:rFonts w:asciiTheme="majorHAnsi" w:hAnsiTheme="majorHAnsi" w:cstheme="majorHAnsi"/>
              </w:rPr>
              <w:t>Not applicable</w:t>
            </w:r>
          </w:p>
        </w:tc>
      </w:tr>
      <w:tr w:rsidR="00A55288" w:rsidRPr="00FA2C26" w14:paraId="3889ADBC" w14:textId="77777777" w:rsidTr="000304FC">
        <w:trPr>
          <w:trHeight w:val="300"/>
        </w:trPr>
        <w:tc>
          <w:tcPr>
            <w:cnfStyle w:val="001000000000" w:firstRow="0" w:lastRow="0" w:firstColumn="1" w:lastColumn="0" w:oddVBand="0" w:evenVBand="0" w:oddHBand="0" w:evenHBand="0" w:firstRowFirstColumn="0" w:firstRowLastColumn="0" w:lastRowFirstColumn="0" w:lastRowLastColumn="0"/>
            <w:tcW w:w="3399" w:type="dxa"/>
            <w:shd w:val="clear" w:color="auto" w:fill="A5BDCF" w:themeFill="accent1" w:themeFillTint="66"/>
          </w:tcPr>
          <w:p w14:paraId="041705FE" w14:textId="2925C23F" w:rsidR="00A55288" w:rsidRPr="00B711F0" w:rsidRDefault="00A55288" w:rsidP="00A55288">
            <w:pPr>
              <w:pStyle w:val="TableBodyCopy"/>
              <w:rPr>
                <w:rFonts w:asciiTheme="majorHAnsi" w:hAnsiTheme="majorHAnsi" w:cstheme="majorHAnsi"/>
              </w:rPr>
            </w:pPr>
            <w:r w:rsidRPr="003D7E78">
              <w:rPr>
                <w:rFonts w:asciiTheme="majorHAnsi" w:hAnsiTheme="majorHAnsi" w:cstheme="majorHAnsi"/>
              </w:rPr>
              <w:t>Agreed Minutes Concerning Scientific and Technical Cooperation Between the Government of Australia and the Government of Indonesia</w:t>
            </w:r>
          </w:p>
        </w:tc>
        <w:tc>
          <w:tcPr>
            <w:tcW w:w="3400" w:type="dxa"/>
            <w:shd w:val="clear" w:color="auto" w:fill="D2DEE7" w:themeFill="accent1" w:themeFillTint="33"/>
          </w:tcPr>
          <w:p w14:paraId="024D94AE" w14:textId="1F09F0D7" w:rsidR="00A55288" w:rsidRPr="00FA2C26" w:rsidRDefault="00A55288" w:rsidP="00A55288">
            <w:pPr>
              <w:pStyle w:val="TableBodyCopy"/>
              <w:cnfStyle w:val="000000000000" w:firstRow="0" w:lastRow="0" w:firstColumn="0" w:lastColumn="0" w:oddVBand="0" w:evenVBand="0" w:oddHBand="0" w:evenHBand="0" w:firstRowFirstColumn="0" w:firstRowLastColumn="0" w:lastRowFirstColumn="0" w:lastRowLastColumn="0"/>
            </w:pPr>
            <w:r w:rsidRPr="00FA2C26">
              <w:rPr>
                <w:rFonts w:asciiTheme="majorHAnsi" w:hAnsiTheme="majorHAnsi" w:cstheme="majorHAnsi"/>
              </w:rPr>
              <w:t>2 February 1985</w:t>
            </w:r>
          </w:p>
        </w:tc>
        <w:tc>
          <w:tcPr>
            <w:tcW w:w="3402" w:type="dxa"/>
            <w:shd w:val="clear" w:color="auto" w:fill="F2F2F2" w:themeFill="background1" w:themeFillShade="F2"/>
          </w:tcPr>
          <w:p w14:paraId="754D7B8C" w14:textId="5B6920D3" w:rsidR="00A55288" w:rsidRPr="00FA2C26" w:rsidRDefault="00A55288" w:rsidP="00A55288">
            <w:pPr>
              <w:pStyle w:val="TableBodyCopy"/>
              <w:cnfStyle w:val="000000000000" w:firstRow="0" w:lastRow="0" w:firstColumn="0" w:lastColumn="0" w:oddVBand="0" w:evenVBand="0" w:oddHBand="0" w:evenHBand="0" w:firstRowFirstColumn="0" w:firstRowLastColumn="0" w:lastRowFirstColumn="0" w:lastRowLastColumn="0"/>
            </w:pPr>
            <w:r>
              <w:rPr>
                <w:rFonts w:asciiTheme="majorHAnsi" w:hAnsiTheme="majorHAnsi" w:cstheme="majorHAnsi"/>
              </w:rPr>
              <w:t>Not applicable</w:t>
            </w:r>
          </w:p>
        </w:tc>
      </w:tr>
    </w:tbl>
    <w:p w14:paraId="78077B58" w14:textId="77777777" w:rsidR="00605F8B" w:rsidRDefault="00605F8B" w:rsidP="000F23C0">
      <w:pPr>
        <w:widowControl w:val="0"/>
        <w:spacing w:before="0" w:after="0" w:line="240" w:lineRule="auto"/>
        <w:rPr>
          <w:rFonts w:cstheme="majorHAnsi"/>
          <w:b/>
          <w:bCs/>
          <w:sz w:val="24"/>
          <w:szCs w:val="24"/>
        </w:rPr>
        <w:sectPr w:rsidR="00605F8B" w:rsidSect="004F52E5">
          <w:headerReference w:type="default" r:id="rId18"/>
          <w:footerReference w:type="default" r:id="rId19"/>
          <w:headerReference w:type="first" r:id="rId20"/>
          <w:footerReference w:type="first" r:id="rId21"/>
          <w:endnotePr>
            <w:numFmt w:val="decimal"/>
          </w:endnotePr>
          <w:pgSz w:w="11906" w:h="16838" w:code="9"/>
          <w:pgMar w:top="1418" w:right="851" w:bottom="284" w:left="851" w:header="340" w:footer="414" w:gutter="0"/>
          <w:cols w:space="720"/>
          <w:noEndnote/>
          <w:titlePg/>
          <w:docGrid w:linePitch="360"/>
        </w:sectPr>
      </w:pPr>
    </w:p>
    <w:p w14:paraId="52D24E13" w14:textId="34B4DE8B" w:rsidR="00605F8B" w:rsidRDefault="00737E87" w:rsidP="00CF5050">
      <w:pPr>
        <w:pStyle w:val="H2-Heading2"/>
        <w:spacing w:before="0" w:after="0"/>
        <w:rPr>
          <w:rFonts w:cstheme="majorHAnsi"/>
          <w:sz w:val="24"/>
          <w:szCs w:val="24"/>
        </w:rPr>
      </w:pPr>
      <w:r w:rsidRPr="00CF5050">
        <w:lastRenderedPageBreak/>
        <w:t>Endnotes</w:t>
      </w:r>
    </w:p>
    <w:p w14:paraId="470327D5" w14:textId="77777777" w:rsidR="00605F8B" w:rsidRDefault="00605F8B" w:rsidP="000F23C0">
      <w:pPr>
        <w:widowControl w:val="0"/>
        <w:spacing w:before="0" w:after="0" w:line="240" w:lineRule="auto"/>
        <w:rPr>
          <w:rFonts w:cstheme="majorHAnsi"/>
          <w:b/>
          <w:bCs/>
          <w:sz w:val="24"/>
          <w:szCs w:val="24"/>
        </w:rPr>
        <w:sectPr w:rsidR="00605F8B" w:rsidSect="004F52E5">
          <w:endnotePr>
            <w:numFmt w:val="decimal"/>
          </w:endnotePr>
          <w:pgSz w:w="11906" w:h="16838" w:code="9"/>
          <w:pgMar w:top="1418" w:right="851" w:bottom="284" w:left="851" w:header="340" w:footer="415" w:gutter="0"/>
          <w:cols w:space="720"/>
          <w:titlePg/>
          <w:docGrid w:linePitch="360"/>
        </w:sectPr>
      </w:pPr>
    </w:p>
    <w:p w14:paraId="53E7A8EF" w14:textId="5B4ED763" w:rsidR="00204B15" w:rsidRDefault="009B15C1" w:rsidP="00204B15">
      <w:pPr>
        <w:pStyle w:val="H2-Heading2"/>
      </w:pPr>
      <w:r>
        <w:t>Cover p</w:t>
      </w:r>
      <w:r w:rsidR="00204B15">
        <w:t xml:space="preserve">hoto </w:t>
      </w:r>
      <w:proofErr w:type="gramStart"/>
      <w:r w:rsidR="00204B15">
        <w:t>credits</w:t>
      </w:r>
      <w:proofErr w:type="gramEnd"/>
    </w:p>
    <w:p w14:paraId="2FF0EEEF" w14:textId="77777777" w:rsidR="002C502A" w:rsidRPr="0061431E" w:rsidRDefault="002C502A" w:rsidP="00CF5050">
      <w:pPr>
        <w:spacing w:before="40" w:after="40"/>
      </w:pPr>
      <w:r w:rsidRPr="0061431E">
        <w:t>Top row</w:t>
      </w:r>
      <w:r>
        <w:t xml:space="preserve"> (from left to right)</w:t>
      </w:r>
      <w:r w:rsidRPr="0061431E">
        <w:t xml:space="preserve">: </w:t>
      </w:r>
    </w:p>
    <w:p w14:paraId="564EC2DF" w14:textId="704A6FDA" w:rsidR="00A7025C" w:rsidRDefault="002C502A" w:rsidP="00CF5050">
      <w:pPr>
        <w:pStyle w:val="NormalBullets-L1"/>
        <w:spacing w:before="40" w:after="40"/>
      </w:pPr>
      <w:r w:rsidRPr="00EE4486">
        <w:t>Indonesia Australia Partnership for Infrastructure (KIAT)</w:t>
      </w:r>
      <w:r w:rsidR="00A7025C">
        <w:t xml:space="preserve"> </w:t>
      </w:r>
      <w:r>
        <w:t xml:space="preserve">training sessions for </w:t>
      </w:r>
      <w:r w:rsidR="00A7025C">
        <w:t xml:space="preserve">trainee </w:t>
      </w:r>
      <w:r>
        <w:t>Water Safety Plan</w:t>
      </w:r>
      <w:r w:rsidR="00D02CFD">
        <w:t> </w:t>
      </w:r>
      <w:r>
        <w:t>Auditors</w:t>
      </w:r>
      <w:r w:rsidR="00A7025C">
        <w:br/>
        <w:t xml:space="preserve">Credit: </w:t>
      </w:r>
      <w:r w:rsidR="002D7FDC">
        <w:t>KIAT</w:t>
      </w:r>
    </w:p>
    <w:p w14:paraId="136E87A9" w14:textId="50B71D94" w:rsidR="002C502A" w:rsidRPr="00CF5050" w:rsidRDefault="002C502A" w:rsidP="00CF5050">
      <w:pPr>
        <w:pStyle w:val="NormalBullets-L1"/>
        <w:spacing w:before="40" w:after="40"/>
      </w:pPr>
      <w:r w:rsidRPr="00EE4486">
        <w:t>Australia</w:t>
      </w:r>
      <w:r w:rsidR="00363F06">
        <w:t>–</w:t>
      </w:r>
      <w:r w:rsidRPr="00EE4486">
        <w:t>Indonesia Partnership Towards an Inclusive Society (INKLUSI)</w:t>
      </w:r>
      <w:r w:rsidR="008546DD">
        <w:t xml:space="preserve"> supports a </w:t>
      </w:r>
      <w:r w:rsidR="008546DD" w:rsidRPr="00CF5050">
        <w:t>KAPAL Perempuan</w:t>
      </w:r>
      <w:r w:rsidR="008546DD">
        <w:t xml:space="preserve"> </w:t>
      </w:r>
      <w:r w:rsidR="00A90F3A">
        <w:t>initiative</w:t>
      </w:r>
      <w:r w:rsidR="00800E2C">
        <w:t xml:space="preserve">, </w:t>
      </w:r>
      <w:proofErr w:type="spellStart"/>
      <w:r w:rsidR="00800E2C" w:rsidRPr="00CF5050">
        <w:t>Pangkajene</w:t>
      </w:r>
      <w:proofErr w:type="spellEnd"/>
      <w:r w:rsidR="00800E2C" w:rsidRPr="00CF5050">
        <w:t xml:space="preserve"> Islands, South Sulawesi, November 2023</w:t>
      </w:r>
      <w:r w:rsidR="00800E2C">
        <w:t xml:space="preserve">, </w:t>
      </w:r>
      <w:r w:rsidR="00A90F3A">
        <w:t xml:space="preserve">to </w:t>
      </w:r>
      <w:r w:rsidR="00A90F3A" w:rsidRPr="00CF5050">
        <w:t>boost the local economy and improve the well-being of women and the community</w:t>
      </w:r>
      <w:r w:rsidR="00351B30">
        <w:br/>
      </w:r>
      <w:r w:rsidR="00800E2C" w:rsidRPr="00351B30">
        <w:t>Credit</w:t>
      </w:r>
      <w:r w:rsidR="00351B30" w:rsidRPr="00CF5050">
        <w:t xml:space="preserve">: </w:t>
      </w:r>
      <w:r w:rsidRPr="00CF5050">
        <w:t>INKLUSI Secretariat</w:t>
      </w:r>
    </w:p>
    <w:p w14:paraId="12570E80" w14:textId="1BF6A98F" w:rsidR="002C502A" w:rsidRPr="0061431E" w:rsidRDefault="002C502A" w:rsidP="00CF5050">
      <w:pPr>
        <w:spacing w:before="40" w:after="40"/>
      </w:pPr>
      <w:r>
        <w:t>Middle</w:t>
      </w:r>
      <w:r w:rsidRPr="0061431E">
        <w:t xml:space="preserve"> row (right): </w:t>
      </w:r>
    </w:p>
    <w:p w14:paraId="5239B3D5" w14:textId="08D4A0B1" w:rsidR="002C502A" w:rsidRDefault="002C502A" w:rsidP="00CF5050">
      <w:pPr>
        <w:pStyle w:val="NormalBullets-L1"/>
        <w:spacing w:before="40" w:after="40"/>
      </w:pPr>
      <w:r w:rsidRPr="00EE4486">
        <w:t>Australia</w:t>
      </w:r>
      <w:r w:rsidR="00CA499D">
        <w:t>–</w:t>
      </w:r>
      <w:r w:rsidRPr="00EE4486">
        <w:t xml:space="preserve">Indonesia </w:t>
      </w:r>
      <w:r w:rsidRPr="00A9112D">
        <w:t>Partnership</w:t>
      </w:r>
      <w:r w:rsidRPr="00EE4486">
        <w:t xml:space="preserve"> for Promoting Rural Incomes through Support for Markets in Agriculture (PRISMA)</w:t>
      </w:r>
      <w:r w:rsidR="009D2510">
        <w:t xml:space="preserve">. </w:t>
      </w:r>
      <w:r w:rsidRPr="009E0087">
        <w:t>From left</w:t>
      </w:r>
      <w:r w:rsidR="009D2510">
        <w:t>:</w:t>
      </w:r>
      <w:r w:rsidRPr="00A9112D">
        <w:rPr>
          <w:lang w:val="en-ID"/>
        </w:rPr>
        <w:t xml:space="preserve"> </w:t>
      </w:r>
      <w:proofErr w:type="spellStart"/>
      <w:r w:rsidRPr="00A9112D">
        <w:rPr>
          <w:lang w:val="en-ID"/>
        </w:rPr>
        <w:t>Holaloke</w:t>
      </w:r>
      <w:proofErr w:type="spellEnd"/>
      <w:r w:rsidRPr="00A9112D">
        <w:rPr>
          <w:lang w:val="en-ID"/>
        </w:rPr>
        <w:t xml:space="preserve"> </w:t>
      </w:r>
      <w:proofErr w:type="spellStart"/>
      <w:r w:rsidRPr="00A9112D">
        <w:rPr>
          <w:lang w:val="en-ID"/>
        </w:rPr>
        <w:t>Wantik</w:t>
      </w:r>
      <w:proofErr w:type="spellEnd"/>
      <w:r w:rsidRPr="00A9112D">
        <w:rPr>
          <w:lang w:val="en-ID"/>
        </w:rPr>
        <w:t xml:space="preserve">, vegetable farmer, </w:t>
      </w:r>
      <w:proofErr w:type="spellStart"/>
      <w:r w:rsidRPr="00A9112D">
        <w:rPr>
          <w:lang w:val="en-ID"/>
        </w:rPr>
        <w:t>Yulianus</w:t>
      </w:r>
      <w:proofErr w:type="spellEnd"/>
      <w:r w:rsidRPr="00A9112D">
        <w:rPr>
          <w:lang w:val="en-ID"/>
        </w:rPr>
        <w:t xml:space="preserve"> Dabi, Head of Tribe, and </w:t>
      </w:r>
      <w:proofErr w:type="spellStart"/>
      <w:r w:rsidRPr="00A9112D">
        <w:rPr>
          <w:lang w:val="en-ID"/>
        </w:rPr>
        <w:t>Yulian</w:t>
      </w:r>
      <w:proofErr w:type="spellEnd"/>
      <w:r w:rsidRPr="00A9112D">
        <w:rPr>
          <w:lang w:val="en-ID"/>
        </w:rPr>
        <w:t xml:space="preserve"> </w:t>
      </w:r>
      <w:proofErr w:type="spellStart"/>
      <w:r w:rsidRPr="00A9112D">
        <w:rPr>
          <w:lang w:val="en-ID"/>
        </w:rPr>
        <w:t>Kogoya</w:t>
      </w:r>
      <w:proofErr w:type="spellEnd"/>
      <w:r w:rsidRPr="00A9112D">
        <w:rPr>
          <w:lang w:val="en-ID"/>
        </w:rPr>
        <w:t xml:space="preserve">, </w:t>
      </w:r>
      <w:r w:rsidR="00007C3B" w:rsidRPr="00A9112D">
        <w:rPr>
          <w:lang w:val="en-ID"/>
        </w:rPr>
        <w:t xml:space="preserve">PT Tani </w:t>
      </w:r>
      <w:proofErr w:type="spellStart"/>
      <w:r w:rsidR="00007C3B" w:rsidRPr="00A9112D">
        <w:rPr>
          <w:lang w:val="en-ID"/>
        </w:rPr>
        <w:t>Murni</w:t>
      </w:r>
      <w:proofErr w:type="spellEnd"/>
      <w:r w:rsidR="00007C3B" w:rsidRPr="00A9112D">
        <w:rPr>
          <w:lang w:val="en-ID"/>
        </w:rPr>
        <w:t xml:space="preserve"> </w:t>
      </w:r>
      <w:r w:rsidR="00A91E1F">
        <w:rPr>
          <w:lang w:val="en-ID"/>
        </w:rPr>
        <w:t>f</w:t>
      </w:r>
      <w:r w:rsidRPr="00A9112D">
        <w:rPr>
          <w:lang w:val="en-ID"/>
        </w:rPr>
        <w:t xml:space="preserve">ield </w:t>
      </w:r>
      <w:r w:rsidR="00A91E1F">
        <w:rPr>
          <w:lang w:val="en-ID"/>
        </w:rPr>
        <w:t>a</w:t>
      </w:r>
      <w:r w:rsidRPr="00A9112D">
        <w:rPr>
          <w:lang w:val="en-ID"/>
        </w:rPr>
        <w:t>ssistant</w:t>
      </w:r>
      <w:r w:rsidR="00007C3B">
        <w:rPr>
          <w:lang w:val="en-ID"/>
        </w:rPr>
        <w:t xml:space="preserve">, </w:t>
      </w:r>
      <w:r w:rsidRPr="00A9112D">
        <w:rPr>
          <w:lang w:val="en-ID"/>
        </w:rPr>
        <w:t xml:space="preserve">on a demonstration plot for growing new </w:t>
      </w:r>
      <w:r w:rsidRPr="00CF5050">
        <w:t>varieties</w:t>
      </w:r>
      <w:r w:rsidRPr="00A9112D">
        <w:rPr>
          <w:lang w:val="en-ID"/>
        </w:rPr>
        <w:t xml:space="preserve"> of high-yielding vegetables.</w:t>
      </w:r>
      <w:r w:rsidR="00A9112D" w:rsidRPr="00A9112D">
        <w:rPr>
          <w:lang w:val="en-ID"/>
        </w:rPr>
        <w:br/>
        <w:t xml:space="preserve">Credit: </w:t>
      </w:r>
      <w:r w:rsidRPr="00A9112D">
        <w:rPr>
          <w:lang w:val="en-ID"/>
        </w:rPr>
        <w:t xml:space="preserve">PRISMA/Satu </w:t>
      </w:r>
      <w:proofErr w:type="spellStart"/>
      <w:r w:rsidRPr="00A9112D">
        <w:rPr>
          <w:lang w:val="en-ID"/>
        </w:rPr>
        <w:t>Bumi</w:t>
      </w:r>
      <w:proofErr w:type="spellEnd"/>
      <w:r w:rsidRPr="00A9112D">
        <w:rPr>
          <w:lang w:val="en-ID"/>
        </w:rPr>
        <w:t xml:space="preserve"> Jaya</w:t>
      </w:r>
    </w:p>
    <w:p w14:paraId="53AF81AA" w14:textId="77777777" w:rsidR="002C502A" w:rsidRPr="0061431E" w:rsidRDefault="002C502A" w:rsidP="00CF5050">
      <w:pPr>
        <w:spacing w:before="40" w:after="40"/>
      </w:pPr>
      <w:r w:rsidRPr="0061431E">
        <w:t xml:space="preserve">Bottom row (from left to right): </w:t>
      </w:r>
    </w:p>
    <w:p w14:paraId="2E571029" w14:textId="1C3E0D91" w:rsidR="002C502A" w:rsidRDefault="00174A1C" w:rsidP="00CF5050">
      <w:pPr>
        <w:pStyle w:val="NormalBullets-L1"/>
        <w:spacing w:before="40" w:after="40"/>
      </w:pPr>
      <w:r>
        <w:t>Australia’s Innovation for Indonesia’s School Children (INOVASI) program holds a</w:t>
      </w:r>
      <w:r w:rsidR="0008344B">
        <w:t xml:space="preserve"> </w:t>
      </w:r>
      <w:proofErr w:type="gramStart"/>
      <w:r w:rsidR="0008344B">
        <w:t>literacy volunteers</w:t>
      </w:r>
      <w:proofErr w:type="gramEnd"/>
      <w:r w:rsidR="0008344B">
        <w:t xml:space="preserve"> reading event with children </w:t>
      </w:r>
      <w:r>
        <w:t>o</w:t>
      </w:r>
      <w:r w:rsidR="002C502A" w:rsidRPr="00842554">
        <w:t>n Children’s Day</w:t>
      </w:r>
      <w:r w:rsidR="00842554">
        <w:t>.</w:t>
      </w:r>
      <w:r w:rsidR="006A7FFE">
        <w:br/>
        <w:t>Credit:</w:t>
      </w:r>
      <w:r w:rsidR="001A00EA">
        <w:t xml:space="preserve"> INOVASI</w:t>
      </w:r>
    </w:p>
    <w:p w14:paraId="34086935" w14:textId="5FD66980" w:rsidR="00875243" w:rsidRPr="00FA2C26" w:rsidRDefault="002C502A" w:rsidP="00CF5050">
      <w:pPr>
        <w:pStyle w:val="NormalBullets-L1"/>
        <w:spacing w:before="40" w:after="40"/>
      </w:pPr>
      <w:r w:rsidRPr="00EE4486">
        <w:t>Australia</w:t>
      </w:r>
      <w:r w:rsidR="006A7FFE">
        <w:t>–</w:t>
      </w:r>
      <w:r w:rsidRPr="00EE4486">
        <w:t>Indonesia Partnership for Promoting Rural Incomes through Support for Markets in Agriculture (PRISMA)</w:t>
      </w:r>
      <w:r w:rsidR="00F41D2F">
        <w:t xml:space="preserve">. </w:t>
      </w:r>
      <w:r w:rsidRPr="00CF5050">
        <w:t xml:space="preserve">Prof. Dr. Ir. </w:t>
      </w:r>
      <w:proofErr w:type="spellStart"/>
      <w:r w:rsidRPr="00CF5050">
        <w:t>Wilmientje</w:t>
      </w:r>
      <w:proofErr w:type="spellEnd"/>
      <w:r w:rsidRPr="00CF5050">
        <w:t xml:space="preserve"> Marlene </w:t>
      </w:r>
      <w:proofErr w:type="spellStart"/>
      <w:r w:rsidRPr="00CF5050">
        <w:t>Mesang</w:t>
      </w:r>
      <w:proofErr w:type="spellEnd"/>
      <w:r w:rsidRPr="00CF5050">
        <w:t xml:space="preserve"> </w:t>
      </w:r>
      <w:proofErr w:type="spellStart"/>
      <w:r w:rsidRPr="00CF5050">
        <w:t>Nalley</w:t>
      </w:r>
      <w:proofErr w:type="spellEnd"/>
      <w:r w:rsidRPr="00CF5050">
        <w:t xml:space="preserve">, MS is </w:t>
      </w:r>
      <w:r w:rsidR="00A51A3F">
        <w:t xml:space="preserve">conducting quality control </w:t>
      </w:r>
      <w:r w:rsidRPr="00CF5050">
        <w:t xml:space="preserve">as part of the production process at pig breeding farm, Happy Farm, </w:t>
      </w:r>
      <w:proofErr w:type="spellStart"/>
      <w:r w:rsidRPr="00CF5050">
        <w:t>Oelpuah</w:t>
      </w:r>
      <w:proofErr w:type="spellEnd"/>
      <w:r w:rsidRPr="00CF5050">
        <w:t xml:space="preserve"> Village, Central </w:t>
      </w:r>
      <w:proofErr w:type="spellStart"/>
      <w:r w:rsidRPr="00CF5050">
        <w:t>Kupang</w:t>
      </w:r>
      <w:proofErr w:type="spellEnd"/>
      <w:r w:rsidRPr="00CF5050">
        <w:t xml:space="preserve"> District, </w:t>
      </w:r>
      <w:proofErr w:type="spellStart"/>
      <w:r w:rsidRPr="00CF5050">
        <w:t>Kupang</w:t>
      </w:r>
      <w:proofErr w:type="spellEnd"/>
      <w:r w:rsidRPr="00CF5050">
        <w:t xml:space="preserve"> Regency </w:t>
      </w:r>
      <w:r w:rsidR="00CC0CDB">
        <w:t>–</w:t>
      </w:r>
      <w:r w:rsidRPr="00CF5050">
        <w:t xml:space="preserve"> N</w:t>
      </w:r>
      <w:r w:rsidR="00CA003A">
        <w:t xml:space="preserve">usa </w:t>
      </w:r>
      <w:r w:rsidRPr="00CF5050">
        <w:t>T</w:t>
      </w:r>
      <w:r w:rsidR="00CA003A">
        <w:t xml:space="preserve">enggara </w:t>
      </w:r>
      <w:r w:rsidRPr="00CF5050">
        <w:t>T</w:t>
      </w:r>
      <w:r w:rsidR="00CA003A">
        <w:t>imur</w:t>
      </w:r>
      <w:r w:rsidRPr="00CF5050">
        <w:t>.</w:t>
      </w:r>
      <w:r w:rsidR="00A51A3F">
        <w:br/>
        <w:t xml:space="preserve">Credit: </w:t>
      </w:r>
      <w:r w:rsidRPr="00CF5050">
        <w:t xml:space="preserve">PRISMA/Satu </w:t>
      </w:r>
      <w:proofErr w:type="spellStart"/>
      <w:r w:rsidRPr="00CF5050">
        <w:t>Bumi</w:t>
      </w:r>
      <w:proofErr w:type="spellEnd"/>
      <w:r w:rsidRPr="00CF5050">
        <w:t xml:space="preserve"> Jaya</w:t>
      </w:r>
    </w:p>
    <w:sectPr w:rsidR="00875243" w:rsidRPr="00FA2C26" w:rsidSect="004F52E5">
      <w:endnotePr>
        <w:numFmt w:val="decimal"/>
      </w:endnotePr>
      <w:type w:val="continuous"/>
      <w:pgSz w:w="11906" w:h="16838" w:code="9"/>
      <w:pgMar w:top="1418" w:right="851" w:bottom="284" w:left="851" w:header="340" w:footer="4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C505" w14:textId="77777777" w:rsidR="008614CA" w:rsidRPr="00CF5050" w:rsidRDefault="008614CA" w:rsidP="00CF5050">
      <w:pPr>
        <w:rPr>
          <w:sz w:val="2"/>
          <w:szCs w:val="2"/>
        </w:rPr>
      </w:pPr>
    </w:p>
  </w:endnote>
  <w:endnote w:type="continuationSeparator" w:id="0">
    <w:p w14:paraId="4343163A" w14:textId="77777777" w:rsidR="008614CA" w:rsidRDefault="008614CA" w:rsidP="00EE32FE">
      <w:pPr>
        <w:spacing w:after="0" w:line="240" w:lineRule="auto"/>
      </w:pPr>
      <w:r>
        <w:continuationSeparator/>
      </w:r>
    </w:p>
  </w:endnote>
  <w:endnote w:type="continuationNotice" w:id="1">
    <w:p w14:paraId="670FB14E" w14:textId="77777777" w:rsidR="008614CA" w:rsidRDefault="008614CA">
      <w:pPr>
        <w:spacing w:after="0" w:line="240" w:lineRule="auto"/>
      </w:pPr>
    </w:p>
  </w:endnote>
  <w:endnote w:id="2">
    <w:p w14:paraId="0C1203BE" w14:textId="061F5FF5" w:rsidR="00EF3E11" w:rsidRDefault="00EF3E11" w:rsidP="00CF5050">
      <w:pPr>
        <w:pStyle w:val="Endnotes"/>
      </w:pPr>
      <w:r>
        <w:rPr>
          <w:rStyle w:val="EndnoteReference"/>
        </w:rPr>
        <w:endnoteRef/>
      </w:r>
      <w:r>
        <w:t xml:space="preserve"> </w:t>
      </w:r>
      <w:r w:rsidR="00D2005B">
        <w:t xml:space="preserve">Australian Government </w:t>
      </w:r>
      <w:r>
        <w:t>Department of Foreign Affairs and Trade</w:t>
      </w:r>
      <w:r w:rsidR="00987D48">
        <w:t xml:space="preserve">, </w:t>
      </w:r>
      <w:r w:rsidR="00F17C2A" w:rsidRPr="00CF5050">
        <w:rPr>
          <w:i/>
          <w:iCs/>
        </w:rPr>
        <w:t>Joint declaration on a comprehensive strategic partnership between Australia and the Republic of Indonesia</w:t>
      </w:r>
      <w:r w:rsidR="00AD0701">
        <w:t xml:space="preserve">, 2018. </w:t>
      </w:r>
      <w:r w:rsidR="000A0388" w:rsidRPr="000A0388">
        <w:t>https://www.dfat.gov.au/geo/indonesia/joint-declaration-comprehensive-strategic-partnership-between-the-commonwealth-of-australia-and-republic-of-indonesia</w:t>
      </w:r>
    </w:p>
  </w:endnote>
  <w:endnote w:id="3">
    <w:p w14:paraId="30FCA024" w14:textId="0CDBC884" w:rsidR="00C204DC" w:rsidRDefault="00C204DC" w:rsidP="00CF5050">
      <w:pPr>
        <w:pStyle w:val="Endnotes"/>
      </w:pPr>
      <w:r>
        <w:rPr>
          <w:rStyle w:val="EndnoteReference"/>
        </w:rPr>
        <w:endnoteRef/>
      </w:r>
      <w:r>
        <w:t xml:space="preserve"> </w:t>
      </w:r>
      <w:r w:rsidR="00D2005B">
        <w:t xml:space="preserve">Australian Government </w:t>
      </w:r>
      <w:r>
        <w:t xml:space="preserve">Department of Foreign Affairs and Trade, </w:t>
      </w:r>
      <w:r w:rsidR="00434BC3" w:rsidRPr="00CF5050">
        <w:rPr>
          <w:i/>
          <w:iCs/>
        </w:rPr>
        <w:t>Indonesia–Australia comprehensive economic partnership agreement</w:t>
      </w:r>
      <w:r w:rsidR="00434BC3">
        <w:t xml:space="preserve">, </w:t>
      </w:r>
      <w:r w:rsidR="00A027AA">
        <w:t xml:space="preserve">2019. </w:t>
      </w:r>
      <w:r w:rsidR="007E000A" w:rsidRPr="007E000A">
        <w:t>https://www.dfat.gov.au/trade/agreements/in-force/iacepa/indonesia-australia-comprehensive-economic-partnership-agreement</w:t>
      </w:r>
    </w:p>
  </w:endnote>
  <w:endnote w:id="4">
    <w:p w14:paraId="4F9DB235" w14:textId="5035AF90" w:rsidR="00CD0ABA" w:rsidRDefault="00CD0ABA" w:rsidP="00CF5050">
      <w:pPr>
        <w:pStyle w:val="Endnotes"/>
      </w:pPr>
      <w:r>
        <w:rPr>
          <w:rStyle w:val="EndnoteReference"/>
        </w:rPr>
        <w:endnoteRef/>
      </w:r>
      <w:r>
        <w:t xml:space="preserve"> </w:t>
      </w:r>
      <w:r w:rsidR="00D2005B">
        <w:t xml:space="preserve">Australian Government </w:t>
      </w:r>
      <w:r>
        <w:t xml:space="preserve">Department of Foreign Affairs and Trade, </w:t>
      </w:r>
      <w:r w:rsidR="002A06AC" w:rsidRPr="00CF5050">
        <w:rPr>
          <w:i/>
          <w:iCs/>
        </w:rPr>
        <w:t>Invested: Australia’s Southeast Asia economic strategy to 2040</w:t>
      </w:r>
      <w:r w:rsidR="002A06AC">
        <w:t>, 2023.</w:t>
      </w:r>
      <w:r w:rsidR="008305B6">
        <w:t xml:space="preserve"> </w:t>
      </w:r>
      <w:r w:rsidR="008305B6" w:rsidRPr="008305B6">
        <w:t>https://www.dfat.gov.au/southeastasiaeconomicstrategy</w:t>
      </w:r>
    </w:p>
  </w:endnote>
  <w:endnote w:id="5">
    <w:p w14:paraId="2E5C5650" w14:textId="6BD9522F" w:rsidR="00355044" w:rsidRDefault="00355044" w:rsidP="00CF5050">
      <w:pPr>
        <w:pStyle w:val="Endnotes"/>
      </w:pPr>
      <w:r>
        <w:rPr>
          <w:rStyle w:val="EndnoteReference"/>
        </w:rPr>
        <w:endnoteRef/>
      </w:r>
      <w:r>
        <w:t xml:space="preserve"> </w:t>
      </w:r>
      <w:r w:rsidR="00345765">
        <w:t>Ministry of National Development Planning</w:t>
      </w:r>
      <w:r w:rsidR="00E561B6">
        <w:t>/Bappenas</w:t>
      </w:r>
      <w:r w:rsidR="00345765">
        <w:t xml:space="preserve">, </w:t>
      </w:r>
      <w:r w:rsidR="005B53BB" w:rsidRPr="00CC0CDB">
        <w:rPr>
          <w:rStyle w:val="Hyperlink"/>
          <w:rFonts w:cstheme="majorHAnsi"/>
          <w:i/>
          <w:iCs/>
          <w:color w:val="auto"/>
          <w:u w:val="none"/>
          <w:lang w:eastAsia="en-AU"/>
        </w:rPr>
        <w:t>Rencana Pembangunan Jangka Panjang Nasional</w:t>
      </w:r>
      <w:r w:rsidR="005B53BB" w:rsidRPr="00CF5050">
        <w:rPr>
          <w:rStyle w:val="Hyperlink"/>
          <w:rFonts w:cstheme="majorHAnsi"/>
          <w:i/>
          <w:iCs/>
          <w:color w:val="auto"/>
          <w:u w:val="none"/>
          <w:lang w:eastAsia="en-AU"/>
        </w:rPr>
        <w:t xml:space="preserve"> 2025–2045</w:t>
      </w:r>
      <w:r w:rsidR="005B53BB" w:rsidRPr="00CC0CDB">
        <w:rPr>
          <w:rStyle w:val="Hyperlink"/>
          <w:rFonts w:cstheme="majorHAnsi"/>
          <w:color w:val="auto"/>
          <w:u w:val="none"/>
          <w:lang w:eastAsia="en-AU"/>
        </w:rPr>
        <w:t xml:space="preserve"> [</w:t>
      </w:r>
      <w:r w:rsidR="00345765" w:rsidRPr="00244C84">
        <w:rPr>
          <w:rFonts w:cstheme="majorHAnsi"/>
          <w:lang w:eastAsia="en-AU"/>
        </w:rPr>
        <w:t xml:space="preserve">National </w:t>
      </w:r>
      <w:r w:rsidR="00BA755D">
        <w:rPr>
          <w:rFonts w:cstheme="majorHAnsi"/>
          <w:lang w:eastAsia="en-AU"/>
        </w:rPr>
        <w:t>L</w:t>
      </w:r>
      <w:r w:rsidR="00345765" w:rsidRPr="00244C84">
        <w:rPr>
          <w:rFonts w:cstheme="majorHAnsi"/>
          <w:lang w:eastAsia="en-AU"/>
        </w:rPr>
        <w:t>ong-</w:t>
      </w:r>
      <w:r w:rsidR="00BA755D">
        <w:rPr>
          <w:rFonts w:cstheme="majorHAnsi"/>
          <w:lang w:eastAsia="en-AU"/>
        </w:rPr>
        <w:t>T</w:t>
      </w:r>
      <w:r w:rsidR="00345765" w:rsidRPr="00244C84">
        <w:rPr>
          <w:rFonts w:cstheme="majorHAnsi"/>
          <w:lang w:eastAsia="en-AU"/>
        </w:rPr>
        <w:t xml:space="preserve">erm </w:t>
      </w:r>
      <w:r w:rsidR="00BA755D">
        <w:rPr>
          <w:rFonts w:cstheme="majorHAnsi"/>
          <w:lang w:eastAsia="en-AU"/>
        </w:rPr>
        <w:t>D</w:t>
      </w:r>
      <w:r w:rsidR="00345765" w:rsidRPr="00244C84">
        <w:rPr>
          <w:rFonts w:cstheme="majorHAnsi"/>
          <w:lang w:eastAsia="en-AU"/>
        </w:rPr>
        <w:t xml:space="preserve">evelopment </w:t>
      </w:r>
      <w:r w:rsidR="00BA755D">
        <w:rPr>
          <w:rFonts w:cstheme="majorHAnsi"/>
          <w:lang w:eastAsia="en-AU"/>
        </w:rPr>
        <w:t>P</w:t>
      </w:r>
      <w:r w:rsidR="00345765" w:rsidRPr="00244C84">
        <w:rPr>
          <w:rFonts w:cstheme="majorHAnsi"/>
          <w:lang w:eastAsia="en-AU"/>
        </w:rPr>
        <w:t>lan 2025</w:t>
      </w:r>
      <w:r w:rsidR="00345765">
        <w:rPr>
          <w:rFonts w:cstheme="majorHAnsi"/>
          <w:lang w:eastAsia="en-AU"/>
        </w:rPr>
        <w:t>–</w:t>
      </w:r>
      <w:r w:rsidR="00345765" w:rsidRPr="00244C84">
        <w:rPr>
          <w:rFonts w:cstheme="majorHAnsi"/>
          <w:lang w:eastAsia="en-AU"/>
        </w:rPr>
        <w:t>2045</w:t>
      </w:r>
      <w:r w:rsidR="005B53BB">
        <w:rPr>
          <w:rFonts w:cstheme="majorHAnsi"/>
          <w:lang w:eastAsia="en-AU"/>
        </w:rPr>
        <w:t>]</w:t>
      </w:r>
      <w:r w:rsidR="00127DF0">
        <w:rPr>
          <w:rFonts w:cstheme="majorHAnsi"/>
          <w:lang w:eastAsia="en-AU"/>
        </w:rPr>
        <w:t xml:space="preserve">, </w:t>
      </w:r>
      <w:r w:rsidR="002D7677">
        <w:rPr>
          <w:rFonts w:cstheme="majorHAnsi"/>
          <w:lang w:eastAsia="en-AU"/>
        </w:rPr>
        <w:t xml:space="preserve">2023. </w:t>
      </w:r>
      <w:r w:rsidR="002D7677" w:rsidRPr="002D7677">
        <w:rPr>
          <w:rFonts w:cstheme="majorHAnsi"/>
          <w:lang w:eastAsia="en-AU"/>
        </w:rPr>
        <w:t>https://indonesia2045.go.id/</w:t>
      </w:r>
    </w:p>
  </w:endnote>
  <w:endnote w:id="6">
    <w:p w14:paraId="772F11D9" w14:textId="0B32C625" w:rsidR="00737E87" w:rsidRPr="00F06B4B" w:rsidRDefault="00737E87" w:rsidP="00CF5050">
      <w:pPr>
        <w:pStyle w:val="Endnotes"/>
      </w:pPr>
      <w:r>
        <w:rPr>
          <w:rStyle w:val="EndnoteReference"/>
        </w:rPr>
        <w:endnoteRef/>
      </w:r>
      <w:r>
        <w:t xml:space="preserve"> </w:t>
      </w:r>
      <w:r w:rsidRPr="00F06B4B">
        <w:t>World Bank</w:t>
      </w:r>
      <w:r>
        <w:t xml:space="preserve">, </w:t>
      </w:r>
      <w:r w:rsidR="00D2267E" w:rsidRPr="00CF5050">
        <w:rPr>
          <w:i/>
          <w:iCs/>
        </w:rPr>
        <w:t>GDP growth (annual %) – Indonesia</w:t>
      </w:r>
      <w:r w:rsidR="00D2267E">
        <w:t>, 20</w:t>
      </w:r>
      <w:r w:rsidR="006D5722">
        <w:t xml:space="preserve">22. </w:t>
      </w:r>
      <w:r w:rsidR="006D5722" w:rsidRPr="006D5722">
        <w:t>https://data.worldbank.org/indicator/NY.GDP.MKTP.KD.ZG?end=2022&amp;locations=ID&amp;start=2018</w:t>
      </w:r>
    </w:p>
  </w:endnote>
  <w:endnote w:id="7">
    <w:p w14:paraId="63CCA73E" w14:textId="75665E53" w:rsidR="00737E87" w:rsidRDefault="00737E87" w:rsidP="00CF5050">
      <w:pPr>
        <w:pStyle w:val="Endnotes"/>
      </w:pPr>
      <w:r>
        <w:rPr>
          <w:rStyle w:val="EndnoteReference"/>
        </w:rPr>
        <w:endnoteRef/>
      </w:r>
      <w:r>
        <w:t xml:space="preserve"> </w:t>
      </w:r>
      <w:r w:rsidR="00344F2F">
        <w:t xml:space="preserve">G20 </w:t>
      </w:r>
      <w:r w:rsidRPr="00CD69C4">
        <w:t>Global Infrastructure Hub</w:t>
      </w:r>
      <w:r w:rsidR="007460CF">
        <w:t>,</w:t>
      </w:r>
      <w:r w:rsidRPr="00CD69C4">
        <w:t xml:space="preserve"> </w:t>
      </w:r>
      <w:r w:rsidRPr="00CF5050">
        <w:rPr>
          <w:i/>
          <w:iCs/>
        </w:rPr>
        <w:t xml:space="preserve">Global </w:t>
      </w:r>
      <w:r w:rsidR="007460CF" w:rsidRPr="00CF5050">
        <w:rPr>
          <w:i/>
          <w:iCs/>
        </w:rPr>
        <w:t>i</w:t>
      </w:r>
      <w:r w:rsidRPr="00CF5050">
        <w:rPr>
          <w:i/>
          <w:iCs/>
        </w:rPr>
        <w:t xml:space="preserve">nfrastructure </w:t>
      </w:r>
      <w:r w:rsidR="007460CF" w:rsidRPr="00CF5050">
        <w:rPr>
          <w:i/>
          <w:iCs/>
        </w:rPr>
        <w:t>o</w:t>
      </w:r>
      <w:r w:rsidRPr="00CF5050">
        <w:rPr>
          <w:i/>
          <w:iCs/>
        </w:rPr>
        <w:t xml:space="preserve">utlook </w:t>
      </w:r>
      <w:r w:rsidR="007460CF" w:rsidRPr="00CF5050">
        <w:rPr>
          <w:i/>
          <w:iCs/>
        </w:rPr>
        <w:t>– Indonesia</w:t>
      </w:r>
      <w:r w:rsidR="007460CF">
        <w:t>.</w:t>
      </w:r>
      <w:r w:rsidR="007460CF" w:rsidRPr="00CD69C4">
        <w:t xml:space="preserve"> </w:t>
      </w:r>
      <w:r w:rsidR="00CB190E" w:rsidRPr="00CB190E">
        <w:t>https://outlook.gihub.org/countries/Indonesia</w:t>
      </w:r>
    </w:p>
  </w:endnote>
  <w:endnote w:id="8">
    <w:p w14:paraId="3D38E7A4" w14:textId="091E1494" w:rsidR="00737E87" w:rsidRPr="00361130" w:rsidRDefault="00737E87" w:rsidP="00CF5050">
      <w:pPr>
        <w:pStyle w:val="Endnotes"/>
      </w:pPr>
      <w:r w:rsidRPr="001A43CA">
        <w:rPr>
          <w:rStyle w:val="EndnoteReference"/>
        </w:rPr>
        <w:endnoteRef/>
      </w:r>
      <w:r w:rsidRPr="00361130">
        <w:t xml:space="preserve"> </w:t>
      </w:r>
      <w:r w:rsidR="005620D6" w:rsidRPr="00CF5050">
        <w:t>Coalition for Urban Transitions</w:t>
      </w:r>
      <w:r w:rsidR="005620D6">
        <w:t>,</w:t>
      </w:r>
      <w:r w:rsidR="005620D6" w:rsidRPr="00CF5050">
        <w:t xml:space="preserve"> Seizing Indonesia’s </w:t>
      </w:r>
      <w:r w:rsidR="00DD3B65">
        <w:t>u</w:t>
      </w:r>
      <w:r w:rsidR="005620D6" w:rsidRPr="00CF5050">
        <w:t xml:space="preserve">rban </w:t>
      </w:r>
      <w:r w:rsidR="00DD3B65">
        <w:t>o</w:t>
      </w:r>
      <w:r w:rsidR="005620D6" w:rsidRPr="00CF5050">
        <w:t>pportunity</w:t>
      </w:r>
      <w:r w:rsidRPr="00CF5050">
        <w:t>, 2021</w:t>
      </w:r>
      <w:r w:rsidR="00DD3B65">
        <w:t xml:space="preserve">. </w:t>
      </w:r>
      <w:r w:rsidR="001A43CA" w:rsidRPr="001A43CA">
        <w:t>https://urbantransitions.global/wp-content/uploads/2021/03/SUO_Indonesia_20Apr-UPDATE.pdf</w:t>
      </w:r>
      <w:r w:rsidRPr="00CF5050">
        <w:t xml:space="preserve">; </w:t>
      </w:r>
      <w:hyperlink r:id="rId1" w:history="1">
        <w:r w:rsidRPr="00CF5050">
          <w:rPr>
            <w:rStyle w:val="Hyperlink"/>
            <w:i/>
            <w:iCs/>
            <w:color w:val="auto"/>
            <w:u w:val="none"/>
          </w:rPr>
          <w:t>World Bank, Time to A</w:t>
        </w:r>
        <w:r w:rsidR="00415E5E" w:rsidRPr="00CF5050">
          <w:rPr>
            <w:rStyle w:val="Hyperlink"/>
            <w:i/>
            <w:iCs/>
            <w:color w:val="auto"/>
            <w:u w:val="none"/>
          </w:rPr>
          <w:t>CT</w:t>
        </w:r>
        <w:r w:rsidRPr="00CF5050">
          <w:rPr>
            <w:rStyle w:val="Hyperlink"/>
            <w:i/>
            <w:iCs/>
            <w:color w:val="auto"/>
            <w:u w:val="none"/>
          </w:rPr>
          <w:t xml:space="preserve">: </w:t>
        </w:r>
        <w:r w:rsidR="00415E5E" w:rsidRPr="00CF5050">
          <w:rPr>
            <w:rStyle w:val="Hyperlink"/>
            <w:i/>
            <w:iCs/>
            <w:color w:val="auto"/>
            <w:u w:val="none"/>
          </w:rPr>
          <w:t>r</w:t>
        </w:r>
        <w:r w:rsidRPr="00CF5050">
          <w:rPr>
            <w:rStyle w:val="Hyperlink"/>
            <w:i/>
            <w:iCs/>
            <w:color w:val="auto"/>
            <w:u w:val="none"/>
          </w:rPr>
          <w:t xml:space="preserve">ealizing Indonesia’s </w:t>
        </w:r>
        <w:r w:rsidR="00415E5E" w:rsidRPr="00CF5050">
          <w:rPr>
            <w:rStyle w:val="Hyperlink"/>
            <w:i/>
            <w:iCs/>
            <w:color w:val="auto"/>
            <w:u w:val="none"/>
          </w:rPr>
          <w:t>u</w:t>
        </w:r>
        <w:r w:rsidRPr="00CF5050">
          <w:rPr>
            <w:rStyle w:val="Hyperlink"/>
            <w:i/>
            <w:iCs/>
            <w:color w:val="auto"/>
            <w:u w:val="none"/>
          </w:rPr>
          <w:t xml:space="preserve">rban </w:t>
        </w:r>
        <w:r w:rsidR="00415E5E" w:rsidRPr="00CF5050">
          <w:rPr>
            <w:rStyle w:val="Hyperlink"/>
            <w:i/>
            <w:iCs/>
            <w:color w:val="auto"/>
            <w:u w:val="none"/>
          </w:rPr>
          <w:t>p</w:t>
        </w:r>
        <w:r w:rsidRPr="00CF5050">
          <w:rPr>
            <w:rStyle w:val="Hyperlink"/>
            <w:i/>
            <w:iCs/>
            <w:color w:val="auto"/>
            <w:u w:val="none"/>
          </w:rPr>
          <w:t>otential</w:t>
        </w:r>
      </w:hyperlink>
      <w:r w:rsidRPr="00CF5050">
        <w:t>, 2019.</w:t>
      </w:r>
      <w:r w:rsidR="00415E5E">
        <w:t xml:space="preserve"> </w:t>
      </w:r>
      <w:r w:rsidR="00415E5E" w:rsidRPr="00415E5E">
        <w:t>https://openknowledge.worldbank.org/entities/publication/3d3402fd-6763-5532-b2fc-dfd980c45f58</w:t>
      </w:r>
    </w:p>
  </w:endnote>
  <w:endnote w:id="9">
    <w:p w14:paraId="752FB9F1" w14:textId="6CF1499F" w:rsidR="00737E87" w:rsidRPr="00B94AE3" w:rsidRDefault="00737E87" w:rsidP="00CF5050">
      <w:pPr>
        <w:pStyle w:val="Endnotes"/>
      </w:pPr>
      <w:r>
        <w:rPr>
          <w:rStyle w:val="EndnoteReference"/>
        </w:rPr>
        <w:endnoteRef/>
      </w:r>
      <w:r>
        <w:t xml:space="preserve"> </w:t>
      </w:r>
      <w:r w:rsidR="00A55866" w:rsidRPr="00CF5050">
        <w:t xml:space="preserve">World Bank Group and Asian Development Bank, </w:t>
      </w:r>
      <w:r w:rsidR="00A55866" w:rsidRPr="00CF5050">
        <w:rPr>
          <w:i/>
          <w:iCs/>
        </w:rPr>
        <w:t>Climate risk country profile: Indonesia</w:t>
      </w:r>
      <w:r w:rsidR="000B195F" w:rsidRPr="00CF5050">
        <w:t xml:space="preserve">, 2021. </w:t>
      </w:r>
      <w:r w:rsidR="00A55866" w:rsidRPr="00CF5050">
        <w:t>https://www.adb.org/sites/default/files/publication/700411/climate-risk-country-profile-indonesia.pdf</w:t>
      </w:r>
    </w:p>
  </w:endnote>
  <w:endnote w:id="10">
    <w:p w14:paraId="42FD3F6C" w14:textId="3858D65F" w:rsidR="00737E87" w:rsidRPr="003F5B44" w:rsidRDefault="00737E87" w:rsidP="00CF5050">
      <w:pPr>
        <w:pStyle w:val="Endnotes"/>
      </w:pPr>
      <w:r>
        <w:rPr>
          <w:rStyle w:val="EndnoteReference"/>
        </w:rPr>
        <w:endnoteRef/>
      </w:r>
      <w:r>
        <w:t xml:space="preserve"> </w:t>
      </w:r>
      <w:r w:rsidRPr="00CF5050">
        <w:t>World Bank Group</w:t>
      </w:r>
      <w:r w:rsidR="00A55866" w:rsidRPr="00CF5050">
        <w:t xml:space="preserve"> and</w:t>
      </w:r>
      <w:r w:rsidRPr="00CF5050">
        <w:t xml:space="preserve"> Asian Development Bank</w:t>
      </w:r>
      <w:r w:rsidR="00A55866" w:rsidRPr="00CF5050">
        <w:t xml:space="preserve">, </w:t>
      </w:r>
      <w:r w:rsidRPr="00CF5050">
        <w:rPr>
          <w:i/>
          <w:iCs/>
        </w:rPr>
        <w:t xml:space="preserve">Climate </w:t>
      </w:r>
      <w:r w:rsidR="00A55866" w:rsidRPr="00CF5050">
        <w:rPr>
          <w:i/>
          <w:iCs/>
        </w:rPr>
        <w:t>r</w:t>
      </w:r>
      <w:r w:rsidRPr="00CF5050">
        <w:rPr>
          <w:i/>
          <w:iCs/>
        </w:rPr>
        <w:t xml:space="preserve">isk </w:t>
      </w:r>
      <w:r w:rsidR="00A55866" w:rsidRPr="00CF5050">
        <w:rPr>
          <w:i/>
          <w:iCs/>
        </w:rPr>
        <w:t>c</w:t>
      </w:r>
      <w:r w:rsidRPr="00CF5050">
        <w:rPr>
          <w:i/>
          <w:iCs/>
        </w:rPr>
        <w:t xml:space="preserve">ountry </w:t>
      </w:r>
      <w:r w:rsidR="00A55866" w:rsidRPr="00CF5050">
        <w:rPr>
          <w:i/>
          <w:iCs/>
        </w:rPr>
        <w:t>p</w:t>
      </w:r>
      <w:r w:rsidRPr="00CF5050">
        <w:rPr>
          <w:i/>
          <w:iCs/>
        </w:rPr>
        <w:t>rofile: Indonesia</w:t>
      </w:r>
      <w:r w:rsidRPr="00CF5050">
        <w:t xml:space="preserve">; </w:t>
      </w:r>
      <w:r w:rsidR="00B94AE3" w:rsidRPr="00CF5050">
        <w:t>I</w:t>
      </w:r>
      <w:r w:rsidR="00367110" w:rsidRPr="00CF5050">
        <w:t> </w:t>
      </w:r>
      <w:r w:rsidRPr="00CF5050">
        <w:t xml:space="preserve">Rudiarto, </w:t>
      </w:r>
      <w:r w:rsidR="00367110" w:rsidRPr="00CF5050">
        <w:t>W </w:t>
      </w:r>
      <w:r w:rsidRPr="00CF5050">
        <w:t xml:space="preserve">Handayani and </w:t>
      </w:r>
      <w:r w:rsidR="00367110" w:rsidRPr="00CF5050">
        <w:t>J</w:t>
      </w:r>
      <w:r w:rsidRPr="00CF5050">
        <w:t>S</w:t>
      </w:r>
      <w:r w:rsidR="00F34C33" w:rsidRPr="00CF5050">
        <w:t> </w:t>
      </w:r>
      <w:r w:rsidRPr="00CF5050">
        <w:t xml:space="preserve">Setyono, </w:t>
      </w:r>
      <w:r w:rsidR="003F5B44" w:rsidRPr="00CF5050">
        <w:t>‘</w:t>
      </w:r>
      <w:r w:rsidRPr="00CF5050">
        <w:t xml:space="preserve">A regional </w:t>
      </w:r>
      <w:r w:rsidR="00F34C33" w:rsidRPr="00CF5050">
        <w:t>p</w:t>
      </w:r>
      <w:r w:rsidRPr="00CF5050">
        <w:t xml:space="preserve">erspective on </w:t>
      </w:r>
      <w:r w:rsidR="00F34C33" w:rsidRPr="00CF5050">
        <w:t>u</w:t>
      </w:r>
      <w:r w:rsidRPr="00CF5050">
        <w:t>rbani</w:t>
      </w:r>
      <w:r w:rsidR="00F34C33" w:rsidRPr="00CF5050">
        <w:t>z</w:t>
      </w:r>
      <w:r w:rsidRPr="00CF5050">
        <w:t xml:space="preserve">ation and </w:t>
      </w:r>
      <w:r w:rsidR="00F34C33" w:rsidRPr="00CF5050">
        <w:t>c</w:t>
      </w:r>
      <w:r w:rsidRPr="00CF5050">
        <w:t>limate-</w:t>
      </w:r>
      <w:r w:rsidR="00F34C33" w:rsidRPr="00CF5050">
        <w:t>r</w:t>
      </w:r>
      <w:r w:rsidRPr="00CF5050">
        <w:t xml:space="preserve">elated </w:t>
      </w:r>
      <w:r w:rsidR="00F34C33" w:rsidRPr="00CF5050">
        <w:t>d</w:t>
      </w:r>
      <w:r w:rsidRPr="00CF5050">
        <w:t xml:space="preserve">isasters in the </w:t>
      </w:r>
      <w:r w:rsidR="00F34C33" w:rsidRPr="00CF5050">
        <w:t>n</w:t>
      </w:r>
      <w:r w:rsidRPr="00CF5050">
        <w:t xml:space="preserve">orthern </w:t>
      </w:r>
      <w:r w:rsidR="00F34C33" w:rsidRPr="00CF5050">
        <w:t>c</w:t>
      </w:r>
      <w:r w:rsidRPr="00CF5050">
        <w:t xml:space="preserve">oastal </w:t>
      </w:r>
      <w:r w:rsidR="00F34C33" w:rsidRPr="00CF5050">
        <w:t>r</w:t>
      </w:r>
      <w:r w:rsidRPr="00CF5050">
        <w:t>egion of Central Java, Indonesia</w:t>
      </w:r>
      <w:r w:rsidR="003F5B44" w:rsidRPr="00CF5050">
        <w:t xml:space="preserve">’, </w:t>
      </w:r>
      <w:r w:rsidR="008D2805" w:rsidRPr="00CF5050">
        <w:t>Land</w:t>
      </w:r>
      <w:r w:rsidR="003F5B44" w:rsidRPr="00CF5050">
        <w:t>,</w:t>
      </w:r>
      <w:r w:rsidR="008D2805" w:rsidRPr="00CF5050">
        <w:t> 2018, 7(1)</w:t>
      </w:r>
      <w:r w:rsidR="00A51B4C">
        <w:t>:</w:t>
      </w:r>
      <w:r w:rsidR="008D2805" w:rsidRPr="00CF5050">
        <w:t>34</w:t>
      </w:r>
      <w:r w:rsidR="00A51B4C">
        <w:t>,</w:t>
      </w:r>
      <w:r w:rsidR="008D2805" w:rsidRPr="00CF5050">
        <w:t> </w:t>
      </w:r>
      <w:hyperlink r:id="rId2" w:history="1">
        <w:r w:rsidR="008D2805" w:rsidRPr="00CF5050">
          <w:t>doi</w:t>
        </w:r>
        <w:r w:rsidR="00A51B4C">
          <w:t>:</w:t>
        </w:r>
        <w:r w:rsidR="008D2805" w:rsidRPr="00CF5050">
          <w:t>10.3390/land7010034</w:t>
        </w:r>
      </w:hyperlink>
      <w:r w:rsidR="00A51B4C">
        <w:t>.</w:t>
      </w:r>
    </w:p>
  </w:endnote>
  <w:endnote w:id="11">
    <w:p w14:paraId="69C75910" w14:textId="77777777" w:rsidR="00531CFA" w:rsidRPr="007E718A" w:rsidRDefault="00531CFA" w:rsidP="007E718A">
      <w:pPr>
        <w:pStyle w:val="Endnotes"/>
      </w:pPr>
      <w:r>
        <w:rPr>
          <w:rStyle w:val="EndnoteReference"/>
        </w:rPr>
        <w:endnoteRef/>
      </w:r>
      <w:r>
        <w:t xml:space="preserve"> </w:t>
      </w:r>
      <w:r w:rsidRPr="00CF5050">
        <w:t xml:space="preserve">Kementerian Lingkungan Hidup dan Kehutanan, Republik Indonesia [Ministry of Environment and Forestry, Indonesia], </w:t>
      </w:r>
      <w:r w:rsidRPr="00CF5050">
        <w:rPr>
          <w:i/>
          <w:iCs/>
        </w:rPr>
        <w:t>Long-term strategy for low carbon and climate resilience 2050</w:t>
      </w:r>
      <w:r w:rsidRPr="00CF5050">
        <w:t>, 2021. https://www.menlhk.go.id/</w:t>
      </w:r>
    </w:p>
  </w:endnote>
  <w:endnote w:id="12">
    <w:p w14:paraId="17817DA7" w14:textId="4324CD15" w:rsidR="00F92CDE" w:rsidRDefault="00F92CDE" w:rsidP="00CF5050">
      <w:pPr>
        <w:pStyle w:val="Endnotes"/>
      </w:pPr>
      <w:r>
        <w:rPr>
          <w:rStyle w:val="EndnoteReference"/>
        </w:rPr>
        <w:endnoteRef/>
      </w:r>
      <w:r>
        <w:t xml:space="preserve"> Ministry of National Development Planning/Bappenas, </w:t>
      </w:r>
      <w:r w:rsidR="00B13B7A" w:rsidRPr="00CC0CDB">
        <w:rPr>
          <w:rStyle w:val="Hyperlink"/>
          <w:rFonts w:cstheme="majorHAnsi"/>
          <w:i/>
          <w:iCs/>
          <w:color w:val="auto"/>
          <w:u w:val="none"/>
          <w:lang w:eastAsia="en-AU"/>
        </w:rPr>
        <w:t>Rencana Pembangunan Jangka Panjang Nasional 2025–2045</w:t>
      </w:r>
      <w:r>
        <w:rPr>
          <w:rFonts w:cstheme="majorHAnsi"/>
          <w:lang w:eastAsia="en-AU"/>
        </w:rPr>
        <w:t>.</w:t>
      </w:r>
    </w:p>
  </w:endnote>
  <w:endnote w:id="13">
    <w:p w14:paraId="25CC8A6D" w14:textId="75DC7EE9" w:rsidR="00D2005B" w:rsidRDefault="00D2005B" w:rsidP="00CF5050">
      <w:pPr>
        <w:pStyle w:val="Endnotes"/>
      </w:pPr>
      <w:r>
        <w:rPr>
          <w:rStyle w:val="EndnoteReference"/>
        </w:rPr>
        <w:endnoteRef/>
      </w:r>
      <w:r>
        <w:t xml:space="preserve"> </w:t>
      </w:r>
      <w:r w:rsidRPr="00D2005B">
        <w:t xml:space="preserve">Australian Government Department of Foreign Affairs and Trade, </w:t>
      </w:r>
      <w:r w:rsidRPr="00CF5050">
        <w:rPr>
          <w:i/>
          <w:iCs/>
        </w:rPr>
        <w:t>Invested: Australia’s Southeast Asia economic strategy to</w:t>
      </w:r>
      <w:r w:rsidR="00CC0CDB">
        <w:rPr>
          <w:i/>
          <w:iCs/>
        </w:rPr>
        <w:t> </w:t>
      </w:r>
      <w:r w:rsidRPr="00CF5050">
        <w:rPr>
          <w:i/>
          <w:iCs/>
        </w:rPr>
        <w:t>2040</w:t>
      </w:r>
      <w:r w:rsidRPr="00D2005B">
        <w:t>.</w:t>
      </w:r>
    </w:p>
  </w:endnote>
  <w:endnote w:id="14">
    <w:p w14:paraId="1D350A51" w14:textId="415F4FB4" w:rsidR="00EE3F2A" w:rsidRDefault="00EE3F2A" w:rsidP="00CF5050">
      <w:pPr>
        <w:pStyle w:val="Endnotes"/>
      </w:pPr>
      <w:r>
        <w:rPr>
          <w:rStyle w:val="EndnoteReference"/>
        </w:rPr>
        <w:endnoteRef/>
      </w:r>
      <w:r>
        <w:t xml:space="preserve"> Global Partnership for Education, </w:t>
      </w:r>
      <w:r w:rsidRPr="00EE3F2A">
        <w:t>https://www.globalpartnership.org/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61C3" w14:textId="00BD74D6" w:rsidR="00737E87" w:rsidRDefault="00737E87" w:rsidP="00DE0C43">
    <w:pPr>
      <w:pStyle w:val="Footer"/>
      <w:tabs>
        <w:tab w:val="clear" w:pos="4513"/>
        <w:tab w:val="clear" w:pos="9026"/>
        <w:tab w:val="left" w:pos="3699"/>
      </w:tabs>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219257"/>
      <w:docPartObj>
        <w:docPartGallery w:val="Page Numbers (Bottom of Page)"/>
        <w:docPartUnique/>
      </w:docPartObj>
    </w:sdtPr>
    <w:sdtEndPr>
      <w:rPr>
        <w:noProof/>
      </w:rPr>
    </w:sdtEndPr>
    <w:sdtContent>
      <w:p w14:paraId="323A8B59" w14:textId="690E2E54" w:rsidR="00C24760" w:rsidRDefault="00C24760" w:rsidP="00CF50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2475" w14:textId="156890E2" w:rsidR="00681817" w:rsidRDefault="00681817" w:rsidP="00DE0C43">
    <w:pPr>
      <w:pStyle w:val="Footer"/>
      <w:tabs>
        <w:tab w:val="clear" w:pos="4513"/>
        <w:tab w:val="clear" w:pos="9026"/>
        <w:tab w:val="left" w:pos="3699"/>
      </w:tabs>
      <w:jc w:val="center"/>
    </w:pPr>
    <w:r w:rsidRPr="00EC3C2B">
      <w:rPr>
        <w:noProof/>
        <w:color w:val="FFFFFF" w:themeColor="background1"/>
      </w:rPr>
      <w:drawing>
        <wp:anchor distT="0" distB="0" distL="114300" distR="114300" simplePos="0" relativeHeight="251668492" behindDoc="1" locked="0" layoutInCell="1" allowOverlap="1" wp14:anchorId="5E198A46" wp14:editId="14DA7D51">
          <wp:simplePos x="0" y="0"/>
          <wp:positionH relativeFrom="page">
            <wp:posOffset>254635</wp:posOffset>
          </wp:positionH>
          <wp:positionV relativeFrom="page">
            <wp:posOffset>10125124</wp:posOffset>
          </wp:positionV>
          <wp:extent cx="7106285" cy="374015"/>
          <wp:effectExtent l="0" t="0" r="0" b="6985"/>
          <wp:wrapNone/>
          <wp:docPr id="1571338573" name="Picture 1571338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6285" cy="37401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C9A7" w14:textId="08AEEC6C" w:rsidR="00DC39E5" w:rsidRDefault="00DC39E5" w:rsidP="00DE0C43">
    <w:pPr>
      <w:pStyle w:val="Footer"/>
      <w:tabs>
        <w:tab w:val="clear" w:pos="4513"/>
        <w:tab w:val="clear" w:pos="9026"/>
        <w:tab w:val="left" w:pos="3699"/>
      </w:tabs>
      <w:jc w:val="cen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53A" w14:textId="48EBA611" w:rsidR="00DC39E5" w:rsidRDefault="00DC39E5" w:rsidP="00DE0C4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5D52" w14:textId="77777777" w:rsidR="008614CA" w:rsidRDefault="008614CA" w:rsidP="00EE32FE">
      <w:pPr>
        <w:spacing w:after="0" w:line="240" w:lineRule="auto"/>
      </w:pPr>
      <w:r>
        <w:separator/>
      </w:r>
    </w:p>
  </w:footnote>
  <w:footnote w:type="continuationSeparator" w:id="0">
    <w:p w14:paraId="69C150E0" w14:textId="77777777" w:rsidR="008614CA" w:rsidRDefault="008614CA" w:rsidP="00EE32FE">
      <w:pPr>
        <w:spacing w:after="0" w:line="240" w:lineRule="auto"/>
      </w:pPr>
      <w:r>
        <w:continuationSeparator/>
      </w:r>
    </w:p>
  </w:footnote>
  <w:footnote w:type="continuationNotice" w:id="1">
    <w:p w14:paraId="51130E7C" w14:textId="77777777" w:rsidR="008614CA" w:rsidRDefault="008614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E04F" w14:textId="6B892FFA" w:rsidR="003035EE" w:rsidRDefault="003035EE" w:rsidP="00E814C6">
    <w:pPr>
      <w:pStyle w:val="Header"/>
      <w:spacing w:before="0"/>
    </w:pPr>
    <w:r>
      <w:rPr>
        <w:rFonts w:asciiTheme="majorHAnsi" w:hAnsiTheme="majorHAnsi" w:cstheme="majorHAnsi"/>
        <w:noProof/>
        <w:szCs w:val="21"/>
      </w:rPr>
      <w:drawing>
        <wp:anchor distT="0" distB="0" distL="114300" distR="114300" simplePos="0" relativeHeight="251669516" behindDoc="1" locked="0" layoutInCell="1" allowOverlap="1" wp14:anchorId="090281C9" wp14:editId="0330D68C">
          <wp:simplePos x="0" y="0"/>
          <wp:positionH relativeFrom="column">
            <wp:posOffset>-528955</wp:posOffset>
          </wp:positionH>
          <wp:positionV relativeFrom="paragraph">
            <wp:posOffset>-234315</wp:posOffset>
          </wp:positionV>
          <wp:extent cx="7563600" cy="10699200"/>
          <wp:effectExtent l="0" t="0" r="0" b="6985"/>
          <wp:wrapNone/>
          <wp:docPr id="160180041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00418"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3600" cy="1069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D1BF" w14:textId="344235E0" w:rsidR="00626D27" w:rsidRDefault="00B10FD6">
    <w:pPr>
      <w:pStyle w:val="Header"/>
    </w:pPr>
    <w:r>
      <w:rPr>
        <w:noProof/>
      </w:rPr>
      <w:drawing>
        <wp:anchor distT="0" distB="0" distL="114300" distR="114300" simplePos="0" relativeHeight="251670540" behindDoc="1" locked="0" layoutInCell="1" allowOverlap="1" wp14:anchorId="5E5BA700" wp14:editId="40A97F85">
          <wp:simplePos x="0" y="0"/>
          <wp:positionH relativeFrom="column">
            <wp:posOffset>-528955</wp:posOffset>
          </wp:positionH>
          <wp:positionV relativeFrom="paragraph">
            <wp:posOffset>-234315</wp:posOffset>
          </wp:positionV>
          <wp:extent cx="7567200" cy="10699200"/>
          <wp:effectExtent l="0" t="0" r="0" b="6985"/>
          <wp:wrapNone/>
          <wp:docPr id="1885651456" name="Picture 1" descr="Indonesians partnering with Australian Government development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51456" name="Picture 1" descr="Indonesians partnering with Australian Government development progr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1069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6916" w14:textId="5DC720E0" w:rsidR="00A96416" w:rsidRDefault="00A964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B983" w14:textId="69FC7B42" w:rsidR="00BB50E7" w:rsidRDefault="00BB50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94EC" w14:textId="5422029A" w:rsidR="006B5161" w:rsidRPr="00CF17C3" w:rsidRDefault="006B5161" w:rsidP="00CF17C3">
    <w:pPr>
      <w:pStyle w:val="SECCLASSIFICATIO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960E" w14:textId="42065F03" w:rsidR="00DC39E5" w:rsidRPr="00CF17C3" w:rsidRDefault="00DC39E5" w:rsidP="00CF17C3">
    <w:pPr>
      <w:pStyle w:val="SECCLASSIFICATION"/>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3226" w14:textId="11CD0AA1" w:rsidR="00DC39E5" w:rsidRDefault="00DC39E5" w:rsidP="00CF17C3">
    <w:pPr>
      <w:pStyle w:val="SEC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47"/>
    <w:multiLevelType w:val="hybridMultilevel"/>
    <w:tmpl w:val="C4A4514E"/>
    <w:lvl w:ilvl="0" w:tplc="04090019">
      <w:start w:val="1"/>
      <w:numFmt w:val="lowerLetter"/>
      <w:lvlText w:val="%1."/>
      <w:lvlJc w:val="left"/>
      <w:pPr>
        <w:ind w:left="410" w:hanging="360"/>
      </w:pPr>
      <w:rPr>
        <w:rFonts w:hint="default"/>
      </w:rPr>
    </w:lvl>
    <w:lvl w:ilvl="1" w:tplc="FFFFFFFF">
      <w:start w:val="1"/>
      <w:numFmt w:val="bullet"/>
      <w:lvlText w:val="o"/>
      <w:lvlJc w:val="left"/>
      <w:pPr>
        <w:ind w:left="1130" w:hanging="360"/>
      </w:pPr>
      <w:rPr>
        <w:rFonts w:ascii="Courier New" w:hAnsi="Courier New" w:cs="Courier New" w:hint="default"/>
      </w:rPr>
    </w:lvl>
    <w:lvl w:ilvl="2" w:tplc="FFFFFFFF">
      <w:start w:val="1"/>
      <w:numFmt w:val="bullet"/>
      <w:lvlText w:val=""/>
      <w:lvlJc w:val="left"/>
      <w:pPr>
        <w:ind w:left="1850" w:hanging="360"/>
      </w:pPr>
      <w:rPr>
        <w:rFonts w:ascii="Wingdings" w:hAnsi="Wingdings" w:hint="default"/>
      </w:rPr>
    </w:lvl>
    <w:lvl w:ilvl="3" w:tplc="FFFFFFFF">
      <w:start w:val="1"/>
      <w:numFmt w:val="bullet"/>
      <w:lvlText w:val=""/>
      <w:lvlJc w:val="left"/>
      <w:pPr>
        <w:ind w:left="2570" w:hanging="360"/>
      </w:pPr>
      <w:rPr>
        <w:rFonts w:ascii="Symbol" w:hAnsi="Symbol" w:hint="default"/>
      </w:rPr>
    </w:lvl>
    <w:lvl w:ilvl="4" w:tplc="FFFFFFFF">
      <w:start w:val="1"/>
      <w:numFmt w:val="bullet"/>
      <w:lvlText w:val="o"/>
      <w:lvlJc w:val="left"/>
      <w:pPr>
        <w:ind w:left="3290" w:hanging="360"/>
      </w:pPr>
      <w:rPr>
        <w:rFonts w:ascii="Courier New" w:hAnsi="Courier New" w:cs="Courier New" w:hint="default"/>
      </w:rPr>
    </w:lvl>
    <w:lvl w:ilvl="5" w:tplc="FFFFFFFF">
      <w:start w:val="1"/>
      <w:numFmt w:val="bullet"/>
      <w:lvlText w:val=""/>
      <w:lvlJc w:val="left"/>
      <w:pPr>
        <w:ind w:left="4010" w:hanging="360"/>
      </w:pPr>
      <w:rPr>
        <w:rFonts w:ascii="Wingdings" w:hAnsi="Wingdings" w:hint="default"/>
      </w:rPr>
    </w:lvl>
    <w:lvl w:ilvl="6" w:tplc="FFFFFFFF">
      <w:start w:val="1"/>
      <w:numFmt w:val="bullet"/>
      <w:lvlText w:val=""/>
      <w:lvlJc w:val="left"/>
      <w:pPr>
        <w:ind w:left="4730" w:hanging="360"/>
      </w:pPr>
      <w:rPr>
        <w:rFonts w:ascii="Symbol" w:hAnsi="Symbol" w:hint="default"/>
      </w:rPr>
    </w:lvl>
    <w:lvl w:ilvl="7" w:tplc="FFFFFFFF">
      <w:start w:val="1"/>
      <w:numFmt w:val="bullet"/>
      <w:lvlText w:val="o"/>
      <w:lvlJc w:val="left"/>
      <w:pPr>
        <w:ind w:left="5450" w:hanging="360"/>
      </w:pPr>
      <w:rPr>
        <w:rFonts w:ascii="Courier New" w:hAnsi="Courier New" w:cs="Courier New" w:hint="default"/>
      </w:rPr>
    </w:lvl>
    <w:lvl w:ilvl="8" w:tplc="FFFFFFFF">
      <w:start w:val="1"/>
      <w:numFmt w:val="bullet"/>
      <w:lvlText w:val=""/>
      <w:lvlJc w:val="left"/>
      <w:pPr>
        <w:ind w:left="6170" w:hanging="360"/>
      </w:pPr>
      <w:rPr>
        <w:rFonts w:ascii="Wingdings" w:hAnsi="Wingdings" w:hint="default"/>
      </w:rPr>
    </w:lvl>
  </w:abstractNum>
  <w:abstractNum w:abstractNumId="1" w15:restartNumberingAfterBreak="0">
    <w:nsid w:val="037D0C03"/>
    <w:multiLevelType w:val="hybridMultilevel"/>
    <w:tmpl w:val="1700C7C0"/>
    <w:lvl w:ilvl="0" w:tplc="04090019">
      <w:start w:val="1"/>
      <w:numFmt w:val="lowerLetter"/>
      <w:lvlText w:val="%1."/>
      <w:lvlJc w:val="left"/>
      <w:pPr>
        <w:ind w:left="410" w:hanging="360"/>
      </w:pPr>
      <w:rPr>
        <w:rFonts w:hint="default"/>
      </w:rPr>
    </w:lvl>
    <w:lvl w:ilvl="1" w:tplc="FFFFFFFF">
      <w:start w:val="1"/>
      <w:numFmt w:val="bullet"/>
      <w:lvlText w:val="o"/>
      <w:lvlJc w:val="left"/>
      <w:pPr>
        <w:ind w:left="1130" w:hanging="360"/>
      </w:pPr>
      <w:rPr>
        <w:rFonts w:ascii="Courier New" w:hAnsi="Courier New" w:cs="Courier New" w:hint="default"/>
      </w:rPr>
    </w:lvl>
    <w:lvl w:ilvl="2" w:tplc="FFFFFFFF">
      <w:start w:val="1"/>
      <w:numFmt w:val="bullet"/>
      <w:lvlText w:val=""/>
      <w:lvlJc w:val="left"/>
      <w:pPr>
        <w:ind w:left="1850" w:hanging="360"/>
      </w:pPr>
      <w:rPr>
        <w:rFonts w:ascii="Wingdings" w:hAnsi="Wingdings" w:hint="default"/>
      </w:rPr>
    </w:lvl>
    <w:lvl w:ilvl="3" w:tplc="FFFFFFFF">
      <w:start w:val="1"/>
      <w:numFmt w:val="bullet"/>
      <w:lvlText w:val=""/>
      <w:lvlJc w:val="left"/>
      <w:pPr>
        <w:ind w:left="2570" w:hanging="360"/>
      </w:pPr>
      <w:rPr>
        <w:rFonts w:ascii="Symbol" w:hAnsi="Symbol" w:hint="default"/>
      </w:rPr>
    </w:lvl>
    <w:lvl w:ilvl="4" w:tplc="FFFFFFFF">
      <w:start w:val="1"/>
      <w:numFmt w:val="bullet"/>
      <w:lvlText w:val="o"/>
      <w:lvlJc w:val="left"/>
      <w:pPr>
        <w:ind w:left="3290" w:hanging="360"/>
      </w:pPr>
      <w:rPr>
        <w:rFonts w:ascii="Courier New" w:hAnsi="Courier New" w:cs="Courier New" w:hint="default"/>
      </w:rPr>
    </w:lvl>
    <w:lvl w:ilvl="5" w:tplc="FFFFFFFF">
      <w:start w:val="1"/>
      <w:numFmt w:val="bullet"/>
      <w:lvlText w:val=""/>
      <w:lvlJc w:val="left"/>
      <w:pPr>
        <w:ind w:left="4010" w:hanging="360"/>
      </w:pPr>
      <w:rPr>
        <w:rFonts w:ascii="Wingdings" w:hAnsi="Wingdings" w:hint="default"/>
      </w:rPr>
    </w:lvl>
    <w:lvl w:ilvl="6" w:tplc="FFFFFFFF">
      <w:start w:val="1"/>
      <w:numFmt w:val="bullet"/>
      <w:lvlText w:val=""/>
      <w:lvlJc w:val="left"/>
      <w:pPr>
        <w:ind w:left="4730" w:hanging="360"/>
      </w:pPr>
      <w:rPr>
        <w:rFonts w:ascii="Symbol" w:hAnsi="Symbol" w:hint="default"/>
      </w:rPr>
    </w:lvl>
    <w:lvl w:ilvl="7" w:tplc="FFFFFFFF">
      <w:start w:val="1"/>
      <w:numFmt w:val="bullet"/>
      <w:lvlText w:val="o"/>
      <w:lvlJc w:val="left"/>
      <w:pPr>
        <w:ind w:left="5450" w:hanging="360"/>
      </w:pPr>
      <w:rPr>
        <w:rFonts w:ascii="Courier New" w:hAnsi="Courier New" w:cs="Courier New" w:hint="default"/>
      </w:rPr>
    </w:lvl>
    <w:lvl w:ilvl="8" w:tplc="FFFFFFFF">
      <w:start w:val="1"/>
      <w:numFmt w:val="bullet"/>
      <w:lvlText w:val=""/>
      <w:lvlJc w:val="left"/>
      <w:pPr>
        <w:ind w:left="6170" w:hanging="360"/>
      </w:pPr>
      <w:rPr>
        <w:rFonts w:ascii="Wingdings" w:hAnsi="Wingdings" w:hint="default"/>
      </w:rPr>
    </w:lvl>
  </w:abstractNum>
  <w:abstractNum w:abstractNumId="2" w15:restartNumberingAfterBreak="0">
    <w:nsid w:val="04FE2F74"/>
    <w:multiLevelType w:val="hybridMultilevel"/>
    <w:tmpl w:val="F88EEB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D47A80"/>
    <w:multiLevelType w:val="hybridMultilevel"/>
    <w:tmpl w:val="7786D92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0259B"/>
    <w:multiLevelType w:val="hybridMultilevel"/>
    <w:tmpl w:val="D00283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2508BF"/>
    <w:multiLevelType w:val="hybridMultilevel"/>
    <w:tmpl w:val="BBE0F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D31D8"/>
    <w:multiLevelType w:val="hybridMultilevel"/>
    <w:tmpl w:val="697885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464DD"/>
    <w:multiLevelType w:val="hybridMultilevel"/>
    <w:tmpl w:val="962829BA"/>
    <w:lvl w:ilvl="0" w:tplc="4F328EAE">
      <w:start w:val="1"/>
      <w:numFmt w:val="decimal"/>
      <w:lvlText w:val="%1."/>
      <w:lvlJc w:val="left"/>
      <w:pPr>
        <w:ind w:left="1020" w:hanging="360"/>
      </w:pPr>
    </w:lvl>
    <w:lvl w:ilvl="1" w:tplc="3A0E8B64">
      <w:start w:val="1"/>
      <w:numFmt w:val="decimal"/>
      <w:lvlText w:val="%2."/>
      <w:lvlJc w:val="left"/>
      <w:pPr>
        <w:ind w:left="1020" w:hanging="360"/>
      </w:pPr>
    </w:lvl>
    <w:lvl w:ilvl="2" w:tplc="FC70FBD8">
      <w:start w:val="1"/>
      <w:numFmt w:val="decimal"/>
      <w:lvlText w:val="%3."/>
      <w:lvlJc w:val="left"/>
      <w:pPr>
        <w:ind w:left="1020" w:hanging="360"/>
      </w:pPr>
    </w:lvl>
    <w:lvl w:ilvl="3" w:tplc="266C642A">
      <w:start w:val="1"/>
      <w:numFmt w:val="decimal"/>
      <w:lvlText w:val="%4."/>
      <w:lvlJc w:val="left"/>
      <w:pPr>
        <w:ind w:left="1020" w:hanging="360"/>
      </w:pPr>
    </w:lvl>
    <w:lvl w:ilvl="4" w:tplc="FB663732">
      <w:start w:val="1"/>
      <w:numFmt w:val="decimal"/>
      <w:lvlText w:val="%5."/>
      <w:lvlJc w:val="left"/>
      <w:pPr>
        <w:ind w:left="1020" w:hanging="360"/>
      </w:pPr>
    </w:lvl>
    <w:lvl w:ilvl="5" w:tplc="EB641D90">
      <w:start w:val="1"/>
      <w:numFmt w:val="decimal"/>
      <w:lvlText w:val="%6."/>
      <w:lvlJc w:val="left"/>
      <w:pPr>
        <w:ind w:left="1020" w:hanging="360"/>
      </w:pPr>
    </w:lvl>
    <w:lvl w:ilvl="6" w:tplc="9C54D256">
      <w:start w:val="1"/>
      <w:numFmt w:val="decimal"/>
      <w:lvlText w:val="%7."/>
      <w:lvlJc w:val="left"/>
      <w:pPr>
        <w:ind w:left="1020" w:hanging="360"/>
      </w:pPr>
    </w:lvl>
    <w:lvl w:ilvl="7" w:tplc="CD3AAEDA">
      <w:start w:val="1"/>
      <w:numFmt w:val="decimal"/>
      <w:lvlText w:val="%8."/>
      <w:lvlJc w:val="left"/>
      <w:pPr>
        <w:ind w:left="1020" w:hanging="360"/>
      </w:pPr>
    </w:lvl>
    <w:lvl w:ilvl="8" w:tplc="980C8E48">
      <w:start w:val="1"/>
      <w:numFmt w:val="decimal"/>
      <w:lvlText w:val="%9."/>
      <w:lvlJc w:val="left"/>
      <w:pPr>
        <w:ind w:left="1020" w:hanging="360"/>
      </w:pPr>
    </w:lvl>
  </w:abstractNum>
  <w:abstractNum w:abstractNumId="8"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start w:val="1"/>
      <w:numFmt w:val="bullet"/>
      <w:lvlText w:val="o"/>
      <w:lvlJc w:val="left"/>
      <w:pPr>
        <w:ind w:left="1592" w:hanging="360"/>
      </w:pPr>
      <w:rPr>
        <w:rFonts w:ascii="Courier New" w:hAnsi="Courier New" w:cs="Courier New" w:hint="default"/>
      </w:rPr>
    </w:lvl>
    <w:lvl w:ilvl="2" w:tplc="0C090005">
      <w:start w:val="1"/>
      <w:numFmt w:val="bullet"/>
      <w:lvlText w:val=""/>
      <w:lvlJc w:val="left"/>
      <w:pPr>
        <w:ind w:left="2312" w:hanging="360"/>
      </w:pPr>
      <w:rPr>
        <w:rFonts w:ascii="Wingdings" w:hAnsi="Wingdings" w:hint="default"/>
      </w:rPr>
    </w:lvl>
    <w:lvl w:ilvl="3" w:tplc="0C090001">
      <w:start w:val="1"/>
      <w:numFmt w:val="bullet"/>
      <w:lvlText w:val=""/>
      <w:lvlJc w:val="left"/>
      <w:pPr>
        <w:ind w:left="3032" w:hanging="360"/>
      </w:pPr>
      <w:rPr>
        <w:rFonts w:ascii="Symbol" w:hAnsi="Symbol" w:hint="default"/>
      </w:rPr>
    </w:lvl>
    <w:lvl w:ilvl="4" w:tplc="0C090003">
      <w:start w:val="1"/>
      <w:numFmt w:val="bullet"/>
      <w:lvlText w:val="o"/>
      <w:lvlJc w:val="left"/>
      <w:pPr>
        <w:ind w:left="3752" w:hanging="360"/>
      </w:pPr>
      <w:rPr>
        <w:rFonts w:ascii="Courier New" w:hAnsi="Courier New" w:cs="Courier New" w:hint="default"/>
      </w:rPr>
    </w:lvl>
    <w:lvl w:ilvl="5" w:tplc="0C090005">
      <w:start w:val="1"/>
      <w:numFmt w:val="bullet"/>
      <w:lvlText w:val=""/>
      <w:lvlJc w:val="left"/>
      <w:pPr>
        <w:ind w:left="4472" w:hanging="360"/>
      </w:pPr>
      <w:rPr>
        <w:rFonts w:ascii="Wingdings" w:hAnsi="Wingdings" w:hint="default"/>
      </w:rPr>
    </w:lvl>
    <w:lvl w:ilvl="6" w:tplc="0C090001">
      <w:start w:val="1"/>
      <w:numFmt w:val="bullet"/>
      <w:lvlText w:val=""/>
      <w:lvlJc w:val="left"/>
      <w:pPr>
        <w:ind w:left="5192" w:hanging="360"/>
      </w:pPr>
      <w:rPr>
        <w:rFonts w:ascii="Symbol" w:hAnsi="Symbol" w:hint="default"/>
      </w:rPr>
    </w:lvl>
    <w:lvl w:ilvl="7" w:tplc="0C090003">
      <w:start w:val="1"/>
      <w:numFmt w:val="bullet"/>
      <w:lvlText w:val="o"/>
      <w:lvlJc w:val="left"/>
      <w:pPr>
        <w:ind w:left="5912" w:hanging="360"/>
      </w:pPr>
      <w:rPr>
        <w:rFonts w:ascii="Courier New" w:hAnsi="Courier New" w:cs="Courier New" w:hint="default"/>
      </w:rPr>
    </w:lvl>
    <w:lvl w:ilvl="8" w:tplc="0C090005">
      <w:start w:val="1"/>
      <w:numFmt w:val="bullet"/>
      <w:lvlText w:val=""/>
      <w:lvlJc w:val="left"/>
      <w:pPr>
        <w:ind w:left="6632" w:hanging="360"/>
      </w:pPr>
      <w:rPr>
        <w:rFonts w:ascii="Wingdings" w:hAnsi="Wingdings" w:hint="default"/>
      </w:rPr>
    </w:lvl>
  </w:abstractNum>
  <w:abstractNum w:abstractNumId="9" w15:restartNumberingAfterBreak="0">
    <w:nsid w:val="1B4E412A"/>
    <w:multiLevelType w:val="hybridMultilevel"/>
    <w:tmpl w:val="6FFA59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063867"/>
    <w:multiLevelType w:val="hybridMultilevel"/>
    <w:tmpl w:val="F5681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DD53D2A"/>
    <w:multiLevelType w:val="hybridMultilevel"/>
    <w:tmpl w:val="957AE984"/>
    <w:lvl w:ilvl="0" w:tplc="229039E2">
      <w:start w:val="1"/>
      <w:numFmt w:val="bullet"/>
      <w:pStyle w:val="NormalBullets-L2"/>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1F2A22"/>
    <w:multiLevelType w:val="hybridMultilevel"/>
    <w:tmpl w:val="51BAABE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01F75FA"/>
    <w:multiLevelType w:val="hybridMultilevel"/>
    <w:tmpl w:val="E0081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75FAE"/>
    <w:multiLevelType w:val="hybridMultilevel"/>
    <w:tmpl w:val="6FFA59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26E0467"/>
    <w:multiLevelType w:val="hybridMultilevel"/>
    <w:tmpl w:val="ECC4AA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3F11370"/>
    <w:multiLevelType w:val="hybridMultilevel"/>
    <w:tmpl w:val="57EEB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1E75BF"/>
    <w:multiLevelType w:val="hybridMultilevel"/>
    <w:tmpl w:val="E27C4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771802"/>
    <w:multiLevelType w:val="hybridMultilevel"/>
    <w:tmpl w:val="51BAA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AC2959"/>
    <w:multiLevelType w:val="hybridMultilevel"/>
    <w:tmpl w:val="5748F0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B5650A"/>
    <w:multiLevelType w:val="hybridMultilevel"/>
    <w:tmpl w:val="D982D6B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43B39F"/>
    <w:multiLevelType w:val="hybridMultilevel"/>
    <w:tmpl w:val="49E66426"/>
    <w:lvl w:ilvl="0" w:tplc="9EEC431A">
      <w:start w:val="1"/>
      <w:numFmt w:val="bullet"/>
      <w:lvlText w:val="·"/>
      <w:lvlJc w:val="left"/>
      <w:pPr>
        <w:ind w:left="720" w:hanging="360"/>
      </w:pPr>
      <w:rPr>
        <w:rFonts w:ascii="Symbol" w:hAnsi="Symbol" w:hint="default"/>
      </w:rPr>
    </w:lvl>
    <w:lvl w:ilvl="1" w:tplc="C504A390">
      <w:start w:val="1"/>
      <w:numFmt w:val="bullet"/>
      <w:lvlText w:val="o"/>
      <w:lvlJc w:val="left"/>
      <w:pPr>
        <w:ind w:left="1440" w:hanging="360"/>
      </w:pPr>
      <w:rPr>
        <w:rFonts w:ascii="Courier New" w:hAnsi="Courier New" w:hint="default"/>
      </w:rPr>
    </w:lvl>
    <w:lvl w:ilvl="2" w:tplc="7DFCBE9A">
      <w:start w:val="1"/>
      <w:numFmt w:val="bullet"/>
      <w:lvlText w:val=""/>
      <w:lvlJc w:val="left"/>
      <w:pPr>
        <w:ind w:left="2160" w:hanging="360"/>
      </w:pPr>
      <w:rPr>
        <w:rFonts w:ascii="Wingdings" w:hAnsi="Wingdings" w:hint="default"/>
      </w:rPr>
    </w:lvl>
    <w:lvl w:ilvl="3" w:tplc="BD48049A">
      <w:start w:val="1"/>
      <w:numFmt w:val="bullet"/>
      <w:lvlText w:val=""/>
      <w:lvlJc w:val="left"/>
      <w:pPr>
        <w:ind w:left="2880" w:hanging="360"/>
      </w:pPr>
      <w:rPr>
        <w:rFonts w:ascii="Symbol" w:hAnsi="Symbol" w:hint="default"/>
      </w:rPr>
    </w:lvl>
    <w:lvl w:ilvl="4" w:tplc="D652AF64">
      <w:start w:val="1"/>
      <w:numFmt w:val="bullet"/>
      <w:lvlText w:val="o"/>
      <w:lvlJc w:val="left"/>
      <w:pPr>
        <w:ind w:left="3600" w:hanging="360"/>
      </w:pPr>
      <w:rPr>
        <w:rFonts w:ascii="Courier New" w:hAnsi="Courier New" w:hint="default"/>
      </w:rPr>
    </w:lvl>
    <w:lvl w:ilvl="5" w:tplc="00482FBC">
      <w:start w:val="1"/>
      <w:numFmt w:val="bullet"/>
      <w:lvlText w:val=""/>
      <w:lvlJc w:val="left"/>
      <w:pPr>
        <w:ind w:left="4320" w:hanging="360"/>
      </w:pPr>
      <w:rPr>
        <w:rFonts w:ascii="Wingdings" w:hAnsi="Wingdings" w:hint="default"/>
      </w:rPr>
    </w:lvl>
    <w:lvl w:ilvl="6" w:tplc="91F04B3C">
      <w:start w:val="1"/>
      <w:numFmt w:val="bullet"/>
      <w:lvlText w:val=""/>
      <w:lvlJc w:val="left"/>
      <w:pPr>
        <w:ind w:left="5040" w:hanging="360"/>
      </w:pPr>
      <w:rPr>
        <w:rFonts w:ascii="Symbol" w:hAnsi="Symbol" w:hint="default"/>
      </w:rPr>
    </w:lvl>
    <w:lvl w:ilvl="7" w:tplc="9E6AE452">
      <w:start w:val="1"/>
      <w:numFmt w:val="bullet"/>
      <w:lvlText w:val="o"/>
      <w:lvlJc w:val="left"/>
      <w:pPr>
        <w:ind w:left="5760" w:hanging="360"/>
      </w:pPr>
      <w:rPr>
        <w:rFonts w:ascii="Courier New" w:hAnsi="Courier New" w:hint="default"/>
      </w:rPr>
    </w:lvl>
    <w:lvl w:ilvl="8" w:tplc="D2EAF2B6">
      <w:start w:val="1"/>
      <w:numFmt w:val="bullet"/>
      <w:lvlText w:val=""/>
      <w:lvlJc w:val="left"/>
      <w:pPr>
        <w:ind w:left="6480" w:hanging="360"/>
      </w:pPr>
      <w:rPr>
        <w:rFonts w:ascii="Wingdings" w:hAnsi="Wingdings" w:hint="default"/>
      </w:rPr>
    </w:lvl>
  </w:abstractNum>
  <w:abstractNum w:abstractNumId="23" w15:restartNumberingAfterBreak="0">
    <w:nsid w:val="3E4943B1"/>
    <w:multiLevelType w:val="multilevel"/>
    <w:tmpl w:val="59B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571EB0"/>
    <w:multiLevelType w:val="hybridMultilevel"/>
    <w:tmpl w:val="EBA0EBDA"/>
    <w:lvl w:ilvl="0" w:tplc="04090019">
      <w:start w:val="1"/>
      <w:numFmt w:val="lowerLetter"/>
      <w:lvlText w:val="%1."/>
      <w:lvlJc w:val="left"/>
      <w:pPr>
        <w:ind w:left="1440" w:hanging="360"/>
      </w:pPr>
    </w:lvl>
    <w:lvl w:ilvl="1" w:tplc="0C090019" w:tentative="1">
      <w:start w:val="1"/>
      <w:numFmt w:val="lowerLetter"/>
      <w:lvlText w:val="%2."/>
      <w:lvlJc w:val="left"/>
      <w:pPr>
        <w:ind w:left="-31" w:hanging="360"/>
      </w:pPr>
    </w:lvl>
    <w:lvl w:ilvl="2" w:tplc="0C09001B" w:tentative="1">
      <w:start w:val="1"/>
      <w:numFmt w:val="lowerRoman"/>
      <w:lvlText w:val="%3."/>
      <w:lvlJc w:val="right"/>
      <w:pPr>
        <w:ind w:left="689" w:hanging="180"/>
      </w:pPr>
    </w:lvl>
    <w:lvl w:ilvl="3" w:tplc="0C09000F" w:tentative="1">
      <w:start w:val="1"/>
      <w:numFmt w:val="decimal"/>
      <w:lvlText w:val="%4."/>
      <w:lvlJc w:val="left"/>
      <w:pPr>
        <w:ind w:left="1409" w:hanging="360"/>
      </w:pPr>
    </w:lvl>
    <w:lvl w:ilvl="4" w:tplc="0C090019" w:tentative="1">
      <w:start w:val="1"/>
      <w:numFmt w:val="lowerLetter"/>
      <w:lvlText w:val="%5."/>
      <w:lvlJc w:val="left"/>
      <w:pPr>
        <w:ind w:left="2129" w:hanging="360"/>
      </w:pPr>
    </w:lvl>
    <w:lvl w:ilvl="5" w:tplc="0C09001B" w:tentative="1">
      <w:start w:val="1"/>
      <w:numFmt w:val="lowerRoman"/>
      <w:lvlText w:val="%6."/>
      <w:lvlJc w:val="right"/>
      <w:pPr>
        <w:ind w:left="2849" w:hanging="180"/>
      </w:pPr>
    </w:lvl>
    <w:lvl w:ilvl="6" w:tplc="0C09000F" w:tentative="1">
      <w:start w:val="1"/>
      <w:numFmt w:val="decimal"/>
      <w:lvlText w:val="%7."/>
      <w:lvlJc w:val="left"/>
      <w:pPr>
        <w:ind w:left="3569" w:hanging="360"/>
      </w:pPr>
    </w:lvl>
    <w:lvl w:ilvl="7" w:tplc="0C090019" w:tentative="1">
      <w:start w:val="1"/>
      <w:numFmt w:val="lowerLetter"/>
      <w:lvlText w:val="%8."/>
      <w:lvlJc w:val="left"/>
      <w:pPr>
        <w:ind w:left="4289" w:hanging="360"/>
      </w:pPr>
    </w:lvl>
    <w:lvl w:ilvl="8" w:tplc="0C09001B" w:tentative="1">
      <w:start w:val="1"/>
      <w:numFmt w:val="lowerRoman"/>
      <w:lvlText w:val="%9."/>
      <w:lvlJc w:val="right"/>
      <w:pPr>
        <w:ind w:left="5009" w:hanging="180"/>
      </w:pPr>
    </w:lvl>
  </w:abstractNum>
  <w:abstractNum w:abstractNumId="25" w15:restartNumberingAfterBreak="0">
    <w:nsid w:val="42851DDA"/>
    <w:multiLevelType w:val="hybridMultilevel"/>
    <w:tmpl w:val="C1C434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824B2"/>
    <w:multiLevelType w:val="hybridMultilevel"/>
    <w:tmpl w:val="D3C24A3E"/>
    <w:lvl w:ilvl="0" w:tplc="04090019">
      <w:start w:val="1"/>
      <w:numFmt w:val="lowerLetter"/>
      <w:lvlText w:val="%1."/>
      <w:lvlJc w:val="left"/>
      <w:pPr>
        <w:ind w:left="410" w:hanging="360"/>
      </w:pPr>
      <w:rPr>
        <w:rFonts w:hint="default"/>
      </w:rPr>
    </w:lvl>
    <w:lvl w:ilvl="1" w:tplc="FFFFFFFF">
      <w:start w:val="1"/>
      <w:numFmt w:val="bullet"/>
      <w:lvlText w:val="o"/>
      <w:lvlJc w:val="left"/>
      <w:pPr>
        <w:ind w:left="1130" w:hanging="360"/>
      </w:pPr>
      <w:rPr>
        <w:rFonts w:ascii="Courier New" w:hAnsi="Courier New" w:cs="Courier New" w:hint="default"/>
      </w:rPr>
    </w:lvl>
    <w:lvl w:ilvl="2" w:tplc="FFFFFFFF">
      <w:start w:val="1"/>
      <w:numFmt w:val="bullet"/>
      <w:lvlText w:val=""/>
      <w:lvlJc w:val="left"/>
      <w:pPr>
        <w:ind w:left="1850" w:hanging="360"/>
      </w:pPr>
      <w:rPr>
        <w:rFonts w:ascii="Wingdings" w:hAnsi="Wingdings" w:hint="default"/>
      </w:rPr>
    </w:lvl>
    <w:lvl w:ilvl="3" w:tplc="FFFFFFFF">
      <w:start w:val="1"/>
      <w:numFmt w:val="bullet"/>
      <w:lvlText w:val=""/>
      <w:lvlJc w:val="left"/>
      <w:pPr>
        <w:ind w:left="2570" w:hanging="360"/>
      </w:pPr>
      <w:rPr>
        <w:rFonts w:ascii="Symbol" w:hAnsi="Symbol" w:hint="default"/>
      </w:rPr>
    </w:lvl>
    <w:lvl w:ilvl="4" w:tplc="FFFFFFFF">
      <w:start w:val="1"/>
      <w:numFmt w:val="bullet"/>
      <w:lvlText w:val="o"/>
      <w:lvlJc w:val="left"/>
      <w:pPr>
        <w:ind w:left="3290" w:hanging="360"/>
      </w:pPr>
      <w:rPr>
        <w:rFonts w:ascii="Courier New" w:hAnsi="Courier New" w:cs="Courier New" w:hint="default"/>
      </w:rPr>
    </w:lvl>
    <w:lvl w:ilvl="5" w:tplc="FFFFFFFF">
      <w:start w:val="1"/>
      <w:numFmt w:val="bullet"/>
      <w:lvlText w:val=""/>
      <w:lvlJc w:val="left"/>
      <w:pPr>
        <w:ind w:left="4010" w:hanging="360"/>
      </w:pPr>
      <w:rPr>
        <w:rFonts w:ascii="Wingdings" w:hAnsi="Wingdings" w:hint="default"/>
      </w:rPr>
    </w:lvl>
    <w:lvl w:ilvl="6" w:tplc="FFFFFFFF">
      <w:start w:val="1"/>
      <w:numFmt w:val="bullet"/>
      <w:lvlText w:val=""/>
      <w:lvlJc w:val="left"/>
      <w:pPr>
        <w:ind w:left="4730" w:hanging="360"/>
      </w:pPr>
      <w:rPr>
        <w:rFonts w:ascii="Symbol" w:hAnsi="Symbol" w:hint="default"/>
      </w:rPr>
    </w:lvl>
    <w:lvl w:ilvl="7" w:tplc="FFFFFFFF">
      <w:start w:val="1"/>
      <w:numFmt w:val="bullet"/>
      <w:lvlText w:val="o"/>
      <w:lvlJc w:val="left"/>
      <w:pPr>
        <w:ind w:left="5450" w:hanging="360"/>
      </w:pPr>
      <w:rPr>
        <w:rFonts w:ascii="Courier New" w:hAnsi="Courier New" w:cs="Courier New" w:hint="default"/>
      </w:rPr>
    </w:lvl>
    <w:lvl w:ilvl="8" w:tplc="FFFFFFFF">
      <w:start w:val="1"/>
      <w:numFmt w:val="bullet"/>
      <w:lvlText w:val=""/>
      <w:lvlJc w:val="left"/>
      <w:pPr>
        <w:ind w:left="6170" w:hanging="360"/>
      </w:pPr>
      <w:rPr>
        <w:rFonts w:ascii="Wingdings" w:hAnsi="Wingdings" w:hint="default"/>
      </w:rPr>
    </w:lvl>
  </w:abstractNum>
  <w:abstractNum w:abstractNumId="27" w15:restartNumberingAfterBreak="0">
    <w:nsid w:val="44983D19"/>
    <w:multiLevelType w:val="hybridMultilevel"/>
    <w:tmpl w:val="4FC0FBBE"/>
    <w:lvl w:ilvl="0" w:tplc="6DEA0B58">
      <w:start w:val="1"/>
      <w:numFmt w:val="bullet"/>
      <w:pStyle w:val="NormalBullets-L3"/>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502290A"/>
    <w:multiLevelType w:val="hybridMultilevel"/>
    <w:tmpl w:val="51BAABE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CD258CB"/>
    <w:multiLevelType w:val="hybridMultilevel"/>
    <w:tmpl w:val="AECC70A0"/>
    <w:lvl w:ilvl="0" w:tplc="D4C067BA">
      <w:numFmt w:val="bullet"/>
      <w:lvlText w:val=""/>
      <w:lvlJc w:val="left"/>
      <w:pPr>
        <w:ind w:left="720" w:hanging="360"/>
      </w:pPr>
      <w:rPr>
        <w:rFonts w:ascii="Wingdings" w:eastAsia="Calibri"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2F8458C"/>
    <w:multiLevelType w:val="hybridMultilevel"/>
    <w:tmpl w:val="5748F0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622C67"/>
    <w:multiLevelType w:val="hybridMultilevel"/>
    <w:tmpl w:val="3AFAE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66672"/>
    <w:multiLevelType w:val="hybridMultilevel"/>
    <w:tmpl w:val="D3167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EA24C7"/>
    <w:multiLevelType w:val="hybridMultilevel"/>
    <w:tmpl w:val="57A2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42495"/>
    <w:multiLevelType w:val="hybridMultilevel"/>
    <w:tmpl w:val="3E580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5F1572"/>
    <w:multiLevelType w:val="hybridMultilevel"/>
    <w:tmpl w:val="DAEC41A4"/>
    <w:lvl w:ilvl="0" w:tplc="DB108286">
      <w:start w:val="1"/>
      <w:numFmt w:val="lowerLetter"/>
      <w:lvlText w:val="%1."/>
      <w:lvlJc w:val="left"/>
      <w:pPr>
        <w:ind w:left="403" w:hanging="360"/>
      </w:pPr>
    </w:lvl>
    <w:lvl w:ilvl="1" w:tplc="04090019">
      <w:start w:val="1"/>
      <w:numFmt w:val="lowerLetter"/>
      <w:lvlText w:val="%2."/>
      <w:lvlJc w:val="left"/>
      <w:pPr>
        <w:ind w:left="1123" w:hanging="360"/>
      </w:pPr>
    </w:lvl>
    <w:lvl w:ilvl="2" w:tplc="0409001B">
      <w:start w:val="1"/>
      <w:numFmt w:val="lowerRoman"/>
      <w:lvlText w:val="%3."/>
      <w:lvlJc w:val="right"/>
      <w:pPr>
        <w:ind w:left="1843" w:hanging="180"/>
      </w:pPr>
    </w:lvl>
    <w:lvl w:ilvl="3" w:tplc="0409000F">
      <w:start w:val="1"/>
      <w:numFmt w:val="decimal"/>
      <w:lvlText w:val="%4."/>
      <w:lvlJc w:val="left"/>
      <w:pPr>
        <w:ind w:left="2563" w:hanging="360"/>
      </w:pPr>
    </w:lvl>
    <w:lvl w:ilvl="4" w:tplc="04090019">
      <w:start w:val="1"/>
      <w:numFmt w:val="lowerLetter"/>
      <w:lvlText w:val="%5."/>
      <w:lvlJc w:val="left"/>
      <w:pPr>
        <w:ind w:left="3283" w:hanging="360"/>
      </w:pPr>
    </w:lvl>
    <w:lvl w:ilvl="5" w:tplc="0409001B">
      <w:start w:val="1"/>
      <w:numFmt w:val="lowerRoman"/>
      <w:lvlText w:val="%6."/>
      <w:lvlJc w:val="right"/>
      <w:pPr>
        <w:ind w:left="4003" w:hanging="180"/>
      </w:pPr>
    </w:lvl>
    <w:lvl w:ilvl="6" w:tplc="0409000F">
      <w:start w:val="1"/>
      <w:numFmt w:val="decimal"/>
      <w:lvlText w:val="%7."/>
      <w:lvlJc w:val="left"/>
      <w:pPr>
        <w:ind w:left="4723" w:hanging="360"/>
      </w:pPr>
    </w:lvl>
    <w:lvl w:ilvl="7" w:tplc="04090019">
      <w:start w:val="1"/>
      <w:numFmt w:val="lowerLetter"/>
      <w:lvlText w:val="%8."/>
      <w:lvlJc w:val="left"/>
      <w:pPr>
        <w:ind w:left="5443" w:hanging="360"/>
      </w:pPr>
    </w:lvl>
    <w:lvl w:ilvl="8" w:tplc="0409001B">
      <w:start w:val="1"/>
      <w:numFmt w:val="lowerRoman"/>
      <w:lvlText w:val="%9."/>
      <w:lvlJc w:val="right"/>
      <w:pPr>
        <w:ind w:left="6163" w:hanging="180"/>
      </w:pPr>
    </w:lvl>
  </w:abstractNum>
  <w:abstractNum w:abstractNumId="36" w15:restartNumberingAfterBreak="0">
    <w:nsid w:val="62B87568"/>
    <w:multiLevelType w:val="hybridMultilevel"/>
    <w:tmpl w:val="2FF40FF2"/>
    <w:lvl w:ilvl="0" w:tplc="04090019">
      <w:start w:val="1"/>
      <w:numFmt w:val="lowerLetter"/>
      <w:lvlText w:val="%1."/>
      <w:lvlJc w:val="left"/>
      <w:pPr>
        <w:ind w:left="720" w:hanging="360"/>
      </w:pPr>
    </w:lvl>
    <w:lvl w:ilvl="1" w:tplc="04090019">
      <w:start w:val="1"/>
      <w:numFmt w:val="lowerLetter"/>
      <w:lvlText w:val="%2."/>
      <w:lvlJc w:val="left"/>
      <w:pPr>
        <w:ind w:left="2911"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C8E6403"/>
    <w:multiLevelType w:val="hybridMultilevel"/>
    <w:tmpl w:val="8FB6B3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DDF52BF"/>
    <w:multiLevelType w:val="hybridMultilevel"/>
    <w:tmpl w:val="851C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A44FA1"/>
    <w:multiLevelType w:val="hybridMultilevel"/>
    <w:tmpl w:val="5748F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221CA"/>
    <w:multiLevelType w:val="hybridMultilevel"/>
    <w:tmpl w:val="D73C94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2AF6968"/>
    <w:multiLevelType w:val="hybridMultilevel"/>
    <w:tmpl w:val="BDE472F4"/>
    <w:lvl w:ilvl="0" w:tplc="04090019">
      <w:start w:val="1"/>
      <w:numFmt w:val="lowerLetter"/>
      <w:lvlText w:val="%1."/>
      <w:lvlJc w:val="left"/>
      <w:pPr>
        <w:ind w:left="410" w:hanging="360"/>
      </w:pPr>
      <w:rPr>
        <w:rFonts w:hint="default"/>
      </w:rPr>
    </w:lvl>
    <w:lvl w:ilvl="1" w:tplc="FFFFFFFF">
      <w:start w:val="1"/>
      <w:numFmt w:val="bullet"/>
      <w:lvlText w:val="o"/>
      <w:lvlJc w:val="left"/>
      <w:pPr>
        <w:ind w:left="1130" w:hanging="360"/>
      </w:pPr>
      <w:rPr>
        <w:rFonts w:ascii="Courier New" w:hAnsi="Courier New" w:cs="Courier New" w:hint="default"/>
      </w:rPr>
    </w:lvl>
    <w:lvl w:ilvl="2" w:tplc="FFFFFFFF">
      <w:start w:val="1"/>
      <w:numFmt w:val="bullet"/>
      <w:lvlText w:val=""/>
      <w:lvlJc w:val="left"/>
      <w:pPr>
        <w:ind w:left="1850" w:hanging="360"/>
      </w:pPr>
      <w:rPr>
        <w:rFonts w:ascii="Wingdings" w:hAnsi="Wingdings" w:hint="default"/>
      </w:rPr>
    </w:lvl>
    <w:lvl w:ilvl="3" w:tplc="FFFFFFFF">
      <w:start w:val="1"/>
      <w:numFmt w:val="bullet"/>
      <w:lvlText w:val=""/>
      <w:lvlJc w:val="left"/>
      <w:pPr>
        <w:ind w:left="2570" w:hanging="360"/>
      </w:pPr>
      <w:rPr>
        <w:rFonts w:ascii="Symbol" w:hAnsi="Symbol" w:hint="default"/>
      </w:rPr>
    </w:lvl>
    <w:lvl w:ilvl="4" w:tplc="FFFFFFFF">
      <w:start w:val="1"/>
      <w:numFmt w:val="bullet"/>
      <w:lvlText w:val="o"/>
      <w:lvlJc w:val="left"/>
      <w:pPr>
        <w:ind w:left="3290" w:hanging="360"/>
      </w:pPr>
      <w:rPr>
        <w:rFonts w:ascii="Courier New" w:hAnsi="Courier New" w:cs="Courier New" w:hint="default"/>
      </w:rPr>
    </w:lvl>
    <w:lvl w:ilvl="5" w:tplc="FFFFFFFF">
      <w:start w:val="1"/>
      <w:numFmt w:val="bullet"/>
      <w:lvlText w:val=""/>
      <w:lvlJc w:val="left"/>
      <w:pPr>
        <w:ind w:left="4010" w:hanging="360"/>
      </w:pPr>
      <w:rPr>
        <w:rFonts w:ascii="Wingdings" w:hAnsi="Wingdings" w:hint="default"/>
      </w:rPr>
    </w:lvl>
    <w:lvl w:ilvl="6" w:tplc="FFFFFFFF">
      <w:start w:val="1"/>
      <w:numFmt w:val="bullet"/>
      <w:lvlText w:val=""/>
      <w:lvlJc w:val="left"/>
      <w:pPr>
        <w:ind w:left="4730" w:hanging="360"/>
      </w:pPr>
      <w:rPr>
        <w:rFonts w:ascii="Symbol" w:hAnsi="Symbol" w:hint="default"/>
      </w:rPr>
    </w:lvl>
    <w:lvl w:ilvl="7" w:tplc="FFFFFFFF">
      <w:start w:val="1"/>
      <w:numFmt w:val="bullet"/>
      <w:lvlText w:val="o"/>
      <w:lvlJc w:val="left"/>
      <w:pPr>
        <w:ind w:left="5450" w:hanging="360"/>
      </w:pPr>
      <w:rPr>
        <w:rFonts w:ascii="Courier New" w:hAnsi="Courier New" w:cs="Courier New" w:hint="default"/>
      </w:rPr>
    </w:lvl>
    <w:lvl w:ilvl="8" w:tplc="FFFFFFFF">
      <w:start w:val="1"/>
      <w:numFmt w:val="bullet"/>
      <w:lvlText w:val=""/>
      <w:lvlJc w:val="left"/>
      <w:pPr>
        <w:ind w:left="6170" w:hanging="360"/>
      </w:pPr>
      <w:rPr>
        <w:rFonts w:ascii="Wingdings" w:hAnsi="Wingdings" w:hint="default"/>
      </w:rPr>
    </w:lvl>
  </w:abstractNum>
  <w:abstractNum w:abstractNumId="42" w15:restartNumberingAfterBreak="0">
    <w:nsid w:val="791434D4"/>
    <w:multiLevelType w:val="hybridMultilevel"/>
    <w:tmpl w:val="ECC4AA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9DE19E9"/>
    <w:multiLevelType w:val="hybridMultilevel"/>
    <w:tmpl w:val="E192479A"/>
    <w:lvl w:ilvl="0" w:tplc="06F2DB0A">
      <w:start w:val="14"/>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AEF7285"/>
    <w:multiLevelType w:val="hybridMultilevel"/>
    <w:tmpl w:val="2DFC7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B1522F9"/>
    <w:multiLevelType w:val="hybridMultilevel"/>
    <w:tmpl w:val="CDF6F12A"/>
    <w:lvl w:ilvl="0" w:tplc="83ACF016">
      <w:start w:val="1"/>
      <w:numFmt w:val="bullet"/>
      <w:pStyle w:val="Normal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AD3BD7"/>
    <w:multiLevelType w:val="hybridMultilevel"/>
    <w:tmpl w:val="C7F8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4321BA"/>
    <w:multiLevelType w:val="hybridMultilevel"/>
    <w:tmpl w:val="10E0B3AA"/>
    <w:lvl w:ilvl="0" w:tplc="8F96FD6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5492319">
    <w:abstractNumId w:val="21"/>
  </w:num>
  <w:num w:numId="2" w16cid:durableId="214581753">
    <w:abstractNumId w:val="23"/>
  </w:num>
  <w:num w:numId="3" w16cid:durableId="300306654">
    <w:abstractNumId w:val="8"/>
  </w:num>
  <w:num w:numId="4" w16cid:durableId="86849266">
    <w:abstractNumId w:val="33"/>
  </w:num>
  <w:num w:numId="5" w16cid:durableId="221718613">
    <w:abstractNumId w:val="27"/>
  </w:num>
  <w:num w:numId="6" w16cid:durableId="1065104592">
    <w:abstractNumId w:val="11"/>
  </w:num>
  <w:num w:numId="7" w16cid:durableId="2067685033">
    <w:abstractNumId w:val="20"/>
  </w:num>
  <w:num w:numId="8" w16cid:durableId="1167212286">
    <w:abstractNumId w:val="5"/>
  </w:num>
  <w:num w:numId="9" w16cid:durableId="749274427">
    <w:abstractNumId w:val="16"/>
  </w:num>
  <w:num w:numId="10" w16cid:durableId="1941060053">
    <w:abstractNumId w:val="38"/>
  </w:num>
  <w:num w:numId="11" w16cid:durableId="1064260447">
    <w:abstractNumId w:val="46"/>
  </w:num>
  <w:num w:numId="12" w16cid:durableId="862015837">
    <w:abstractNumId w:val="43"/>
  </w:num>
  <w:num w:numId="13" w16cid:durableId="393430977">
    <w:abstractNumId w:val="34"/>
  </w:num>
  <w:num w:numId="14" w16cid:durableId="1944458839">
    <w:abstractNumId w:val="32"/>
  </w:num>
  <w:num w:numId="15" w16cid:durableId="1119378996">
    <w:abstractNumId w:val="22"/>
  </w:num>
  <w:num w:numId="16" w16cid:durableId="20895756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36659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5188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90827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59216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0939024">
    <w:abstractNumId w:val="2"/>
  </w:num>
  <w:num w:numId="22" w16cid:durableId="6324429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1146135">
    <w:abstractNumId w:val="9"/>
  </w:num>
  <w:num w:numId="24" w16cid:durableId="1914005367">
    <w:abstractNumId w:val="14"/>
  </w:num>
  <w:num w:numId="25" w16cid:durableId="177352024">
    <w:abstractNumId w:val="1"/>
  </w:num>
  <w:num w:numId="26" w16cid:durableId="1265310381">
    <w:abstractNumId w:val="25"/>
  </w:num>
  <w:num w:numId="27" w16cid:durableId="197285100">
    <w:abstractNumId w:val="39"/>
  </w:num>
  <w:num w:numId="28" w16cid:durableId="618487125">
    <w:abstractNumId w:val="30"/>
  </w:num>
  <w:num w:numId="29" w16cid:durableId="1473478051">
    <w:abstractNumId w:val="19"/>
  </w:num>
  <w:num w:numId="30" w16cid:durableId="627324400">
    <w:abstractNumId w:val="0"/>
  </w:num>
  <w:num w:numId="31" w16cid:durableId="1803113760">
    <w:abstractNumId w:val="41"/>
  </w:num>
  <w:num w:numId="32" w16cid:durableId="1745032605">
    <w:abstractNumId w:val="26"/>
  </w:num>
  <w:num w:numId="33" w16cid:durableId="1426611771">
    <w:abstractNumId w:val="4"/>
  </w:num>
  <w:num w:numId="34" w16cid:durableId="1063992560">
    <w:abstractNumId w:val="3"/>
  </w:num>
  <w:num w:numId="35" w16cid:durableId="219484014">
    <w:abstractNumId w:val="6"/>
  </w:num>
  <w:num w:numId="36" w16cid:durableId="649600170">
    <w:abstractNumId w:val="31"/>
  </w:num>
  <w:num w:numId="37" w16cid:durableId="1418791505">
    <w:abstractNumId w:val="13"/>
  </w:num>
  <w:num w:numId="38" w16cid:durableId="1916548112">
    <w:abstractNumId w:val="18"/>
  </w:num>
  <w:num w:numId="39" w16cid:durableId="2022658544">
    <w:abstractNumId w:val="12"/>
  </w:num>
  <w:num w:numId="40" w16cid:durableId="810026959">
    <w:abstractNumId w:val="28"/>
  </w:num>
  <w:num w:numId="41" w16cid:durableId="1103839011">
    <w:abstractNumId w:val="24"/>
  </w:num>
  <w:num w:numId="42" w16cid:durableId="340930305">
    <w:abstractNumId w:val="10"/>
  </w:num>
  <w:num w:numId="43" w16cid:durableId="1634289406">
    <w:abstractNumId w:val="47"/>
  </w:num>
  <w:num w:numId="44" w16cid:durableId="1785266353">
    <w:abstractNumId w:val="17"/>
  </w:num>
  <w:num w:numId="45" w16cid:durableId="1723482486">
    <w:abstractNumId w:val="29"/>
  </w:num>
  <w:num w:numId="46" w16cid:durableId="2112703288">
    <w:abstractNumId w:val="7"/>
  </w:num>
  <w:num w:numId="47" w16cid:durableId="95030141">
    <w:abstractNumId w:val="44"/>
  </w:num>
  <w:num w:numId="48" w16cid:durableId="97067202">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A6"/>
    <w:rsid w:val="00000C30"/>
    <w:rsid w:val="00000DFE"/>
    <w:rsid w:val="00001AD5"/>
    <w:rsid w:val="00001B93"/>
    <w:rsid w:val="00001C22"/>
    <w:rsid w:val="00001EC1"/>
    <w:rsid w:val="00002B67"/>
    <w:rsid w:val="00002BBD"/>
    <w:rsid w:val="000030A3"/>
    <w:rsid w:val="00003531"/>
    <w:rsid w:val="00003963"/>
    <w:rsid w:val="0000477C"/>
    <w:rsid w:val="000048E8"/>
    <w:rsid w:val="000049FA"/>
    <w:rsid w:val="00007C3B"/>
    <w:rsid w:val="000125D8"/>
    <w:rsid w:val="00012708"/>
    <w:rsid w:val="00012814"/>
    <w:rsid w:val="000156AD"/>
    <w:rsid w:val="00015AB5"/>
    <w:rsid w:val="00016B52"/>
    <w:rsid w:val="000170F4"/>
    <w:rsid w:val="000175A1"/>
    <w:rsid w:val="00017A84"/>
    <w:rsid w:val="00020263"/>
    <w:rsid w:val="000202EC"/>
    <w:rsid w:val="000203E1"/>
    <w:rsid w:val="00020CF3"/>
    <w:rsid w:val="00021BCD"/>
    <w:rsid w:val="00024584"/>
    <w:rsid w:val="00024BE6"/>
    <w:rsid w:val="00024F63"/>
    <w:rsid w:val="00025428"/>
    <w:rsid w:val="00025FC5"/>
    <w:rsid w:val="00026DC4"/>
    <w:rsid w:val="00027CFF"/>
    <w:rsid w:val="00030679"/>
    <w:rsid w:val="00031164"/>
    <w:rsid w:val="000317E5"/>
    <w:rsid w:val="00031AD8"/>
    <w:rsid w:val="00031BFA"/>
    <w:rsid w:val="00031FC9"/>
    <w:rsid w:val="0003241E"/>
    <w:rsid w:val="000326BA"/>
    <w:rsid w:val="0003295E"/>
    <w:rsid w:val="000349F9"/>
    <w:rsid w:val="0003638F"/>
    <w:rsid w:val="0003745F"/>
    <w:rsid w:val="00037CF6"/>
    <w:rsid w:val="0004211F"/>
    <w:rsid w:val="00043B51"/>
    <w:rsid w:val="00043BDC"/>
    <w:rsid w:val="00045645"/>
    <w:rsid w:val="00045F06"/>
    <w:rsid w:val="00046AF9"/>
    <w:rsid w:val="0004780D"/>
    <w:rsid w:val="00047C70"/>
    <w:rsid w:val="00047CF7"/>
    <w:rsid w:val="000500A5"/>
    <w:rsid w:val="00050D0E"/>
    <w:rsid w:val="00051B31"/>
    <w:rsid w:val="000531D0"/>
    <w:rsid w:val="00053F90"/>
    <w:rsid w:val="00054A1C"/>
    <w:rsid w:val="00054FFF"/>
    <w:rsid w:val="00055322"/>
    <w:rsid w:val="00056247"/>
    <w:rsid w:val="0005636B"/>
    <w:rsid w:val="00057371"/>
    <w:rsid w:val="00063B24"/>
    <w:rsid w:val="000642EE"/>
    <w:rsid w:val="00064487"/>
    <w:rsid w:val="00064B41"/>
    <w:rsid w:val="00065041"/>
    <w:rsid w:val="00065517"/>
    <w:rsid w:val="00065B1F"/>
    <w:rsid w:val="000668E8"/>
    <w:rsid w:val="000676CD"/>
    <w:rsid w:val="00071216"/>
    <w:rsid w:val="00071D7D"/>
    <w:rsid w:val="000726E9"/>
    <w:rsid w:val="00073BF7"/>
    <w:rsid w:val="000747F5"/>
    <w:rsid w:val="000778E9"/>
    <w:rsid w:val="00080036"/>
    <w:rsid w:val="0008024A"/>
    <w:rsid w:val="00080C2A"/>
    <w:rsid w:val="000821C5"/>
    <w:rsid w:val="00082CBF"/>
    <w:rsid w:val="0008344B"/>
    <w:rsid w:val="00083556"/>
    <w:rsid w:val="00083836"/>
    <w:rsid w:val="00085055"/>
    <w:rsid w:val="00085127"/>
    <w:rsid w:val="000852E1"/>
    <w:rsid w:val="000855E3"/>
    <w:rsid w:val="00085AC0"/>
    <w:rsid w:val="00086D65"/>
    <w:rsid w:val="000876DB"/>
    <w:rsid w:val="00087CD6"/>
    <w:rsid w:val="0009028E"/>
    <w:rsid w:val="000907F0"/>
    <w:rsid w:val="0009121C"/>
    <w:rsid w:val="00091C7B"/>
    <w:rsid w:val="0009265A"/>
    <w:rsid w:val="00092B53"/>
    <w:rsid w:val="00093FBA"/>
    <w:rsid w:val="0009473A"/>
    <w:rsid w:val="000965BE"/>
    <w:rsid w:val="00096C76"/>
    <w:rsid w:val="00097665"/>
    <w:rsid w:val="000979F4"/>
    <w:rsid w:val="00097D16"/>
    <w:rsid w:val="000A0388"/>
    <w:rsid w:val="000A0841"/>
    <w:rsid w:val="000A0CD0"/>
    <w:rsid w:val="000A12FC"/>
    <w:rsid w:val="000A15EA"/>
    <w:rsid w:val="000A17ED"/>
    <w:rsid w:val="000A1CA1"/>
    <w:rsid w:val="000A253A"/>
    <w:rsid w:val="000A2F23"/>
    <w:rsid w:val="000A2FA8"/>
    <w:rsid w:val="000A3003"/>
    <w:rsid w:val="000A3197"/>
    <w:rsid w:val="000A35EE"/>
    <w:rsid w:val="000A36F7"/>
    <w:rsid w:val="000A3B1A"/>
    <w:rsid w:val="000A4264"/>
    <w:rsid w:val="000A4C2E"/>
    <w:rsid w:val="000A5FC3"/>
    <w:rsid w:val="000A67D7"/>
    <w:rsid w:val="000A6982"/>
    <w:rsid w:val="000A747B"/>
    <w:rsid w:val="000B04E1"/>
    <w:rsid w:val="000B0AA1"/>
    <w:rsid w:val="000B0FF0"/>
    <w:rsid w:val="000B11D2"/>
    <w:rsid w:val="000B195F"/>
    <w:rsid w:val="000B20E2"/>
    <w:rsid w:val="000B3543"/>
    <w:rsid w:val="000B52EF"/>
    <w:rsid w:val="000B66AF"/>
    <w:rsid w:val="000B69AF"/>
    <w:rsid w:val="000B752A"/>
    <w:rsid w:val="000B79EB"/>
    <w:rsid w:val="000B7B34"/>
    <w:rsid w:val="000C12F6"/>
    <w:rsid w:val="000C166F"/>
    <w:rsid w:val="000C1FB4"/>
    <w:rsid w:val="000C23CB"/>
    <w:rsid w:val="000C2472"/>
    <w:rsid w:val="000C2AAA"/>
    <w:rsid w:val="000C3C88"/>
    <w:rsid w:val="000C3D6B"/>
    <w:rsid w:val="000C4BA5"/>
    <w:rsid w:val="000C52E7"/>
    <w:rsid w:val="000C5380"/>
    <w:rsid w:val="000C6FE4"/>
    <w:rsid w:val="000C735D"/>
    <w:rsid w:val="000C77CF"/>
    <w:rsid w:val="000D0475"/>
    <w:rsid w:val="000D156D"/>
    <w:rsid w:val="000D226D"/>
    <w:rsid w:val="000D386F"/>
    <w:rsid w:val="000D506A"/>
    <w:rsid w:val="000D6436"/>
    <w:rsid w:val="000D65BD"/>
    <w:rsid w:val="000D6AE2"/>
    <w:rsid w:val="000D6F33"/>
    <w:rsid w:val="000D71F2"/>
    <w:rsid w:val="000D79A8"/>
    <w:rsid w:val="000D7BDF"/>
    <w:rsid w:val="000E0EF2"/>
    <w:rsid w:val="000E1238"/>
    <w:rsid w:val="000E14D3"/>
    <w:rsid w:val="000E1644"/>
    <w:rsid w:val="000E1FE4"/>
    <w:rsid w:val="000E2138"/>
    <w:rsid w:val="000E2A30"/>
    <w:rsid w:val="000E3505"/>
    <w:rsid w:val="000E45C6"/>
    <w:rsid w:val="000E4711"/>
    <w:rsid w:val="000E5159"/>
    <w:rsid w:val="000E5B38"/>
    <w:rsid w:val="000E5E21"/>
    <w:rsid w:val="000E702C"/>
    <w:rsid w:val="000E7F8F"/>
    <w:rsid w:val="000F0183"/>
    <w:rsid w:val="000F23C0"/>
    <w:rsid w:val="000F2E17"/>
    <w:rsid w:val="000F33D8"/>
    <w:rsid w:val="000F3A8A"/>
    <w:rsid w:val="000F3D64"/>
    <w:rsid w:val="000F4DC8"/>
    <w:rsid w:val="000F51A1"/>
    <w:rsid w:val="000F62AF"/>
    <w:rsid w:val="000F717B"/>
    <w:rsid w:val="000F78F7"/>
    <w:rsid w:val="0010058F"/>
    <w:rsid w:val="00100731"/>
    <w:rsid w:val="00102FC9"/>
    <w:rsid w:val="001039D8"/>
    <w:rsid w:val="001058D0"/>
    <w:rsid w:val="001071EC"/>
    <w:rsid w:val="00107E79"/>
    <w:rsid w:val="00110509"/>
    <w:rsid w:val="0011116C"/>
    <w:rsid w:val="00111438"/>
    <w:rsid w:val="00111838"/>
    <w:rsid w:val="00111DD7"/>
    <w:rsid w:val="001125E6"/>
    <w:rsid w:val="00112D4E"/>
    <w:rsid w:val="00113037"/>
    <w:rsid w:val="00113E38"/>
    <w:rsid w:val="00115AEF"/>
    <w:rsid w:val="00116587"/>
    <w:rsid w:val="00116C37"/>
    <w:rsid w:val="00116D32"/>
    <w:rsid w:val="00116DC5"/>
    <w:rsid w:val="00116E37"/>
    <w:rsid w:val="00120A45"/>
    <w:rsid w:val="00120F04"/>
    <w:rsid w:val="00121C47"/>
    <w:rsid w:val="00123BA3"/>
    <w:rsid w:val="00123C0B"/>
    <w:rsid w:val="00124557"/>
    <w:rsid w:val="00124912"/>
    <w:rsid w:val="00125A5A"/>
    <w:rsid w:val="00125C05"/>
    <w:rsid w:val="0012756A"/>
    <w:rsid w:val="00127840"/>
    <w:rsid w:val="00127DF0"/>
    <w:rsid w:val="00127E20"/>
    <w:rsid w:val="0013070B"/>
    <w:rsid w:val="001313B5"/>
    <w:rsid w:val="0013471E"/>
    <w:rsid w:val="00134F82"/>
    <w:rsid w:val="00134F88"/>
    <w:rsid w:val="0013598F"/>
    <w:rsid w:val="0013689D"/>
    <w:rsid w:val="00136B0B"/>
    <w:rsid w:val="001371E0"/>
    <w:rsid w:val="001405B7"/>
    <w:rsid w:val="0014073A"/>
    <w:rsid w:val="0014082D"/>
    <w:rsid w:val="0014115F"/>
    <w:rsid w:val="001420BE"/>
    <w:rsid w:val="00142E01"/>
    <w:rsid w:val="00142E31"/>
    <w:rsid w:val="001433F8"/>
    <w:rsid w:val="001435F4"/>
    <w:rsid w:val="00143B3B"/>
    <w:rsid w:val="001450D2"/>
    <w:rsid w:val="00145ADF"/>
    <w:rsid w:val="00146773"/>
    <w:rsid w:val="001477CF"/>
    <w:rsid w:val="00150E1E"/>
    <w:rsid w:val="00151078"/>
    <w:rsid w:val="001510EE"/>
    <w:rsid w:val="00151C33"/>
    <w:rsid w:val="00152052"/>
    <w:rsid w:val="00152218"/>
    <w:rsid w:val="001525B6"/>
    <w:rsid w:val="00153563"/>
    <w:rsid w:val="00153F5F"/>
    <w:rsid w:val="001551CC"/>
    <w:rsid w:val="00155F24"/>
    <w:rsid w:val="00157287"/>
    <w:rsid w:val="00157A8E"/>
    <w:rsid w:val="00157F2F"/>
    <w:rsid w:val="00157FE6"/>
    <w:rsid w:val="00160896"/>
    <w:rsid w:val="001611CF"/>
    <w:rsid w:val="0016162E"/>
    <w:rsid w:val="00161F52"/>
    <w:rsid w:val="00162172"/>
    <w:rsid w:val="001624B0"/>
    <w:rsid w:val="00162754"/>
    <w:rsid w:val="001632B9"/>
    <w:rsid w:val="00163692"/>
    <w:rsid w:val="00163DED"/>
    <w:rsid w:val="001643BA"/>
    <w:rsid w:val="00164D13"/>
    <w:rsid w:val="0016536E"/>
    <w:rsid w:val="0016611D"/>
    <w:rsid w:val="001669BA"/>
    <w:rsid w:val="00166D6F"/>
    <w:rsid w:val="00166E7B"/>
    <w:rsid w:val="00167109"/>
    <w:rsid w:val="00167829"/>
    <w:rsid w:val="00170278"/>
    <w:rsid w:val="001703C2"/>
    <w:rsid w:val="00170A1E"/>
    <w:rsid w:val="00170C86"/>
    <w:rsid w:val="00170DF7"/>
    <w:rsid w:val="00171267"/>
    <w:rsid w:val="00171E62"/>
    <w:rsid w:val="001724B1"/>
    <w:rsid w:val="00172690"/>
    <w:rsid w:val="00172BAF"/>
    <w:rsid w:val="00172F71"/>
    <w:rsid w:val="001737E6"/>
    <w:rsid w:val="00173A17"/>
    <w:rsid w:val="00173C3A"/>
    <w:rsid w:val="00173F8D"/>
    <w:rsid w:val="001741E7"/>
    <w:rsid w:val="00174A1C"/>
    <w:rsid w:val="00175DB1"/>
    <w:rsid w:val="00176686"/>
    <w:rsid w:val="00176E8A"/>
    <w:rsid w:val="00180947"/>
    <w:rsid w:val="00180C6A"/>
    <w:rsid w:val="001815B0"/>
    <w:rsid w:val="00181F28"/>
    <w:rsid w:val="001839DB"/>
    <w:rsid w:val="001843EE"/>
    <w:rsid w:val="00184471"/>
    <w:rsid w:val="0018479B"/>
    <w:rsid w:val="001856C0"/>
    <w:rsid w:val="001858B5"/>
    <w:rsid w:val="0018630B"/>
    <w:rsid w:val="001869DB"/>
    <w:rsid w:val="001872F8"/>
    <w:rsid w:val="00190101"/>
    <w:rsid w:val="00190C72"/>
    <w:rsid w:val="001924F8"/>
    <w:rsid w:val="00193252"/>
    <w:rsid w:val="0019446C"/>
    <w:rsid w:val="001944C1"/>
    <w:rsid w:val="00194891"/>
    <w:rsid w:val="00194B83"/>
    <w:rsid w:val="001953CC"/>
    <w:rsid w:val="0019560A"/>
    <w:rsid w:val="001958AE"/>
    <w:rsid w:val="00195B73"/>
    <w:rsid w:val="00195EF7"/>
    <w:rsid w:val="00197282"/>
    <w:rsid w:val="00197AE3"/>
    <w:rsid w:val="001A00EA"/>
    <w:rsid w:val="001A07E8"/>
    <w:rsid w:val="001A0C00"/>
    <w:rsid w:val="001A0E56"/>
    <w:rsid w:val="001A17AC"/>
    <w:rsid w:val="001A1A67"/>
    <w:rsid w:val="001A1CF2"/>
    <w:rsid w:val="001A1F4E"/>
    <w:rsid w:val="001A2C57"/>
    <w:rsid w:val="001A2E55"/>
    <w:rsid w:val="001A3D21"/>
    <w:rsid w:val="001A3E70"/>
    <w:rsid w:val="001A43CA"/>
    <w:rsid w:val="001B0724"/>
    <w:rsid w:val="001B1889"/>
    <w:rsid w:val="001B1D74"/>
    <w:rsid w:val="001B4277"/>
    <w:rsid w:val="001B4CDA"/>
    <w:rsid w:val="001B5FD7"/>
    <w:rsid w:val="001B6539"/>
    <w:rsid w:val="001B73B7"/>
    <w:rsid w:val="001C0120"/>
    <w:rsid w:val="001C03AF"/>
    <w:rsid w:val="001C0940"/>
    <w:rsid w:val="001C0D02"/>
    <w:rsid w:val="001C2954"/>
    <w:rsid w:val="001C3FA5"/>
    <w:rsid w:val="001C5346"/>
    <w:rsid w:val="001C6D78"/>
    <w:rsid w:val="001C7462"/>
    <w:rsid w:val="001C7B17"/>
    <w:rsid w:val="001C7F37"/>
    <w:rsid w:val="001D0592"/>
    <w:rsid w:val="001D05C0"/>
    <w:rsid w:val="001D1934"/>
    <w:rsid w:val="001D1A0D"/>
    <w:rsid w:val="001D29C1"/>
    <w:rsid w:val="001D3B86"/>
    <w:rsid w:val="001D428D"/>
    <w:rsid w:val="001D45B7"/>
    <w:rsid w:val="001D46AB"/>
    <w:rsid w:val="001D54C4"/>
    <w:rsid w:val="001D5B3A"/>
    <w:rsid w:val="001D6FDB"/>
    <w:rsid w:val="001D7724"/>
    <w:rsid w:val="001D7CDB"/>
    <w:rsid w:val="001E193E"/>
    <w:rsid w:val="001E1CB9"/>
    <w:rsid w:val="001E2654"/>
    <w:rsid w:val="001E27A1"/>
    <w:rsid w:val="001E355A"/>
    <w:rsid w:val="001E3FD6"/>
    <w:rsid w:val="001E4F4F"/>
    <w:rsid w:val="001E690E"/>
    <w:rsid w:val="001E6A94"/>
    <w:rsid w:val="001E7224"/>
    <w:rsid w:val="001F0757"/>
    <w:rsid w:val="001F101F"/>
    <w:rsid w:val="001F14F1"/>
    <w:rsid w:val="001F1AAF"/>
    <w:rsid w:val="001F1BA1"/>
    <w:rsid w:val="001F2A5E"/>
    <w:rsid w:val="001F2B3C"/>
    <w:rsid w:val="001F3873"/>
    <w:rsid w:val="001F459F"/>
    <w:rsid w:val="001F49F4"/>
    <w:rsid w:val="001F7A62"/>
    <w:rsid w:val="002027AB"/>
    <w:rsid w:val="00203327"/>
    <w:rsid w:val="00204399"/>
    <w:rsid w:val="00204B15"/>
    <w:rsid w:val="00205895"/>
    <w:rsid w:val="00205A37"/>
    <w:rsid w:val="00205D4C"/>
    <w:rsid w:val="00206142"/>
    <w:rsid w:val="00206461"/>
    <w:rsid w:val="00206EF9"/>
    <w:rsid w:val="00207A7F"/>
    <w:rsid w:val="00210818"/>
    <w:rsid w:val="00210C00"/>
    <w:rsid w:val="00210C89"/>
    <w:rsid w:val="002114D2"/>
    <w:rsid w:val="00211A8B"/>
    <w:rsid w:val="00211BF4"/>
    <w:rsid w:val="002124E5"/>
    <w:rsid w:val="00213074"/>
    <w:rsid w:val="00213511"/>
    <w:rsid w:val="00213BF2"/>
    <w:rsid w:val="002143AF"/>
    <w:rsid w:val="002151AF"/>
    <w:rsid w:val="002164F0"/>
    <w:rsid w:val="002169EF"/>
    <w:rsid w:val="00216C3B"/>
    <w:rsid w:val="00217637"/>
    <w:rsid w:val="0021791D"/>
    <w:rsid w:val="0022001F"/>
    <w:rsid w:val="00220440"/>
    <w:rsid w:val="00220505"/>
    <w:rsid w:val="00221EFA"/>
    <w:rsid w:val="00222DA3"/>
    <w:rsid w:val="00223D69"/>
    <w:rsid w:val="00224824"/>
    <w:rsid w:val="00224C72"/>
    <w:rsid w:val="00225EE3"/>
    <w:rsid w:val="00227121"/>
    <w:rsid w:val="00227462"/>
    <w:rsid w:val="002277EA"/>
    <w:rsid w:val="00227E18"/>
    <w:rsid w:val="00227E88"/>
    <w:rsid w:val="002303A5"/>
    <w:rsid w:val="002305CC"/>
    <w:rsid w:val="00231FE1"/>
    <w:rsid w:val="00232F10"/>
    <w:rsid w:val="0023326C"/>
    <w:rsid w:val="0023348B"/>
    <w:rsid w:val="0023371F"/>
    <w:rsid w:val="002351A6"/>
    <w:rsid w:val="002352A4"/>
    <w:rsid w:val="00235CD0"/>
    <w:rsid w:val="00236C28"/>
    <w:rsid w:val="002379D3"/>
    <w:rsid w:val="00237A82"/>
    <w:rsid w:val="00241054"/>
    <w:rsid w:val="002412F7"/>
    <w:rsid w:val="00241504"/>
    <w:rsid w:val="00241C2B"/>
    <w:rsid w:val="00242235"/>
    <w:rsid w:val="002423CA"/>
    <w:rsid w:val="002436A8"/>
    <w:rsid w:val="00245653"/>
    <w:rsid w:val="00245663"/>
    <w:rsid w:val="00245ADE"/>
    <w:rsid w:val="00246196"/>
    <w:rsid w:val="00246A9C"/>
    <w:rsid w:val="00250322"/>
    <w:rsid w:val="00250B27"/>
    <w:rsid w:val="00250D78"/>
    <w:rsid w:val="00251F63"/>
    <w:rsid w:val="00252370"/>
    <w:rsid w:val="00252A4D"/>
    <w:rsid w:val="00254485"/>
    <w:rsid w:val="00256A0C"/>
    <w:rsid w:val="00256E47"/>
    <w:rsid w:val="00257E17"/>
    <w:rsid w:val="0026142B"/>
    <w:rsid w:val="002626B0"/>
    <w:rsid w:val="00262C0F"/>
    <w:rsid w:val="00262FC8"/>
    <w:rsid w:val="00263BE2"/>
    <w:rsid w:val="002645C5"/>
    <w:rsid w:val="00264ECD"/>
    <w:rsid w:val="002651D4"/>
    <w:rsid w:val="00265CD7"/>
    <w:rsid w:val="00265D03"/>
    <w:rsid w:val="00266315"/>
    <w:rsid w:val="00266C4D"/>
    <w:rsid w:val="00266E60"/>
    <w:rsid w:val="002673E2"/>
    <w:rsid w:val="00270D3D"/>
    <w:rsid w:val="0027136C"/>
    <w:rsid w:val="00271D18"/>
    <w:rsid w:val="00272E60"/>
    <w:rsid w:val="002735B8"/>
    <w:rsid w:val="002745DF"/>
    <w:rsid w:val="00274630"/>
    <w:rsid w:val="002749BD"/>
    <w:rsid w:val="00274CF4"/>
    <w:rsid w:val="00275252"/>
    <w:rsid w:val="00275F28"/>
    <w:rsid w:val="00276264"/>
    <w:rsid w:val="00280708"/>
    <w:rsid w:val="00281151"/>
    <w:rsid w:val="00281550"/>
    <w:rsid w:val="00281DA4"/>
    <w:rsid w:val="00283898"/>
    <w:rsid w:val="00283A5D"/>
    <w:rsid w:val="00284150"/>
    <w:rsid w:val="002845F8"/>
    <w:rsid w:val="002858C1"/>
    <w:rsid w:val="00287057"/>
    <w:rsid w:val="00287851"/>
    <w:rsid w:val="00287996"/>
    <w:rsid w:val="002907FD"/>
    <w:rsid w:val="00291082"/>
    <w:rsid w:val="002923D5"/>
    <w:rsid w:val="00292706"/>
    <w:rsid w:val="002929B1"/>
    <w:rsid w:val="002935AF"/>
    <w:rsid w:val="00294C8B"/>
    <w:rsid w:val="00295F67"/>
    <w:rsid w:val="002966CC"/>
    <w:rsid w:val="00297203"/>
    <w:rsid w:val="00297A4A"/>
    <w:rsid w:val="002A06AC"/>
    <w:rsid w:val="002A0E04"/>
    <w:rsid w:val="002A129C"/>
    <w:rsid w:val="002A1322"/>
    <w:rsid w:val="002A1D58"/>
    <w:rsid w:val="002A245E"/>
    <w:rsid w:val="002A259E"/>
    <w:rsid w:val="002A2D01"/>
    <w:rsid w:val="002A3A18"/>
    <w:rsid w:val="002A3AB1"/>
    <w:rsid w:val="002A4FDA"/>
    <w:rsid w:val="002A5A22"/>
    <w:rsid w:val="002A7719"/>
    <w:rsid w:val="002B05F8"/>
    <w:rsid w:val="002B0B23"/>
    <w:rsid w:val="002B11EF"/>
    <w:rsid w:val="002B1651"/>
    <w:rsid w:val="002B20B3"/>
    <w:rsid w:val="002B21BB"/>
    <w:rsid w:val="002B2995"/>
    <w:rsid w:val="002B2C94"/>
    <w:rsid w:val="002B43E9"/>
    <w:rsid w:val="002B4632"/>
    <w:rsid w:val="002B49E3"/>
    <w:rsid w:val="002B5D90"/>
    <w:rsid w:val="002B7058"/>
    <w:rsid w:val="002B7308"/>
    <w:rsid w:val="002C033F"/>
    <w:rsid w:val="002C1745"/>
    <w:rsid w:val="002C20DD"/>
    <w:rsid w:val="002C2662"/>
    <w:rsid w:val="002C3155"/>
    <w:rsid w:val="002C4FAF"/>
    <w:rsid w:val="002C502A"/>
    <w:rsid w:val="002C55F3"/>
    <w:rsid w:val="002C6EC4"/>
    <w:rsid w:val="002C6FD0"/>
    <w:rsid w:val="002C7506"/>
    <w:rsid w:val="002C7C87"/>
    <w:rsid w:val="002D11E8"/>
    <w:rsid w:val="002D23D2"/>
    <w:rsid w:val="002D2D7E"/>
    <w:rsid w:val="002D32CD"/>
    <w:rsid w:val="002D3DF9"/>
    <w:rsid w:val="002D551D"/>
    <w:rsid w:val="002D5DAB"/>
    <w:rsid w:val="002D602A"/>
    <w:rsid w:val="002D6C16"/>
    <w:rsid w:val="002D6D8A"/>
    <w:rsid w:val="002D7677"/>
    <w:rsid w:val="002D7FDC"/>
    <w:rsid w:val="002E0126"/>
    <w:rsid w:val="002E07FD"/>
    <w:rsid w:val="002E0965"/>
    <w:rsid w:val="002E0B68"/>
    <w:rsid w:val="002E1113"/>
    <w:rsid w:val="002E156A"/>
    <w:rsid w:val="002E26A5"/>
    <w:rsid w:val="002E3AED"/>
    <w:rsid w:val="002E3C75"/>
    <w:rsid w:val="002E493E"/>
    <w:rsid w:val="002E5A82"/>
    <w:rsid w:val="002E7CB9"/>
    <w:rsid w:val="002F0028"/>
    <w:rsid w:val="002F0A67"/>
    <w:rsid w:val="002F27FC"/>
    <w:rsid w:val="002F29B1"/>
    <w:rsid w:val="002F3098"/>
    <w:rsid w:val="002F3B65"/>
    <w:rsid w:val="002F4955"/>
    <w:rsid w:val="002F5A3B"/>
    <w:rsid w:val="002F5C5E"/>
    <w:rsid w:val="002F5C8B"/>
    <w:rsid w:val="002F63F1"/>
    <w:rsid w:val="002F6D8E"/>
    <w:rsid w:val="002F70A1"/>
    <w:rsid w:val="002F749B"/>
    <w:rsid w:val="002F7F32"/>
    <w:rsid w:val="00300688"/>
    <w:rsid w:val="00300F31"/>
    <w:rsid w:val="00301119"/>
    <w:rsid w:val="003035EE"/>
    <w:rsid w:val="003044F7"/>
    <w:rsid w:val="00304D97"/>
    <w:rsid w:val="00305148"/>
    <w:rsid w:val="003055DD"/>
    <w:rsid w:val="00306703"/>
    <w:rsid w:val="0030672F"/>
    <w:rsid w:val="00306D23"/>
    <w:rsid w:val="00307058"/>
    <w:rsid w:val="003073AF"/>
    <w:rsid w:val="0030797D"/>
    <w:rsid w:val="00310385"/>
    <w:rsid w:val="00310746"/>
    <w:rsid w:val="00310D86"/>
    <w:rsid w:val="00313958"/>
    <w:rsid w:val="00313B38"/>
    <w:rsid w:val="003146DD"/>
    <w:rsid w:val="00315090"/>
    <w:rsid w:val="0031677F"/>
    <w:rsid w:val="00316BCE"/>
    <w:rsid w:val="00317B2E"/>
    <w:rsid w:val="003212DF"/>
    <w:rsid w:val="00321FB4"/>
    <w:rsid w:val="00322819"/>
    <w:rsid w:val="003228AA"/>
    <w:rsid w:val="00323842"/>
    <w:rsid w:val="00324089"/>
    <w:rsid w:val="00324DA7"/>
    <w:rsid w:val="0032667D"/>
    <w:rsid w:val="003268D9"/>
    <w:rsid w:val="003326A4"/>
    <w:rsid w:val="00332D4F"/>
    <w:rsid w:val="00335E95"/>
    <w:rsid w:val="00341EEF"/>
    <w:rsid w:val="003425E9"/>
    <w:rsid w:val="00342F59"/>
    <w:rsid w:val="00344818"/>
    <w:rsid w:val="00344E96"/>
    <w:rsid w:val="00344F2F"/>
    <w:rsid w:val="00345765"/>
    <w:rsid w:val="00345C42"/>
    <w:rsid w:val="00345CF7"/>
    <w:rsid w:val="00345D02"/>
    <w:rsid w:val="0034668D"/>
    <w:rsid w:val="003466F5"/>
    <w:rsid w:val="00347BD1"/>
    <w:rsid w:val="00350824"/>
    <w:rsid w:val="0035082A"/>
    <w:rsid w:val="00351A44"/>
    <w:rsid w:val="00351B30"/>
    <w:rsid w:val="0035235B"/>
    <w:rsid w:val="00352D35"/>
    <w:rsid w:val="003535FB"/>
    <w:rsid w:val="00354486"/>
    <w:rsid w:val="00354AA5"/>
    <w:rsid w:val="00355044"/>
    <w:rsid w:val="00355946"/>
    <w:rsid w:val="00355A53"/>
    <w:rsid w:val="00355E28"/>
    <w:rsid w:val="0035614D"/>
    <w:rsid w:val="003575D6"/>
    <w:rsid w:val="003576D2"/>
    <w:rsid w:val="00357F04"/>
    <w:rsid w:val="0036026C"/>
    <w:rsid w:val="00361130"/>
    <w:rsid w:val="00362DFB"/>
    <w:rsid w:val="00362EDB"/>
    <w:rsid w:val="003632CD"/>
    <w:rsid w:val="00363634"/>
    <w:rsid w:val="00363C3E"/>
    <w:rsid w:val="00363F06"/>
    <w:rsid w:val="0036440B"/>
    <w:rsid w:val="0036470A"/>
    <w:rsid w:val="00364E8A"/>
    <w:rsid w:val="00365022"/>
    <w:rsid w:val="003650FF"/>
    <w:rsid w:val="0036662B"/>
    <w:rsid w:val="00366D6D"/>
    <w:rsid w:val="00367110"/>
    <w:rsid w:val="00367593"/>
    <w:rsid w:val="00367AB8"/>
    <w:rsid w:val="003725BA"/>
    <w:rsid w:val="00374475"/>
    <w:rsid w:val="00374783"/>
    <w:rsid w:val="003759B5"/>
    <w:rsid w:val="00376602"/>
    <w:rsid w:val="0037666C"/>
    <w:rsid w:val="00376A2B"/>
    <w:rsid w:val="00377759"/>
    <w:rsid w:val="00380D0D"/>
    <w:rsid w:val="00381723"/>
    <w:rsid w:val="0038207E"/>
    <w:rsid w:val="00382510"/>
    <w:rsid w:val="0038676F"/>
    <w:rsid w:val="0038725F"/>
    <w:rsid w:val="00387C4C"/>
    <w:rsid w:val="00390103"/>
    <w:rsid w:val="00391857"/>
    <w:rsid w:val="0039356E"/>
    <w:rsid w:val="00394323"/>
    <w:rsid w:val="003958AB"/>
    <w:rsid w:val="003958EF"/>
    <w:rsid w:val="00396745"/>
    <w:rsid w:val="003978EE"/>
    <w:rsid w:val="003979AC"/>
    <w:rsid w:val="003A0AD9"/>
    <w:rsid w:val="003A0F10"/>
    <w:rsid w:val="003A103E"/>
    <w:rsid w:val="003A1353"/>
    <w:rsid w:val="003A1CA7"/>
    <w:rsid w:val="003A1CC8"/>
    <w:rsid w:val="003A221A"/>
    <w:rsid w:val="003A2A18"/>
    <w:rsid w:val="003A2FDE"/>
    <w:rsid w:val="003A4384"/>
    <w:rsid w:val="003A44CA"/>
    <w:rsid w:val="003A4F67"/>
    <w:rsid w:val="003A56CD"/>
    <w:rsid w:val="003A5CBF"/>
    <w:rsid w:val="003A6727"/>
    <w:rsid w:val="003B0302"/>
    <w:rsid w:val="003B29EA"/>
    <w:rsid w:val="003B4A90"/>
    <w:rsid w:val="003B596D"/>
    <w:rsid w:val="003B61F0"/>
    <w:rsid w:val="003B6308"/>
    <w:rsid w:val="003B65DD"/>
    <w:rsid w:val="003B7794"/>
    <w:rsid w:val="003B7937"/>
    <w:rsid w:val="003B7CA2"/>
    <w:rsid w:val="003B7ECA"/>
    <w:rsid w:val="003C0F1D"/>
    <w:rsid w:val="003C11CA"/>
    <w:rsid w:val="003C3B5A"/>
    <w:rsid w:val="003C40B3"/>
    <w:rsid w:val="003C4331"/>
    <w:rsid w:val="003C4D80"/>
    <w:rsid w:val="003C543E"/>
    <w:rsid w:val="003C5D98"/>
    <w:rsid w:val="003C6162"/>
    <w:rsid w:val="003C637C"/>
    <w:rsid w:val="003C73C6"/>
    <w:rsid w:val="003C7755"/>
    <w:rsid w:val="003C7A05"/>
    <w:rsid w:val="003D025D"/>
    <w:rsid w:val="003D050E"/>
    <w:rsid w:val="003D09D8"/>
    <w:rsid w:val="003D102D"/>
    <w:rsid w:val="003D171F"/>
    <w:rsid w:val="003D2B53"/>
    <w:rsid w:val="003D2DAD"/>
    <w:rsid w:val="003D3CB6"/>
    <w:rsid w:val="003D448F"/>
    <w:rsid w:val="003D5718"/>
    <w:rsid w:val="003D68AA"/>
    <w:rsid w:val="003D69A2"/>
    <w:rsid w:val="003D7614"/>
    <w:rsid w:val="003D7E78"/>
    <w:rsid w:val="003E2491"/>
    <w:rsid w:val="003E28F0"/>
    <w:rsid w:val="003E2BBE"/>
    <w:rsid w:val="003E3017"/>
    <w:rsid w:val="003E353D"/>
    <w:rsid w:val="003E3A21"/>
    <w:rsid w:val="003E3D25"/>
    <w:rsid w:val="003E5B43"/>
    <w:rsid w:val="003E61A9"/>
    <w:rsid w:val="003E6682"/>
    <w:rsid w:val="003E681A"/>
    <w:rsid w:val="003E6986"/>
    <w:rsid w:val="003E6D13"/>
    <w:rsid w:val="003E6FAC"/>
    <w:rsid w:val="003E78A5"/>
    <w:rsid w:val="003E7E69"/>
    <w:rsid w:val="003F0968"/>
    <w:rsid w:val="003F182D"/>
    <w:rsid w:val="003F25C8"/>
    <w:rsid w:val="003F3036"/>
    <w:rsid w:val="003F3EB8"/>
    <w:rsid w:val="003F4CFA"/>
    <w:rsid w:val="003F5B44"/>
    <w:rsid w:val="003F622D"/>
    <w:rsid w:val="003F65F6"/>
    <w:rsid w:val="004009C5"/>
    <w:rsid w:val="00400D26"/>
    <w:rsid w:val="00401CB7"/>
    <w:rsid w:val="00402B2D"/>
    <w:rsid w:val="00402BA6"/>
    <w:rsid w:val="00403480"/>
    <w:rsid w:val="00403FB6"/>
    <w:rsid w:val="004049A7"/>
    <w:rsid w:val="00405B91"/>
    <w:rsid w:val="00405FC8"/>
    <w:rsid w:val="004060E9"/>
    <w:rsid w:val="00406E10"/>
    <w:rsid w:val="0040751A"/>
    <w:rsid w:val="0041003A"/>
    <w:rsid w:val="00410B13"/>
    <w:rsid w:val="00411044"/>
    <w:rsid w:val="004116EA"/>
    <w:rsid w:val="00411D84"/>
    <w:rsid w:val="004124FB"/>
    <w:rsid w:val="00414523"/>
    <w:rsid w:val="004145FD"/>
    <w:rsid w:val="0041474C"/>
    <w:rsid w:val="00415E5E"/>
    <w:rsid w:val="00416AA0"/>
    <w:rsid w:val="00416B0B"/>
    <w:rsid w:val="00417DB0"/>
    <w:rsid w:val="00420699"/>
    <w:rsid w:val="00420C81"/>
    <w:rsid w:val="00420F7B"/>
    <w:rsid w:val="004211E0"/>
    <w:rsid w:val="00421B68"/>
    <w:rsid w:val="00421DDC"/>
    <w:rsid w:val="004227B0"/>
    <w:rsid w:val="00422F91"/>
    <w:rsid w:val="00423020"/>
    <w:rsid w:val="0042337B"/>
    <w:rsid w:val="004244C2"/>
    <w:rsid w:val="004308FF"/>
    <w:rsid w:val="004312BB"/>
    <w:rsid w:val="00431487"/>
    <w:rsid w:val="00432066"/>
    <w:rsid w:val="00434209"/>
    <w:rsid w:val="00434555"/>
    <w:rsid w:val="00434BC3"/>
    <w:rsid w:val="00435749"/>
    <w:rsid w:val="004377F1"/>
    <w:rsid w:val="0044040E"/>
    <w:rsid w:val="00440532"/>
    <w:rsid w:val="004413B7"/>
    <w:rsid w:val="004425B2"/>
    <w:rsid w:val="00443058"/>
    <w:rsid w:val="00443303"/>
    <w:rsid w:val="004433D4"/>
    <w:rsid w:val="004435EE"/>
    <w:rsid w:val="00444048"/>
    <w:rsid w:val="0044421B"/>
    <w:rsid w:val="00444918"/>
    <w:rsid w:val="00445C36"/>
    <w:rsid w:val="00445EF9"/>
    <w:rsid w:val="00446E07"/>
    <w:rsid w:val="0044788C"/>
    <w:rsid w:val="00450502"/>
    <w:rsid w:val="00451089"/>
    <w:rsid w:val="004515E8"/>
    <w:rsid w:val="00451FDC"/>
    <w:rsid w:val="00452B56"/>
    <w:rsid w:val="004531E6"/>
    <w:rsid w:val="00454817"/>
    <w:rsid w:val="00455F7C"/>
    <w:rsid w:val="00455F88"/>
    <w:rsid w:val="00456F23"/>
    <w:rsid w:val="00457CDF"/>
    <w:rsid w:val="00457F44"/>
    <w:rsid w:val="00457FDE"/>
    <w:rsid w:val="004607BD"/>
    <w:rsid w:val="00460F89"/>
    <w:rsid w:val="00462022"/>
    <w:rsid w:val="004622C5"/>
    <w:rsid w:val="0046247D"/>
    <w:rsid w:val="00462DC0"/>
    <w:rsid w:val="00463AE2"/>
    <w:rsid w:val="00464BE6"/>
    <w:rsid w:val="00464F6B"/>
    <w:rsid w:val="004658C6"/>
    <w:rsid w:val="00465D7F"/>
    <w:rsid w:val="00465E62"/>
    <w:rsid w:val="004661A4"/>
    <w:rsid w:val="00466EBC"/>
    <w:rsid w:val="00466F00"/>
    <w:rsid w:val="00467D4F"/>
    <w:rsid w:val="004705AC"/>
    <w:rsid w:val="00470FB5"/>
    <w:rsid w:val="004714E7"/>
    <w:rsid w:val="0047219B"/>
    <w:rsid w:val="00473B19"/>
    <w:rsid w:val="0047438A"/>
    <w:rsid w:val="00474F0C"/>
    <w:rsid w:val="00477DD4"/>
    <w:rsid w:val="00480114"/>
    <w:rsid w:val="0048063E"/>
    <w:rsid w:val="00480E34"/>
    <w:rsid w:val="00481217"/>
    <w:rsid w:val="00481396"/>
    <w:rsid w:val="004817CC"/>
    <w:rsid w:val="0048273B"/>
    <w:rsid w:val="00484129"/>
    <w:rsid w:val="00484BDE"/>
    <w:rsid w:val="00485301"/>
    <w:rsid w:val="004870B8"/>
    <w:rsid w:val="00490B2D"/>
    <w:rsid w:val="00490D70"/>
    <w:rsid w:val="00491513"/>
    <w:rsid w:val="0049189C"/>
    <w:rsid w:val="00491DF8"/>
    <w:rsid w:val="00492E5D"/>
    <w:rsid w:val="004938E3"/>
    <w:rsid w:val="004939E9"/>
    <w:rsid w:val="00494B26"/>
    <w:rsid w:val="00495B4B"/>
    <w:rsid w:val="004A270E"/>
    <w:rsid w:val="004A2DA6"/>
    <w:rsid w:val="004A3861"/>
    <w:rsid w:val="004A39C4"/>
    <w:rsid w:val="004A432A"/>
    <w:rsid w:val="004A54CD"/>
    <w:rsid w:val="004A5975"/>
    <w:rsid w:val="004A5EB7"/>
    <w:rsid w:val="004A7834"/>
    <w:rsid w:val="004A788A"/>
    <w:rsid w:val="004B053D"/>
    <w:rsid w:val="004B16F6"/>
    <w:rsid w:val="004B206C"/>
    <w:rsid w:val="004B25B1"/>
    <w:rsid w:val="004B30BE"/>
    <w:rsid w:val="004B4629"/>
    <w:rsid w:val="004B6863"/>
    <w:rsid w:val="004B7131"/>
    <w:rsid w:val="004C0214"/>
    <w:rsid w:val="004C084C"/>
    <w:rsid w:val="004C11D2"/>
    <w:rsid w:val="004C12B1"/>
    <w:rsid w:val="004C1683"/>
    <w:rsid w:val="004C183B"/>
    <w:rsid w:val="004C1A9D"/>
    <w:rsid w:val="004C2ECC"/>
    <w:rsid w:val="004C5896"/>
    <w:rsid w:val="004C7005"/>
    <w:rsid w:val="004C7235"/>
    <w:rsid w:val="004D023E"/>
    <w:rsid w:val="004D084A"/>
    <w:rsid w:val="004D1D58"/>
    <w:rsid w:val="004D1DBE"/>
    <w:rsid w:val="004D2A21"/>
    <w:rsid w:val="004D300A"/>
    <w:rsid w:val="004D4E4D"/>
    <w:rsid w:val="004D4E67"/>
    <w:rsid w:val="004D6542"/>
    <w:rsid w:val="004D69E3"/>
    <w:rsid w:val="004D6A4C"/>
    <w:rsid w:val="004D6E28"/>
    <w:rsid w:val="004D712D"/>
    <w:rsid w:val="004D77D0"/>
    <w:rsid w:val="004D7B81"/>
    <w:rsid w:val="004E0985"/>
    <w:rsid w:val="004E0F03"/>
    <w:rsid w:val="004E1735"/>
    <w:rsid w:val="004E242A"/>
    <w:rsid w:val="004E2439"/>
    <w:rsid w:val="004E36CD"/>
    <w:rsid w:val="004E4574"/>
    <w:rsid w:val="004E4F26"/>
    <w:rsid w:val="004E5682"/>
    <w:rsid w:val="004E56B9"/>
    <w:rsid w:val="004E59D4"/>
    <w:rsid w:val="004E6BFE"/>
    <w:rsid w:val="004E7CB9"/>
    <w:rsid w:val="004F0168"/>
    <w:rsid w:val="004F0BDA"/>
    <w:rsid w:val="004F0D95"/>
    <w:rsid w:val="004F0FBA"/>
    <w:rsid w:val="004F1426"/>
    <w:rsid w:val="004F356B"/>
    <w:rsid w:val="004F4789"/>
    <w:rsid w:val="004F52E5"/>
    <w:rsid w:val="004F7578"/>
    <w:rsid w:val="004F78F8"/>
    <w:rsid w:val="004F7ABD"/>
    <w:rsid w:val="004F7D7E"/>
    <w:rsid w:val="005007A8"/>
    <w:rsid w:val="00501907"/>
    <w:rsid w:val="00502121"/>
    <w:rsid w:val="005021A9"/>
    <w:rsid w:val="00502359"/>
    <w:rsid w:val="005023F7"/>
    <w:rsid w:val="00503BFF"/>
    <w:rsid w:val="005043DD"/>
    <w:rsid w:val="005047C5"/>
    <w:rsid w:val="00505311"/>
    <w:rsid w:val="00505B69"/>
    <w:rsid w:val="0050693A"/>
    <w:rsid w:val="00506A1A"/>
    <w:rsid w:val="00507D82"/>
    <w:rsid w:val="00510410"/>
    <w:rsid w:val="005108FB"/>
    <w:rsid w:val="00510E1B"/>
    <w:rsid w:val="00512105"/>
    <w:rsid w:val="00513226"/>
    <w:rsid w:val="005163F4"/>
    <w:rsid w:val="00516F57"/>
    <w:rsid w:val="00517701"/>
    <w:rsid w:val="00521299"/>
    <w:rsid w:val="005219B0"/>
    <w:rsid w:val="005219F4"/>
    <w:rsid w:val="00522320"/>
    <w:rsid w:val="00522575"/>
    <w:rsid w:val="00522AC1"/>
    <w:rsid w:val="00522EED"/>
    <w:rsid w:val="00523391"/>
    <w:rsid w:val="005234D7"/>
    <w:rsid w:val="00524118"/>
    <w:rsid w:val="00525EAD"/>
    <w:rsid w:val="0052675C"/>
    <w:rsid w:val="0052679D"/>
    <w:rsid w:val="00527633"/>
    <w:rsid w:val="00527AF2"/>
    <w:rsid w:val="00527CD3"/>
    <w:rsid w:val="005301B5"/>
    <w:rsid w:val="00531867"/>
    <w:rsid w:val="00531CFA"/>
    <w:rsid w:val="00531E82"/>
    <w:rsid w:val="005330EE"/>
    <w:rsid w:val="00534266"/>
    <w:rsid w:val="00535272"/>
    <w:rsid w:val="0053586A"/>
    <w:rsid w:val="0053594D"/>
    <w:rsid w:val="00535DC2"/>
    <w:rsid w:val="00536500"/>
    <w:rsid w:val="005370B3"/>
    <w:rsid w:val="00541085"/>
    <w:rsid w:val="00541A9E"/>
    <w:rsid w:val="0054218A"/>
    <w:rsid w:val="00542B58"/>
    <w:rsid w:val="00543D58"/>
    <w:rsid w:val="0054522A"/>
    <w:rsid w:val="005453D3"/>
    <w:rsid w:val="00545735"/>
    <w:rsid w:val="00545E83"/>
    <w:rsid w:val="00546529"/>
    <w:rsid w:val="005468FD"/>
    <w:rsid w:val="00547765"/>
    <w:rsid w:val="00550396"/>
    <w:rsid w:val="0055270D"/>
    <w:rsid w:val="00552D49"/>
    <w:rsid w:val="00553A44"/>
    <w:rsid w:val="005546B6"/>
    <w:rsid w:val="00555A9E"/>
    <w:rsid w:val="0055682D"/>
    <w:rsid w:val="0055718C"/>
    <w:rsid w:val="00557265"/>
    <w:rsid w:val="0055732A"/>
    <w:rsid w:val="00557384"/>
    <w:rsid w:val="00557822"/>
    <w:rsid w:val="00557D9C"/>
    <w:rsid w:val="00561709"/>
    <w:rsid w:val="005620D6"/>
    <w:rsid w:val="005622A2"/>
    <w:rsid w:val="00562680"/>
    <w:rsid w:val="00564334"/>
    <w:rsid w:val="00564A07"/>
    <w:rsid w:val="005653A2"/>
    <w:rsid w:val="00565C7B"/>
    <w:rsid w:val="00565F50"/>
    <w:rsid w:val="00567268"/>
    <w:rsid w:val="00567F09"/>
    <w:rsid w:val="00570835"/>
    <w:rsid w:val="005715D1"/>
    <w:rsid w:val="00572476"/>
    <w:rsid w:val="00572FD8"/>
    <w:rsid w:val="00573DEC"/>
    <w:rsid w:val="005741B3"/>
    <w:rsid w:val="005747EF"/>
    <w:rsid w:val="00574DD9"/>
    <w:rsid w:val="00574FE8"/>
    <w:rsid w:val="00575146"/>
    <w:rsid w:val="00575BD0"/>
    <w:rsid w:val="00575ED8"/>
    <w:rsid w:val="00580DCC"/>
    <w:rsid w:val="00581E81"/>
    <w:rsid w:val="0058214C"/>
    <w:rsid w:val="00582329"/>
    <w:rsid w:val="00582E16"/>
    <w:rsid w:val="005834C7"/>
    <w:rsid w:val="005838AD"/>
    <w:rsid w:val="00584281"/>
    <w:rsid w:val="0058526C"/>
    <w:rsid w:val="00585D87"/>
    <w:rsid w:val="00586B54"/>
    <w:rsid w:val="00586C9A"/>
    <w:rsid w:val="005900C2"/>
    <w:rsid w:val="00590418"/>
    <w:rsid w:val="0059155A"/>
    <w:rsid w:val="0059177A"/>
    <w:rsid w:val="005923BB"/>
    <w:rsid w:val="00592B27"/>
    <w:rsid w:val="00592E1A"/>
    <w:rsid w:val="00592FE0"/>
    <w:rsid w:val="00593815"/>
    <w:rsid w:val="00593835"/>
    <w:rsid w:val="00593E41"/>
    <w:rsid w:val="00594782"/>
    <w:rsid w:val="00594882"/>
    <w:rsid w:val="00595231"/>
    <w:rsid w:val="00596EDD"/>
    <w:rsid w:val="00597F45"/>
    <w:rsid w:val="005A078D"/>
    <w:rsid w:val="005A0E36"/>
    <w:rsid w:val="005A1380"/>
    <w:rsid w:val="005A247A"/>
    <w:rsid w:val="005A4694"/>
    <w:rsid w:val="005A4D08"/>
    <w:rsid w:val="005A711F"/>
    <w:rsid w:val="005A7669"/>
    <w:rsid w:val="005A7763"/>
    <w:rsid w:val="005B0DC3"/>
    <w:rsid w:val="005B24FB"/>
    <w:rsid w:val="005B32DA"/>
    <w:rsid w:val="005B38FE"/>
    <w:rsid w:val="005B4986"/>
    <w:rsid w:val="005B5279"/>
    <w:rsid w:val="005B53BB"/>
    <w:rsid w:val="005B6F89"/>
    <w:rsid w:val="005B75E6"/>
    <w:rsid w:val="005B7D6D"/>
    <w:rsid w:val="005C0142"/>
    <w:rsid w:val="005C1663"/>
    <w:rsid w:val="005C1DA7"/>
    <w:rsid w:val="005C28E8"/>
    <w:rsid w:val="005C4294"/>
    <w:rsid w:val="005C48CE"/>
    <w:rsid w:val="005C545D"/>
    <w:rsid w:val="005C66D2"/>
    <w:rsid w:val="005C7024"/>
    <w:rsid w:val="005C77B0"/>
    <w:rsid w:val="005D06AA"/>
    <w:rsid w:val="005D2BC0"/>
    <w:rsid w:val="005D2C4E"/>
    <w:rsid w:val="005D2D1F"/>
    <w:rsid w:val="005D2ED1"/>
    <w:rsid w:val="005D3F1D"/>
    <w:rsid w:val="005D7681"/>
    <w:rsid w:val="005D7A32"/>
    <w:rsid w:val="005D7D6B"/>
    <w:rsid w:val="005D7F55"/>
    <w:rsid w:val="005E05FE"/>
    <w:rsid w:val="005E3F32"/>
    <w:rsid w:val="005E4AB0"/>
    <w:rsid w:val="005E5418"/>
    <w:rsid w:val="005E5A7D"/>
    <w:rsid w:val="005E5E9A"/>
    <w:rsid w:val="005E7CDE"/>
    <w:rsid w:val="005E7FFE"/>
    <w:rsid w:val="005F07C4"/>
    <w:rsid w:val="005F11D7"/>
    <w:rsid w:val="005F13A7"/>
    <w:rsid w:val="005F1546"/>
    <w:rsid w:val="005F3B97"/>
    <w:rsid w:val="005F5083"/>
    <w:rsid w:val="005F5E27"/>
    <w:rsid w:val="005F6C3F"/>
    <w:rsid w:val="005F7323"/>
    <w:rsid w:val="005F7B84"/>
    <w:rsid w:val="00600871"/>
    <w:rsid w:val="006014A9"/>
    <w:rsid w:val="00601993"/>
    <w:rsid w:val="00601BCA"/>
    <w:rsid w:val="00601BFA"/>
    <w:rsid w:val="00601C2C"/>
    <w:rsid w:val="00601EBE"/>
    <w:rsid w:val="00604F54"/>
    <w:rsid w:val="006050E0"/>
    <w:rsid w:val="00605F8B"/>
    <w:rsid w:val="00607AFD"/>
    <w:rsid w:val="006118A8"/>
    <w:rsid w:val="0061251C"/>
    <w:rsid w:val="00612816"/>
    <w:rsid w:val="00612EFF"/>
    <w:rsid w:val="006139D6"/>
    <w:rsid w:val="00613D7E"/>
    <w:rsid w:val="00614096"/>
    <w:rsid w:val="00614ABF"/>
    <w:rsid w:val="00614B2E"/>
    <w:rsid w:val="00615B69"/>
    <w:rsid w:val="00615E66"/>
    <w:rsid w:val="0061625C"/>
    <w:rsid w:val="0062061F"/>
    <w:rsid w:val="00620E3A"/>
    <w:rsid w:val="00621433"/>
    <w:rsid w:val="00621687"/>
    <w:rsid w:val="00621B8B"/>
    <w:rsid w:val="0062264B"/>
    <w:rsid w:val="00622951"/>
    <w:rsid w:val="006237EE"/>
    <w:rsid w:val="00624E65"/>
    <w:rsid w:val="00625528"/>
    <w:rsid w:val="006258FD"/>
    <w:rsid w:val="00626CFD"/>
    <w:rsid w:val="00626D27"/>
    <w:rsid w:val="00626EA0"/>
    <w:rsid w:val="0062764F"/>
    <w:rsid w:val="00627AEB"/>
    <w:rsid w:val="006308E7"/>
    <w:rsid w:val="00631352"/>
    <w:rsid w:val="00631F7B"/>
    <w:rsid w:val="00632F4C"/>
    <w:rsid w:val="00633BB1"/>
    <w:rsid w:val="00633D05"/>
    <w:rsid w:val="006347D0"/>
    <w:rsid w:val="00634917"/>
    <w:rsid w:val="00635A2B"/>
    <w:rsid w:val="0063670B"/>
    <w:rsid w:val="00636ED1"/>
    <w:rsid w:val="006376C6"/>
    <w:rsid w:val="00637AEB"/>
    <w:rsid w:val="00637F51"/>
    <w:rsid w:val="0064058E"/>
    <w:rsid w:val="006409D7"/>
    <w:rsid w:val="006431B4"/>
    <w:rsid w:val="00643599"/>
    <w:rsid w:val="00643CFE"/>
    <w:rsid w:val="00644761"/>
    <w:rsid w:val="00644BD9"/>
    <w:rsid w:val="00644F70"/>
    <w:rsid w:val="00651204"/>
    <w:rsid w:val="006518ED"/>
    <w:rsid w:val="0065231C"/>
    <w:rsid w:val="00652543"/>
    <w:rsid w:val="00652EBD"/>
    <w:rsid w:val="00653411"/>
    <w:rsid w:val="00654040"/>
    <w:rsid w:val="00654CD0"/>
    <w:rsid w:val="00655375"/>
    <w:rsid w:val="00656435"/>
    <w:rsid w:val="006564C7"/>
    <w:rsid w:val="00657A5C"/>
    <w:rsid w:val="00660A80"/>
    <w:rsid w:val="00661961"/>
    <w:rsid w:val="00661C28"/>
    <w:rsid w:val="0066320B"/>
    <w:rsid w:val="0066399D"/>
    <w:rsid w:val="006639CA"/>
    <w:rsid w:val="00663E07"/>
    <w:rsid w:val="00664492"/>
    <w:rsid w:val="006646E3"/>
    <w:rsid w:val="00666FC6"/>
    <w:rsid w:val="00667651"/>
    <w:rsid w:val="00667E47"/>
    <w:rsid w:val="0067013E"/>
    <w:rsid w:val="0067022F"/>
    <w:rsid w:val="00670CC3"/>
    <w:rsid w:val="00671130"/>
    <w:rsid w:val="00671161"/>
    <w:rsid w:val="00671551"/>
    <w:rsid w:val="00671B64"/>
    <w:rsid w:val="0067241E"/>
    <w:rsid w:val="00672DD4"/>
    <w:rsid w:val="006749D4"/>
    <w:rsid w:val="00675572"/>
    <w:rsid w:val="00676119"/>
    <w:rsid w:val="00676301"/>
    <w:rsid w:val="00676DDD"/>
    <w:rsid w:val="0068072D"/>
    <w:rsid w:val="00681817"/>
    <w:rsid w:val="00682507"/>
    <w:rsid w:val="006833FB"/>
    <w:rsid w:val="0068367A"/>
    <w:rsid w:val="00683F17"/>
    <w:rsid w:val="00685063"/>
    <w:rsid w:val="00685500"/>
    <w:rsid w:val="00686160"/>
    <w:rsid w:val="006869A1"/>
    <w:rsid w:val="00686B8E"/>
    <w:rsid w:val="006876BA"/>
    <w:rsid w:val="006878DE"/>
    <w:rsid w:val="00687ECE"/>
    <w:rsid w:val="00690B2A"/>
    <w:rsid w:val="00691D38"/>
    <w:rsid w:val="00692C92"/>
    <w:rsid w:val="00696EB0"/>
    <w:rsid w:val="00696F58"/>
    <w:rsid w:val="00697741"/>
    <w:rsid w:val="006A06C8"/>
    <w:rsid w:val="006A27F0"/>
    <w:rsid w:val="006A2DFD"/>
    <w:rsid w:val="006A5306"/>
    <w:rsid w:val="006A5500"/>
    <w:rsid w:val="006A5C2A"/>
    <w:rsid w:val="006A6E98"/>
    <w:rsid w:val="006A7973"/>
    <w:rsid w:val="006A7D7A"/>
    <w:rsid w:val="006A7FFE"/>
    <w:rsid w:val="006B1AF0"/>
    <w:rsid w:val="006B1B6F"/>
    <w:rsid w:val="006B2A90"/>
    <w:rsid w:val="006B48B5"/>
    <w:rsid w:val="006B4C7B"/>
    <w:rsid w:val="006B4CF2"/>
    <w:rsid w:val="006B5161"/>
    <w:rsid w:val="006B5281"/>
    <w:rsid w:val="006B5507"/>
    <w:rsid w:val="006C0BD6"/>
    <w:rsid w:val="006C0F15"/>
    <w:rsid w:val="006C13E7"/>
    <w:rsid w:val="006C17CF"/>
    <w:rsid w:val="006C200A"/>
    <w:rsid w:val="006C25D6"/>
    <w:rsid w:val="006C26E5"/>
    <w:rsid w:val="006C32C1"/>
    <w:rsid w:val="006C33E8"/>
    <w:rsid w:val="006C4320"/>
    <w:rsid w:val="006C6054"/>
    <w:rsid w:val="006C638D"/>
    <w:rsid w:val="006C6405"/>
    <w:rsid w:val="006C6D18"/>
    <w:rsid w:val="006C6FF7"/>
    <w:rsid w:val="006C7CD2"/>
    <w:rsid w:val="006C7D1B"/>
    <w:rsid w:val="006D011C"/>
    <w:rsid w:val="006D0748"/>
    <w:rsid w:val="006D1CEB"/>
    <w:rsid w:val="006D2FD2"/>
    <w:rsid w:val="006D3139"/>
    <w:rsid w:val="006D34C3"/>
    <w:rsid w:val="006D3BE5"/>
    <w:rsid w:val="006D5722"/>
    <w:rsid w:val="006D5D57"/>
    <w:rsid w:val="006D60D1"/>
    <w:rsid w:val="006D7341"/>
    <w:rsid w:val="006E00CB"/>
    <w:rsid w:val="006E1482"/>
    <w:rsid w:val="006E18A1"/>
    <w:rsid w:val="006E1F60"/>
    <w:rsid w:val="006E1F7A"/>
    <w:rsid w:val="006E2B29"/>
    <w:rsid w:val="006E2C28"/>
    <w:rsid w:val="006E4AB8"/>
    <w:rsid w:val="006E5F0F"/>
    <w:rsid w:val="006E707E"/>
    <w:rsid w:val="006E71AE"/>
    <w:rsid w:val="006E7411"/>
    <w:rsid w:val="006E744E"/>
    <w:rsid w:val="006F0662"/>
    <w:rsid w:val="006F23F2"/>
    <w:rsid w:val="006F31BB"/>
    <w:rsid w:val="006F3830"/>
    <w:rsid w:val="006F3E66"/>
    <w:rsid w:val="006F40C8"/>
    <w:rsid w:val="006F41EB"/>
    <w:rsid w:val="006F4D9A"/>
    <w:rsid w:val="006F6FB2"/>
    <w:rsid w:val="007003F6"/>
    <w:rsid w:val="00700938"/>
    <w:rsid w:val="007016DB"/>
    <w:rsid w:val="0070181E"/>
    <w:rsid w:val="00701D12"/>
    <w:rsid w:val="00701F43"/>
    <w:rsid w:val="00702186"/>
    <w:rsid w:val="0070338D"/>
    <w:rsid w:val="00704C02"/>
    <w:rsid w:val="00705500"/>
    <w:rsid w:val="00705D26"/>
    <w:rsid w:val="00707CC1"/>
    <w:rsid w:val="00707D1D"/>
    <w:rsid w:val="00710C1C"/>
    <w:rsid w:val="00712720"/>
    <w:rsid w:val="0071446E"/>
    <w:rsid w:val="00714649"/>
    <w:rsid w:val="00714678"/>
    <w:rsid w:val="00714EB2"/>
    <w:rsid w:val="00715C02"/>
    <w:rsid w:val="0071649E"/>
    <w:rsid w:val="0071715A"/>
    <w:rsid w:val="00717736"/>
    <w:rsid w:val="007204A2"/>
    <w:rsid w:val="00720ABD"/>
    <w:rsid w:val="00720FAE"/>
    <w:rsid w:val="0072182E"/>
    <w:rsid w:val="007218F4"/>
    <w:rsid w:val="00721BFD"/>
    <w:rsid w:val="00722CF5"/>
    <w:rsid w:val="0072313A"/>
    <w:rsid w:val="0072318B"/>
    <w:rsid w:val="00723619"/>
    <w:rsid w:val="007242C7"/>
    <w:rsid w:val="007248F9"/>
    <w:rsid w:val="00724EC1"/>
    <w:rsid w:val="00725022"/>
    <w:rsid w:val="007262E6"/>
    <w:rsid w:val="00727EE8"/>
    <w:rsid w:val="007319DB"/>
    <w:rsid w:val="00731CEA"/>
    <w:rsid w:val="00731E1E"/>
    <w:rsid w:val="00731EB1"/>
    <w:rsid w:val="00732033"/>
    <w:rsid w:val="007321AA"/>
    <w:rsid w:val="00732282"/>
    <w:rsid w:val="007322A3"/>
    <w:rsid w:val="007323D2"/>
    <w:rsid w:val="007331B4"/>
    <w:rsid w:val="00733E71"/>
    <w:rsid w:val="00734675"/>
    <w:rsid w:val="007350A9"/>
    <w:rsid w:val="007358D9"/>
    <w:rsid w:val="00735FC8"/>
    <w:rsid w:val="00736150"/>
    <w:rsid w:val="00736E3B"/>
    <w:rsid w:val="00737E87"/>
    <w:rsid w:val="00737F1F"/>
    <w:rsid w:val="00740142"/>
    <w:rsid w:val="00740909"/>
    <w:rsid w:val="00740E4A"/>
    <w:rsid w:val="00741312"/>
    <w:rsid w:val="00741BDE"/>
    <w:rsid w:val="00742066"/>
    <w:rsid w:val="00742DD0"/>
    <w:rsid w:val="007441CC"/>
    <w:rsid w:val="00745BBE"/>
    <w:rsid w:val="007460CF"/>
    <w:rsid w:val="00746710"/>
    <w:rsid w:val="007468FC"/>
    <w:rsid w:val="00746BD0"/>
    <w:rsid w:val="0075002E"/>
    <w:rsid w:val="007502C6"/>
    <w:rsid w:val="00751507"/>
    <w:rsid w:val="00751646"/>
    <w:rsid w:val="00752364"/>
    <w:rsid w:val="00752637"/>
    <w:rsid w:val="00753DE6"/>
    <w:rsid w:val="00754874"/>
    <w:rsid w:val="00754ECB"/>
    <w:rsid w:val="00755948"/>
    <w:rsid w:val="00760E5B"/>
    <w:rsid w:val="00760FBF"/>
    <w:rsid w:val="00760FD9"/>
    <w:rsid w:val="00761CFE"/>
    <w:rsid w:val="0076252D"/>
    <w:rsid w:val="0076320A"/>
    <w:rsid w:val="0076335F"/>
    <w:rsid w:val="00763BAE"/>
    <w:rsid w:val="00764851"/>
    <w:rsid w:val="00764B53"/>
    <w:rsid w:val="00764FF3"/>
    <w:rsid w:val="007661E8"/>
    <w:rsid w:val="00766E6B"/>
    <w:rsid w:val="00767A27"/>
    <w:rsid w:val="007711BB"/>
    <w:rsid w:val="00771572"/>
    <w:rsid w:val="007726FF"/>
    <w:rsid w:val="007729A2"/>
    <w:rsid w:val="00773333"/>
    <w:rsid w:val="00774C98"/>
    <w:rsid w:val="00775436"/>
    <w:rsid w:val="00775B1E"/>
    <w:rsid w:val="00775FDD"/>
    <w:rsid w:val="00776CEA"/>
    <w:rsid w:val="00780FE3"/>
    <w:rsid w:val="00781826"/>
    <w:rsid w:val="00782E6D"/>
    <w:rsid w:val="0078758F"/>
    <w:rsid w:val="007903EB"/>
    <w:rsid w:val="00791418"/>
    <w:rsid w:val="00792201"/>
    <w:rsid w:val="00795D70"/>
    <w:rsid w:val="0079662F"/>
    <w:rsid w:val="007970F6"/>
    <w:rsid w:val="0079728E"/>
    <w:rsid w:val="00797C95"/>
    <w:rsid w:val="007A0768"/>
    <w:rsid w:val="007A0997"/>
    <w:rsid w:val="007A106B"/>
    <w:rsid w:val="007A160D"/>
    <w:rsid w:val="007A1F32"/>
    <w:rsid w:val="007A26F6"/>
    <w:rsid w:val="007A35EB"/>
    <w:rsid w:val="007A4016"/>
    <w:rsid w:val="007A43B2"/>
    <w:rsid w:val="007A5BE5"/>
    <w:rsid w:val="007A5C32"/>
    <w:rsid w:val="007A668D"/>
    <w:rsid w:val="007A6EAB"/>
    <w:rsid w:val="007B0324"/>
    <w:rsid w:val="007B171A"/>
    <w:rsid w:val="007B3EF2"/>
    <w:rsid w:val="007B4A0E"/>
    <w:rsid w:val="007B4CC3"/>
    <w:rsid w:val="007B526F"/>
    <w:rsid w:val="007B6358"/>
    <w:rsid w:val="007B64FA"/>
    <w:rsid w:val="007B7482"/>
    <w:rsid w:val="007B7F5E"/>
    <w:rsid w:val="007C03DB"/>
    <w:rsid w:val="007C2924"/>
    <w:rsid w:val="007C2BDD"/>
    <w:rsid w:val="007C30A3"/>
    <w:rsid w:val="007C362D"/>
    <w:rsid w:val="007C39BF"/>
    <w:rsid w:val="007C3A86"/>
    <w:rsid w:val="007C3CC0"/>
    <w:rsid w:val="007C46CD"/>
    <w:rsid w:val="007C4FCB"/>
    <w:rsid w:val="007C5166"/>
    <w:rsid w:val="007C61BF"/>
    <w:rsid w:val="007C65FD"/>
    <w:rsid w:val="007C66BB"/>
    <w:rsid w:val="007D01A8"/>
    <w:rsid w:val="007D0EB4"/>
    <w:rsid w:val="007D1093"/>
    <w:rsid w:val="007D23C9"/>
    <w:rsid w:val="007D34F9"/>
    <w:rsid w:val="007D5744"/>
    <w:rsid w:val="007D5BE6"/>
    <w:rsid w:val="007D7489"/>
    <w:rsid w:val="007D78CE"/>
    <w:rsid w:val="007E000A"/>
    <w:rsid w:val="007E0D24"/>
    <w:rsid w:val="007E16A2"/>
    <w:rsid w:val="007E1B69"/>
    <w:rsid w:val="007E2A90"/>
    <w:rsid w:val="007E34D7"/>
    <w:rsid w:val="007E49C4"/>
    <w:rsid w:val="007E501A"/>
    <w:rsid w:val="007E50C9"/>
    <w:rsid w:val="007E5674"/>
    <w:rsid w:val="007E6305"/>
    <w:rsid w:val="007E6C0E"/>
    <w:rsid w:val="007E6C68"/>
    <w:rsid w:val="007E710E"/>
    <w:rsid w:val="007E718A"/>
    <w:rsid w:val="007E77BA"/>
    <w:rsid w:val="007E77D4"/>
    <w:rsid w:val="007E7B02"/>
    <w:rsid w:val="007F02F9"/>
    <w:rsid w:val="007F2CB5"/>
    <w:rsid w:val="007F31C0"/>
    <w:rsid w:val="007F40BF"/>
    <w:rsid w:val="007F422B"/>
    <w:rsid w:val="007F42D9"/>
    <w:rsid w:val="007F4731"/>
    <w:rsid w:val="007F4A74"/>
    <w:rsid w:val="007F4E33"/>
    <w:rsid w:val="007F5B54"/>
    <w:rsid w:val="007F6F86"/>
    <w:rsid w:val="007F7986"/>
    <w:rsid w:val="007F7BFD"/>
    <w:rsid w:val="007F7E77"/>
    <w:rsid w:val="00800E2C"/>
    <w:rsid w:val="00801DF9"/>
    <w:rsid w:val="008030C5"/>
    <w:rsid w:val="00803445"/>
    <w:rsid w:val="00803FB5"/>
    <w:rsid w:val="00804491"/>
    <w:rsid w:val="00805B0D"/>
    <w:rsid w:val="00806183"/>
    <w:rsid w:val="008065D8"/>
    <w:rsid w:val="008070A6"/>
    <w:rsid w:val="00807A69"/>
    <w:rsid w:val="00807AEC"/>
    <w:rsid w:val="00807D0F"/>
    <w:rsid w:val="00810F99"/>
    <w:rsid w:val="00812568"/>
    <w:rsid w:val="008133D1"/>
    <w:rsid w:val="0081405F"/>
    <w:rsid w:val="008141DD"/>
    <w:rsid w:val="00814236"/>
    <w:rsid w:val="0081428C"/>
    <w:rsid w:val="0081652D"/>
    <w:rsid w:val="00817228"/>
    <w:rsid w:val="00817A58"/>
    <w:rsid w:val="00817C63"/>
    <w:rsid w:val="00820ACF"/>
    <w:rsid w:val="008229E0"/>
    <w:rsid w:val="008231A1"/>
    <w:rsid w:val="0082371A"/>
    <w:rsid w:val="008248CD"/>
    <w:rsid w:val="008255B9"/>
    <w:rsid w:val="00826271"/>
    <w:rsid w:val="008266EA"/>
    <w:rsid w:val="00827140"/>
    <w:rsid w:val="008305B6"/>
    <w:rsid w:val="00831BCB"/>
    <w:rsid w:val="00831E79"/>
    <w:rsid w:val="0083236D"/>
    <w:rsid w:val="00833CA3"/>
    <w:rsid w:val="008358F6"/>
    <w:rsid w:val="0083681E"/>
    <w:rsid w:val="00837BD5"/>
    <w:rsid w:val="00842554"/>
    <w:rsid w:val="00842C73"/>
    <w:rsid w:val="00842ED3"/>
    <w:rsid w:val="008432B3"/>
    <w:rsid w:val="00843A05"/>
    <w:rsid w:val="00843A4A"/>
    <w:rsid w:val="008440CA"/>
    <w:rsid w:val="008442DA"/>
    <w:rsid w:val="00845374"/>
    <w:rsid w:val="00845884"/>
    <w:rsid w:val="00846226"/>
    <w:rsid w:val="0084650B"/>
    <w:rsid w:val="00846CED"/>
    <w:rsid w:val="008472D5"/>
    <w:rsid w:val="00847503"/>
    <w:rsid w:val="008476A8"/>
    <w:rsid w:val="008503D1"/>
    <w:rsid w:val="00850657"/>
    <w:rsid w:val="008511A6"/>
    <w:rsid w:val="008524BE"/>
    <w:rsid w:val="0085387A"/>
    <w:rsid w:val="008546DD"/>
    <w:rsid w:val="008557FC"/>
    <w:rsid w:val="00855EFD"/>
    <w:rsid w:val="00856A25"/>
    <w:rsid w:val="0086018C"/>
    <w:rsid w:val="0086103A"/>
    <w:rsid w:val="008614CA"/>
    <w:rsid w:val="00862025"/>
    <w:rsid w:val="00862182"/>
    <w:rsid w:val="00862D6C"/>
    <w:rsid w:val="008645C5"/>
    <w:rsid w:val="008667F0"/>
    <w:rsid w:val="00867224"/>
    <w:rsid w:val="00867BFF"/>
    <w:rsid w:val="00870129"/>
    <w:rsid w:val="00871B14"/>
    <w:rsid w:val="00872306"/>
    <w:rsid w:val="00872C67"/>
    <w:rsid w:val="00872CA7"/>
    <w:rsid w:val="00873CC2"/>
    <w:rsid w:val="00875243"/>
    <w:rsid w:val="00875E7C"/>
    <w:rsid w:val="008765CA"/>
    <w:rsid w:val="008765CB"/>
    <w:rsid w:val="0087763B"/>
    <w:rsid w:val="0087767B"/>
    <w:rsid w:val="00877E76"/>
    <w:rsid w:val="0087A75D"/>
    <w:rsid w:val="0088024B"/>
    <w:rsid w:val="00880CEF"/>
    <w:rsid w:val="008811C7"/>
    <w:rsid w:val="0088129B"/>
    <w:rsid w:val="00881ACF"/>
    <w:rsid w:val="00883C31"/>
    <w:rsid w:val="00884400"/>
    <w:rsid w:val="00884420"/>
    <w:rsid w:val="008849FE"/>
    <w:rsid w:val="00885295"/>
    <w:rsid w:val="0088723E"/>
    <w:rsid w:val="00887A2F"/>
    <w:rsid w:val="00887F8D"/>
    <w:rsid w:val="00891D60"/>
    <w:rsid w:val="0089276F"/>
    <w:rsid w:val="00892CE6"/>
    <w:rsid w:val="00892D71"/>
    <w:rsid w:val="00893E16"/>
    <w:rsid w:val="00893F90"/>
    <w:rsid w:val="0089458B"/>
    <w:rsid w:val="00895ADD"/>
    <w:rsid w:val="00896624"/>
    <w:rsid w:val="008972A6"/>
    <w:rsid w:val="008A03B0"/>
    <w:rsid w:val="008A0B7B"/>
    <w:rsid w:val="008A1254"/>
    <w:rsid w:val="008A14ED"/>
    <w:rsid w:val="008A1943"/>
    <w:rsid w:val="008A226C"/>
    <w:rsid w:val="008A27F7"/>
    <w:rsid w:val="008A35D3"/>
    <w:rsid w:val="008A395B"/>
    <w:rsid w:val="008A3D9D"/>
    <w:rsid w:val="008A4697"/>
    <w:rsid w:val="008A5A9E"/>
    <w:rsid w:val="008A671D"/>
    <w:rsid w:val="008A6985"/>
    <w:rsid w:val="008A750C"/>
    <w:rsid w:val="008B0A39"/>
    <w:rsid w:val="008B0F8C"/>
    <w:rsid w:val="008B1538"/>
    <w:rsid w:val="008B1E8A"/>
    <w:rsid w:val="008B3932"/>
    <w:rsid w:val="008B4F32"/>
    <w:rsid w:val="008B58D8"/>
    <w:rsid w:val="008B7B2F"/>
    <w:rsid w:val="008C072B"/>
    <w:rsid w:val="008C2511"/>
    <w:rsid w:val="008C2B48"/>
    <w:rsid w:val="008C370D"/>
    <w:rsid w:val="008C4B89"/>
    <w:rsid w:val="008C520F"/>
    <w:rsid w:val="008C5267"/>
    <w:rsid w:val="008C5D30"/>
    <w:rsid w:val="008C61D0"/>
    <w:rsid w:val="008C72BF"/>
    <w:rsid w:val="008C7912"/>
    <w:rsid w:val="008D2805"/>
    <w:rsid w:val="008D2F6F"/>
    <w:rsid w:val="008D3611"/>
    <w:rsid w:val="008D3673"/>
    <w:rsid w:val="008D3682"/>
    <w:rsid w:val="008D4B67"/>
    <w:rsid w:val="008D5C8D"/>
    <w:rsid w:val="008D676B"/>
    <w:rsid w:val="008D706B"/>
    <w:rsid w:val="008D7094"/>
    <w:rsid w:val="008D75FF"/>
    <w:rsid w:val="008E1D1F"/>
    <w:rsid w:val="008E5497"/>
    <w:rsid w:val="008E5B07"/>
    <w:rsid w:val="008E6390"/>
    <w:rsid w:val="008E6D70"/>
    <w:rsid w:val="008E75DC"/>
    <w:rsid w:val="008E7816"/>
    <w:rsid w:val="008E7D03"/>
    <w:rsid w:val="008F01DB"/>
    <w:rsid w:val="008F03F7"/>
    <w:rsid w:val="008F0ADC"/>
    <w:rsid w:val="008F0BD2"/>
    <w:rsid w:val="008F1839"/>
    <w:rsid w:val="008F22FB"/>
    <w:rsid w:val="008F2500"/>
    <w:rsid w:val="008F2554"/>
    <w:rsid w:val="008F2CD6"/>
    <w:rsid w:val="008F3239"/>
    <w:rsid w:val="008F3C51"/>
    <w:rsid w:val="008F3DBC"/>
    <w:rsid w:val="008F46F7"/>
    <w:rsid w:val="008F5665"/>
    <w:rsid w:val="008F7173"/>
    <w:rsid w:val="00900DB7"/>
    <w:rsid w:val="00901248"/>
    <w:rsid w:val="009017DA"/>
    <w:rsid w:val="00903FCD"/>
    <w:rsid w:val="00906B6F"/>
    <w:rsid w:val="009074F4"/>
    <w:rsid w:val="009101E8"/>
    <w:rsid w:val="009105FF"/>
    <w:rsid w:val="00912292"/>
    <w:rsid w:val="00912963"/>
    <w:rsid w:val="00913CF1"/>
    <w:rsid w:val="0091478F"/>
    <w:rsid w:val="009148F3"/>
    <w:rsid w:val="00914F89"/>
    <w:rsid w:val="009165EC"/>
    <w:rsid w:val="0091794D"/>
    <w:rsid w:val="00920001"/>
    <w:rsid w:val="00921538"/>
    <w:rsid w:val="009235D5"/>
    <w:rsid w:val="00923C9B"/>
    <w:rsid w:val="00923E2C"/>
    <w:rsid w:val="00925CAD"/>
    <w:rsid w:val="0092645C"/>
    <w:rsid w:val="00926F88"/>
    <w:rsid w:val="0092715C"/>
    <w:rsid w:val="00927422"/>
    <w:rsid w:val="009276AC"/>
    <w:rsid w:val="009301B6"/>
    <w:rsid w:val="009304CB"/>
    <w:rsid w:val="0093105C"/>
    <w:rsid w:val="00932E65"/>
    <w:rsid w:val="009333F6"/>
    <w:rsid w:val="00933420"/>
    <w:rsid w:val="00936920"/>
    <w:rsid w:val="00936ABF"/>
    <w:rsid w:val="00936E7B"/>
    <w:rsid w:val="009425E9"/>
    <w:rsid w:val="00942A95"/>
    <w:rsid w:val="00942CA1"/>
    <w:rsid w:val="009438DD"/>
    <w:rsid w:val="00943E53"/>
    <w:rsid w:val="00944AD4"/>
    <w:rsid w:val="00945641"/>
    <w:rsid w:val="009456FD"/>
    <w:rsid w:val="009467F3"/>
    <w:rsid w:val="00946915"/>
    <w:rsid w:val="0094714F"/>
    <w:rsid w:val="00947423"/>
    <w:rsid w:val="00947C82"/>
    <w:rsid w:val="00951D72"/>
    <w:rsid w:val="00952564"/>
    <w:rsid w:val="00953A51"/>
    <w:rsid w:val="00954E92"/>
    <w:rsid w:val="00954F29"/>
    <w:rsid w:val="00955121"/>
    <w:rsid w:val="009559DB"/>
    <w:rsid w:val="00955C52"/>
    <w:rsid w:val="00956CE2"/>
    <w:rsid w:val="00957E18"/>
    <w:rsid w:val="00957E35"/>
    <w:rsid w:val="00961E94"/>
    <w:rsid w:val="009628BB"/>
    <w:rsid w:val="00962A33"/>
    <w:rsid w:val="0096396F"/>
    <w:rsid w:val="00963DBF"/>
    <w:rsid w:val="0096431F"/>
    <w:rsid w:val="00964408"/>
    <w:rsid w:val="009655E4"/>
    <w:rsid w:val="00965801"/>
    <w:rsid w:val="00965C1E"/>
    <w:rsid w:val="00967711"/>
    <w:rsid w:val="00967996"/>
    <w:rsid w:val="00970731"/>
    <w:rsid w:val="009708AC"/>
    <w:rsid w:val="0097105A"/>
    <w:rsid w:val="009719EB"/>
    <w:rsid w:val="00971E8E"/>
    <w:rsid w:val="009724E3"/>
    <w:rsid w:val="00974916"/>
    <w:rsid w:val="00974C65"/>
    <w:rsid w:val="00974D27"/>
    <w:rsid w:val="009769C2"/>
    <w:rsid w:val="00976E6E"/>
    <w:rsid w:val="00977875"/>
    <w:rsid w:val="00980275"/>
    <w:rsid w:val="00980962"/>
    <w:rsid w:val="0098117F"/>
    <w:rsid w:val="00981959"/>
    <w:rsid w:val="00981E6B"/>
    <w:rsid w:val="00981FD1"/>
    <w:rsid w:val="00982256"/>
    <w:rsid w:val="0098288A"/>
    <w:rsid w:val="00982D20"/>
    <w:rsid w:val="00982E3D"/>
    <w:rsid w:val="00983E63"/>
    <w:rsid w:val="0098412B"/>
    <w:rsid w:val="00984BAE"/>
    <w:rsid w:val="0098558F"/>
    <w:rsid w:val="00987929"/>
    <w:rsid w:val="00987D48"/>
    <w:rsid w:val="009907EB"/>
    <w:rsid w:val="00991614"/>
    <w:rsid w:val="00991899"/>
    <w:rsid w:val="00991DC7"/>
    <w:rsid w:val="00992414"/>
    <w:rsid w:val="00992715"/>
    <w:rsid w:val="00992C13"/>
    <w:rsid w:val="00992C21"/>
    <w:rsid w:val="00993426"/>
    <w:rsid w:val="00993D2F"/>
    <w:rsid w:val="0099418B"/>
    <w:rsid w:val="00994F7D"/>
    <w:rsid w:val="0099583A"/>
    <w:rsid w:val="0099662C"/>
    <w:rsid w:val="00996C95"/>
    <w:rsid w:val="00996D00"/>
    <w:rsid w:val="00996D1D"/>
    <w:rsid w:val="009A0254"/>
    <w:rsid w:val="009A1C35"/>
    <w:rsid w:val="009A1C6E"/>
    <w:rsid w:val="009A2972"/>
    <w:rsid w:val="009A37A5"/>
    <w:rsid w:val="009A380F"/>
    <w:rsid w:val="009A3982"/>
    <w:rsid w:val="009A3C0C"/>
    <w:rsid w:val="009A5060"/>
    <w:rsid w:val="009A55F6"/>
    <w:rsid w:val="009A6070"/>
    <w:rsid w:val="009B15C1"/>
    <w:rsid w:val="009B2640"/>
    <w:rsid w:val="009B3401"/>
    <w:rsid w:val="009B3AFD"/>
    <w:rsid w:val="009B3FC1"/>
    <w:rsid w:val="009B4CC6"/>
    <w:rsid w:val="009B5F11"/>
    <w:rsid w:val="009B600B"/>
    <w:rsid w:val="009B7888"/>
    <w:rsid w:val="009C07DA"/>
    <w:rsid w:val="009C120A"/>
    <w:rsid w:val="009C22DC"/>
    <w:rsid w:val="009C2339"/>
    <w:rsid w:val="009C316F"/>
    <w:rsid w:val="009C32A5"/>
    <w:rsid w:val="009C35E8"/>
    <w:rsid w:val="009C37F3"/>
    <w:rsid w:val="009C3D54"/>
    <w:rsid w:val="009C4002"/>
    <w:rsid w:val="009C4032"/>
    <w:rsid w:val="009C55AE"/>
    <w:rsid w:val="009C6680"/>
    <w:rsid w:val="009C68F5"/>
    <w:rsid w:val="009C7335"/>
    <w:rsid w:val="009C7E3C"/>
    <w:rsid w:val="009D155F"/>
    <w:rsid w:val="009D22C5"/>
    <w:rsid w:val="009D22FF"/>
    <w:rsid w:val="009D2510"/>
    <w:rsid w:val="009D4182"/>
    <w:rsid w:val="009D435D"/>
    <w:rsid w:val="009D475E"/>
    <w:rsid w:val="009D4DD3"/>
    <w:rsid w:val="009D667B"/>
    <w:rsid w:val="009D7080"/>
    <w:rsid w:val="009D7242"/>
    <w:rsid w:val="009D741D"/>
    <w:rsid w:val="009D7E6F"/>
    <w:rsid w:val="009E0698"/>
    <w:rsid w:val="009E0F60"/>
    <w:rsid w:val="009E1592"/>
    <w:rsid w:val="009E3723"/>
    <w:rsid w:val="009E4A7A"/>
    <w:rsid w:val="009E5310"/>
    <w:rsid w:val="009E557F"/>
    <w:rsid w:val="009E7374"/>
    <w:rsid w:val="009E76CE"/>
    <w:rsid w:val="009E7914"/>
    <w:rsid w:val="009F0446"/>
    <w:rsid w:val="009F15FB"/>
    <w:rsid w:val="009F210F"/>
    <w:rsid w:val="009F309A"/>
    <w:rsid w:val="009F32D7"/>
    <w:rsid w:val="009F342F"/>
    <w:rsid w:val="009F3E26"/>
    <w:rsid w:val="009F50C5"/>
    <w:rsid w:val="009F6162"/>
    <w:rsid w:val="009F70B7"/>
    <w:rsid w:val="009F7CBE"/>
    <w:rsid w:val="009F7F39"/>
    <w:rsid w:val="00A0056E"/>
    <w:rsid w:val="00A01D6E"/>
    <w:rsid w:val="00A0204F"/>
    <w:rsid w:val="00A027AA"/>
    <w:rsid w:val="00A02F49"/>
    <w:rsid w:val="00A0316B"/>
    <w:rsid w:val="00A032F8"/>
    <w:rsid w:val="00A04CA4"/>
    <w:rsid w:val="00A05088"/>
    <w:rsid w:val="00A05210"/>
    <w:rsid w:val="00A056CF"/>
    <w:rsid w:val="00A07F94"/>
    <w:rsid w:val="00A11C1A"/>
    <w:rsid w:val="00A12C90"/>
    <w:rsid w:val="00A12FB0"/>
    <w:rsid w:val="00A14AAF"/>
    <w:rsid w:val="00A15506"/>
    <w:rsid w:val="00A15DA1"/>
    <w:rsid w:val="00A165AC"/>
    <w:rsid w:val="00A16670"/>
    <w:rsid w:val="00A16FF1"/>
    <w:rsid w:val="00A23079"/>
    <w:rsid w:val="00A236CA"/>
    <w:rsid w:val="00A27911"/>
    <w:rsid w:val="00A27E71"/>
    <w:rsid w:val="00A30FEA"/>
    <w:rsid w:val="00A313B2"/>
    <w:rsid w:val="00A31C29"/>
    <w:rsid w:val="00A3328C"/>
    <w:rsid w:val="00A33B25"/>
    <w:rsid w:val="00A33D7C"/>
    <w:rsid w:val="00A34665"/>
    <w:rsid w:val="00A3538C"/>
    <w:rsid w:val="00A35758"/>
    <w:rsid w:val="00A35E49"/>
    <w:rsid w:val="00A361B4"/>
    <w:rsid w:val="00A375ED"/>
    <w:rsid w:val="00A4001E"/>
    <w:rsid w:val="00A40D08"/>
    <w:rsid w:val="00A40EAF"/>
    <w:rsid w:val="00A421CE"/>
    <w:rsid w:val="00A43B97"/>
    <w:rsid w:val="00A43FEC"/>
    <w:rsid w:val="00A45041"/>
    <w:rsid w:val="00A455C7"/>
    <w:rsid w:val="00A456C9"/>
    <w:rsid w:val="00A45E3B"/>
    <w:rsid w:val="00A46E05"/>
    <w:rsid w:val="00A47696"/>
    <w:rsid w:val="00A47833"/>
    <w:rsid w:val="00A47A79"/>
    <w:rsid w:val="00A5062B"/>
    <w:rsid w:val="00A50668"/>
    <w:rsid w:val="00A515CA"/>
    <w:rsid w:val="00A51A3F"/>
    <w:rsid w:val="00A51B4C"/>
    <w:rsid w:val="00A51B6D"/>
    <w:rsid w:val="00A52359"/>
    <w:rsid w:val="00A52590"/>
    <w:rsid w:val="00A52DA6"/>
    <w:rsid w:val="00A54771"/>
    <w:rsid w:val="00A54D02"/>
    <w:rsid w:val="00A55288"/>
    <w:rsid w:val="00A5572B"/>
    <w:rsid w:val="00A55866"/>
    <w:rsid w:val="00A55E6A"/>
    <w:rsid w:val="00A55ED3"/>
    <w:rsid w:val="00A56761"/>
    <w:rsid w:val="00A5722F"/>
    <w:rsid w:val="00A577D6"/>
    <w:rsid w:val="00A60CD4"/>
    <w:rsid w:val="00A61C08"/>
    <w:rsid w:val="00A623FC"/>
    <w:rsid w:val="00A6280F"/>
    <w:rsid w:val="00A63200"/>
    <w:rsid w:val="00A63AE2"/>
    <w:rsid w:val="00A63B85"/>
    <w:rsid w:val="00A63EDB"/>
    <w:rsid w:val="00A64301"/>
    <w:rsid w:val="00A649F4"/>
    <w:rsid w:val="00A6729D"/>
    <w:rsid w:val="00A672C8"/>
    <w:rsid w:val="00A700A9"/>
    <w:rsid w:val="00A7025C"/>
    <w:rsid w:val="00A710E4"/>
    <w:rsid w:val="00A714FA"/>
    <w:rsid w:val="00A72314"/>
    <w:rsid w:val="00A72F47"/>
    <w:rsid w:val="00A73C52"/>
    <w:rsid w:val="00A743B7"/>
    <w:rsid w:val="00A75793"/>
    <w:rsid w:val="00A75DE5"/>
    <w:rsid w:val="00A7669E"/>
    <w:rsid w:val="00A7704A"/>
    <w:rsid w:val="00A810F1"/>
    <w:rsid w:val="00A8195C"/>
    <w:rsid w:val="00A83E04"/>
    <w:rsid w:val="00A83F62"/>
    <w:rsid w:val="00A84236"/>
    <w:rsid w:val="00A8563B"/>
    <w:rsid w:val="00A85E2C"/>
    <w:rsid w:val="00A86017"/>
    <w:rsid w:val="00A8789C"/>
    <w:rsid w:val="00A90F3A"/>
    <w:rsid w:val="00A9112D"/>
    <w:rsid w:val="00A91BD2"/>
    <w:rsid w:val="00A91E1F"/>
    <w:rsid w:val="00A9248A"/>
    <w:rsid w:val="00A926FA"/>
    <w:rsid w:val="00A92C4A"/>
    <w:rsid w:val="00A92E2D"/>
    <w:rsid w:val="00A936E2"/>
    <w:rsid w:val="00A937E9"/>
    <w:rsid w:val="00A9490E"/>
    <w:rsid w:val="00A9514C"/>
    <w:rsid w:val="00A9515F"/>
    <w:rsid w:val="00A95490"/>
    <w:rsid w:val="00A955DF"/>
    <w:rsid w:val="00A95C4C"/>
    <w:rsid w:val="00A9624E"/>
    <w:rsid w:val="00A96416"/>
    <w:rsid w:val="00A966EC"/>
    <w:rsid w:val="00A97102"/>
    <w:rsid w:val="00A97D82"/>
    <w:rsid w:val="00AA043D"/>
    <w:rsid w:val="00AA2CBC"/>
    <w:rsid w:val="00AA3598"/>
    <w:rsid w:val="00AA461F"/>
    <w:rsid w:val="00AA584F"/>
    <w:rsid w:val="00AA6202"/>
    <w:rsid w:val="00AA6523"/>
    <w:rsid w:val="00AA6A1E"/>
    <w:rsid w:val="00AB1C54"/>
    <w:rsid w:val="00AB24BA"/>
    <w:rsid w:val="00AB25DF"/>
    <w:rsid w:val="00AB3820"/>
    <w:rsid w:val="00AB5EDA"/>
    <w:rsid w:val="00AB642A"/>
    <w:rsid w:val="00AB7188"/>
    <w:rsid w:val="00AB7575"/>
    <w:rsid w:val="00AB79C3"/>
    <w:rsid w:val="00AC1865"/>
    <w:rsid w:val="00AC20D0"/>
    <w:rsid w:val="00AC249F"/>
    <w:rsid w:val="00AC3E71"/>
    <w:rsid w:val="00AC3ED7"/>
    <w:rsid w:val="00AC4211"/>
    <w:rsid w:val="00AC5164"/>
    <w:rsid w:val="00AC524C"/>
    <w:rsid w:val="00AC6058"/>
    <w:rsid w:val="00AC62EC"/>
    <w:rsid w:val="00AD042A"/>
    <w:rsid w:val="00AD056A"/>
    <w:rsid w:val="00AD06C9"/>
    <w:rsid w:val="00AD0701"/>
    <w:rsid w:val="00AD0DDB"/>
    <w:rsid w:val="00AD2A94"/>
    <w:rsid w:val="00AD2E10"/>
    <w:rsid w:val="00AD3607"/>
    <w:rsid w:val="00AD414A"/>
    <w:rsid w:val="00AD49AC"/>
    <w:rsid w:val="00AD56A7"/>
    <w:rsid w:val="00AD5CBC"/>
    <w:rsid w:val="00AD6139"/>
    <w:rsid w:val="00AD6BF9"/>
    <w:rsid w:val="00AD6D7F"/>
    <w:rsid w:val="00AE06EA"/>
    <w:rsid w:val="00AE0F60"/>
    <w:rsid w:val="00AE1897"/>
    <w:rsid w:val="00AE1A64"/>
    <w:rsid w:val="00AE2348"/>
    <w:rsid w:val="00AE278D"/>
    <w:rsid w:val="00AE3901"/>
    <w:rsid w:val="00AE3D50"/>
    <w:rsid w:val="00AE5323"/>
    <w:rsid w:val="00AE616A"/>
    <w:rsid w:val="00AE61D1"/>
    <w:rsid w:val="00AE77BE"/>
    <w:rsid w:val="00AF03F7"/>
    <w:rsid w:val="00AF1132"/>
    <w:rsid w:val="00AF1C29"/>
    <w:rsid w:val="00AF2233"/>
    <w:rsid w:val="00AF234B"/>
    <w:rsid w:val="00AF3AEA"/>
    <w:rsid w:val="00AF47C5"/>
    <w:rsid w:val="00AF4B8D"/>
    <w:rsid w:val="00AF5004"/>
    <w:rsid w:val="00AF5BAD"/>
    <w:rsid w:val="00AF6090"/>
    <w:rsid w:val="00B0009B"/>
    <w:rsid w:val="00B00348"/>
    <w:rsid w:val="00B004FB"/>
    <w:rsid w:val="00B0068D"/>
    <w:rsid w:val="00B01D5C"/>
    <w:rsid w:val="00B0207B"/>
    <w:rsid w:val="00B03134"/>
    <w:rsid w:val="00B05B70"/>
    <w:rsid w:val="00B06500"/>
    <w:rsid w:val="00B06934"/>
    <w:rsid w:val="00B06BD7"/>
    <w:rsid w:val="00B07D29"/>
    <w:rsid w:val="00B07E78"/>
    <w:rsid w:val="00B10DCC"/>
    <w:rsid w:val="00B10FD6"/>
    <w:rsid w:val="00B11133"/>
    <w:rsid w:val="00B120A5"/>
    <w:rsid w:val="00B122B1"/>
    <w:rsid w:val="00B13B7A"/>
    <w:rsid w:val="00B143A8"/>
    <w:rsid w:val="00B143BE"/>
    <w:rsid w:val="00B15982"/>
    <w:rsid w:val="00B15E61"/>
    <w:rsid w:val="00B1623D"/>
    <w:rsid w:val="00B16406"/>
    <w:rsid w:val="00B166B0"/>
    <w:rsid w:val="00B17691"/>
    <w:rsid w:val="00B2034F"/>
    <w:rsid w:val="00B2181E"/>
    <w:rsid w:val="00B21FCF"/>
    <w:rsid w:val="00B22A6C"/>
    <w:rsid w:val="00B2358A"/>
    <w:rsid w:val="00B24121"/>
    <w:rsid w:val="00B24595"/>
    <w:rsid w:val="00B2514A"/>
    <w:rsid w:val="00B251B3"/>
    <w:rsid w:val="00B25DDC"/>
    <w:rsid w:val="00B25FBB"/>
    <w:rsid w:val="00B26375"/>
    <w:rsid w:val="00B26DAA"/>
    <w:rsid w:val="00B27371"/>
    <w:rsid w:val="00B27D18"/>
    <w:rsid w:val="00B27DFC"/>
    <w:rsid w:val="00B30A9F"/>
    <w:rsid w:val="00B30CB5"/>
    <w:rsid w:val="00B31140"/>
    <w:rsid w:val="00B322BF"/>
    <w:rsid w:val="00B32DE2"/>
    <w:rsid w:val="00B370BA"/>
    <w:rsid w:val="00B37E84"/>
    <w:rsid w:val="00B40294"/>
    <w:rsid w:val="00B40388"/>
    <w:rsid w:val="00B40CF9"/>
    <w:rsid w:val="00B4115A"/>
    <w:rsid w:val="00B42607"/>
    <w:rsid w:val="00B429E0"/>
    <w:rsid w:val="00B434A3"/>
    <w:rsid w:val="00B434C8"/>
    <w:rsid w:val="00B43B3F"/>
    <w:rsid w:val="00B43C63"/>
    <w:rsid w:val="00B44313"/>
    <w:rsid w:val="00B45817"/>
    <w:rsid w:val="00B45EA3"/>
    <w:rsid w:val="00B464A5"/>
    <w:rsid w:val="00B470F9"/>
    <w:rsid w:val="00B47400"/>
    <w:rsid w:val="00B4749C"/>
    <w:rsid w:val="00B47711"/>
    <w:rsid w:val="00B47C0F"/>
    <w:rsid w:val="00B47EBE"/>
    <w:rsid w:val="00B50003"/>
    <w:rsid w:val="00B503DE"/>
    <w:rsid w:val="00B506AC"/>
    <w:rsid w:val="00B52234"/>
    <w:rsid w:val="00B534DB"/>
    <w:rsid w:val="00B53500"/>
    <w:rsid w:val="00B539B2"/>
    <w:rsid w:val="00B53DCB"/>
    <w:rsid w:val="00B5419D"/>
    <w:rsid w:val="00B549F3"/>
    <w:rsid w:val="00B558EE"/>
    <w:rsid w:val="00B562FE"/>
    <w:rsid w:val="00B60762"/>
    <w:rsid w:val="00B60C27"/>
    <w:rsid w:val="00B612FF"/>
    <w:rsid w:val="00B621E1"/>
    <w:rsid w:val="00B62440"/>
    <w:rsid w:val="00B62A2E"/>
    <w:rsid w:val="00B63B50"/>
    <w:rsid w:val="00B6438A"/>
    <w:rsid w:val="00B64BBD"/>
    <w:rsid w:val="00B65660"/>
    <w:rsid w:val="00B66356"/>
    <w:rsid w:val="00B67F83"/>
    <w:rsid w:val="00B70AE0"/>
    <w:rsid w:val="00B70ED0"/>
    <w:rsid w:val="00B70F12"/>
    <w:rsid w:val="00B711F0"/>
    <w:rsid w:val="00B71831"/>
    <w:rsid w:val="00B7210A"/>
    <w:rsid w:val="00B723A8"/>
    <w:rsid w:val="00B72529"/>
    <w:rsid w:val="00B7375D"/>
    <w:rsid w:val="00B74987"/>
    <w:rsid w:val="00B750FF"/>
    <w:rsid w:val="00B7545C"/>
    <w:rsid w:val="00B758D0"/>
    <w:rsid w:val="00B7720B"/>
    <w:rsid w:val="00B7721B"/>
    <w:rsid w:val="00B77455"/>
    <w:rsid w:val="00B77A23"/>
    <w:rsid w:val="00B77F7D"/>
    <w:rsid w:val="00B81163"/>
    <w:rsid w:val="00B82740"/>
    <w:rsid w:val="00B82B3B"/>
    <w:rsid w:val="00B82E22"/>
    <w:rsid w:val="00B83684"/>
    <w:rsid w:val="00B83A1A"/>
    <w:rsid w:val="00B84EF3"/>
    <w:rsid w:val="00B863DD"/>
    <w:rsid w:val="00B87A22"/>
    <w:rsid w:val="00B9158A"/>
    <w:rsid w:val="00B91769"/>
    <w:rsid w:val="00B925E6"/>
    <w:rsid w:val="00B93331"/>
    <w:rsid w:val="00B93C88"/>
    <w:rsid w:val="00B94145"/>
    <w:rsid w:val="00B94AC4"/>
    <w:rsid w:val="00B94AE3"/>
    <w:rsid w:val="00B9501C"/>
    <w:rsid w:val="00B96C77"/>
    <w:rsid w:val="00B97882"/>
    <w:rsid w:val="00B97B5B"/>
    <w:rsid w:val="00B97BED"/>
    <w:rsid w:val="00B9F6AA"/>
    <w:rsid w:val="00BA02E1"/>
    <w:rsid w:val="00BA121C"/>
    <w:rsid w:val="00BA18F1"/>
    <w:rsid w:val="00BA1C08"/>
    <w:rsid w:val="00BA1FA3"/>
    <w:rsid w:val="00BA1FC6"/>
    <w:rsid w:val="00BA25D2"/>
    <w:rsid w:val="00BA2836"/>
    <w:rsid w:val="00BA3FEA"/>
    <w:rsid w:val="00BA4853"/>
    <w:rsid w:val="00BA5182"/>
    <w:rsid w:val="00BA64EC"/>
    <w:rsid w:val="00BA6550"/>
    <w:rsid w:val="00BA750B"/>
    <w:rsid w:val="00BA7530"/>
    <w:rsid w:val="00BA755D"/>
    <w:rsid w:val="00BA79E1"/>
    <w:rsid w:val="00BB158C"/>
    <w:rsid w:val="00BB16AA"/>
    <w:rsid w:val="00BB17D3"/>
    <w:rsid w:val="00BB4546"/>
    <w:rsid w:val="00BB50E7"/>
    <w:rsid w:val="00BB5B4E"/>
    <w:rsid w:val="00BB716F"/>
    <w:rsid w:val="00BB7340"/>
    <w:rsid w:val="00BB7FD6"/>
    <w:rsid w:val="00BC044B"/>
    <w:rsid w:val="00BC05AA"/>
    <w:rsid w:val="00BC1AE0"/>
    <w:rsid w:val="00BC1FD1"/>
    <w:rsid w:val="00BC2220"/>
    <w:rsid w:val="00BC223C"/>
    <w:rsid w:val="00BC3B8B"/>
    <w:rsid w:val="00BC3F86"/>
    <w:rsid w:val="00BC5E5F"/>
    <w:rsid w:val="00BC739C"/>
    <w:rsid w:val="00BC76EC"/>
    <w:rsid w:val="00BC7E4F"/>
    <w:rsid w:val="00BD093E"/>
    <w:rsid w:val="00BD22E2"/>
    <w:rsid w:val="00BD26DC"/>
    <w:rsid w:val="00BD28C2"/>
    <w:rsid w:val="00BD33B3"/>
    <w:rsid w:val="00BD3716"/>
    <w:rsid w:val="00BD3EB1"/>
    <w:rsid w:val="00BD48CA"/>
    <w:rsid w:val="00BD5102"/>
    <w:rsid w:val="00BD5953"/>
    <w:rsid w:val="00BD5ED5"/>
    <w:rsid w:val="00BD6DC0"/>
    <w:rsid w:val="00BE0545"/>
    <w:rsid w:val="00BE05CE"/>
    <w:rsid w:val="00BE2E1F"/>
    <w:rsid w:val="00BE2EB2"/>
    <w:rsid w:val="00BE3ADB"/>
    <w:rsid w:val="00BE4F63"/>
    <w:rsid w:val="00BE50A5"/>
    <w:rsid w:val="00BE54C0"/>
    <w:rsid w:val="00BE5FE7"/>
    <w:rsid w:val="00BE6FCC"/>
    <w:rsid w:val="00BE72FC"/>
    <w:rsid w:val="00BE7339"/>
    <w:rsid w:val="00BE786A"/>
    <w:rsid w:val="00BF05E8"/>
    <w:rsid w:val="00BF28DA"/>
    <w:rsid w:val="00BF446B"/>
    <w:rsid w:val="00BF45AC"/>
    <w:rsid w:val="00BF4814"/>
    <w:rsid w:val="00BF4822"/>
    <w:rsid w:val="00BF68D0"/>
    <w:rsid w:val="00C00BF0"/>
    <w:rsid w:val="00C00CBD"/>
    <w:rsid w:val="00C02B9F"/>
    <w:rsid w:val="00C02DDF"/>
    <w:rsid w:val="00C03101"/>
    <w:rsid w:val="00C034BB"/>
    <w:rsid w:val="00C048B0"/>
    <w:rsid w:val="00C05B17"/>
    <w:rsid w:val="00C06286"/>
    <w:rsid w:val="00C0635A"/>
    <w:rsid w:val="00C06943"/>
    <w:rsid w:val="00C06B7A"/>
    <w:rsid w:val="00C10264"/>
    <w:rsid w:val="00C10478"/>
    <w:rsid w:val="00C10AFF"/>
    <w:rsid w:val="00C10C2C"/>
    <w:rsid w:val="00C114B2"/>
    <w:rsid w:val="00C11E3E"/>
    <w:rsid w:val="00C11FEE"/>
    <w:rsid w:val="00C12353"/>
    <w:rsid w:val="00C13B0C"/>
    <w:rsid w:val="00C1458A"/>
    <w:rsid w:val="00C15D6E"/>
    <w:rsid w:val="00C1611C"/>
    <w:rsid w:val="00C1624B"/>
    <w:rsid w:val="00C16CA6"/>
    <w:rsid w:val="00C17216"/>
    <w:rsid w:val="00C204DC"/>
    <w:rsid w:val="00C207D2"/>
    <w:rsid w:val="00C209A3"/>
    <w:rsid w:val="00C20BDF"/>
    <w:rsid w:val="00C2211F"/>
    <w:rsid w:val="00C22E6E"/>
    <w:rsid w:val="00C239B7"/>
    <w:rsid w:val="00C24760"/>
    <w:rsid w:val="00C2582B"/>
    <w:rsid w:val="00C25E13"/>
    <w:rsid w:val="00C25FF3"/>
    <w:rsid w:val="00C26152"/>
    <w:rsid w:val="00C30679"/>
    <w:rsid w:val="00C30773"/>
    <w:rsid w:val="00C309D7"/>
    <w:rsid w:val="00C311D1"/>
    <w:rsid w:val="00C33501"/>
    <w:rsid w:val="00C33B26"/>
    <w:rsid w:val="00C34031"/>
    <w:rsid w:val="00C34CE7"/>
    <w:rsid w:val="00C3524E"/>
    <w:rsid w:val="00C35306"/>
    <w:rsid w:val="00C35413"/>
    <w:rsid w:val="00C35450"/>
    <w:rsid w:val="00C35C17"/>
    <w:rsid w:val="00C36070"/>
    <w:rsid w:val="00C364D7"/>
    <w:rsid w:val="00C364F2"/>
    <w:rsid w:val="00C366AA"/>
    <w:rsid w:val="00C37A53"/>
    <w:rsid w:val="00C40320"/>
    <w:rsid w:val="00C406C4"/>
    <w:rsid w:val="00C40760"/>
    <w:rsid w:val="00C419E4"/>
    <w:rsid w:val="00C4210E"/>
    <w:rsid w:val="00C42251"/>
    <w:rsid w:val="00C4254D"/>
    <w:rsid w:val="00C42790"/>
    <w:rsid w:val="00C439F2"/>
    <w:rsid w:val="00C44C9E"/>
    <w:rsid w:val="00C455FF"/>
    <w:rsid w:val="00C459C6"/>
    <w:rsid w:val="00C47EEC"/>
    <w:rsid w:val="00C504AB"/>
    <w:rsid w:val="00C508F3"/>
    <w:rsid w:val="00C5113C"/>
    <w:rsid w:val="00C51D50"/>
    <w:rsid w:val="00C52145"/>
    <w:rsid w:val="00C537A1"/>
    <w:rsid w:val="00C566A8"/>
    <w:rsid w:val="00C56CF2"/>
    <w:rsid w:val="00C57607"/>
    <w:rsid w:val="00C60EBF"/>
    <w:rsid w:val="00C60FFC"/>
    <w:rsid w:val="00C611EB"/>
    <w:rsid w:val="00C6159A"/>
    <w:rsid w:val="00C617FF"/>
    <w:rsid w:val="00C629A8"/>
    <w:rsid w:val="00C62FEC"/>
    <w:rsid w:val="00C64E75"/>
    <w:rsid w:val="00C64F46"/>
    <w:rsid w:val="00C65616"/>
    <w:rsid w:val="00C65AD0"/>
    <w:rsid w:val="00C66023"/>
    <w:rsid w:val="00C66AB8"/>
    <w:rsid w:val="00C6788D"/>
    <w:rsid w:val="00C6788F"/>
    <w:rsid w:val="00C71428"/>
    <w:rsid w:val="00C71FEB"/>
    <w:rsid w:val="00C72601"/>
    <w:rsid w:val="00C728D2"/>
    <w:rsid w:val="00C73B39"/>
    <w:rsid w:val="00C742DC"/>
    <w:rsid w:val="00C7483E"/>
    <w:rsid w:val="00C750F0"/>
    <w:rsid w:val="00C7646A"/>
    <w:rsid w:val="00C7794D"/>
    <w:rsid w:val="00C80D1D"/>
    <w:rsid w:val="00C80F85"/>
    <w:rsid w:val="00C831A3"/>
    <w:rsid w:val="00C83C18"/>
    <w:rsid w:val="00C84046"/>
    <w:rsid w:val="00C84334"/>
    <w:rsid w:val="00C853E2"/>
    <w:rsid w:val="00C85B65"/>
    <w:rsid w:val="00C85DBA"/>
    <w:rsid w:val="00C85F1A"/>
    <w:rsid w:val="00C86EB2"/>
    <w:rsid w:val="00C87C10"/>
    <w:rsid w:val="00C87FC3"/>
    <w:rsid w:val="00C916C8"/>
    <w:rsid w:val="00C917C1"/>
    <w:rsid w:val="00C9203C"/>
    <w:rsid w:val="00C921B6"/>
    <w:rsid w:val="00C938F9"/>
    <w:rsid w:val="00C93CF9"/>
    <w:rsid w:val="00CA003A"/>
    <w:rsid w:val="00CA072B"/>
    <w:rsid w:val="00CA0BA9"/>
    <w:rsid w:val="00CA0CCF"/>
    <w:rsid w:val="00CA10D9"/>
    <w:rsid w:val="00CA1973"/>
    <w:rsid w:val="00CA1A47"/>
    <w:rsid w:val="00CA22A4"/>
    <w:rsid w:val="00CA3EA7"/>
    <w:rsid w:val="00CA4505"/>
    <w:rsid w:val="00CA4643"/>
    <w:rsid w:val="00CA499D"/>
    <w:rsid w:val="00CA7513"/>
    <w:rsid w:val="00CB02C2"/>
    <w:rsid w:val="00CB0B81"/>
    <w:rsid w:val="00CB190E"/>
    <w:rsid w:val="00CB2072"/>
    <w:rsid w:val="00CB34E8"/>
    <w:rsid w:val="00CB3CFC"/>
    <w:rsid w:val="00CB4836"/>
    <w:rsid w:val="00CB48F4"/>
    <w:rsid w:val="00CB5678"/>
    <w:rsid w:val="00CB6B92"/>
    <w:rsid w:val="00CB6BB6"/>
    <w:rsid w:val="00CB6F1C"/>
    <w:rsid w:val="00CB6F26"/>
    <w:rsid w:val="00CB7648"/>
    <w:rsid w:val="00CC091A"/>
    <w:rsid w:val="00CC0C81"/>
    <w:rsid w:val="00CC0CDB"/>
    <w:rsid w:val="00CC1034"/>
    <w:rsid w:val="00CC2402"/>
    <w:rsid w:val="00CC2952"/>
    <w:rsid w:val="00CC4179"/>
    <w:rsid w:val="00CC5917"/>
    <w:rsid w:val="00CC5E48"/>
    <w:rsid w:val="00CC69F7"/>
    <w:rsid w:val="00CC6CFD"/>
    <w:rsid w:val="00CC7851"/>
    <w:rsid w:val="00CD0ABA"/>
    <w:rsid w:val="00CD1CE7"/>
    <w:rsid w:val="00CD3ECF"/>
    <w:rsid w:val="00CD3F77"/>
    <w:rsid w:val="00CD465B"/>
    <w:rsid w:val="00CD4DAA"/>
    <w:rsid w:val="00CD52F0"/>
    <w:rsid w:val="00CD675E"/>
    <w:rsid w:val="00CD7407"/>
    <w:rsid w:val="00CD7776"/>
    <w:rsid w:val="00CE18BB"/>
    <w:rsid w:val="00CE2106"/>
    <w:rsid w:val="00CE35F4"/>
    <w:rsid w:val="00CE43BA"/>
    <w:rsid w:val="00CE4671"/>
    <w:rsid w:val="00CE4B33"/>
    <w:rsid w:val="00CE4EBD"/>
    <w:rsid w:val="00CE5C32"/>
    <w:rsid w:val="00CE79BE"/>
    <w:rsid w:val="00CF052C"/>
    <w:rsid w:val="00CF05FA"/>
    <w:rsid w:val="00CF0934"/>
    <w:rsid w:val="00CF0A31"/>
    <w:rsid w:val="00CF15E5"/>
    <w:rsid w:val="00CF17C3"/>
    <w:rsid w:val="00CF2B97"/>
    <w:rsid w:val="00CF4096"/>
    <w:rsid w:val="00CF46BF"/>
    <w:rsid w:val="00CF5050"/>
    <w:rsid w:val="00CFE4AE"/>
    <w:rsid w:val="00D0012A"/>
    <w:rsid w:val="00D0145E"/>
    <w:rsid w:val="00D018D4"/>
    <w:rsid w:val="00D01B12"/>
    <w:rsid w:val="00D01FC7"/>
    <w:rsid w:val="00D0266A"/>
    <w:rsid w:val="00D02CFD"/>
    <w:rsid w:val="00D02F69"/>
    <w:rsid w:val="00D02FA5"/>
    <w:rsid w:val="00D038C8"/>
    <w:rsid w:val="00D0390E"/>
    <w:rsid w:val="00D03A3C"/>
    <w:rsid w:val="00D03F84"/>
    <w:rsid w:val="00D0472C"/>
    <w:rsid w:val="00D04B44"/>
    <w:rsid w:val="00D055E6"/>
    <w:rsid w:val="00D05986"/>
    <w:rsid w:val="00D05BB2"/>
    <w:rsid w:val="00D05C26"/>
    <w:rsid w:val="00D05F53"/>
    <w:rsid w:val="00D06472"/>
    <w:rsid w:val="00D0677B"/>
    <w:rsid w:val="00D07FAB"/>
    <w:rsid w:val="00D11F4A"/>
    <w:rsid w:val="00D12B18"/>
    <w:rsid w:val="00D1378E"/>
    <w:rsid w:val="00D14BBE"/>
    <w:rsid w:val="00D14C8C"/>
    <w:rsid w:val="00D15CFE"/>
    <w:rsid w:val="00D16F2D"/>
    <w:rsid w:val="00D2005B"/>
    <w:rsid w:val="00D21F5B"/>
    <w:rsid w:val="00D2267E"/>
    <w:rsid w:val="00D23109"/>
    <w:rsid w:val="00D2348F"/>
    <w:rsid w:val="00D23EA1"/>
    <w:rsid w:val="00D24F75"/>
    <w:rsid w:val="00D25C3F"/>
    <w:rsid w:val="00D25CBC"/>
    <w:rsid w:val="00D260B8"/>
    <w:rsid w:val="00D261F9"/>
    <w:rsid w:val="00D26456"/>
    <w:rsid w:val="00D2703F"/>
    <w:rsid w:val="00D30FD1"/>
    <w:rsid w:val="00D31902"/>
    <w:rsid w:val="00D31AEA"/>
    <w:rsid w:val="00D31F9A"/>
    <w:rsid w:val="00D32D06"/>
    <w:rsid w:val="00D32EB2"/>
    <w:rsid w:val="00D33925"/>
    <w:rsid w:val="00D3439D"/>
    <w:rsid w:val="00D3446E"/>
    <w:rsid w:val="00D3492D"/>
    <w:rsid w:val="00D351D9"/>
    <w:rsid w:val="00D35854"/>
    <w:rsid w:val="00D36BB2"/>
    <w:rsid w:val="00D36F47"/>
    <w:rsid w:val="00D37ED3"/>
    <w:rsid w:val="00D400F1"/>
    <w:rsid w:val="00D412CD"/>
    <w:rsid w:val="00D4153A"/>
    <w:rsid w:val="00D427A4"/>
    <w:rsid w:val="00D4291B"/>
    <w:rsid w:val="00D432AC"/>
    <w:rsid w:val="00D43966"/>
    <w:rsid w:val="00D43C53"/>
    <w:rsid w:val="00D44367"/>
    <w:rsid w:val="00D45472"/>
    <w:rsid w:val="00D47CD1"/>
    <w:rsid w:val="00D500F3"/>
    <w:rsid w:val="00D512CD"/>
    <w:rsid w:val="00D519E9"/>
    <w:rsid w:val="00D51E8E"/>
    <w:rsid w:val="00D528C6"/>
    <w:rsid w:val="00D53CE5"/>
    <w:rsid w:val="00D55DF2"/>
    <w:rsid w:val="00D56062"/>
    <w:rsid w:val="00D57B7D"/>
    <w:rsid w:val="00D602E9"/>
    <w:rsid w:val="00D60408"/>
    <w:rsid w:val="00D62098"/>
    <w:rsid w:val="00D63044"/>
    <w:rsid w:val="00D64A70"/>
    <w:rsid w:val="00D65972"/>
    <w:rsid w:val="00D660C9"/>
    <w:rsid w:val="00D66EBD"/>
    <w:rsid w:val="00D676C6"/>
    <w:rsid w:val="00D711C7"/>
    <w:rsid w:val="00D715BC"/>
    <w:rsid w:val="00D71657"/>
    <w:rsid w:val="00D7238F"/>
    <w:rsid w:val="00D725C8"/>
    <w:rsid w:val="00D745A1"/>
    <w:rsid w:val="00D74741"/>
    <w:rsid w:val="00D747F2"/>
    <w:rsid w:val="00D75603"/>
    <w:rsid w:val="00D7654E"/>
    <w:rsid w:val="00D77703"/>
    <w:rsid w:val="00D77E66"/>
    <w:rsid w:val="00D808B0"/>
    <w:rsid w:val="00D809BF"/>
    <w:rsid w:val="00D81685"/>
    <w:rsid w:val="00D832BA"/>
    <w:rsid w:val="00D84108"/>
    <w:rsid w:val="00D845E9"/>
    <w:rsid w:val="00D84B09"/>
    <w:rsid w:val="00D86868"/>
    <w:rsid w:val="00D86CA2"/>
    <w:rsid w:val="00D87F6F"/>
    <w:rsid w:val="00D90FB7"/>
    <w:rsid w:val="00D9318B"/>
    <w:rsid w:val="00D93853"/>
    <w:rsid w:val="00D9446A"/>
    <w:rsid w:val="00D95A3D"/>
    <w:rsid w:val="00D95F1E"/>
    <w:rsid w:val="00D95F26"/>
    <w:rsid w:val="00D96835"/>
    <w:rsid w:val="00D968B4"/>
    <w:rsid w:val="00D96C1D"/>
    <w:rsid w:val="00D96CF5"/>
    <w:rsid w:val="00DA138B"/>
    <w:rsid w:val="00DA3BCC"/>
    <w:rsid w:val="00DA4601"/>
    <w:rsid w:val="00DA58AF"/>
    <w:rsid w:val="00DA6024"/>
    <w:rsid w:val="00DA6629"/>
    <w:rsid w:val="00DA7501"/>
    <w:rsid w:val="00DA780F"/>
    <w:rsid w:val="00DB0184"/>
    <w:rsid w:val="00DB08EB"/>
    <w:rsid w:val="00DB13E9"/>
    <w:rsid w:val="00DB1FD8"/>
    <w:rsid w:val="00DB5D4C"/>
    <w:rsid w:val="00DB6096"/>
    <w:rsid w:val="00DB671C"/>
    <w:rsid w:val="00DB6A24"/>
    <w:rsid w:val="00DB6D7B"/>
    <w:rsid w:val="00DB760D"/>
    <w:rsid w:val="00DC070E"/>
    <w:rsid w:val="00DC0A3C"/>
    <w:rsid w:val="00DC0B59"/>
    <w:rsid w:val="00DC0B97"/>
    <w:rsid w:val="00DC0E1B"/>
    <w:rsid w:val="00DC10AC"/>
    <w:rsid w:val="00DC1655"/>
    <w:rsid w:val="00DC1E77"/>
    <w:rsid w:val="00DC2A07"/>
    <w:rsid w:val="00DC2ABF"/>
    <w:rsid w:val="00DC316E"/>
    <w:rsid w:val="00DC39E5"/>
    <w:rsid w:val="00DC3FA2"/>
    <w:rsid w:val="00DC48C8"/>
    <w:rsid w:val="00DC4ABE"/>
    <w:rsid w:val="00DC5D2D"/>
    <w:rsid w:val="00DC7175"/>
    <w:rsid w:val="00DC775F"/>
    <w:rsid w:val="00DC7B09"/>
    <w:rsid w:val="00DD07C9"/>
    <w:rsid w:val="00DD1DCD"/>
    <w:rsid w:val="00DD21CC"/>
    <w:rsid w:val="00DD2E15"/>
    <w:rsid w:val="00DD2F98"/>
    <w:rsid w:val="00DD3B65"/>
    <w:rsid w:val="00DD4D56"/>
    <w:rsid w:val="00DD6126"/>
    <w:rsid w:val="00DD6792"/>
    <w:rsid w:val="00DD76DC"/>
    <w:rsid w:val="00DE00BF"/>
    <w:rsid w:val="00DE0C43"/>
    <w:rsid w:val="00DE0ED3"/>
    <w:rsid w:val="00DE0EF2"/>
    <w:rsid w:val="00DE29EB"/>
    <w:rsid w:val="00DE2DEA"/>
    <w:rsid w:val="00DE3186"/>
    <w:rsid w:val="00DE331A"/>
    <w:rsid w:val="00DE5338"/>
    <w:rsid w:val="00DE5580"/>
    <w:rsid w:val="00DE746C"/>
    <w:rsid w:val="00DF0419"/>
    <w:rsid w:val="00DF175D"/>
    <w:rsid w:val="00DF17A0"/>
    <w:rsid w:val="00DF192C"/>
    <w:rsid w:val="00DF19FA"/>
    <w:rsid w:val="00DF1BFA"/>
    <w:rsid w:val="00DF22E6"/>
    <w:rsid w:val="00DF2E37"/>
    <w:rsid w:val="00DF3012"/>
    <w:rsid w:val="00DF37CD"/>
    <w:rsid w:val="00DF3C0A"/>
    <w:rsid w:val="00DF5978"/>
    <w:rsid w:val="00DF5E96"/>
    <w:rsid w:val="00DF6330"/>
    <w:rsid w:val="00DF6DB4"/>
    <w:rsid w:val="00DF79EE"/>
    <w:rsid w:val="00DF7A27"/>
    <w:rsid w:val="00E02149"/>
    <w:rsid w:val="00E02977"/>
    <w:rsid w:val="00E02EE0"/>
    <w:rsid w:val="00E03823"/>
    <w:rsid w:val="00E03887"/>
    <w:rsid w:val="00E038E5"/>
    <w:rsid w:val="00E039CE"/>
    <w:rsid w:val="00E061B6"/>
    <w:rsid w:val="00E06C10"/>
    <w:rsid w:val="00E06C29"/>
    <w:rsid w:val="00E0700F"/>
    <w:rsid w:val="00E07384"/>
    <w:rsid w:val="00E07411"/>
    <w:rsid w:val="00E07EF1"/>
    <w:rsid w:val="00E12BE2"/>
    <w:rsid w:val="00E12C4C"/>
    <w:rsid w:val="00E12E8C"/>
    <w:rsid w:val="00E1429E"/>
    <w:rsid w:val="00E1460F"/>
    <w:rsid w:val="00E14E80"/>
    <w:rsid w:val="00E15377"/>
    <w:rsid w:val="00E16A07"/>
    <w:rsid w:val="00E22476"/>
    <w:rsid w:val="00E22639"/>
    <w:rsid w:val="00E22664"/>
    <w:rsid w:val="00E23144"/>
    <w:rsid w:val="00E23624"/>
    <w:rsid w:val="00E24BD5"/>
    <w:rsid w:val="00E264B2"/>
    <w:rsid w:val="00E26654"/>
    <w:rsid w:val="00E26CAA"/>
    <w:rsid w:val="00E27B33"/>
    <w:rsid w:val="00E30734"/>
    <w:rsid w:val="00E30A43"/>
    <w:rsid w:val="00E30DD0"/>
    <w:rsid w:val="00E30FF3"/>
    <w:rsid w:val="00E31A38"/>
    <w:rsid w:val="00E31EF6"/>
    <w:rsid w:val="00E322CD"/>
    <w:rsid w:val="00E32F4D"/>
    <w:rsid w:val="00E337EC"/>
    <w:rsid w:val="00E358AA"/>
    <w:rsid w:val="00E363D5"/>
    <w:rsid w:val="00E363E8"/>
    <w:rsid w:val="00E366AF"/>
    <w:rsid w:val="00E36DA3"/>
    <w:rsid w:val="00E40AB3"/>
    <w:rsid w:val="00E40C2C"/>
    <w:rsid w:val="00E40FF8"/>
    <w:rsid w:val="00E42596"/>
    <w:rsid w:val="00E42D0B"/>
    <w:rsid w:val="00E432EF"/>
    <w:rsid w:val="00E43F5C"/>
    <w:rsid w:val="00E45CB8"/>
    <w:rsid w:val="00E46F4B"/>
    <w:rsid w:val="00E47AFF"/>
    <w:rsid w:val="00E5017C"/>
    <w:rsid w:val="00E5101E"/>
    <w:rsid w:val="00E52579"/>
    <w:rsid w:val="00E52EC3"/>
    <w:rsid w:val="00E536A7"/>
    <w:rsid w:val="00E5450E"/>
    <w:rsid w:val="00E54574"/>
    <w:rsid w:val="00E54E4C"/>
    <w:rsid w:val="00E54FC7"/>
    <w:rsid w:val="00E551B9"/>
    <w:rsid w:val="00E55FDF"/>
    <w:rsid w:val="00E561B6"/>
    <w:rsid w:val="00E56E18"/>
    <w:rsid w:val="00E574A4"/>
    <w:rsid w:val="00E57D4B"/>
    <w:rsid w:val="00E60A50"/>
    <w:rsid w:val="00E619BC"/>
    <w:rsid w:val="00E6208C"/>
    <w:rsid w:val="00E6265F"/>
    <w:rsid w:val="00E62ED5"/>
    <w:rsid w:val="00E63AF2"/>
    <w:rsid w:val="00E6493E"/>
    <w:rsid w:val="00E66026"/>
    <w:rsid w:val="00E667AD"/>
    <w:rsid w:val="00E66C7A"/>
    <w:rsid w:val="00E66D17"/>
    <w:rsid w:val="00E673FA"/>
    <w:rsid w:val="00E67415"/>
    <w:rsid w:val="00E67524"/>
    <w:rsid w:val="00E675CB"/>
    <w:rsid w:val="00E70629"/>
    <w:rsid w:val="00E71AF0"/>
    <w:rsid w:val="00E72C7F"/>
    <w:rsid w:val="00E732DF"/>
    <w:rsid w:val="00E7353B"/>
    <w:rsid w:val="00E73789"/>
    <w:rsid w:val="00E737AF"/>
    <w:rsid w:val="00E73FEA"/>
    <w:rsid w:val="00E74DBA"/>
    <w:rsid w:val="00E7678B"/>
    <w:rsid w:val="00E774F9"/>
    <w:rsid w:val="00E77B92"/>
    <w:rsid w:val="00E77EAA"/>
    <w:rsid w:val="00E800A5"/>
    <w:rsid w:val="00E814C6"/>
    <w:rsid w:val="00E81928"/>
    <w:rsid w:val="00E81E35"/>
    <w:rsid w:val="00E826D8"/>
    <w:rsid w:val="00E836CC"/>
    <w:rsid w:val="00E852DC"/>
    <w:rsid w:val="00E8561B"/>
    <w:rsid w:val="00E904E2"/>
    <w:rsid w:val="00E909F1"/>
    <w:rsid w:val="00E90CCD"/>
    <w:rsid w:val="00E9137B"/>
    <w:rsid w:val="00E91CDF"/>
    <w:rsid w:val="00E9399D"/>
    <w:rsid w:val="00E946B6"/>
    <w:rsid w:val="00E94900"/>
    <w:rsid w:val="00E94B79"/>
    <w:rsid w:val="00E95F8C"/>
    <w:rsid w:val="00E96974"/>
    <w:rsid w:val="00E96F04"/>
    <w:rsid w:val="00EA0805"/>
    <w:rsid w:val="00EA2F67"/>
    <w:rsid w:val="00EA3723"/>
    <w:rsid w:val="00EA5745"/>
    <w:rsid w:val="00EA5DCA"/>
    <w:rsid w:val="00EA6422"/>
    <w:rsid w:val="00EA6E18"/>
    <w:rsid w:val="00EA7FB0"/>
    <w:rsid w:val="00EB09FB"/>
    <w:rsid w:val="00EB1176"/>
    <w:rsid w:val="00EB12BE"/>
    <w:rsid w:val="00EB2382"/>
    <w:rsid w:val="00EB27AC"/>
    <w:rsid w:val="00EB2FEF"/>
    <w:rsid w:val="00EB432C"/>
    <w:rsid w:val="00EB45A6"/>
    <w:rsid w:val="00EB4EA8"/>
    <w:rsid w:val="00EB5059"/>
    <w:rsid w:val="00EB5115"/>
    <w:rsid w:val="00EB5B3B"/>
    <w:rsid w:val="00EB665A"/>
    <w:rsid w:val="00EB70D1"/>
    <w:rsid w:val="00EC02AA"/>
    <w:rsid w:val="00EC0B5E"/>
    <w:rsid w:val="00EC1229"/>
    <w:rsid w:val="00EC13C0"/>
    <w:rsid w:val="00EC2DDF"/>
    <w:rsid w:val="00EC3755"/>
    <w:rsid w:val="00EC3C2B"/>
    <w:rsid w:val="00EC3F39"/>
    <w:rsid w:val="00EC4407"/>
    <w:rsid w:val="00EC48E2"/>
    <w:rsid w:val="00EC505F"/>
    <w:rsid w:val="00EC5233"/>
    <w:rsid w:val="00EC682D"/>
    <w:rsid w:val="00ED0451"/>
    <w:rsid w:val="00ED074C"/>
    <w:rsid w:val="00ED0798"/>
    <w:rsid w:val="00ED150B"/>
    <w:rsid w:val="00ED1BC3"/>
    <w:rsid w:val="00ED299D"/>
    <w:rsid w:val="00ED3791"/>
    <w:rsid w:val="00ED6813"/>
    <w:rsid w:val="00ED6D1E"/>
    <w:rsid w:val="00ED6D34"/>
    <w:rsid w:val="00ED6E65"/>
    <w:rsid w:val="00ED6E77"/>
    <w:rsid w:val="00ED79D0"/>
    <w:rsid w:val="00EE094F"/>
    <w:rsid w:val="00EE0F7C"/>
    <w:rsid w:val="00EE1B2E"/>
    <w:rsid w:val="00EE2C8E"/>
    <w:rsid w:val="00EE2DB0"/>
    <w:rsid w:val="00EE2E9B"/>
    <w:rsid w:val="00EE32FE"/>
    <w:rsid w:val="00EE394A"/>
    <w:rsid w:val="00EE3F2A"/>
    <w:rsid w:val="00EE4D77"/>
    <w:rsid w:val="00EE4DF7"/>
    <w:rsid w:val="00EE574E"/>
    <w:rsid w:val="00EE6589"/>
    <w:rsid w:val="00EE6E8E"/>
    <w:rsid w:val="00EF1299"/>
    <w:rsid w:val="00EF147D"/>
    <w:rsid w:val="00EF1CAC"/>
    <w:rsid w:val="00EF3A30"/>
    <w:rsid w:val="00EF3E11"/>
    <w:rsid w:val="00EF3FE6"/>
    <w:rsid w:val="00EF5417"/>
    <w:rsid w:val="00EF55A4"/>
    <w:rsid w:val="00EF5823"/>
    <w:rsid w:val="00EF7430"/>
    <w:rsid w:val="00F00A09"/>
    <w:rsid w:val="00F015E9"/>
    <w:rsid w:val="00F0164F"/>
    <w:rsid w:val="00F01EF8"/>
    <w:rsid w:val="00F022EC"/>
    <w:rsid w:val="00F02446"/>
    <w:rsid w:val="00F02C9F"/>
    <w:rsid w:val="00F03AA7"/>
    <w:rsid w:val="00F04486"/>
    <w:rsid w:val="00F0579D"/>
    <w:rsid w:val="00F10A80"/>
    <w:rsid w:val="00F10C19"/>
    <w:rsid w:val="00F1162C"/>
    <w:rsid w:val="00F119EF"/>
    <w:rsid w:val="00F13748"/>
    <w:rsid w:val="00F1570A"/>
    <w:rsid w:val="00F15A5C"/>
    <w:rsid w:val="00F165C9"/>
    <w:rsid w:val="00F16B67"/>
    <w:rsid w:val="00F171A6"/>
    <w:rsid w:val="00F17610"/>
    <w:rsid w:val="00F178EC"/>
    <w:rsid w:val="00F179D4"/>
    <w:rsid w:val="00F17C2A"/>
    <w:rsid w:val="00F22203"/>
    <w:rsid w:val="00F23A06"/>
    <w:rsid w:val="00F245D9"/>
    <w:rsid w:val="00F251B5"/>
    <w:rsid w:val="00F2560A"/>
    <w:rsid w:val="00F265EC"/>
    <w:rsid w:val="00F26830"/>
    <w:rsid w:val="00F26D21"/>
    <w:rsid w:val="00F323DD"/>
    <w:rsid w:val="00F329DE"/>
    <w:rsid w:val="00F33301"/>
    <w:rsid w:val="00F3376B"/>
    <w:rsid w:val="00F33A4D"/>
    <w:rsid w:val="00F3478C"/>
    <w:rsid w:val="00F34C33"/>
    <w:rsid w:val="00F366CE"/>
    <w:rsid w:val="00F3681E"/>
    <w:rsid w:val="00F37453"/>
    <w:rsid w:val="00F4049D"/>
    <w:rsid w:val="00F41D2F"/>
    <w:rsid w:val="00F42502"/>
    <w:rsid w:val="00F42DA9"/>
    <w:rsid w:val="00F43358"/>
    <w:rsid w:val="00F434D5"/>
    <w:rsid w:val="00F43784"/>
    <w:rsid w:val="00F44044"/>
    <w:rsid w:val="00F442AA"/>
    <w:rsid w:val="00F442E9"/>
    <w:rsid w:val="00F45132"/>
    <w:rsid w:val="00F457B8"/>
    <w:rsid w:val="00F46105"/>
    <w:rsid w:val="00F473AA"/>
    <w:rsid w:val="00F4796C"/>
    <w:rsid w:val="00F5008D"/>
    <w:rsid w:val="00F50286"/>
    <w:rsid w:val="00F5030B"/>
    <w:rsid w:val="00F51617"/>
    <w:rsid w:val="00F51D9E"/>
    <w:rsid w:val="00F51F1A"/>
    <w:rsid w:val="00F52FA3"/>
    <w:rsid w:val="00F53EE9"/>
    <w:rsid w:val="00F53F05"/>
    <w:rsid w:val="00F545EC"/>
    <w:rsid w:val="00F54723"/>
    <w:rsid w:val="00F54F79"/>
    <w:rsid w:val="00F56623"/>
    <w:rsid w:val="00F56714"/>
    <w:rsid w:val="00F568FE"/>
    <w:rsid w:val="00F56AB4"/>
    <w:rsid w:val="00F56ADB"/>
    <w:rsid w:val="00F573E5"/>
    <w:rsid w:val="00F60C25"/>
    <w:rsid w:val="00F61F69"/>
    <w:rsid w:val="00F62094"/>
    <w:rsid w:val="00F622B7"/>
    <w:rsid w:val="00F62CAC"/>
    <w:rsid w:val="00F630FC"/>
    <w:rsid w:val="00F63247"/>
    <w:rsid w:val="00F64D11"/>
    <w:rsid w:val="00F6596E"/>
    <w:rsid w:val="00F65AF3"/>
    <w:rsid w:val="00F66385"/>
    <w:rsid w:val="00F66E13"/>
    <w:rsid w:val="00F66EF2"/>
    <w:rsid w:val="00F7097B"/>
    <w:rsid w:val="00F7177E"/>
    <w:rsid w:val="00F71D20"/>
    <w:rsid w:val="00F7234B"/>
    <w:rsid w:val="00F73271"/>
    <w:rsid w:val="00F73889"/>
    <w:rsid w:val="00F76C4F"/>
    <w:rsid w:val="00F778C2"/>
    <w:rsid w:val="00F77BC2"/>
    <w:rsid w:val="00F77C1A"/>
    <w:rsid w:val="00F77F05"/>
    <w:rsid w:val="00F80E1F"/>
    <w:rsid w:val="00F821AC"/>
    <w:rsid w:val="00F8318C"/>
    <w:rsid w:val="00F84BB5"/>
    <w:rsid w:val="00F8533B"/>
    <w:rsid w:val="00F87813"/>
    <w:rsid w:val="00F90B0A"/>
    <w:rsid w:val="00F91CD3"/>
    <w:rsid w:val="00F92636"/>
    <w:rsid w:val="00F92CDE"/>
    <w:rsid w:val="00F93C86"/>
    <w:rsid w:val="00F9407D"/>
    <w:rsid w:val="00F94288"/>
    <w:rsid w:val="00F954F1"/>
    <w:rsid w:val="00F97E95"/>
    <w:rsid w:val="00FA0985"/>
    <w:rsid w:val="00FA27F1"/>
    <w:rsid w:val="00FA2C26"/>
    <w:rsid w:val="00FA322A"/>
    <w:rsid w:val="00FA3A8C"/>
    <w:rsid w:val="00FA3E43"/>
    <w:rsid w:val="00FA51D4"/>
    <w:rsid w:val="00FA5C9B"/>
    <w:rsid w:val="00FA63AA"/>
    <w:rsid w:val="00FA74DC"/>
    <w:rsid w:val="00FA76F8"/>
    <w:rsid w:val="00FB044A"/>
    <w:rsid w:val="00FB12A6"/>
    <w:rsid w:val="00FB18A1"/>
    <w:rsid w:val="00FB2503"/>
    <w:rsid w:val="00FB2621"/>
    <w:rsid w:val="00FB2D14"/>
    <w:rsid w:val="00FB4759"/>
    <w:rsid w:val="00FB579D"/>
    <w:rsid w:val="00FB59FE"/>
    <w:rsid w:val="00FB6A71"/>
    <w:rsid w:val="00FB7E0C"/>
    <w:rsid w:val="00FC183C"/>
    <w:rsid w:val="00FC21FD"/>
    <w:rsid w:val="00FC241E"/>
    <w:rsid w:val="00FC2B6F"/>
    <w:rsid w:val="00FC3801"/>
    <w:rsid w:val="00FC66D0"/>
    <w:rsid w:val="00FC6B89"/>
    <w:rsid w:val="00FC6C44"/>
    <w:rsid w:val="00FC6C5B"/>
    <w:rsid w:val="00FC6CEB"/>
    <w:rsid w:val="00FC78D1"/>
    <w:rsid w:val="00FD0625"/>
    <w:rsid w:val="00FD0C25"/>
    <w:rsid w:val="00FD1FA7"/>
    <w:rsid w:val="00FD396B"/>
    <w:rsid w:val="00FD3B24"/>
    <w:rsid w:val="00FD4E0D"/>
    <w:rsid w:val="00FD7370"/>
    <w:rsid w:val="00FD7A8A"/>
    <w:rsid w:val="00FE299F"/>
    <w:rsid w:val="00FE2A28"/>
    <w:rsid w:val="00FE2A82"/>
    <w:rsid w:val="00FE441D"/>
    <w:rsid w:val="00FE5DA3"/>
    <w:rsid w:val="00FE5F52"/>
    <w:rsid w:val="00FE65DE"/>
    <w:rsid w:val="00FE7559"/>
    <w:rsid w:val="00FE76E8"/>
    <w:rsid w:val="00FF15C9"/>
    <w:rsid w:val="00FF2250"/>
    <w:rsid w:val="00FF3B35"/>
    <w:rsid w:val="00FF3D3F"/>
    <w:rsid w:val="00FF4863"/>
    <w:rsid w:val="00FF5C0D"/>
    <w:rsid w:val="00FF62B6"/>
    <w:rsid w:val="00FF6925"/>
    <w:rsid w:val="00FF6F1E"/>
    <w:rsid w:val="00FF7C4B"/>
    <w:rsid w:val="011EDD8D"/>
    <w:rsid w:val="01240174"/>
    <w:rsid w:val="01489EE8"/>
    <w:rsid w:val="017215FD"/>
    <w:rsid w:val="01B3CC80"/>
    <w:rsid w:val="01E0D814"/>
    <w:rsid w:val="0287B2BF"/>
    <w:rsid w:val="0288B927"/>
    <w:rsid w:val="02BFD1D5"/>
    <w:rsid w:val="02CF1BC0"/>
    <w:rsid w:val="033C7E3D"/>
    <w:rsid w:val="036D68DA"/>
    <w:rsid w:val="0394907A"/>
    <w:rsid w:val="03BF481F"/>
    <w:rsid w:val="0443C277"/>
    <w:rsid w:val="04636089"/>
    <w:rsid w:val="048DECDB"/>
    <w:rsid w:val="0542C58D"/>
    <w:rsid w:val="05476D47"/>
    <w:rsid w:val="05B62548"/>
    <w:rsid w:val="05D1D7B9"/>
    <w:rsid w:val="0635B316"/>
    <w:rsid w:val="0651280F"/>
    <w:rsid w:val="06549C69"/>
    <w:rsid w:val="071674EA"/>
    <w:rsid w:val="074523AE"/>
    <w:rsid w:val="076F3136"/>
    <w:rsid w:val="07948070"/>
    <w:rsid w:val="07C35341"/>
    <w:rsid w:val="07D43267"/>
    <w:rsid w:val="08894DEC"/>
    <w:rsid w:val="08C79C24"/>
    <w:rsid w:val="09E95B59"/>
    <w:rsid w:val="0A186DEF"/>
    <w:rsid w:val="0A49CB47"/>
    <w:rsid w:val="0A919862"/>
    <w:rsid w:val="0AAB5BDF"/>
    <w:rsid w:val="0ACAE3BA"/>
    <w:rsid w:val="0B2A9DB6"/>
    <w:rsid w:val="0BC24E53"/>
    <w:rsid w:val="0BD1D77A"/>
    <w:rsid w:val="0BE59BA8"/>
    <w:rsid w:val="0C608DAD"/>
    <w:rsid w:val="0C66B41B"/>
    <w:rsid w:val="0C6EA1A1"/>
    <w:rsid w:val="0C710127"/>
    <w:rsid w:val="0C7584DB"/>
    <w:rsid w:val="0C7E6A20"/>
    <w:rsid w:val="0DF5FE43"/>
    <w:rsid w:val="0E02847C"/>
    <w:rsid w:val="0E89946B"/>
    <w:rsid w:val="0F9E54DD"/>
    <w:rsid w:val="0FD0533C"/>
    <w:rsid w:val="1097D2AF"/>
    <w:rsid w:val="10F0ADC1"/>
    <w:rsid w:val="1121DF86"/>
    <w:rsid w:val="11FF9114"/>
    <w:rsid w:val="120B8CE1"/>
    <w:rsid w:val="1280B318"/>
    <w:rsid w:val="129BAEA2"/>
    <w:rsid w:val="12B63147"/>
    <w:rsid w:val="12D755EE"/>
    <w:rsid w:val="130D5720"/>
    <w:rsid w:val="13621D9C"/>
    <w:rsid w:val="137B8668"/>
    <w:rsid w:val="13805004"/>
    <w:rsid w:val="138614E6"/>
    <w:rsid w:val="13F9C8DB"/>
    <w:rsid w:val="146A0535"/>
    <w:rsid w:val="14B0454D"/>
    <w:rsid w:val="14F4F1F1"/>
    <w:rsid w:val="15227879"/>
    <w:rsid w:val="1594B184"/>
    <w:rsid w:val="15B853DA"/>
    <w:rsid w:val="15C2B2C5"/>
    <w:rsid w:val="15FDE68B"/>
    <w:rsid w:val="16A4DF33"/>
    <w:rsid w:val="16ED4BE8"/>
    <w:rsid w:val="16FCBC11"/>
    <w:rsid w:val="17964684"/>
    <w:rsid w:val="1797EC3A"/>
    <w:rsid w:val="17A4A29F"/>
    <w:rsid w:val="17A4EB73"/>
    <w:rsid w:val="17B291C0"/>
    <w:rsid w:val="17EF94C7"/>
    <w:rsid w:val="1807533D"/>
    <w:rsid w:val="182BA56D"/>
    <w:rsid w:val="18D804A0"/>
    <w:rsid w:val="18E394B1"/>
    <w:rsid w:val="1900DFEC"/>
    <w:rsid w:val="19150593"/>
    <w:rsid w:val="193216E5"/>
    <w:rsid w:val="194E6221"/>
    <w:rsid w:val="19E3B78F"/>
    <w:rsid w:val="1A2B5682"/>
    <w:rsid w:val="1A32E23B"/>
    <w:rsid w:val="1A928BF9"/>
    <w:rsid w:val="1AB84228"/>
    <w:rsid w:val="1AEEADF0"/>
    <w:rsid w:val="1AF9F6C5"/>
    <w:rsid w:val="1B00EDAD"/>
    <w:rsid w:val="1B7A3359"/>
    <w:rsid w:val="1BB71589"/>
    <w:rsid w:val="1BCEB29C"/>
    <w:rsid w:val="1C1B3573"/>
    <w:rsid w:val="1C4BDC5D"/>
    <w:rsid w:val="1C8365C5"/>
    <w:rsid w:val="1C8F1277"/>
    <w:rsid w:val="1CC305EA"/>
    <w:rsid w:val="1CCFB02A"/>
    <w:rsid w:val="1CDD6537"/>
    <w:rsid w:val="1D2A41FD"/>
    <w:rsid w:val="1D30E365"/>
    <w:rsid w:val="1D78DF2A"/>
    <w:rsid w:val="1DAB272C"/>
    <w:rsid w:val="1DC136F6"/>
    <w:rsid w:val="1DCD114E"/>
    <w:rsid w:val="1DD650EB"/>
    <w:rsid w:val="1E2B24CB"/>
    <w:rsid w:val="1E722A69"/>
    <w:rsid w:val="1EB14E74"/>
    <w:rsid w:val="1F289FDB"/>
    <w:rsid w:val="1F677650"/>
    <w:rsid w:val="1FA482B6"/>
    <w:rsid w:val="20279C08"/>
    <w:rsid w:val="20F9D037"/>
    <w:rsid w:val="21215A1F"/>
    <w:rsid w:val="212FF08E"/>
    <w:rsid w:val="2196770D"/>
    <w:rsid w:val="21BE0606"/>
    <w:rsid w:val="21C116AF"/>
    <w:rsid w:val="21EEC974"/>
    <w:rsid w:val="2216791C"/>
    <w:rsid w:val="226D85CE"/>
    <w:rsid w:val="22C5DB63"/>
    <w:rsid w:val="22EC3CB3"/>
    <w:rsid w:val="23063FE7"/>
    <w:rsid w:val="230EB83D"/>
    <w:rsid w:val="2351E3E4"/>
    <w:rsid w:val="23B4EA5F"/>
    <w:rsid w:val="23D2ADA4"/>
    <w:rsid w:val="23E110BB"/>
    <w:rsid w:val="24076E68"/>
    <w:rsid w:val="2456706A"/>
    <w:rsid w:val="248CE59F"/>
    <w:rsid w:val="2501D321"/>
    <w:rsid w:val="2510EDF0"/>
    <w:rsid w:val="251F9BAE"/>
    <w:rsid w:val="2550BAC0"/>
    <w:rsid w:val="2622F498"/>
    <w:rsid w:val="262A22A2"/>
    <w:rsid w:val="267D3C4E"/>
    <w:rsid w:val="26AEA6C9"/>
    <w:rsid w:val="26E12470"/>
    <w:rsid w:val="2707796A"/>
    <w:rsid w:val="2726AF60"/>
    <w:rsid w:val="27424BB0"/>
    <w:rsid w:val="2825648D"/>
    <w:rsid w:val="29886095"/>
    <w:rsid w:val="29AF8B56"/>
    <w:rsid w:val="29C134EE"/>
    <w:rsid w:val="29EEE3A7"/>
    <w:rsid w:val="2A0A0226"/>
    <w:rsid w:val="2A51E1E3"/>
    <w:rsid w:val="2A73A5A7"/>
    <w:rsid w:val="2AA0E608"/>
    <w:rsid w:val="2ABC14C9"/>
    <w:rsid w:val="2AEE34C9"/>
    <w:rsid w:val="2B2430F6"/>
    <w:rsid w:val="2B3F25C9"/>
    <w:rsid w:val="2B54027F"/>
    <w:rsid w:val="2BC897E4"/>
    <w:rsid w:val="2C27780B"/>
    <w:rsid w:val="2CE0B830"/>
    <w:rsid w:val="2CFCBF32"/>
    <w:rsid w:val="2D84AF27"/>
    <w:rsid w:val="2E200BE9"/>
    <w:rsid w:val="2E25D58B"/>
    <w:rsid w:val="2E5BD1B8"/>
    <w:rsid w:val="2E6946BE"/>
    <w:rsid w:val="2EBE6E8A"/>
    <w:rsid w:val="2ECDEC8A"/>
    <w:rsid w:val="2F1EBD85"/>
    <w:rsid w:val="2F8F9E04"/>
    <w:rsid w:val="2FD917D7"/>
    <w:rsid w:val="302C522A"/>
    <w:rsid w:val="302D39E2"/>
    <w:rsid w:val="31134EDF"/>
    <w:rsid w:val="313B4D88"/>
    <w:rsid w:val="3160C530"/>
    <w:rsid w:val="32427F05"/>
    <w:rsid w:val="32DCC54D"/>
    <w:rsid w:val="3384E355"/>
    <w:rsid w:val="34210A96"/>
    <w:rsid w:val="3433A1C9"/>
    <w:rsid w:val="346EAAAA"/>
    <w:rsid w:val="3495170F"/>
    <w:rsid w:val="34B0A38D"/>
    <w:rsid w:val="3501939F"/>
    <w:rsid w:val="3521E17C"/>
    <w:rsid w:val="3547CD03"/>
    <w:rsid w:val="360819C7"/>
    <w:rsid w:val="36B27B9A"/>
    <w:rsid w:val="3727C458"/>
    <w:rsid w:val="37365A5D"/>
    <w:rsid w:val="373C28BB"/>
    <w:rsid w:val="375590CE"/>
    <w:rsid w:val="37B03670"/>
    <w:rsid w:val="382A7EE4"/>
    <w:rsid w:val="385215FF"/>
    <w:rsid w:val="3920EEB6"/>
    <w:rsid w:val="39688832"/>
    <w:rsid w:val="396DEA4C"/>
    <w:rsid w:val="398E19F3"/>
    <w:rsid w:val="3A1FD0B2"/>
    <w:rsid w:val="3A4E44D5"/>
    <w:rsid w:val="3AE5941B"/>
    <w:rsid w:val="3B41109F"/>
    <w:rsid w:val="3B44DD1D"/>
    <w:rsid w:val="3B4F1396"/>
    <w:rsid w:val="3B58B114"/>
    <w:rsid w:val="3BD977C7"/>
    <w:rsid w:val="3BDE0D94"/>
    <w:rsid w:val="3C927794"/>
    <w:rsid w:val="3CC7B7F2"/>
    <w:rsid w:val="3CF99CB8"/>
    <w:rsid w:val="3D7CCC44"/>
    <w:rsid w:val="3DFF4CAC"/>
    <w:rsid w:val="3E135C89"/>
    <w:rsid w:val="3E421DEE"/>
    <w:rsid w:val="3EAB856E"/>
    <w:rsid w:val="3F189CA5"/>
    <w:rsid w:val="3F5CDB23"/>
    <w:rsid w:val="3F5E77C6"/>
    <w:rsid w:val="3FA4E27F"/>
    <w:rsid w:val="3FD4C342"/>
    <w:rsid w:val="3FF4013C"/>
    <w:rsid w:val="4052101D"/>
    <w:rsid w:val="40C1C348"/>
    <w:rsid w:val="413282F0"/>
    <w:rsid w:val="414D7B52"/>
    <w:rsid w:val="4159DB3D"/>
    <w:rsid w:val="41BE5C13"/>
    <w:rsid w:val="41F820A2"/>
    <w:rsid w:val="4204A30C"/>
    <w:rsid w:val="42B0AD55"/>
    <w:rsid w:val="43B63052"/>
    <w:rsid w:val="43C663B3"/>
    <w:rsid w:val="43E1B0EE"/>
    <w:rsid w:val="43F60E6E"/>
    <w:rsid w:val="44CB4715"/>
    <w:rsid w:val="45351708"/>
    <w:rsid w:val="454176F3"/>
    <w:rsid w:val="45BE7B57"/>
    <w:rsid w:val="45DA8179"/>
    <w:rsid w:val="45DF66CC"/>
    <w:rsid w:val="464571AE"/>
    <w:rsid w:val="47DECD54"/>
    <w:rsid w:val="47EAC921"/>
    <w:rsid w:val="48065CEE"/>
    <w:rsid w:val="4874F729"/>
    <w:rsid w:val="48F2E203"/>
    <w:rsid w:val="4970C4A7"/>
    <w:rsid w:val="49B9104D"/>
    <w:rsid w:val="49BC95AF"/>
    <w:rsid w:val="4A4A94DA"/>
    <w:rsid w:val="4A844406"/>
    <w:rsid w:val="4AC4A688"/>
    <w:rsid w:val="4ADE19ED"/>
    <w:rsid w:val="4AE79526"/>
    <w:rsid w:val="4B4B4511"/>
    <w:rsid w:val="4BA4588C"/>
    <w:rsid w:val="4BA5C0C5"/>
    <w:rsid w:val="4BC5D4A1"/>
    <w:rsid w:val="4BEDBC41"/>
    <w:rsid w:val="4BEE5F8F"/>
    <w:rsid w:val="4BFD4909"/>
    <w:rsid w:val="4C79EA4E"/>
    <w:rsid w:val="4CB23E77"/>
    <w:rsid w:val="4CE1D30C"/>
    <w:rsid w:val="4CF43671"/>
    <w:rsid w:val="4DD2E314"/>
    <w:rsid w:val="4E48DEC9"/>
    <w:rsid w:val="4E64B7D8"/>
    <w:rsid w:val="4E7A98CC"/>
    <w:rsid w:val="4E965A41"/>
    <w:rsid w:val="4F6AA168"/>
    <w:rsid w:val="4FA95F89"/>
    <w:rsid w:val="500918B3"/>
    <w:rsid w:val="502023DC"/>
    <w:rsid w:val="508389AF"/>
    <w:rsid w:val="51041766"/>
    <w:rsid w:val="512328EF"/>
    <w:rsid w:val="515EC430"/>
    <w:rsid w:val="516170D6"/>
    <w:rsid w:val="517C92FF"/>
    <w:rsid w:val="519F9C35"/>
    <w:rsid w:val="51BBF43D"/>
    <w:rsid w:val="51E41700"/>
    <w:rsid w:val="51E9C0E3"/>
    <w:rsid w:val="5287333F"/>
    <w:rsid w:val="536A33D4"/>
    <w:rsid w:val="5382A65F"/>
    <w:rsid w:val="53D22C42"/>
    <w:rsid w:val="53F0B469"/>
    <w:rsid w:val="53FB8E26"/>
    <w:rsid w:val="543270BC"/>
    <w:rsid w:val="54362505"/>
    <w:rsid w:val="54436E0B"/>
    <w:rsid w:val="54F394FF"/>
    <w:rsid w:val="55B42BC2"/>
    <w:rsid w:val="55E975F9"/>
    <w:rsid w:val="560200E3"/>
    <w:rsid w:val="5608297E"/>
    <w:rsid w:val="562F72CC"/>
    <w:rsid w:val="5646CBB4"/>
    <w:rsid w:val="566A7139"/>
    <w:rsid w:val="56815FFF"/>
    <w:rsid w:val="568F6560"/>
    <w:rsid w:val="56EAC673"/>
    <w:rsid w:val="5707AA2F"/>
    <w:rsid w:val="5738B046"/>
    <w:rsid w:val="5741BFDA"/>
    <w:rsid w:val="576DC5C7"/>
    <w:rsid w:val="57D8501F"/>
    <w:rsid w:val="57FE831B"/>
    <w:rsid w:val="580FD999"/>
    <w:rsid w:val="587EDAC3"/>
    <w:rsid w:val="58DAE882"/>
    <w:rsid w:val="59099628"/>
    <w:rsid w:val="590FD28F"/>
    <w:rsid w:val="591AFE72"/>
    <w:rsid w:val="5924D7CC"/>
    <w:rsid w:val="59742080"/>
    <w:rsid w:val="599000B3"/>
    <w:rsid w:val="5A43B471"/>
    <w:rsid w:val="5A5BFABA"/>
    <w:rsid w:val="5A6993E7"/>
    <w:rsid w:val="5AA56689"/>
    <w:rsid w:val="5AAA046F"/>
    <w:rsid w:val="5AF9468B"/>
    <w:rsid w:val="5BC2217C"/>
    <w:rsid w:val="5C7619CC"/>
    <w:rsid w:val="5D03B61A"/>
    <w:rsid w:val="5D10E140"/>
    <w:rsid w:val="5D3BB000"/>
    <w:rsid w:val="5DC119C9"/>
    <w:rsid w:val="5DE4F4D1"/>
    <w:rsid w:val="5DECE4DA"/>
    <w:rsid w:val="5E05C27E"/>
    <w:rsid w:val="5E11EA2D"/>
    <w:rsid w:val="5E17D5E4"/>
    <w:rsid w:val="5E29B36A"/>
    <w:rsid w:val="5E4967E7"/>
    <w:rsid w:val="5EA971AB"/>
    <w:rsid w:val="5EB83091"/>
    <w:rsid w:val="5EE385F7"/>
    <w:rsid w:val="5EFBF2D2"/>
    <w:rsid w:val="5F02CD40"/>
    <w:rsid w:val="5F206AB5"/>
    <w:rsid w:val="5F28CB87"/>
    <w:rsid w:val="5F4353BC"/>
    <w:rsid w:val="5F4AC905"/>
    <w:rsid w:val="5FAE869A"/>
    <w:rsid w:val="5FCA39A7"/>
    <w:rsid w:val="603647A6"/>
    <w:rsid w:val="6060DA1F"/>
    <w:rsid w:val="60731FC0"/>
    <w:rsid w:val="609349C5"/>
    <w:rsid w:val="60C2911E"/>
    <w:rsid w:val="6199F8F1"/>
    <w:rsid w:val="61A6D167"/>
    <w:rsid w:val="61D21807"/>
    <w:rsid w:val="61D6DF72"/>
    <w:rsid w:val="627792D5"/>
    <w:rsid w:val="6285417A"/>
    <w:rsid w:val="6285FD26"/>
    <w:rsid w:val="62F34582"/>
    <w:rsid w:val="6335C952"/>
    <w:rsid w:val="636DE868"/>
    <w:rsid w:val="6393008A"/>
    <w:rsid w:val="64208177"/>
    <w:rsid w:val="6447E641"/>
    <w:rsid w:val="645838C6"/>
    <w:rsid w:val="64D199B3"/>
    <w:rsid w:val="6509B8C9"/>
    <w:rsid w:val="652ED0EB"/>
    <w:rsid w:val="65731A14"/>
    <w:rsid w:val="658EC280"/>
    <w:rsid w:val="65913CE0"/>
    <w:rsid w:val="65BA0A89"/>
    <w:rsid w:val="65DC257A"/>
    <w:rsid w:val="661746DB"/>
    <w:rsid w:val="66BC8336"/>
    <w:rsid w:val="66CAA14C"/>
    <w:rsid w:val="6723E18A"/>
    <w:rsid w:val="676AF500"/>
    <w:rsid w:val="67D7C993"/>
    <w:rsid w:val="67FF88E4"/>
    <w:rsid w:val="681F3E45"/>
    <w:rsid w:val="68499DDD"/>
    <w:rsid w:val="697399F4"/>
    <w:rsid w:val="69BCC8C2"/>
    <w:rsid w:val="6AC6AD9A"/>
    <w:rsid w:val="6ADEB97D"/>
    <w:rsid w:val="6AF424FE"/>
    <w:rsid w:val="6B01CE2F"/>
    <w:rsid w:val="6B023681"/>
    <w:rsid w:val="6B1E84A1"/>
    <w:rsid w:val="6B4DA711"/>
    <w:rsid w:val="6B8EC461"/>
    <w:rsid w:val="6B9E126F"/>
    <w:rsid w:val="6BA0AD46"/>
    <w:rsid w:val="6BFD2B6F"/>
    <w:rsid w:val="6C3F18A2"/>
    <w:rsid w:val="6D15969D"/>
    <w:rsid w:val="6D8F72B0"/>
    <w:rsid w:val="6DB21B2F"/>
    <w:rsid w:val="6DEF3CB4"/>
    <w:rsid w:val="6E0B9980"/>
    <w:rsid w:val="6E242665"/>
    <w:rsid w:val="6E4EF89D"/>
    <w:rsid w:val="6E739B05"/>
    <w:rsid w:val="6F0BA865"/>
    <w:rsid w:val="6F2E0598"/>
    <w:rsid w:val="6F79C06B"/>
    <w:rsid w:val="711900A5"/>
    <w:rsid w:val="71542A6F"/>
    <w:rsid w:val="715D58FF"/>
    <w:rsid w:val="718F696C"/>
    <w:rsid w:val="71AB83DC"/>
    <w:rsid w:val="71D96080"/>
    <w:rsid w:val="71F8AE9B"/>
    <w:rsid w:val="7385B80D"/>
    <w:rsid w:val="738CBEDD"/>
    <w:rsid w:val="73BC7872"/>
    <w:rsid w:val="74304FAB"/>
    <w:rsid w:val="74330A0C"/>
    <w:rsid w:val="74F0FB72"/>
    <w:rsid w:val="7646329C"/>
    <w:rsid w:val="764F2EA9"/>
    <w:rsid w:val="76A3EB8D"/>
    <w:rsid w:val="7767F06D"/>
    <w:rsid w:val="779D9853"/>
    <w:rsid w:val="77CD6FED"/>
    <w:rsid w:val="78FA5FBD"/>
    <w:rsid w:val="799A6DE6"/>
    <w:rsid w:val="79E54ADC"/>
    <w:rsid w:val="7AD2CF91"/>
    <w:rsid w:val="7B278DF4"/>
    <w:rsid w:val="7B3F4DAA"/>
    <w:rsid w:val="7B556C63"/>
    <w:rsid w:val="7BF45BFC"/>
    <w:rsid w:val="7C226DC7"/>
    <w:rsid w:val="7C509050"/>
    <w:rsid w:val="7CCE640A"/>
    <w:rsid w:val="7D187D16"/>
    <w:rsid w:val="7D50069A"/>
    <w:rsid w:val="7D6FB296"/>
    <w:rsid w:val="7D8CA129"/>
    <w:rsid w:val="7DEC60B1"/>
    <w:rsid w:val="7E408B03"/>
    <w:rsid w:val="7EB9E8E8"/>
    <w:rsid w:val="7EF6F54E"/>
    <w:rsid w:val="7F371E26"/>
    <w:rsid w:val="7F58944B"/>
    <w:rsid w:val="7F65BD97"/>
    <w:rsid w:val="7F6D234E"/>
    <w:rsid w:val="7F883112"/>
    <w:rsid w:val="7FABE86E"/>
    <w:rsid w:val="7FBEA71B"/>
    <w:rsid w:val="7FCEB3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2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2C"/>
    <w:pPr>
      <w:spacing w:before="160" w:after="160" w:line="259" w:lineRule="auto"/>
    </w:pPr>
    <w:rPr>
      <w:rFonts w:ascii="Calibri Light" w:hAnsi="Calibri Light"/>
      <w:sz w:val="22"/>
      <w:szCs w:val="22"/>
      <w:lang w:eastAsia="en-US"/>
    </w:rPr>
  </w:style>
  <w:style w:type="paragraph" w:styleId="Heading1">
    <w:name w:val="heading 1"/>
    <w:basedOn w:val="Normal"/>
    <w:next w:val="Normal"/>
    <w:link w:val="Heading1Char"/>
    <w:uiPriority w:val="9"/>
    <w:qFormat/>
    <w:rsid w:val="00667651"/>
    <w:pPr>
      <w:keepNext/>
      <w:keepLines/>
      <w:spacing w:before="240" w:after="0"/>
      <w:outlineLvl w:val="0"/>
    </w:pPr>
    <w:rPr>
      <w:rFonts w:eastAsiaTheme="majorEastAsia" w:cstheme="majorBidi"/>
      <w:color w:val="2B4152" w:themeColor="accent1" w:themeShade="BF"/>
      <w:sz w:val="32"/>
      <w:szCs w:val="32"/>
    </w:rPr>
  </w:style>
  <w:style w:type="paragraph" w:styleId="Heading2">
    <w:name w:val="heading 2"/>
    <w:basedOn w:val="Normal"/>
    <w:next w:val="Normal"/>
    <w:link w:val="Heading2Char"/>
    <w:uiPriority w:val="9"/>
    <w:unhideWhenUsed/>
    <w:qFormat/>
    <w:rsid w:val="00667651"/>
    <w:pPr>
      <w:keepNext/>
      <w:keepLines/>
      <w:spacing w:before="40" w:after="0"/>
      <w:outlineLvl w:val="1"/>
    </w:pPr>
    <w:rPr>
      <w:rFonts w:eastAsiaTheme="majorEastAsia" w:cstheme="majorBidi"/>
      <w:color w:val="2B4152" w:themeColor="accent1" w:themeShade="BF"/>
      <w:sz w:val="26"/>
      <w:szCs w:val="26"/>
    </w:rPr>
  </w:style>
  <w:style w:type="paragraph" w:styleId="Heading3">
    <w:name w:val="heading 3"/>
    <w:basedOn w:val="Normal"/>
    <w:next w:val="Normal"/>
    <w:link w:val="Heading3Char"/>
    <w:uiPriority w:val="9"/>
    <w:semiHidden/>
    <w:unhideWhenUsed/>
    <w:qFormat/>
    <w:rsid w:val="00667651"/>
    <w:pPr>
      <w:keepNext/>
      <w:keepLines/>
      <w:spacing w:before="40" w:after="0"/>
      <w:outlineLvl w:val="2"/>
    </w:pPr>
    <w:rPr>
      <w:rFonts w:eastAsiaTheme="majorEastAsia" w:cstheme="majorBidi"/>
      <w:color w:val="1D2B36" w:themeColor="accent1" w:themeShade="7F"/>
      <w:sz w:val="24"/>
      <w:szCs w:val="24"/>
    </w:rPr>
  </w:style>
  <w:style w:type="paragraph" w:styleId="Heading4">
    <w:name w:val="heading 4"/>
    <w:basedOn w:val="Normal"/>
    <w:next w:val="Normal"/>
    <w:link w:val="Heading4Char"/>
    <w:uiPriority w:val="9"/>
    <w:semiHidden/>
    <w:unhideWhenUsed/>
    <w:qFormat/>
    <w:rsid w:val="00667651"/>
    <w:pPr>
      <w:keepNext/>
      <w:keepLines/>
      <w:spacing w:before="40" w:after="0"/>
      <w:outlineLvl w:val="3"/>
    </w:pPr>
    <w:rPr>
      <w:rFonts w:eastAsiaTheme="majorEastAsia" w:cstheme="majorBidi"/>
      <w:i/>
      <w:iCs/>
      <w:color w:val="2B41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1B6539"/>
    <w:pPr>
      <w:spacing w:before="0"/>
      <w:ind w:left="1560"/>
    </w:pPr>
    <w:rPr>
      <w:b/>
      <w:bCs/>
      <w:caps/>
      <w:color w:val="313E48"/>
      <w:sz w:val="56"/>
      <w:szCs w:val="56"/>
    </w:rPr>
  </w:style>
  <w:style w:type="paragraph" w:customStyle="1" w:styleId="BodyCopy">
    <w:name w:val="Body Copy"/>
    <w:qFormat/>
    <w:rsid w:val="00E42596"/>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qFormat/>
    <w:rsid w:val="00C504AB"/>
    <w:pPr>
      <w:spacing w:before="240" w:after="120"/>
    </w:pPr>
    <w:rPr>
      <w:rFonts w:asciiTheme="minorHAnsi" w:hAnsiTheme="minorHAnsi" w:cstheme="minorHAnsi"/>
      <w:b/>
      <w:bCs/>
      <w:color w:val="313E48"/>
      <w:sz w:val="36"/>
      <w:szCs w:val="32"/>
    </w:rPr>
  </w:style>
  <w:style w:type="paragraph" w:customStyle="1" w:styleId="H4-Heading4">
    <w:name w:val="H4 - Heading 4"/>
    <w:basedOn w:val="Heading4"/>
    <w:next w:val="BodyCopy"/>
    <w:qFormat/>
    <w:rsid w:val="00AD6139"/>
    <w:pPr>
      <w:pBdr>
        <w:top w:val="single" w:sz="4" w:space="1" w:color="auto"/>
        <w:left w:val="single" w:sz="4" w:space="4" w:color="auto"/>
        <w:bottom w:val="single" w:sz="4" w:space="1" w:color="auto"/>
        <w:right w:val="single" w:sz="4" w:space="4" w:color="auto"/>
      </w:pBdr>
      <w:spacing w:before="240" w:after="120"/>
    </w:pPr>
    <w:rPr>
      <w:rFonts w:cstheme="minorHAnsi"/>
      <w:b/>
      <w:bCs/>
      <w:i w:val="0"/>
      <w:color w:val="auto"/>
      <w:sz w:val="24"/>
      <w:szCs w:val="24"/>
    </w:rPr>
  </w:style>
  <w:style w:type="paragraph" w:customStyle="1" w:styleId="H3-Heading3">
    <w:name w:val="H3 - Heading 3"/>
    <w:basedOn w:val="Heading3"/>
    <w:qFormat/>
    <w:rsid w:val="00667651"/>
    <w:pPr>
      <w:spacing w:before="240" w:after="12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A73C52"/>
    <w:pPr>
      <w:spacing w:before="240"/>
    </w:pPr>
  </w:style>
  <w:style w:type="paragraph" w:customStyle="1" w:styleId="NormalBullets-L2">
    <w:name w:val="Normal Bullets - L2"/>
    <w:basedOn w:val="BodyCopy"/>
    <w:qFormat/>
    <w:rsid w:val="00F54F79"/>
    <w:pPr>
      <w:numPr>
        <w:numId w:val="6"/>
      </w:numPr>
      <w:spacing w:before="0" w:after="0"/>
      <w:ind w:left="993" w:hanging="284"/>
    </w:pPr>
    <w:rPr>
      <w:color w:val="auto"/>
      <w:lang w:eastAsia="en-AU"/>
    </w:r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967711"/>
    <w:pPr>
      <w:spacing w:before="240" w:after="240"/>
    </w:pPr>
    <w:rPr>
      <w:rFonts w:asciiTheme="majorHAnsi" w:hAnsiTheme="majorHAnsi" w:cstheme="minorHAnsi"/>
      <w:b/>
      <w:bCs/>
      <w:color w:val="FFFFFF" w:themeColor="background1"/>
      <w:sz w:val="20"/>
    </w:rPr>
  </w:style>
  <w:style w:type="paragraph" w:customStyle="1" w:styleId="TableBodyCopy">
    <w:name w:val="Table Body Copy"/>
    <w:basedOn w:val="BodyCopy"/>
    <w:qFormat/>
    <w:rsid w:val="005A0E36"/>
    <w:pPr>
      <w:spacing w:before="120" w:after="40"/>
    </w:pPr>
    <w:rPr>
      <w:color w:val="auto"/>
      <w:sz w:val="20"/>
    </w:rPr>
  </w:style>
  <w:style w:type="paragraph" w:customStyle="1" w:styleId="PostBulletsBodyCopy">
    <w:name w:val="Post Bullets Body Copy"/>
    <w:basedOn w:val="BodyCopy"/>
    <w:qFormat/>
    <w:rsid w:val="00A73C52"/>
    <w:pPr>
      <w:spacing w:before="24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00837C" w:themeColor="accent2"/>
    </w:rPr>
  </w:style>
  <w:style w:type="paragraph" w:customStyle="1" w:styleId="TitleCover">
    <w:name w:val="Title Cover"/>
    <w:basedOn w:val="H1-Heading1"/>
    <w:link w:val="TitleCoverChar"/>
    <w:qFormat/>
    <w:rsid w:val="00810F99"/>
    <w:pPr>
      <w:spacing w:before="4440" w:line="240" w:lineRule="auto"/>
    </w:pPr>
    <w:rPr>
      <w:rFonts w:asciiTheme="minorHAnsi" w:hAnsiTheme="minorHAnsi" w:cstheme="minorHAnsi"/>
      <w:color w:val="FFFFFF" w:themeColor="background1"/>
      <w:sz w:val="48"/>
    </w:rPr>
  </w:style>
  <w:style w:type="paragraph" w:customStyle="1" w:styleId="SECCLASSIFICATION">
    <w:name w:val="SEC CLASSIFICATION"/>
    <w:basedOn w:val="Header"/>
    <w:qFormat/>
    <w:rsid w:val="002305CC"/>
    <w:pPr>
      <w:jc w:val="center"/>
    </w:pPr>
    <w:rPr>
      <w:b/>
      <w:caps/>
      <w:noProof/>
      <w:color w:val="FF0000"/>
    </w:rPr>
  </w:style>
  <w:style w:type="character" w:customStyle="1" w:styleId="H1-Heading1Char">
    <w:name w:val="H1 - Heading 1 Char"/>
    <w:basedOn w:val="DefaultParagraphFont"/>
    <w:link w:val="H1-Heading1"/>
    <w:rsid w:val="001B6539"/>
    <w:rPr>
      <w:rFonts w:asciiTheme="majorHAnsi" w:eastAsiaTheme="majorEastAsia" w:hAnsiTheme="majorHAnsi" w:cstheme="majorBidi"/>
      <w:b/>
      <w:bCs/>
      <w:caps/>
      <w:color w:val="313E48"/>
      <w:sz w:val="56"/>
      <w:szCs w:val="56"/>
      <w:lang w:eastAsia="en-US"/>
    </w:rPr>
  </w:style>
  <w:style w:type="character" w:customStyle="1" w:styleId="TitleCoverChar">
    <w:name w:val="Title Cover Char"/>
    <w:basedOn w:val="H1-Heading1Char"/>
    <w:link w:val="TitleCover"/>
    <w:rsid w:val="00810F99"/>
    <w:rPr>
      <w:rFonts w:asciiTheme="minorHAnsi" w:eastAsiaTheme="majorEastAsia" w:hAnsiTheme="minorHAnsi" w:cstheme="minorHAnsi"/>
      <w:b/>
      <w:bCs/>
      <w:caps/>
      <w:color w:val="FFFFFF" w:themeColor="background1"/>
      <w:sz w:val="48"/>
      <w:szCs w:val="40"/>
      <w:lang w:eastAsia="en-US"/>
    </w:rPr>
  </w:style>
  <w:style w:type="paragraph" w:customStyle="1" w:styleId="Subtitlecover">
    <w:name w:val="Subtitle cover"/>
    <w:basedOn w:val="TitleCover"/>
    <w:link w:val="SubtitlecoverChar"/>
    <w:qFormat/>
    <w:rsid w:val="00A47A79"/>
    <w:pPr>
      <w:spacing w:before="360"/>
    </w:pPr>
    <w:rPr>
      <w:sz w:val="36"/>
    </w:rPr>
  </w:style>
  <w:style w:type="character" w:customStyle="1" w:styleId="SubtitlecoverChar">
    <w:name w:val="Subtitle cover Char"/>
    <w:basedOn w:val="TitleCoverChar"/>
    <w:link w:val="Subtitlecover"/>
    <w:rsid w:val="00A47A79"/>
    <w:rPr>
      <w:rFonts w:asciiTheme="minorHAnsi" w:eastAsiaTheme="majorEastAsia" w:hAnsiTheme="minorHAnsi" w:cstheme="minorHAnsi"/>
      <w:b/>
      <w:bCs/>
      <w:caps/>
      <w:color w:val="FFFFFF" w:themeColor="background1"/>
      <w:sz w:val="36"/>
      <w:szCs w:val="40"/>
      <w:lang w:eastAsia="en-US"/>
    </w:rPr>
  </w:style>
  <w:style w:type="paragraph" w:styleId="TOC2">
    <w:name w:val="toc 2"/>
    <w:basedOn w:val="Normal"/>
    <w:next w:val="Normal"/>
    <w:autoRedefine/>
    <w:uiPriority w:val="39"/>
    <w:unhideWhenUsed/>
    <w:rsid w:val="00810F99"/>
    <w:pPr>
      <w:spacing w:after="100"/>
      <w:ind w:left="220"/>
    </w:pPr>
  </w:style>
  <w:style w:type="character" w:customStyle="1" w:styleId="Heading2Char">
    <w:name w:val="Heading 2 Char"/>
    <w:basedOn w:val="DefaultParagraphFont"/>
    <w:link w:val="Heading2"/>
    <w:uiPriority w:val="9"/>
    <w:rsid w:val="00667651"/>
    <w:rPr>
      <w:rFonts w:asciiTheme="majorHAnsi" w:eastAsiaTheme="majorEastAsia" w:hAnsiTheme="majorHAnsi" w:cstheme="majorBidi"/>
      <w:color w:val="2B4152" w:themeColor="accent1" w:themeShade="BF"/>
      <w:sz w:val="26"/>
      <w:szCs w:val="26"/>
      <w:lang w:eastAsia="en-US"/>
    </w:rPr>
  </w:style>
  <w:style w:type="character" w:customStyle="1" w:styleId="Heading1Char">
    <w:name w:val="Heading 1 Char"/>
    <w:basedOn w:val="DefaultParagraphFont"/>
    <w:link w:val="Heading1"/>
    <w:uiPriority w:val="9"/>
    <w:rsid w:val="00667651"/>
    <w:rPr>
      <w:rFonts w:asciiTheme="majorHAnsi" w:eastAsiaTheme="majorEastAsia" w:hAnsiTheme="majorHAnsi" w:cstheme="majorBidi"/>
      <w:color w:val="2B4152" w:themeColor="accent1" w:themeShade="BF"/>
      <w:sz w:val="32"/>
      <w:szCs w:val="32"/>
      <w:lang w:eastAsia="en-US"/>
    </w:rPr>
  </w:style>
  <w:style w:type="character" w:customStyle="1" w:styleId="Heading3Char">
    <w:name w:val="Heading 3 Char"/>
    <w:basedOn w:val="DefaultParagraphFont"/>
    <w:link w:val="Heading3"/>
    <w:uiPriority w:val="9"/>
    <w:semiHidden/>
    <w:rsid w:val="00667651"/>
    <w:rPr>
      <w:rFonts w:asciiTheme="majorHAnsi" w:eastAsiaTheme="majorEastAsia" w:hAnsiTheme="majorHAnsi" w:cstheme="majorBidi"/>
      <w:color w:val="1D2B36" w:themeColor="accent1" w:themeShade="7F"/>
      <w:sz w:val="24"/>
      <w:szCs w:val="24"/>
      <w:lang w:eastAsia="en-US"/>
    </w:rPr>
  </w:style>
  <w:style w:type="character" w:customStyle="1" w:styleId="Heading4Char">
    <w:name w:val="Heading 4 Char"/>
    <w:basedOn w:val="DefaultParagraphFont"/>
    <w:link w:val="Heading4"/>
    <w:uiPriority w:val="9"/>
    <w:semiHidden/>
    <w:rsid w:val="00667651"/>
    <w:rPr>
      <w:rFonts w:asciiTheme="majorHAnsi" w:eastAsiaTheme="majorEastAsia" w:hAnsiTheme="majorHAnsi" w:cstheme="majorBidi"/>
      <w:i/>
      <w:iCs/>
      <w:color w:val="2B4152" w:themeColor="accent1" w:themeShade="BF"/>
      <w:sz w:val="22"/>
      <w:szCs w:val="22"/>
      <w:lang w:eastAsia="en-US"/>
    </w:rPr>
  </w:style>
  <w:style w:type="paragraph" w:styleId="TOC1">
    <w:name w:val="toc 1"/>
    <w:basedOn w:val="Normal"/>
    <w:next w:val="Normal"/>
    <w:autoRedefine/>
    <w:uiPriority w:val="39"/>
    <w:unhideWhenUsed/>
    <w:rsid w:val="00810F99"/>
    <w:pPr>
      <w:spacing w:after="100"/>
    </w:pPr>
  </w:style>
  <w:style w:type="paragraph" w:styleId="TOC3">
    <w:name w:val="toc 3"/>
    <w:basedOn w:val="Normal"/>
    <w:next w:val="Normal"/>
    <w:autoRedefine/>
    <w:uiPriority w:val="39"/>
    <w:unhideWhenUsed/>
    <w:rsid w:val="00810F99"/>
    <w:pPr>
      <w:spacing w:after="100"/>
      <w:ind w:left="440"/>
    </w:pPr>
  </w:style>
  <w:style w:type="character" w:styleId="Hyperlink">
    <w:name w:val="Hyperlink"/>
    <w:basedOn w:val="DefaultParagraphFont"/>
    <w:uiPriority w:val="99"/>
    <w:unhideWhenUsed/>
    <w:rsid w:val="00810F99"/>
    <w:rPr>
      <w:color w:val="014429" w:themeColor="hyperlink"/>
      <w:u w:val="single"/>
    </w:rPr>
  </w:style>
  <w:style w:type="paragraph" w:styleId="TOCHeading">
    <w:name w:val="TOC Heading"/>
    <w:basedOn w:val="H2-Heading2"/>
    <w:next w:val="Normal"/>
    <w:uiPriority w:val="39"/>
    <w:unhideWhenUsed/>
    <w:qFormat/>
    <w:rsid w:val="00810F99"/>
  </w:style>
  <w:style w:type="paragraph" w:styleId="ListParagraph">
    <w:name w:val="List Paragraph"/>
    <w:aliases w:val="List Paragraph1,Recommendation,List Paragraph11,Dot pt,F5 List Paragraph,No Spacing1,List Paragraph Char Char Char,Indicator Text,Numbered Para 1,Bullet 1,List Paragraph12,Bullet Points,MAIN CONTENT,Colorful List - Accent 11,L,CV text,DH1"/>
    <w:basedOn w:val="Normal"/>
    <w:link w:val="ListParagraphChar"/>
    <w:uiPriority w:val="34"/>
    <w:qFormat/>
    <w:rsid w:val="00CD3F77"/>
    <w:pPr>
      <w:ind w:left="720"/>
      <w:contextualSpacing/>
    </w:pPr>
  </w:style>
  <w:style w:type="table" w:styleId="ListTable3-Accent1">
    <w:name w:val="List Table 3 Accent 1"/>
    <w:basedOn w:val="TableNormal"/>
    <w:uiPriority w:val="48"/>
    <w:rsid w:val="00CD3F77"/>
    <w:tblPr>
      <w:tblStyleRowBandSize w:val="1"/>
      <w:tblStyleColBandSize w:val="1"/>
      <w:tblBorders>
        <w:top w:val="single" w:sz="4" w:space="0" w:color="3A586E" w:themeColor="accent1"/>
        <w:left w:val="single" w:sz="4" w:space="0" w:color="3A586E" w:themeColor="accent1"/>
        <w:bottom w:val="single" w:sz="4" w:space="0" w:color="3A586E" w:themeColor="accent1"/>
        <w:right w:val="single" w:sz="4" w:space="0" w:color="3A586E" w:themeColor="accent1"/>
      </w:tblBorders>
    </w:tblPr>
    <w:tblStylePr w:type="firstRow">
      <w:rPr>
        <w:b/>
        <w:bCs/>
        <w:color w:val="FFFFFF" w:themeColor="background1"/>
      </w:rPr>
      <w:tblPr/>
      <w:tcPr>
        <w:shd w:val="clear" w:color="auto" w:fill="3A586E" w:themeFill="accent1"/>
      </w:tcPr>
    </w:tblStylePr>
    <w:tblStylePr w:type="lastRow">
      <w:rPr>
        <w:b/>
        <w:bCs/>
      </w:rPr>
      <w:tblPr/>
      <w:tcPr>
        <w:tcBorders>
          <w:top w:val="double" w:sz="4" w:space="0" w:color="3A58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586E" w:themeColor="accent1"/>
          <w:right w:val="single" w:sz="4" w:space="0" w:color="3A586E" w:themeColor="accent1"/>
        </w:tcBorders>
      </w:tcPr>
    </w:tblStylePr>
    <w:tblStylePr w:type="band1Horz">
      <w:tblPr/>
      <w:tcPr>
        <w:tcBorders>
          <w:top w:val="single" w:sz="4" w:space="0" w:color="3A586E" w:themeColor="accent1"/>
          <w:bottom w:val="single" w:sz="4" w:space="0" w:color="3A58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586E" w:themeColor="accent1"/>
          <w:left w:val="nil"/>
        </w:tcBorders>
      </w:tcPr>
    </w:tblStylePr>
    <w:tblStylePr w:type="swCell">
      <w:tblPr/>
      <w:tcPr>
        <w:tcBorders>
          <w:top w:val="double" w:sz="4" w:space="0" w:color="3A586E" w:themeColor="accent1"/>
          <w:right w:val="nil"/>
        </w:tcBorders>
      </w:tcPr>
    </w:tblStylePr>
  </w:style>
  <w:style w:type="table" w:styleId="GridTable2-Accent1">
    <w:name w:val="Grid Table 2 Accent 1"/>
    <w:basedOn w:val="TableNormal"/>
    <w:uiPriority w:val="47"/>
    <w:rsid w:val="00CD3F77"/>
    <w:tblPr>
      <w:tblStyleRowBandSize w:val="1"/>
      <w:tblStyleColBandSize w:val="1"/>
      <w:tblBorders>
        <w:top w:val="single" w:sz="2" w:space="0" w:color="789DB8" w:themeColor="accent1" w:themeTint="99"/>
        <w:bottom w:val="single" w:sz="2" w:space="0" w:color="789DB8" w:themeColor="accent1" w:themeTint="99"/>
        <w:insideH w:val="single" w:sz="2" w:space="0" w:color="789DB8" w:themeColor="accent1" w:themeTint="99"/>
        <w:insideV w:val="single" w:sz="2" w:space="0" w:color="789DB8" w:themeColor="accent1" w:themeTint="99"/>
      </w:tblBorders>
    </w:tblPr>
    <w:tblStylePr w:type="firstRow">
      <w:rPr>
        <w:b/>
        <w:bCs/>
      </w:rPr>
      <w:tblPr/>
      <w:tcPr>
        <w:tcBorders>
          <w:top w:val="nil"/>
          <w:bottom w:val="single" w:sz="12" w:space="0" w:color="789DB8" w:themeColor="accent1" w:themeTint="99"/>
          <w:insideH w:val="nil"/>
          <w:insideV w:val="nil"/>
        </w:tcBorders>
        <w:shd w:val="clear" w:color="auto" w:fill="FFFFFF" w:themeFill="background1"/>
      </w:tcPr>
    </w:tblStylePr>
    <w:tblStylePr w:type="lastRow">
      <w:rPr>
        <w:b/>
        <w:bCs/>
      </w:rPr>
      <w:tblPr/>
      <w:tcPr>
        <w:tcBorders>
          <w:top w:val="double" w:sz="2" w:space="0" w:color="789DB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EE7" w:themeFill="accent1" w:themeFillTint="33"/>
      </w:tcPr>
    </w:tblStylePr>
    <w:tblStylePr w:type="band1Horz">
      <w:tblPr/>
      <w:tcPr>
        <w:shd w:val="clear" w:color="auto" w:fill="D2DEE7" w:themeFill="accent1" w:themeFillTint="33"/>
      </w:tcPr>
    </w:tblStylePr>
  </w:style>
  <w:style w:type="paragraph" w:customStyle="1" w:styleId="Box1Bullet">
    <w:name w:val="Box 1 Bullet"/>
    <w:basedOn w:val="Normal"/>
    <w:qFormat/>
    <w:rsid w:val="0099583A"/>
    <w:pPr>
      <w:numPr>
        <w:numId w:val="3"/>
      </w:numPr>
      <w:pBdr>
        <w:top w:val="single" w:sz="4" w:space="14" w:color="3A586E" w:themeColor="accent1"/>
        <w:left w:val="single" w:sz="4" w:space="14" w:color="3A586E" w:themeColor="accent1"/>
        <w:bottom w:val="single" w:sz="4" w:space="14" w:color="3A586E" w:themeColor="accent1"/>
        <w:right w:val="single" w:sz="4" w:space="14" w:color="3A586E" w:themeColor="accent1"/>
      </w:pBdr>
      <w:shd w:val="clear" w:color="auto" w:fill="FFFFFF" w:themeFill="background1"/>
      <w:suppressAutoHyphens/>
      <w:spacing w:before="180" w:after="80" w:line="240" w:lineRule="atLeast"/>
      <w:ind w:left="454" w:right="284" w:hanging="170"/>
    </w:pPr>
    <w:rPr>
      <w:rFonts w:asciiTheme="minorHAnsi" w:eastAsiaTheme="minorHAnsi" w:hAnsiTheme="minorHAnsi" w:cstheme="minorBidi"/>
      <w:color w:val="313E48" w:themeColor="text2"/>
      <w:sz w:val="20"/>
    </w:rPr>
  </w:style>
  <w:style w:type="table" w:styleId="TableGridLight">
    <w:name w:val="Grid Table Light"/>
    <w:basedOn w:val="TableNormal"/>
    <w:uiPriority w:val="40"/>
    <w:rsid w:val="009958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958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9708AC"/>
    <w:rPr>
      <w:sz w:val="22"/>
      <w:szCs w:val="22"/>
      <w:lang w:eastAsia="en-US"/>
    </w:rPr>
  </w:style>
  <w:style w:type="character" w:styleId="CommentReference">
    <w:name w:val="annotation reference"/>
    <w:basedOn w:val="DefaultParagraphFont"/>
    <w:uiPriority w:val="99"/>
    <w:semiHidden/>
    <w:unhideWhenUsed/>
    <w:rsid w:val="009708AC"/>
    <w:rPr>
      <w:sz w:val="16"/>
      <w:szCs w:val="16"/>
    </w:rPr>
  </w:style>
  <w:style w:type="paragraph" w:styleId="CommentText">
    <w:name w:val="annotation text"/>
    <w:basedOn w:val="Normal"/>
    <w:link w:val="CommentTextChar"/>
    <w:uiPriority w:val="99"/>
    <w:unhideWhenUsed/>
    <w:rsid w:val="009708AC"/>
    <w:pPr>
      <w:spacing w:line="240" w:lineRule="auto"/>
    </w:pPr>
    <w:rPr>
      <w:sz w:val="20"/>
      <w:szCs w:val="20"/>
    </w:rPr>
  </w:style>
  <w:style w:type="character" w:customStyle="1" w:styleId="CommentTextChar">
    <w:name w:val="Comment Text Char"/>
    <w:basedOn w:val="DefaultParagraphFont"/>
    <w:link w:val="CommentText"/>
    <w:uiPriority w:val="99"/>
    <w:rsid w:val="009708AC"/>
    <w:rPr>
      <w:lang w:eastAsia="en-US"/>
    </w:rPr>
  </w:style>
  <w:style w:type="paragraph" w:styleId="CommentSubject">
    <w:name w:val="annotation subject"/>
    <w:basedOn w:val="CommentText"/>
    <w:next w:val="CommentText"/>
    <w:link w:val="CommentSubjectChar"/>
    <w:uiPriority w:val="99"/>
    <w:semiHidden/>
    <w:unhideWhenUsed/>
    <w:rsid w:val="009708AC"/>
    <w:rPr>
      <w:b/>
      <w:bCs/>
    </w:rPr>
  </w:style>
  <w:style w:type="character" w:customStyle="1" w:styleId="CommentSubjectChar">
    <w:name w:val="Comment Subject Char"/>
    <w:basedOn w:val="CommentTextChar"/>
    <w:link w:val="CommentSubject"/>
    <w:uiPriority w:val="99"/>
    <w:semiHidden/>
    <w:rsid w:val="009708AC"/>
    <w:rPr>
      <w:b/>
      <w:bCs/>
      <w:lang w:eastAsia="en-US"/>
    </w:rPr>
  </w:style>
  <w:style w:type="paragraph" w:styleId="NormalWeb">
    <w:name w:val="Normal (Web)"/>
    <w:basedOn w:val="Normal"/>
    <w:uiPriority w:val="99"/>
    <w:unhideWhenUsed/>
    <w:rsid w:val="00862182"/>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3B7ECA"/>
  </w:style>
  <w:style w:type="character" w:styleId="FollowedHyperlink">
    <w:name w:val="FollowedHyperlink"/>
    <w:basedOn w:val="DefaultParagraphFont"/>
    <w:uiPriority w:val="99"/>
    <w:semiHidden/>
    <w:unhideWhenUsed/>
    <w:rsid w:val="007D0EB4"/>
    <w:rPr>
      <w:color w:val="3F0D00" w:themeColor="followedHyperlink"/>
      <w:u w:val="single"/>
    </w:rPr>
  </w:style>
  <w:style w:type="character" w:styleId="UnresolvedMention">
    <w:name w:val="Unresolved Mention"/>
    <w:basedOn w:val="DefaultParagraphFont"/>
    <w:uiPriority w:val="99"/>
    <w:semiHidden/>
    <w:unhideWhenUsed/>
    <w:rsid w:val="006C6054"/>
    <w:rPr>
      <w:color w:val="605E5C"/>
      <w:shd w:val="clear" w:color="auto" w:fill="E1DFDD"/>
    </w:rPr>
  </w:style>
  <w:style w:type="paragraph" w:customStyle="1" w:styleId="NormalBullets-L3">
    <w:name w:val="Normal Bullets - L3"/>
    <w:basedOn w:val="NormalBullets-L2"/>
    <w:qFormat/>
    <w:rsid w:val="00700938"/>
    <w:pPr>
      <w:numPr>
        <w:numId w:val="5"/>
      </w:numPr>
      <w:ind w:left="1134" w:hanging="357"/>
    </w:pPr>
  </w:style>
  <w:style w:type="paragraph" w:customStyle="1" w:styleId="NormalBullets-L1">
    <w:name w:val="Normal Bullets - L1"/>
    <w:basedOn w:val="Normal"/>
    <w:qFormat/>
    <w:rsid w:val="00D03F84"/>
    <w:pPr>
      <w:numPr>
        <w:numId w:val="48"/>
      </w:numPr>
      <w:spacing w:before="120" w:after="120" w:line="240" w:lineRule="auto"/>
      <w:ind w:left="714" w:hanging="357"/>
      <w:textAlignment w:val="baseline"/>
    </w:pPr>
    <w:rPr>
      <w:rFonts w:cs="Calibri Light"/>
      <w:lang w:eastAsia="en-AU"/>
    </w:rPr>
  </w:style>
  <w:style w:type="table" w:styleId="PlainTable4">
    <w:name w:val="Plain Table 4"/>
    <w:basedOn w:val="TableNormal"/>
    <w:uiPriority w:val="44"/>
    <w:rsid w:val="00AC605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ullets">
    <w:name w:val="Table Bullets"/>
    <w:basedOn w:val="NormalBullets-L1"/>
    <w:qFormat/>
    <w:rsid w:val="002907FD"/>
    <w:pPr>
      <w:spacing w:before="0" w:after="0"/>
    </w:pPr>
  </w:style>
  <w:style w:type="paragraph" w:customStyle="1" w:styleId="Tablebullet">
    <w:name w:val="Table bullet"/>
    <w:basedOn w:val="NormalBullets-L1"/>
    <w:qFormat/>
    <w:rsid w:val="00172BAF"/>
    <w:pPr>
      <w:keepLines/>
      <w:numPr>
        <w:numId w:val="0"/>
      </w:numPr>
      <w:spacing w:after="0"/>
    </w:pPr>
    <w:rPr>
      <w:sz w:val="20"/>
    </w:rPr>
  </w:style>
  <w:style w:type="table" w:customStyle="1" w:styleId="DFATPaddock">
    <w:name w:val="DFAT Paddock"/>
    <w:basedOn w:val="TableNormal"/>
    <w:uiPriority w:val="99"/>
    <w:rsid w:val="000B04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D6E8D2" w:themeFill="accent3"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table" w:customStyle="1" w:styleId="DFATWattle">
    <w:name w:val="DFAT Wattle"/>
    <w:basedOn w:val="DFATPaddock"/>
    <w:uiPriority w:val="99"/>
    <w:rsid w:val="000B04E1"/>
    <w:tblPr/>
    <w:tcPr>
      <w:shd w:val="clear" w:color="auto" w:fill="FBEED2" w:themeFill="accent4"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table" w:customStyle="1" w:styleId="DFATOchre">
    <w:name w:val="DFAT Ochre"/>
    <w:basedOn w:val="DFATWattle"/>
    <w:uiPriority w:val="99"/>
    <w:rsid w:val="000B04E1"/>
    <w:tblPr/>
    <w:tcPr>
      <w:shd w:val="clear" w:color="auto" w:fill="F0DBD4" w:themeFill="accent5" w:themeFillTint="33"/>
    </w:tcPr>
    <w:tblStylePr w:type="firstRow">
      <w:pPr>
        <w:jc w:val="left"/>
      </w:pPr>
      <w:rPr>
        <w:rFonts w:ascii="Calibri" w:hAnsi="Calibri"/>
        <w:b w:val="0"/>
        <w:color w:val="FFFFFF" w:themeColor="background1"/>
        <w:sz w:val="20"/>
      </w:rPr>
      <w:tblPr/>
      <w:trPr>
        <w:tblHeader/>
      </w:trPr>
      <w:tcPr>
        <w:shd w:val="clear" w:color="auto" w:fill="3A586E" w:themeFill="accent1"/>
      </w:tcPr>
    </w:tblStylePr>
  </w:style>
  <w:style w:type="table" w:customStyle="1" w:styleId="DFATBluegum">
    <w:name w:val="DFAT Bluegum"/>
    <w:basedOn w:val="DFATWattle"/>
    <w:uiPriority w:val="99"/>
    <w:rsid w:val="000B04E1"/>
    <w:tblPr/>
    <w:tcPr>
      <w:shd w:val="clear" w:color="auto" w:fill="D2DEE7" w:themeFill="accent1"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table" w:customStyle="1" w:styleId="ListTable3-Accent12">
    <w:name w:val="List Table 3 - Accent 12"/>
    <w:basedOn w:val="TableNormal"/>
    <w:next w:val="ListTable3-Accent1"/>
    <w:uiPriority w:val="48"/>
    <w:rsid w:val="00B30CB5"/>
    <w:tblPr>
      <w:tblStyleRowBandSize w:val="1"/>
      <w:tblStyleColBandSize w:val="1"/>
      <w:tblBorders>
        <w:top w:val="single" w:sz="4" w:space="0" w:color="3A586E"/>
        <w:left w:val="single" w:sz="4" w:space="0" w:color="3A586E"/>
        <w:bottom w:val="single" w:sz="4" w:space="0" w:color="3A586E"/>
        <w:right w:val="single" w:sz="4" w:space="0" w:color="3A586E"/>
      </w:tblBorders>
    </w:tblPr>
    <w:tblStylePr w:type="firstRow">
      <w:rPr>
        <w:b/>
        <w:bCs/>
        <w:color w:val="FFFFFF"/>
      </w:rPr>
      <w:tblPr/>
      <w:tcPr>
        <w:shd w:val="clear" w:color="auto" w:fill="3A586E"/>
      </w:tcPr>
    </w:tblStylePr>
    <w:tblStylePr w:type="lastRow">
      <w:rPr>
        <w:b/>
        <w:bCs/>
      </w:rPr>
      <w:tblPr/>
      <w:tcPr>
        <w:tcBorders>
          <w:top w:val="double" w:sz="4" w:space="0" w:color="3A586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3A586E"/>
          <w:right w:val="single" w:sz="4" w:space="0" w:color="3A586E"/>
        </w:tcBorders>
      </w:tcPr>
    </w:tblStylePr>
    <w:tblStylePr w:type="band1Horz">
      <w:tblPr/>
      <w:tcPr>
        <w:tcBorders>
          <w:top w:val="single" w:sz="4" w:space="0" w:color="3A586E"/>
          <w:bottom w:val="single" w:sz="4" w:space="0" w:color="3A586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586E"/>
          <w:left w:val="nil"/>
        </w:tcBorders>
      </w:tcPr>
    </w:tblStylePr>
    <w:tblStylePr w:type="swCell">
      <w:tblPr/>
      <w:tcPr>
        <w:tcBorders>
          <w:top w:val="double" w:sz="4" w:space="0" w:color="3A586E"/>
          <w:right w:val="nil"/>
        </w:tcBorders>
      </w:tcPr>
    </w:tblStylePr>
  </w:style>
  <w:style w:type="paragraph" w:customStyle="1" w:styleId="BodyCopyBullets">
    <w:name w:val="Body Copy Bullets"/>
    <w:basedOn w:val="BodyCopy"/>
    <w:qFormat/>
    <w:rsid w:val="00DA6629"/>
    <w:pPr>
      <w:ind w:left="720" w:hanging="360"/>
    </w:pPr>
  </w:style>
  <w:style w:type="character" w:customStyle="1" w:styleId="ListParagraphChar">
    <w:name w:val="List Paragraph Char"/>
    <w:aliases w:val="List Paragraph1 Char,Recommendation Char,List Paragraph11 Char,Dot pt Char,F5 List Paragraph Char,No Spacing1 Char,List Paragraph Char Char Char Char,Indicator Text Char,Numbered Para 1 Char,Bullet 1 Char,List Paragraph12 Char,L Char"/>
    <w:basedOn w:val="DefaultParagraphFont"/>
    <w:link w:val="ListParagraph"/>
    <w:uiPriority w:val="34"/>
    <w:locked/>
    <w:rsid w:val="00DA6629"/>
    <w:rPr>
      <w:rFonts w:asciiTheme="majorHAnsi" w:hAnsiTheme="majorHAnsi"/>
      <w:sz w:val="22"/>
      <w:szCs w:val="22"/>
      <w:lang w:eastAsia="en-US"/>
    </w:rPr>
  </w:style>
  <w:style w:type="paragraph" w:styleId="FootnoteText">
    <w:name w:val="footnote text"/>
    <w:aliases w:val="Char Char,Char,ft,single space,footnote text,fn,Footnote Text Char Char Char Char,FOOTNOTES,Footnote Text Char Char Char,Footnote Text Char Char,ft Char Char Char,ADB,(NECG) Footnote Text,Char Char Char Char,Footnote Text Char2,f,A,FT,Car"/>
    <w:basedOn w:val="Normal"/>
    <w:link w:val="FootnoteTextChar"/>
    <w:uiPriority w:val="99"/>
    <w:semiHidden/>
    <w:unhideWhenUsed/>
    <w:qFormat/>
    <w:rsid w:val="00DA6629"/>
    <w:pPr>
      <w:spacing w:before="0" w:after="0" w:line="240" w:lineRule="auto"/>
    </w:pPr>
    <w:rPr>
      <w:rFonts w:ascii="Calibri" w:hAnsi="Calibri"/>
      <w:sz w:val="20"/>
      <w:szCs w:val="20"/>
    </w:rPr>
  </w:style>
  <w:style w:type="character" w:customStyle="1" w:styleId="FootnoteTextChar">
    <w:name w:val="Footnote Text Char"/>
    <w:aliases w:val="Char Char Char,Char Char1,ft Char,single space Char,footnote text Char,fn Char,Footnote Text Char Char Char Char Char,FOOTNOTES Char,Footnote Text Char Char Char Char1,Footnote Text Char Char Char1,ft Char Char Char Char,ADB Char"/>
    <w:basedOn w:val="DefaultParagraphFont"/>
    <w:link w:val="FootnoteText"/>
    <w:uiPriority w:val="99"/>
    <w:semiHidden/>
    <w:qFormat/>
    <w:rsid w:val="00DA6629"/>
    <w:rPr>
      <w:lang w:eastAsia="en-US"/>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4_G,註腳內容"/>
    <w:basedOn w:val="DefaultParagraphFont"/>
    <w:link w:val="Char2"/>
    <w:uiPriority w:val="99"/>
    <w:unhideWhenUsed/>
    <w:qFormat/>
    <w:rsid w:val="00DA6629"/>
    <w:rPr>
      <w:vertAlign w:val="superscript"/>
    </w:rPr>
  </w:style>
  <w:style w:type="paragraph" w:customStyle="1" w:styleId="Char2">
    <w:name w:val="Char2"/>
    <w:basedOn w:val="Normal"/>
    <w:link w:val="FootnoteReference"/>
    <w:uiPriority w:val="99"/>
    <w:rsid w:val="00DA6629"/>
    <w:pPr>
      <w:spacing w:before="0" w:line="240" w:lineRule="exact"/>
      <w:jc w:val="both"/>
    </w:pPr>
    <w:rPr>
      <w:rFonts w:ascii="Calibri" w:hAnsi="Calibri"/>
      <w:sz w:val="20"/>
      <w:szCs w:val="20"/>
      <w:vertAlign w:val="superscript"/>
      <w:lang w:eastAsia="en-AU"/>
    </w:rPr>
  </w:style>
  <w:style w:type="paragraph" w:styleId="EndnoteText">
    <w:name w:val="endnote text"/>
    <w:basedOn w:val="Normal"/>
    <w:link w:val="EndnoteTextChar"/>
    <w:uiPriority w:val="99"/>
    <w:semiHidden/>
    <w:unhideWhenUsed/>
    <w:rsid w:val="003F0968"/>
    <w:pPr>
      <w:spacing w:before="0" w:after="0" w:line="240" w:lineRule="auto"/>
    </w:pPr>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semiHidden/>
    <w:rsid w:val="003F0968"/>
    <w:rPr>
      <w:rFonts w:asciiTheme="minorHAnsi" w:eastAsiaTheme="minorHAnsi" w:hAnsiTheme="minorHAnsi" w:cstheme="minorBidi"/>
      <w:kern w:val="2"/>
      <w:lang w:eastAsia="en-US"/>
      <w14:ligatures w14:val="standardContextual"/>
    </w:rPr>
  </w:style>
  <w:style w:type="character" w:styleId="EndnoteReference">
    <w:name w:val="endnote reference"/>
    <w:basedOn w:val="DefaultParagraphFont"/>
    <w:uiPriority w:val="99"/>
    <w:semiHidden/>
    <w:unhideWhenUsed/>
    <w:rsid w:val="003F0968"/>
    <w:rPr>
      <w:vertAlign w:val="superscript"/>
    </w:rPr>
  </w:style>
  <w:style w:type="paragraph" w:customStyle="1" w:styleId="Tabletitle">
    <w:name w:val="Table title"/>
    <w:basedOn w:val="H4-Heading4"/>
    <w:qFormat/>
    <w:rsid w:val="00B1623D"/>
    <w:pPr>
      <w:pBdr>
        <w:top w:val="none" w:sz="0" w:space="0" w:color="auto"/>
        <w:left w:val="none" w:sz="0" w:space="0" w:color="auto"/>
        <w:bottom w:val="none" w:sz="0" w:space="0" w:color="auto"/>
        <w:right w:val="none" w:sz="0" w:space="0" w:color="auto"/>
      </w:pBdr>
      <w:spacing w:line="240" w:lineRule="auto"/>
      <w:outlineLvl w:val="9"/>
    </w:pPr>
    <w:rPr>
      <w:rFonts w:asciiTheme="majorHAnsi" w:eastAsia="Times New Roman" w:hAnsiTheme="majorHAnsi"/>
      <w:lang w:eastAsia="en-AU"/>
    </w:rPr>
  </w:style>
  <w:style w:type="paragraph" w:customStyle="1" w:styleId="Endnotes">
    <w:name w:val="Endnotes"/>
    <w:basedOn w:val="EndnoteText"/>
    <w:qFormat/>
    <w:rsid w:val="003D2B53"/>
    <w:rPr>
      <w:rFonts w:asciiTheme="majorHAnsi" w:eastAsia="Calibri" w:hAnsiTheme="majorHAnsi" w:cs="Times New Roman"/>
      <w:kern w:val="0"/>
      <w14:ligatures w14:val="none"/>
    </w:rPr>
  </w:style>
  <w:style w:type="character" w:styleId="Emphasis">
    <w:name w:val="Emphasis"/>
    <w:basedOn w:val="DefaultParagraphFont"/>
    <w:uiPriority w:val="20"/>
    <w:qFormat/>
    <w:rsid w:val="008D2805"/>
    <w:rPr>
      <w:i/>
      <w:iCs/>
    </w:rPr>
  </w:style>
  <w:style w:type="paragraph" w:customStyle="1" w:styleId="Tablenote">
    <w:name w:val="Table note"/>
    <w:basedOn w:val="Normal"/>
    <w:qFormat/>
    <w:rsid w:val="00D66EBD"/>
    <w:pPr>
      <w:tabs>
        <w:tab w:val="left" w:pos="284"/>
      </w:tabs>
      <w:ind w:left="284" w:hanging="284"/>
    </w:pPr>
    <w:rPr>
      <w:rFonts w:asciiTheme="majorHAnsi" w:hAnsiTheme="majorHAnsi"/>
      <w:sz w:val="18"/>
      <w:szCs w:val="18"/>
    </w:rPr>
  </w:style>
  <w:style w:type="character" w:customStyle="1" w:styleId="eop">
    <w:name w:val="eop"/>
    <w:basedOn w:val="DefaultParagraphFont"/>
    <w:rsid w:val="002C502A"/>
  </w:style>
  <w:style w:type="paragraph" w:customStyle="1" w:styleId="xmsolistparagraph">
    <w:name w:val="x_msolistparagraph"/>
    <w:basedOn w:val="Normal"/>
    <w:rsid w:val="002C502A"/>
    <w:pPr>
      <w:spacing w:before="0" w:after="0" w:line="240" w:lineRule="auto"/>
      <w:ind w:left="720"/>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461">
      <w:bodyDiv w:val="1"/>
      <w:marLeft w:val="0"/>
      <w:marRight w:val="0"/>
      <w:marTop w:val="0"/>
      <w:marBottom w:val="0"/>
      <w:divBdr>
        <w:top w:val="none" w:sz="0" w:space="0" w:color="auto"/>
        <w:left w:val="none" w:sz="0" w:space="0" w:color="auto"/>
        <w:bottom w:val="none" w:sz="0" w:space="0" w:color="auto"/>
        <w:right w:val="none" w:sz="0" w:space="0" w:color="auto"/>
      </w:divBdr>
    </w:div>
    <w:div w:id="48920571">
      <w:bodyDiv w:val="1"/>
      <w:marLeft w:val="0"/>
      <w:marRight w:val="0"/>
      <w:marTop w:val="0"/>
      <w:marBottom w:val="0"/>
      <w:divBdr>
        <w:top w:val="none" w:sz="0" w:space="0" w:color="auto"/>
        <w:left w:val="none" w:sz="0" w:space="0" w:color="auto"/>
        <w:bottom w:val="none" w:sz="0" w:space="0" w:color="auto"/>
        <w:right w:val="none" w:sz="0" w:space="0" w:color="auto"/>
      </w:divBdr>
    </w:div>
    <w:div w:id="161432563">
      <w:bodyDiv w:val="1"/>
      <w:marLeft w:val="0"/>
      <w:marRight w:val="0"/>
      <w:marTop w:val="0"/>
      <w:marBottom w:val="0"/>
      <w:divBdr>
        <w:top w:val="none" w:sz="0" w:space="0" w:color="auto"/>
        <w:left w:val="none" w:sz="0" w:space="0" w:color="auto"/>
        <w:bottom w:val="none" w:sz="0" w:space="0" w:color="auto"/>
        <w:right w:val="none" w:sz="0" w:space="0" w:color="auto"/>
      </w:divBdr>
    </w:div>
    <w:div w:id="201787783">
      <w:bodyDiv w:val="1"/>
      <w:marLeft w:val="0"/>
      <w:marRight w:val="0"/>
      <w:marTop w:val="0"/>
      <w:marBottom w:val="0"/>
      <w:divBdr>
        <w:top w:val="none" w:sz="0" w:space="0" w:color="auto"/>
        <w:left w:val="none" w:sz="0" w:space="0" w:color="auto"/>
        <w:bottom w:val="none" w:sz="0" w:space="0" w:color="auto"/>
        <w:right w:val="none" w:sz="0" w:space="0" w:color="auto"/>
      </w:divBdr>
    </w:div>
    <w:div w:id="211812512">
      <w:bodyDiv w:val="1"/>
      <w:marLeft w:val="0"/>
      <w:marRight w:val="0"/>
      <w:marTop w:val="0"/>
      <w:marBottom w:val="0"/>
      <w:divBdr>
        <w:top w:val="none" w:sz="0" w:space="0" w:color="auto"/>
        <w:left w:val="none" w:sz="0" w:space="0" w:color="auto"/>
        <w:bottom w:val="none" w:sz="0" w:space="0" w:color="auto"/>
        <w:right w:val="none" w:sz="0" w:space="0" w:color="auto"/>
      </w:divBdr>
    </w:div>
    <w:div w:id="322663392">
      <w:bodyDiv w:val="1"/>
      <w:marLeft w:val="0"/>
      <w:marRight w:val="0"/>
      <w:marTop w:val="0"/>
      <w:marBottom w:val="0"/>
      <w:divBdr>
        <w:top w:val="none" w:sz="0" w:space="0" w:color="auto"/>
        <w:left w:val="none" w:sz="0" w:space="0" w:color="auto"/>
        <w:bottom w:val="none" w:sz="0" w:space="0" w:color="auto"/>
        <w:right w:val="none" w:sz="0" w:space="0" w:color="auto"/>
      </w:divBdr>
    </w:div>
    <w:div w:id="413552340">
      <w:bodyDiv w:val="1"/>
      <w:marLeft w:val="0"/>
      <w:marRight w:val="0"/>
      <w:marTop w:val="0"/>
      <w:marBottom w:val="0"/>
      <w:divBdr>
        <w:top w:val="none" w:sz="0" w:space="0" w:color="auto"/>
        <w:left w:val="none" w:sz="0" w:space="0" w:color="auto"/>
        <w:bottom w:val="none" w:sz="0" w:space="0" w:color="auto"/>
        <w:right w:val="none" w:sz="0" w:space="0" w:color="auto"/>
      </w:divBdr>
      <w:divsChild>
        <w:div w:id="1729114244">
          <w:marLeft w:val="0"/>
          <w:marRight w:val="0"/>
          <w:marTop w:val="0"/>
          <w:marBottom w:val="0"/>
          <w:divBdr>
            <w:top w:val="none" w:sz="0" w:space="0" w:color="auto"/>
            <w:left w:val="none" w:sz="0" w:space="0" w:color="auto"/>
            <w:bottom w:val="none" w:sz="0" w:space="0" w:color="auto"/>
            <w:right w:val="single" w:sz="6" w:space="0" w:color="EDEBE9"/>
          </w:divBdr>
          <w:divsChild>
            <w:div w:id="691345850">
              <w:marLeft w:val="0"/>
              <w:marRight w:val="0"/>
              <w:marTop w:val="0"/>
              <w:marBottom w:val="0"/>
              <w:divBdr>
                <w:top w:val="none" w:sz="0" w:space="0" w:color="auto"/>
                <w:left w:val="none" w:sz="0" w:space="0" w:color="auto"/>
                <w:bottom w:val="none" w:sz="0" w:space="0" w:color="auto"/>
                <w:right w:val="none" w:sz="0" w:space="0" w:color="auto"/>
              </w:divBdr>
            </w:div>
            <w:div w:id="1327050392">
              <w:marLeft w:val="0"/>
              <w:marRight w:val="0"/>
              <w:marTop w:val="0"/>
              <w:marBottom w:val="0"/>
              <w:divBdr>
                <w:top w:val="none" w:sz="0" w:space="0" w:color="auto"/>
                <w:left w:val="none" w:sz="0" w:space="0" w:color="auto"/>
                <w:bottom w:val="none" w:sz="0" w:space="0" w:color="auto"/>
                <w:right w:val="none" w:sz="0" w:space="0" w:color="auto"/>
              </w:divBdr>
            </w:div>
            <w:div w:id="1848976345">
              <w:marLeft w:val="0"/>
              <w:marRight w:val="0"/>
              <w:marTop w:val="0"/>
              <w:marBottom w:val="0"/>
              <w:divBdr>
                <w:top w:val="none" w:sz="0" w:space="0" w:color="auto"/>
                <w:left w:val="none" w:sz="0" w:space="0" w:color="auto"/>
                <w:bottom w:val="none" w:sz="0" w:space="0" w:color="auto"/>
                <w:right w:val="none" w:sz="0" w:space="0" w:color="auto"/>
              </w:divBdr>
            </w:div>
            <w:div w:id="1765690966">
              <w:marLeft w:val="0"/>
              <w:marRight w:val="0"/>
              <w:marTop w:val="0"/>
              <w:marBottom w:val="0"/>
              <w:divBdr>
                <w:top w:val="none" w:sz="0" w:space="0" w:color="auto"/>
                <w:left w:val="none" w:sz="0" w:space="0" w:color="auto"/>
                <w:bottom w:val="none" w:sz="0" w:space="0" w:color="auto"/>
                <w:right w:val="none" w:sz="0" w:space="0" w:color="auto"/>
              </w:divBdr>
            </w:div>
            <w:div w:id="2106994400">
              <w:marLeft w:val="0"/>
              <w:marRight w:val="0"/>
              <w:marTop w:val="0"/>
              <w:marBottom w:val="0"/>
              <w:divBdr>
                <w:top w:val="none" w:sz="0" w:space="0" w:color="auto"/>
                <w:left w:val="none" w:sz="0" w:space="0" w:color="auto"/>
                <w:bottom w:val="none" w:sz="0" w:space="0" w:color="auto"/>
                <w:right w:val="none" w:sz="0" w:space="0" w:color="auto"/>
              </w:divBdr>
            </w:div>
          </w:divsChild>
        </w:div>
        <w:div w:id="1255480279">
          <w:marLeft w:val="0"/>
          <w:marRight w:val="0"/>
          <w:marTop w:val="0"/>
          <w:marBottom w:val="0"/>
          <w:divBdr>
            <w:top w:val="none" w:sz="0" w:space="0" w:color="auto"/>
            <w:left w:val="none" w:sz="0" w:space="0" w:color="auto"/>
            <w:bottom w:val="none" w:sz="0" w:space="0" w:color="auto"/>
            <w:right w:val="none" w:sz="0" w:space="0" w:color="auto"/>
          </w:divBdr>
          <w:divsChild>
            <w:div w:id="1779327712">
              <w:marLeft w:val="0"/>
              <w:marRight w:val="0"/>
              <w:marTop w:val="0"/>
              <w:marBottom w:val="0"/>
              <w:divBdr>
                <w:top w:val="none" w:sz="0" w:space="0" w:color="auto"/>
                <w:left w:val="none" w:sz="0" w:space="0" w:color="auto"/>
                <w:bottom w:val="none" w:sz="0" w:space="0" w:color="auto"/>
                <w:right w:val="none" w:sz="0" w:space="0" w:color="auto"/>
              </w:divBdr>
              <w:divsChild>
                <w:div w:id="1213730963">
                  <w:marLeft w:val="0"/>
                  <w:marRight w:val="0"/>
                  <w:marTop w:val="0"/>
                  <w:marBottom w:val="0"/>
                  <w:divBdr>
                    <w:top w:val="none" w:sz="0" w:space="0" w:color="auto"/>
                    <w:left w:val="none" w:sz="0" w:space="0" w:color="auto"/>
                    <w:bottom w:val="none" w:sz="0" w:space="0" w:color="auto"/>
                    <w:right w:val="none" w:sz="0" w:space="0" w:color="auto"/>
                  </w:divBdr>
                  <w:divsChild>
                    <w:div w:id="478157378">
                      <w:marLeft w:val="0"/>
                      <w:marRight w:val="0"/>
                      <w:marTop w:val="0"/>
                      <w:marBottom w:val="0"/>
                      <w:divBdr>
                        <w:top w:val="none" w:sz="0" w:space="0" w:color="auto"/>
                        <w:left w:val="none" w:sz="0" w:space="0" w:color="auto"/>
                        <w:bottom w:val="single" w:sz="6" w:space="0" w:color="EDEBE9"/>
                        <w:right w:val="none" w:sz="0" w:space="0" w:color="auto"/>
                      </w:divBdr>
                      <w:divsChild>
                        <w:div w:id="1368874475">
                          <w:marLeft w:val="0"/>
                          <w:marRight w:val="0"/>
                          <w:marTop w:val="0"/>
                          <w:marBottom w:val="0"/>
                          <w:divBdr>
                            <w:top w:val="none" w:sz="0" w:space="0" w:color="auto"/>
                            <w:left w:val="none" w:sz="0" w:space="0" w:color="auto"/>
                            <w:bottom w:val="none" w:sz="0" w:space="0" w:color="auto"/>
                            <w:right w:val="none" w:sz="0" w:space="0" w:color="auto"/>
                          </w:divBdr>
                          <w:divsChild>
                            <w:div w:id="1075398586">
                              <w:marLeft w:val="0"/>
                              <w:marRight w:val="0"/>
                              <w:marTop w:val="0"/>
                              <w:marBottom w:val="0"/>
                              <w:divBdr>
                                <w:top w:val="none" w:sz="0" w:space="0" w:color="auto"/>
                                <w:left w:val="none" w:sz="0" w:space="0" w:color="auto"/>
                                <w:bottom w:val="none" w:sz="0" w:space="0" w:color="auto"/>
                                <w:right w:val="none" w:sz="0" w:space="0" w:color="auto"/>
                              </w:divBdr>
                              <w:divsChild>
                                <w:div w:id="1353914064">
                                  <w:marLeft w:val="0"/>
                                  <w:marRight w:val="0"/>
                                  <w:marTop w:val="0"/>
                                  <w:marBottom w:val="0"/>
                                  <w:divBdr>
                                    <w:top w:val="none" w:sz="0" w:space="0" w:color="auto"/>
                                    <w:left w:val="none" w:sz="0" w:space="0" w:color="auto"/>
                                    <w:bottom w:val="none" w:sz="0" w:space="0" w:color="auto"/>
                                    <w:right w:val="none" w:sz="0" w:space="0" w:color="auto"/>
                                  </w:divBdr>
                                  <w:divsChild>
                                    <w:div w:id="640616918">
                                      <w:marLeft w:val="0"/>
                                      <w:marRight w:val="0"/>
                                      <w:marTop w:val="0"/>
                                      <w:marBottom w:val="0"/>
                                      <w:divBdr>
                                        <w:top w:val="none" w:sz="0" w:space="0" w:color="auto"/>
                                        <w:left w:val="none" w:sz="0" w:space="0" w:color="auto"/>
                                        <w:bottom w:val="none" w:sz="0" w:space="0" w:color="auto"/>
                                        <w:right w:val="none" w:sz="0" w:space="0" w:color="auto"/>
                                      </w:divBdr>
                                      <w:divsChild>
                                        <w:div w:id="1106390934">
                                          <w:marLeft w:val="0"/>
                                          <w:marRight w:val="0"/>
                                          <w:marTop w:val="0"/>
                                          <w:marBottom w:val="0"/>
                                          <w:divBdr>
                                            <w:top w:val="none" w:sz="0" w:space="0" w:color="auto"/>
                                            <w:left w:val="none" w:sz="0" w:space="0" w:color="auto"/>
                                            <w:bottom w:val="none" w:sz="0" w:space="0" w:color="auto"/>
                                            <w:right w:val="none" w:sz="0" w:space="0" w:color="auto"/>
                                          </w:divBdr>
                                          <w:divsChild>
                                            <w:div w:id="1690831988">
                                              <w:marLeft w:val="0"/>
                                              <w:marRight w:val="0"/>
                                              <w:marTop w:val="0"/>
                                              <w:marBottom w:val="0"/>
                                              <w:divBdr>
                                                <w:top w:val="none" w:sz="0" w:space="0" w:color="auto"/>
                                                <w:left w:val="none" w:sz="0" w:space="0" w:color="auto"/>
                                                <w:bottom w:val="none" w:sz="0" w:space="0" w:color="auto"/>
                                                <w:right w:val="none" w:sz="0" w:space="0" w:color="auto"/>
                                              </w:divBdr>
                                              <w:divsChild>
                                                <w:div w:id="1243029547">
                                                  <w:marLeft w:val="0"/>
                                                  <w:marRight w:val="300"/>
                                                  <w:marTop w:val="0"/>
                                                  <w:marBottom w:val="0"/>
                                                  <w:divBdr>
                                                    <w:top w:val="none" w:sz="0" w:space="0" w:color="auto"/>
                                                    <w:left w:val="none" w:sz="0" w:space="0" w:color="auto"/>
                                                    <w:bottom w:val="none" w:sz="0" w:space="0" w:color="auto"/>
                                                    <w:right w:val="none" w:sz="0" w:space="0" w:color="auto"/>
                                                  </w:divBdr>
                                                </w:div>
                                                <w:div w:id="132406449">
                                                  <w:marLeft w:val="0"/>
                                                  <w:marRight w:val="0"/>
                                                  <w:marTop w:val="0"/>
                                                  <w:marBottom w:val="0"/>
                                                  <w:divBdr>
                                                    <w:top w:val="none" w:sz="0" w:space="0" w:color="auto"/>
                                                    <w:left w:val="none" w:sz="0" w:space="0" w:color="auto"/>
                                                    <w:bottom w:val="none" w:sz="0" w:space="0" w:color="auto"/>
                                                    <w:right w:val="none" w:sz="0" w:space="0" w:color="auto"/>
                                                  </w:divBdr>
                                                  <w:divsChild>
                                                    <w:div w:id="2050690106">
                                                      <w:marLeft w:val="0"/>
                                                      <w:marRight w:val="0"/>
                                                      <w:marTop w:val="0"/>
                                                      <w:marBottom w:val="0"/>
                                                      <w:divBdr>
                                                        <w:top w:val="none" w:sz="0" w:space="0" w:color="auto"/>
                                                        <w:left w:val="none" w:sz="0" w:space="0" w:color="auto"/>
                                                        <w:bottom w:val="none" w:sz="0" w:space="0" w:color="auto"/>
                                                        <w:right w:val="none" w:sz="0" w:space="0" w:color="auto"/>
                                                      </w:divBdr>
                                                      <w:divsChild>
                                                        <w:div w:id="67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7146">
                                                  <w:marLeft w:val="0"/>
                                                  <w:marRight w:val="0"/>
                                                  <w:marTop w:val="0"/>
                                                  <w:marBottom w:val="0"/>
                                                  <w:divBdr>
                                                    <w:top w:val="none" w:sz="0" w:space="0" w:color="auto"/>
                                                    <w:left w:val="none" w:sz="0" w:space="0" w:color="auto"/>
                                                    <w:bottom w:val="none" w:sz="0" w:space="0" w:color="auto"/>
                                                    <w:right w:val="none" w:sz="0" w:space="0" w:color="auto"/>
                                                  </w:divBdr>
                                                  <w:divsChild>
                                                    <w:div w:id="1715155413">
                                                      <w:marLeft w:val="0"/>
                                                      <w:marRight w:val="0"/>
                                                      <w:marTop w:val="0"/>
                                                      <w:marBottom w:val="0"/>
                                                      <w:divBdr>
                                                        <w:top w:val="none" w:sz="0" w:space="0" w:color="auto"/>
                                                        <w:left w:val="none" w:sz="0" w:space="0" w:color="auto"/>
                                                        <w:bottom w:val="none" w:sz="0" w:space="0" w:color="auto"/>
                                                        <w:right w:val="none" w:sz="0" w:space="0" w:color="auto"/>
                                                      </w:divBdr>
                                                      <w:divsChild>
                                                        <w:div w:id="1672293301">
                                                          <w:marLeft w:val="0"/>
                                                          <w:marRight w:val="0"/>
                                                          <w:marTop w:val="0"/>
                                                          <w:marBottom w:val="0"/>
                                                          <w:divBdr>
                                                            <w:top w:val="none" w:sz="0" w:space="0" w:color="auto"/>
                                                            <w:left w:val="none" w:sz="0" w:space="0" w:color="auto"/>
                                                            <w:bottom w:val="none" w:sz="0" w:space="0" w:color="auto"/>
                                                            <w:right w:val="none" w:sz="0" w:space="0" w:color="auto"/>
                                                          </w:divBdr>
                                                          <w:divsChild>
                                                            <w:div w:id="1792555074">
                                                              <w:marLeft w:val="0"/>
                                                              <w:marRight w:val="0"/>
                                                              <w:marTop w:val="0"/>
                                                              <w:marBottom w:val="0"/>
                                                              <w:divBdr>
                                                                <w:top w:val="none" w:sz="0" w:space="0" w:color="auto"/>
                                                                <w:left w:val="none" w:sz="0" w:space="0" w:color="auto"/>
                                                                <w:bottom w:val="none" w:sz="0" w:space="0" w:color="auto"/>
                                                                <w:right w:val="none" w:sz="0" w:space="0" w:color="auto"/>
                                                              </w:divBdr>
                                                              <w:divsChild>
                                                                <w:div w:id="1796290897">
                                                                  <w:marLeft w:val="0"/>
                                                                  <w:marRight w:val="0"/>
                                                                  <w:marTop w:val="0"/>
                                                                  <w:marBottom w:val="0"/>
                                                                  <w:divBdr>
                                                                    <w:top w:val="none" w:sz="0" w:space="0" w:color="auto"/>
                                                                    <w:left w:val="none" w:sz="0" w:space="0" w:color="auto"/>
                                                                    <w:bottom w:val="none" w:sz="0" w:space="0" w:color="auto"/>
                                                                    <w:right w:val="none" w:sz="0" w:space="0" w:color="auto"/>
                                                                  </w:divBdr>
                                                                  <w:divsChild>
                                                                    <w:div w:id="396973931">
                                                                      <w:marLeft w:val="0"/>
                                                                      <w:marRight w:val="330"/>
                                                                      <w:marTop w:val="0"/>
                                                                      <w:marBottom w:val="0"/>
                                                                      <w:divBdr>
                                                                        <w:top w:val="none" w:sz="0" w:space="0" w:color="auto"/>
                                                                        <w:left w:val="none" w:sz="0" w:space="0" w:color="auto"/>
                                                                        <w:bottom w:val="none" w:sz="0" w:space="0" w:color="auto"/>
                                                                        <w:right w:val="none" w:sz="0" w:space="0" w:color="auto"/>
                                                                      </w:divBdr>
                                                                    </w:div>
                                                                    <w:div w:id="9478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543111">
                                                  <w:marLeft w:val="0"/>
                                                  <w:marRight w:val="0"/>
                                                  <w:marTop w:val="0"/>
                                                  <w:marBottom w:val="0"/>
                                                  <w:divBdr>
                                                    <w:top w:val="none" w:sz="0" w:space="0" w:color="auto"/>
                                                    <w:left w:val="none" w:sz="0" w:space="0" w:color="auto"/>
                                                    <w:bottom w:val="none" w:sz="0" w:space="0" w:color="auto"/>
                                                    <w:right w:val="none" w:sz="0" w:space="0" w:color="auto"/>
                                                  </w:divBdr>
                                                  <w:divsChild>
                                                    <w:div w:id="46805727">
                                                      <w:marLeft w:val="0"/>
                                                      <w:marRight w:val="0"/>
                                                      <w:marTop w:val="0"/>
                                                      <w:marBottom w:val="0"/>
                                                      <w:divBdr>
                                                        <w:top w:val="none" w:sz="0" w:space="0" w:color="auto"/>
                                                        <w:left w:val="none" w:sz="0" w:space="0" w:color="auto"/>
                                                        <w:bottom w:val="none" w:sz="0" w:space="0" w:color="auto"/>
                                                        <w:right w:val="none" w:sz="0" w:space="0" w:color="auto"/>
                                                      </w:divBdr>
                                                      <w:divsChild>
                                                        <w:div w:id="14785738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093630">
                      <w:marLeft w:val="0"/>
                      <w:marRight w:val="0"/>
                      <w:marTop w:val="0"/>
                      <w:marBottom w:val="0"/>
                      <w:divBdr>
                        <w:top w:val="none" w:sz="0" w:space="0" w:color="auto"/>
                        <w:left w:val="none" w:sz="0" w:space="0" w:color="auto"/>
                        <w:bottom w:val="none" w:sz="0" w:space="0" w:color="auto"/>
                        <w:right w:val="none" w:sz="0" w:space="0" w:color="auto"/>
                      </w:divBdr>
                      <w:divsChild>
                        <w:div w:id="865484012">
                          <w:marLeft w:val="0"/>
                          <w:marRight w:val="0"/>
                          <w:marTop w:val="0"/>
                          <w:marBottom w:val="0"/>
                          <w:divBdr>
                            <w:top w:val="none" w:sz="0" w:space="0" w:color="auto"/>
                            <w:left w:val="none" w:sz="0" w:space="0" w:color="auto"/>
                            <w:bottom w:val="none" w:sz="0" w:space="0" w:color="auto"/>
                            <w:right w:val="none" w:sz="0" w:space="0" w:color="auto"/>
                          </w:divBdr>
                          <w:divsChild>
                            <w:div w:id="1985085658">
                              <w:marLeft w:val="0"/>
                              <w:marRight w:val="0"/>
                              <w:marTop w:val="0"/>
                              <w:marBottom w:val="0"/>
                              <w:divBdr>
                                <w:top w:val="none" w:sz="0" w:space="0" w:color="auto"/>
                                <w:left w:val="none" w:sz="0" w:space="0" w:color="auto"/>
                                <w:bottom w:val="single" w:sz="6" w:space="0" w:color="EDEBE9"/>
                                <w:right w:val="none" w:sz="0" w:space="0" w:color="auto"/>
                              </w:divBdr>
                              <w:divsChild>
                                <w:div w:id="26955544">
                                  <w:marLeft w:val="0"/>
                                  <w:marRight w:val="0"/>
                                  <w:marTop w:val="0"/>
                                  <w:marBottom w:val="0"/>
                                  <w:divBdr>
                                    <w:top w:val="none" w:sz="0" w:space="0" w:color="auto"/>
                                    <w:left w:val="none" w:sz="0" w:space="0" w:color="auto"/>
                                    <w:bottom w:val="none" w:sz="0" w:space="0" w:color="auto"/>
                                    <w:right w:val="none" w:sz="0" w:space="0" w:color="auto"/>
                                  </w:divBdr>
                                  <w:divsChild>
                                    <w:div w:id="1967663927">
                                      <w:marLeft w:val="0"/>
                                      <w:marRight w:val="0"/>
                                      <w:marTop w:val="0"/>
                                      <w:marBottom w:val="0"/>
                                      <w:divBdr>
                                        <w:top w:val="none" w:sz="0" w:space="0" w:color="auto"/>
                                        <w:left w:val="none" w:sz="0" w:space="0" w:color="auto"/>
                                        <w:bottom w:val="none" w:sz="0" w:space="0" w:color="auto"/>
                                        <w:right w:val="none" w:sz="0" w:space="0" w:color="auto"/>
                                      </w:divBdr>
                                      <w:divsChild>
                                        <w:div w:id="515117183">
                                          <w:marLeft w:val="0"/>
                                          <w:marRight w:val="0"/>
                                          <w:marTop w:val="0"/>
                                          <w:marBottom w:val="0"/>
                                          <w:divBdr>
                                            <w:top w:val="none" w:sz="0" w:space="0" w:color="auto"/>
                                            <w:left w:val="none" w:sz="0" w:space="0" w:color="auto"/>
                                            <w:bottom w:val="none" w:sz="0" w:space="0" w:color="auto"/>
                                            <w:right w:val="none" w:sz="0" w:space="0" w:color="auto"/>
                                          </w:divBdr>
                                          <w:divsChild>
                                            <w:div w:id="399064166">
                                              <w:marLeft w:val="0"/>
                                              <w:marRight w:val="0"/>
                                              <w:marTop w:val="0"/>
                                              <w:marBottom w:val="0"/>
                                              <w:divBdr>
                                                <w:top w:val="none" w:sz="0" w:space="0" w:color="auto"/>
                                                <w:left w:val="none" w:sz="0" w:space="0" w:color="auto"/>
                                                <w:bottom w:val="none" w:sz="0" w:space="0" w:color="auto"/>
                                                <w:right w:val="none" w:sz="0" w:space="0" w:color="auto"/>
                                              </w:divBdr>
                                              <w:divsChild>
                                                <w:div w:id="40204674">
                                                  <w:marLeft w:val="0"/>
                                                  <w:marRight w:val="0"/>
                                                  <w:marTop w:val="0"/>
                                                  <w:marBottom w:val="0"/>
                                                  <w:divBdr>
                                                    <w:top w:val="none" w:sz="0" w:space="0" w:color="auto"/>
                                                    <w:left w:val="none" w:sz="0" w:space="0" w:color="auto"/>
                                                    <w:bottom w:val="none" w:sz="0" w:space="0" w:color="auto"/>
                                                    <w:right w:val="none" w:sz="0" w:space="0" w:color="auto"/>
                                                  </w:divBdr>
                                                  <w:divsChild>
                                                    <w:div w:id="1823038577">
                                                      <w:marLeft w:val="0"/>
                                                      <w:marRight w:val="0"/>
                                                      <w:marTop w:val="0"/>
                                                      <w:marBottom w:val="0"/>
                                                      <w:divBdr>
                                                        <w:top w:val="none" w:sz="0" w:space="0" w:color="auto"/>
                                                        <w:left w:val="none" w:sz="0" w:space="0" w:color="auto"/>
                                                        <w:bottom w:val="none" w:sz="0" w:space="0" w:color="auto"/>
                                                        <w:right w:val="none" w:sz="0" w:space="0" w:color="auto"/>
                                                      </w:divBdr>
                                                      <w:divsChild>
                                                        <w:div w:id="358164107">
                                                          <w:marLeft w:val="0"/>
                                                          <w:marRight w:val="0"/>
                                                          <w:marTop w:val="0"/>
                                                          <w:marBottom w:val="0"/>
                                                          <w:divBdr>
                                                            <w:top w:val="none" w:sz="0" w:space="0" w:color="auto"/>
                                                            <w:left w:val="none" w:sz="0" w:space="0" w:color="auto"/>
                                                            <w:bottom w:val="none" w:sz="0" w:space="0" w:color="auto"/>
                                                            <w:right w:val="none" w:sz="0" w:space="0" w:color="auto"/>
                                                          </w:divBdr>
                                                          <w:divsChild>
                                                            <w:div w:id="1630277042">
                                                              <w:marLeft w:val="0"/>
                                                              <w:marRight w:val="0"/>
                                                              <w:marTop w:val="0"/>
                                                              <w:marBottom w:val="0"/>
                                                              <w:divBdr>
                                                                <w:top w:val="none" w:sz="0" w:space="0" w:color="auto"/>
                                                                <w:left w:val="none" w:sz="0" w:space="0" w:color="auto"/>
                                                                <w:bottom w:val="none" w:sz="0" w:space="0" w:color="auto"/>
                                                                <w:right w:val="none" w:sz="0" w:space="0" w:color="auto"/>
                                                              </w:divBdr>
                                                            </w:div>
                                                            <w:div w:id="2058627728">
                                                              <w:marLeft w:val="0"/>
                                                              <w:marRight w:val="0"/>
                                                              <w:marTop w:val="0"/>
                                                              <w:marBottom w:val="0"/>
                                                              <w:divBdr>
                                                                <w:top w:val="none" w:sz="0" w:space="0" w:color="auto"/>
                                                                <w:left w:val="none" w:sz="0" w:space="0" w:color="auto"/>
                                                                <w:bottom w:val="none" w:sz="0" w:space="0" w:color="auto"/>
                                                                <w:right w:val="none" w:sz="0" w:space="0" w:color="auto"/>
                                                              </w:divBdr>
                                                            </w:div>
                                                            <w:div w:id="1486702814">
                                                              <w:marLeft w:val="0"/>
                                                              <w:marRight w:val="0"/>
                                                              <w:marTop w:val="0"/>
                                                              <w:marBottom w:val="0"/>
                                                              <w:divBdr>
                                                                <w:top w:val="none" w:sz="0" w:space="0" w:color="auto"/>
                                                                <w:left w:val="none" w:sz="0" w:space="0" w:color="auto"/>
                                                                <w:bottom w:val="none" w:sz="0" w:space="0" w:color="auto"/>
                                                                <w:right w:val="none" w:sz="0" w:space="0" w:color="auto"/>
                                                              </w:divBdr>
                                                            </w:div>
                                                            <w:div w:id="395862972">
                                                              <w:marLeft w:val="0"/>
                                                              <w:marRight w:val="0"/>
                                                              <w:marTop w:val="0"/>
                                                              <w:marBottom w:val="0"/>
                                                              <w:divBdr>
                                                                <w:top w:val="none" w:sz="0" w:space="0" w:color="auto"/>
                                                                <w:left w:val="none" w:sz="0" w:space="0" w:color="auto"/>
                                                                <w:bottom w:val="none" w:sz="0" w:space="0" w:color="auto"/>
                                                                <w:right w:val="none" w:sz="0" w:space="0" w:color="auto"/>
                                                              </w:divBdr>
                                                            </w:div>
                                                            <w:div w:id="1404643170">
                                                              <w:marLeft w:val="0"/>
                                                              <w:marRight w:val="0"/>
                                                              <w:marTop w:val="0"/>
                                                              <w:marBottom w:val="0"/>
                                                              <w:divBdr>
                                                                <w:top w:val="none" w:sz="0" w:space="0" w:color="auto"/>
                                                                <w:left w:val="none" w:sz="0" w:space="0" w:color="auto"/>
                                                                <w:bottom w:val="none" w:sz="0" w:space="0" w:color="auto"/>
                                                                <w:right w:val="none" w:sz="0" w:space="0" w:color="auto"/>
                                                              </w:divBdr>
                                                            </w:div>
                                                            <w:div w:id="1640063607">
                                                              <w:marLeft w:val="0"/>
                                                              <w:marRight w:val="0"/>
                                                              <w:marTop w:val="0"/>
                                                              <w:marBottom w:val="0"/>
                                                              <w:divBdr>
                                                                <w:top w:val="none" w:sz="0" w:space="0" w:color="auto"/>
                                                                <w:left w:val="none" w:sz="0" w:space="0" w:color="auto"/>
                                                                <w:bottom w:val="none" w:sz="0" w:space="0" w:color="auto"/>
                                                                <w:right w:val="none" w:sz="0" w:space="0" w:color="auto"/>
                                                              </w:divBdr>
                                                            </w:div>
                                                            <w:div w:id="635644768">
                                                              <w:marLeft w:val="0"/>
                                                              <w:marRight w:val="0"/>
                                                              <w:marTop w:val="0"/>
                                                              <w:marBottom w:val="0"/>
                                                              <w:divBdr>
                                                                <w:top w:val="none" w:sz="0" w:space="0" w:color="auto"/>
                                                                <w:left w:val="none" w:sz="0" w:space="0" w:color="auto"/>
                                                                <w:bottom w:val="none" w:sz="0" w:space="0" w:color="auto"/>
                                                                <w:right w:val="none" w:sz="0" w:space="0" w:color="auto"/>
                                                              </w:divBdr>
                                                            </w:div>
                                                            <w:div w:id="353729151">
                                                              <w:marLeft w:val="0"/>
                                                              <w:marRight w:val="0"/>
                                                              <w:marTop w:val="0"/>
                                                              <w:marBottom w:val="0"/>
                                                              <w:divBdr>
                                                                <w:top w:val="none" w:sz="0" w:space="0" w:color="auto"/>
                                                                <w:left w:val="none" w:sz="0" w:space="0" w:color="auto"/>
                                                                <w:bottom w:val="none" w:sz="0" w:space="0" w:color="auto"/>
                                                                <w:right w:val="none" w:sz="0" w:space="0" w:color="auto"/>
                                                              </w:divBdr>
                                                            </w:div>
                                                            <w:div w:id="1994947863">
                                                              <w:marLeft w:val="0"/>
                                                              <w:marRight w:val="0"/>
                                                              <w:marTop w:val="0"/>
                                                              <w:marBottom w:val="0"/>
                                                              <w:divBdr>
                                                                <w:top w:val="none" w:sz="0" w:space="0" w:color="auto"/>
                                                                <w:left w:val="none" w:sz="0" w:space="0" w:color="auto"/>
                                                                <w:bottom w:val="none" w:sz="0" w:space="0" w:color="auto"/>
                                                                <w:right w:val="none" w:sz="0" w:space="0" w:color="auto"/>
                                                              </w:divBdr>
                                                            </w:div>
                                                          </w:divsChild>
                                                        </w:div>
                                                        <w:div w:id="589587232">
                                                          <w:marLeft w:val="0"/>
                                                          <w:marRight w:val="0"/>
                                                          <w:marTop w:val="0"/>
                                                          <w:marBottom w:val="0"/>
                                                          <w:divBdr>
                                                            <w:top w:val="none" w:sz="0" w:space="0" w:color="auto"/>
                                                            <w:left w:val="none" w:sz="0" w:space="0" w:color="auto"/>
                                                            <w:bottom w:val="none" w:sz="0" w:space="0" w:color="auto"/>
                                                            <w:right w:val="none" w:sz="0" w:space="0" w:color="auto"/>
                                                          </w:divBdr>
                                                          <w:divsChild>
                                                            <w:div w:id="773398847">
                                                              <w:marLeft w:val="0"/>
                                                              <w:marRight w:val="0"/>
                                                              <w:marTop w:val="0"/>
                                                              <w:marBottom w:val="0"/>
                                                              <w:divBdr>
                                                                <w:top w:val="none" w:sz="0" w:space="0" w:color="auto"/>
                                                                <w:left w:val="none" w:sz="0" w:space="0" w:color="auto"/>
                                                                <w:bottom w:val="none" w:sz="0" w:space="0" w:color="auto"/>
                                                                <w:right w:val="none" w:sz="0" w:space="0" w:color="auto"/>
                                                              </w:divBdr>
                                                            </w:div>
                                                            <w:div w:id="8022383">
                                                              <w:marLeft w:val="0"/>
                                                              <w:marRight w:val="0"/>
                                                              <w:marTop w:val="0"/>
                                                              <w:marBottom w:val="0"/>
                                                              <w:divBdr>
                                                                <w:top w:val="none" w:sz="0" w:space="0" w:color="auto"/>
                                                                <w:left w:val="none" w:sz="0" w:space="0" w:color="auto"/>
                                                                <w:bottom w:val="none" w:sz="0" w:space="0" w:color="auto"/>
                                                                <w:right w:val="none" w:sz="0" w:space="0" w:color="auto"/>
                                                              </w:divBdr>
                                                            </w:div>
                                                            <w:div w:id="1792624573">
                                                              <w:marLeft w:val="0"/>
                                                              <w:marRight w:val="0"/>
                                                              <w:marTop w:val="0"/>
                                                              <w:marBottom w:val="0"/>
                                                              <w:divBdr>
                                                                <w:top w:val="none" w:sz="0" w:space="0" w:color="auto"/>
                                                                <w:left w:val="none" w:sz="0" w:space="0" w:color="auto"/>
                                                                <w:bottom w:val="none" w:sz="0" w:space="0" w:color="auto"/>
                                                                <w:right w:val="none" w:sz="0" w:space="0" w:color="auto"/>
                                                              </w:divBdr>
                                                            </w:div>
                                                            <w:div w:id="12060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579805">
                              <w:marLeft w:val="0"/>
                              <w:marRight w:val="0"/>
                              <w:marTop w:val="0"/>
                              <w:marBottom w:val="0"/>
                              <w:divBdr>
                                <w:top w:val="none" w:sz="0" w:space="0" w:color="auto"/>
                                <w:left w:val="none" w:sz="0" w:space="0" w:color="auto"/>
                                <w:bottom w:val="none" w:sz="0" w:space="0" w:color="auto"/>
                                <w:right w:val="none" w:sz="0" w:space="0" w:color="auto"/>
                              </w:divBdr>
                              <w:divsChild>
                                <w:div w:id="330255793">
                                  <w:marLeft w:val="0"/>
                                  <w:marRight w:val="0"/>
                                  <w:marTop w:val="0"/>
                                  <w:marBottom w:val="0"/>
                                  <w:divBdr>
                                    <w:top w:val="none" w:sz="0" w:space="0" w:color="auto"/>
                                    <w:left w:val="none" w:sz="0" w:space="0" w:color="auto"/>
                                    <w:bottom w:val="none" w:sz="0" w:space="0" w:color="auto"/>
                                    <w:right w:val="none" w:sz="0" w:space="0" w:color="auto"/>
                                  </w:divBdr>
                                  <w:divsChild>
                                    <w:div w:id="1119224636">
                                      <w:marLeft w:val="0"/>
                                      <w:marRight w:val="0"/>
                                      <w:marTop w:val="0"/>
                                      <w:marBottom w:val="0"/>
                                      <w:divBdr>
                                        <w:top w:val="none" w:sz="0" w:space="0" w:color="auto"/>
                                        <w:left w:val="none" w:sz="0" w:space="0" w:color="auto"/>
                                        <w:bottom w:val="none" w:sz="0" w:space="0" w:color="auto"/>
                                        <w:right w:val="none" w:sz="0" w:space="0" w:color="auto"/>
                                      </w:divBdr>
                                      <w:divsChild>
                                        <w:div w:id="62216050">
                                          <w:marLeft w:val="0"/>
                                          <w:marRight w:val="0"/>
                                          <w:marTop w:val="0"/>
                                          <w:marBottom w:val="0"/>
                                          <w:divBdr>
                                            <w:top w:val="none" w:sz="0" w:space="0" w:color="auto"/>
                                            <w:left w:val="none" w:sz="0" w:space="0" w:color="auto"/>
                                            <w:bottom w:val="none" w:sz="0" w:space="0" w:color="auto"/>
                                            <w:right w:val="none" w:sz="0" w:space="0" w:color="auto"/>
                                          </w:divBdr>
                                          <w:divsChild>
                                            <w:div w:id="1467091535">
                                              <w:marLeft w:val="0"/>
                                              <w:marRight w:val="0"/>
                                              <w:marTop w:val="0"/>
                                              <w:marBottom w:val="0"/>
                                              <w:divBdr>
                                                <w:top w:val="none" w:sz="0" w:space="0" w:color="auto"/>
                                                <w:left w:val="none" w:sz="0" w:space="0" w:color="auto"/>
                                                <w:bottom w:val="none" w:sz="0" w:space="0" w:color="auto"/>
                                                <w:right w:val="none" w:sz="0" w:space="0" w:color="auto"/>
                                              </w:divBdr>
                                              <w:divsChild>
                                                <w:div w:id="2009018764">
                                                  <w:marLeft w:val="0"/>
                                                  <w:marRight w:val="0"/>
                                                  <w:marTop w:val="0"/>
                                                  <w:marBottom w:val="0"/>
                                                  <w:divBdr>
                                                    <w:top w:val="none" w:sz="0" w:space="0" w:color="auto"/>
                                                    <w:left w:val="none" w:sz="0" w:space="0" w:color="auto"/>
                                                    <w:bottom w:val="none" w:sz="0" w:space="0" w:color="auto"/>
                                                    <w:right w:val="none" w:sz="0" w:space="0" w:color="auto"/>
                                                  </w:divBdr>
                                                  <w:divsChild>
                                                    <w:div w:id="2121220544">
                                                      <w:marLeft w:val="0"/>
                                                      <w:marRight w:val="0"/>
                                                      <w:marTop w:val="0"/>
                                                      <w:marBottom w:val="0"/>
                                                      <w:divBdr>
                                                        <w:top w:val="none" w:sz="0" w:space="0" w:color="auto"/>
                                                        <w:left w:val="none" w:sz="0" w:space="0" w:color="auto"/>
                                                        <w:bottom w:val="none" w:sz="0" w:space="0" w:color="auto"/>
                                                        <w:right w:val="none" w:sz="0" w:space="0" w:color="auto"/>
                                                      </w:divBdr>
                                                      <w:divsChild>
                                                        <w:div w:id="623849582">
                                                          <w:marLeft w:val="0"/>
                                                          <w:marRight w:val="0"/>
                                                          <w:marTop w:val="0"/>
                                                          <w:marBottom w:val="0"/>
                                                          <w:divBdr>
                                                            <w:top w:val="none" w:sz="0" w:space="0" w:color="auto"/>
                                                            <w:left w:val="none" w:sz="0" w:space="0" w:color="auto"/>
                                                            <w:bottom w:val="none" w:sz="0" w:space="0" w:color="auto"/>
                                                            <w:right w:val="none" w:sz="0" w:space="0" w:color="auto"/>
                                                          </w:divBdr>
                                                          <w:divsChild>
                                                            <w:div w:id="1700203221">
                                                              <w:marLeft w:val="0"/>
                                                              <w:marRight w:val="0"/>
                                                              <w:marTop w:val="0"/>
                                                              <w:marBottom w:val="0"/>
                                                              <w:divBdr>
                                                                <w:top w:val="none" w:sz="0" w:space="0" w:color="auto"/>
                                                                <w:left w:val="none" w:sz="0" w:space="0" w:color="auto"/>
                                                                <w:bottom w:val="none" w:sz="0" w:space="0" w:color="auto"/>
                                                                <w:right w:val="none" w:sz="0" w:space="0" w:color="auto"/>
                                                              </w:divBdr>
                                                              <w:divsChild>
                                                                <w:div w:id="987438308">
                                                                  <w:marLeft w:val="0"/>
                                                                  <w:marRight w:val="0"/>
                                                                  <w:marTop w:val="0"/>
                                                                  <w:marBottom w:val="0"/>
                                                                  <w:divBdr>
                                                                    <w:top w:val="none" w:sz="0" w:space="0" w:color="auto"/>
                                                                    <w:left w:val="none" w:sz="0" w:space="0" w:color="auto"/>
                                                                    <w:bottom w:val="none" w:sz="0" w:space="0" w:color="auto"/>
                                                                    <w:right w:val="none" w:sz="0" w:space="0" w:color="auto"/>
                                                                  </w:divBdr>
                                                                  <w:divsChild>
                                                                    <w:div w:id="1469468879">
                                                                      <w:marLeft w:val="0"/>
                                                                      <w:marRight w:val="0"/>
                                                                      <w:marTop w:val="0"/>
                                                                      <w:marBottom w:val="0"/>
                                                                      <w:divBdr>
                                                                        <w:top w:val="none" w:sz="0" w:space="0" w:color="auto"/>
                                                                        <w:left w:val="none" w:sz="0" w:space="0" w:color="auto"/>
                                                                        <w:bottom w:val="none" w:sz="0" w:space="0" w:color="auto"/>
                                                                        <w:right w:val="none" w:sz="0" w:space="0" w:color="auto"/>
                                                                      </w:divBdr>
                                                                      <w:divsChild>
                                                                        <w:div w:id="1169370037">
                                                                          <w:marLeft w:val="0"/>
                                                                          <w:marRight w:val="0"/>
                                                                          <w:marTop w:val="0"/>
                                                                          <w:marBottom w:val="0"/>
                                                                          <w:divBdr>
                                                                            <w:top w:val="none" w:sz="0" w:space="0" w:color="auto"/>
                                                                            <w:left w:val="none" w:sz="0" w:space="0" w:color="auto"/>
                                                                            <w:bottom w:val="none" w:sz="0" w:space="0" w:color="auto"/>
                                                                            <w:right w:val="none" w:sz="0" w:space="0" w:color="auto"/>
                                                                          </w:divBdr>
                                                                          <w:divsChild>
                                                                            <w:div w:id="1969700807">
                                                                              <w:marLeft w:val="0"/>
                                                                              <w:marRight w:val="0"/>
                                                                              <w:marTop w:val="105"/>
                                                                              <w:marBottom w:val="15"/>
                                                                              <w:divBdr>
                                                                                <w:top w:val="none" w:sz="0" w:space="0" w:color="auto"/>
                                                                                <w:left w:val="none" w:sz="0" w:space="0" w:color="auto"/>
                                                                                <w:bottom w:val="none" w:sz="0" w:space="0" w:color="auto"/>
                                                                                <w:right w:val="none" w:sz="0" w:space="0" w:color="auto"/>
                                                                              </w:divBdr>
                                                                              <w:divsChild>
                                                                                <w:div w:id="613367722">
                                                                                  <w:marLeft w:val="0"/>
                                                                                  <w:marRight w:val="0"/>
                                                                                  <w:marTop w:val="0"/>
                                                                                  <w:marBottom w:val="0"/>
                                                                                  <w:divBdr>
                                                                                    <w:top w:val="none" w:sz="0" w:space="0" w:color="auto"/>
                                                                                    <w:left w:val="none" w:sz="0" w:space="0" w:color="auto"/>
                                                                                    <w:bottom w:val="none" w:sz="0" w:space="0" w:color="auto"/>
                                                                                    <w:right w:val="none" w:sz="0" w:space="0" w:color="auto"/>
                                                                                  </w:divBdr>
                                                                                  <w:divsChild>
                                                                                    <w:div w:id="1567298383">
                                                                                      <w:marLeft w:val="0"/>
                                                                                      <w:marRight w:val="0"/>
                                                                                      <w:marTop w:val="0"/>
                                                                                      <w:marBottom w:val="0"/>
                                                                                      <w:divBdr>
                                                                                        <w:top w:val="none" w:sz="0" w:space="0" w:color="auto"/>
                                                                                        <w:left w:val="none" w:sz="0" w:space="0" w:color="auto"/>
                                                                                        <w:bottom w:val="none" w:sz="0" w:space="0" w:color="auto"/>
                                                                                        <w:right w:val="none" w:sz="0" w:space="0" w:color="auto"/>
                                                                                      </w:divBdr>
                                                                                      <w:divsChild>
                                                                                        <w:div w:id="1482885530">
                                                                                          <w:marLeft w:val="0"/>
                                                                                          <w:marRight w:val="0"/>
                                                                                          <w:marTop w:val="0"/>
                                                                                          <w:marBottom w:val="0"/>
                                                                                          <w:divBdr>
                                                                                            <w:top w:val="none" w:sz="0" w:space="0" w:color="auto"/>
                                                                                            <w:left w:val="none" w:sz="0" w:space="0" w:color="auto"/>
                                                                                            <w:bottom w:val="none" w:sz="0" w:space="0" w:color="auto"/>
                                                                                            <w:right w:val="none" w:sz="0" w:space="0" w:color="auto"/>
                                                                                          </w:divBdr>
                                                                                          <w:divsChild>
                                                                                            <w:div w:id="11684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49058">
                                                                                      <w:marLeft w:val="0"/>
                                                                                      <w:marRight w:val="0"/>
                                                                                      <w:marTop w:val="0"/>
                                                                                      <w:marBottom w:val="0"/>
                                                                                      <w:divBdr>
                                                                                        <w:top w:val="none" w:sz="0" w:space="0" w:color="auto"/>
                                                                                        <w:left w:val="none" w:sz="0" w:space="0" w:color="auto"/>
                                                                                        <w:bottom w:val="none" w:sz="0" w:space="0" w:color="auto"/>
                                                                                        <w:right w:val="none" w:sz="0" w:space="0" w:color="auto"/>
                                                                                      </w:divBdr>
                                                                                      <w:divsChild>
                                                                                        <w:div w:id="91823039">
                                                                                          <w:marLeft w:val="0"/>
                                                                                          <w:marRight w:val="0"/>
                                                                                          <w:marTop w:val="0"/>
                                                                                          <w:marBottom w:val="0"/>
                                                                                          <w:divBdr>
                                                                                            <w:top w:val="none" w:sz="0" w:space="0" w:color="auto"/>
                                                                                            <w:left w:val="none" w:sz="0" w:space="0" w:color="auto"/>
                                                                                            <w:bottom w:val="none" w:sz="0" w:space="0" w:color="auto"/>
                                                                                            <w:right w:val="none" w:sz="0" w:space="0" w:color="auto"/>
                                                                                          </w:divBdr>
                                                                                          <w:divsChild>
                                                                                            <w:div w:id="14173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3504">
                                                                                      <w:marLeft w:val="0"/>
                                                                                      <w:marRight w:val="0"/>
                                                                                      <w:marTop w:val="0"/>
                                                                                      <w:marBottom w:val="0"/>
                                                                                      <w:divBdr>
                                                                                        <w:top w:val="none" w:sz="0" w:space="0" w:color="auto"/>
                                                                                        <w:left w:val="none" w:sz="0" w:space="0" w:color="auto"/>
                                                                                        <w:bottom w:val="none" w:sz="0" w:space="0" w:color="auto"/>
                                                                                        <w:right w:val="none" w:sz="0" w:space="0" w:color="auto"/>
                                                                                      </w:divBdr>
                                                                                      <w:divsChild>
                                                                                        <w:div w:id="1642420287">
                                                                                          <w:marLeft w:val="0"/>
                                                                                          <w:marRight w:val="0"/>
                                                                                          <w:marTop w:val="0"/>
                                                                                          <w:marBottom w:val="0"/>
                                                                                          <w:divBdr>
                                                                                            <w:top w:val="none" w:sz="0" w:space="0" w:color="auto"/>
                                                                                            <w:left w:val="none" w:sz="0" w:space="0" w:color="auto"/>
                                                                                            <w:bottom w:val="none" w:sz="0" w:space="0" w:color="auto"/>
                                                                                            <w:right w:val="none" w:sz="0" w:space="0" w:color="auto"/>
                                                                                          </w:divBdr>
                                                                                          <w:divsChild>
                                                                                            <w:div w:id="15233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6192">
                                                                                      <w:marLeft w:val="0"/>
                                                                                      <w:marRight w:val="0"/>
                                                                                      <w:marTop w:val="0"/>
                                                                                      <w:marBottom w:val="0"/>
                                                                                      <w:divBdr>
                                                                                        <w:top w:val="none" w:sz="0" w:space="0" w:color="auto"/>
                                                                                        <w:left w:val="none" w:sz="0" w:space="0" w:color="auto"/>
                                                                                        <w:bottom w:val="none" w:sz="0" w:space="0" w:color="auto"/>
                                                                                        <w:right w:val="none" w:sz="0" w:space="0" w:color="auto"/>
                                                                                      </w:divBdr>
                                                                                      <w:divsChild>
                                                                                        <w:div w:id="1268998771">
                                                                                          <w:marLeft w:val="0"/>
                                                                                          <w:marRight w:val="0"/>
                                                                                          <w:marTop w:val="0"/>
                                                                                          <w:marBottom w:val="0"/>
                                                                                          <w:divBdr>
                                                                                            <w:top w:val="none" w:sz="0" w:space="0" w:color="auto"/>
                                                                                            <w:left w:val="none" w:sz="0" w:space="0" w:color="auto"/>
                                                                                            <w:bottom w:val="none" w:sz="0" w:space="0" w:color="auto"/>
                                                                                            <w:right w:val="none" w:sz="0" w:space="0" w:color="auto"/>
                                                                                          </w:divBdr>
                                                                                          <w:divsChild>
                                                                                            <w:div w:id="16447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8349">
                                                                                      <w:marLeft w:val="0"/>
                                                                                      <w:marRight w:val="0"/>
                                                                                      <w:marTop w:val="0"/>
                                                                                      <w:marBottom w:val="0"/>
                                                                                      <w:divBdr>
                                                                                        <w:top w:val="none" w:sz="0" w:space="0" w:color="auto"/>
                                                                                        <w:left w:val="none" w:sz="0" w:space="0" w:color="auto"/>
                                                                                        <w:bottom w:val="none" w:sz="0" w:space="0" w:color="auto"/>
                                                                                        <w:right w:val="none" w:sz="0" w:space="0" w:color="auto"/>
                                                                                      </w:divBdr>
                                                                                      <w:divsChild>
                                                                                        <w:div w:id="741292643">
                                                                                          <w:marLeft w:val="0"/>
                                                                                          <w:marRight w:val="0"/>
                                                                                          <w:marTop w:val="0"/>
                                                                                          <w:marBottom w:val="0"/>
                                                                                          <w:divBdr>
                                                                                            <w:top w:val="none" w:sz="0" w:space="0" w:color="auto"/>
                                                                                            <w:left w:val="none" w:sz="0" w:space="0" w:color="auto"/>
                                                                                            <w:bottom w:val="none" w:sz="0" w:space="0" w:color="auto"/>
                                                                                            <w:right w:val="none" w:sz="0" w:space="0" w:color="auto"/>
                                                                                          </w:divBdr>
                                                                                          <w:divsChild>
                                                                                            <w:div w:id="1362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8195">
                                                                                      <w:marLeft w:val="0"/>
                                                                                      <w:marRight w:val="0"/>
                                                                                      <w:marTop w:val="0"/>
                                                                                      <w:marBottom w:val="0"/>
                                                                                      <w:divBdr>
                                                                                        <w:top w:val="none" w:sz="0" w:space="0" w:color="auto"/>
                                                                                        <w:left w:val="none" w:sz="0" w:space="0" w:color="auto"/>
                                                                                        <w:bottom w:val="none" w:sz="0" w:space="0" w:color="auto"/>
                                                                                        <w:right w:val="none" w:sz="0" w:space="0" w:color="auto"/>
                                                                                      </w:divBdr>
                                                                                      <w:divsChild>
                                                                                        <w:div w:id="633100128">
                                                                                          <w:marLeft w:val="0"/>
                                                                                          <w:marRight w:val="0"/>
                                                                                          <w:marTop w:val="0"/>
                                                                                          <w:marBottom w:val="0"/>
                                                                                          <w:divBdr>
                                                                                            <w:top w:val="none" w:sz="0" w:space="0" w:color="auto"/>
                                                                                            <w:left w:val="none" w:sz="0" w:space="0" w:color="auto"/>
                                                                                            <w:bottom w:val="none" w:sz="0" w:space="0" w:color="auto"/>
                                                                                            <w:right w:val="none" w:sz="0" w:space="0" w:color="auto"/>
                                                                                          </w:divBdr>
                                                                                          <w:divsChild>
                                                                                            <w:div w:id="802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4514">
                                                                                      <w:marLeft w:val="0"/>
                                                                                      <w:marRight w:val="0"/>
                                                                                      <w:marTop w:val="0"/>
                                                                                      <w:marBottom w:val="0"/>
                                                                                      <w:divBdr>
                                                                                        <w:top w:val="none" w:sz="0" w:space="0" w:color="auto"/>
                                                                                        <w:left w:val="none" w:sz="0" w:space="0" w:color="auto"/>
                                                                                        <w:bottom w:val="none" w:sz="0" w:space="0" w:color="auto"/>
                                                                                        <w:right w:val="none" w:sz="0" w:space="0" w:color="auto"/>
                                                                                      </w:divBdr>
                                                                                    </w:div>
                                                                                    <w:div w:id="1465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673110">
      <w:bodyDiv w:val="1"/>
      <w:marLeft w:val="0"/>
      <w:marRight w:val="0"/>
      <w:marTop w:val="0"/>
      <w:marBottom w:val="0"/>
      <w:divBdr>
        <w:top w:val="none" w:sz="0" w:space="0" w:color="auto"/>
        <w:left w:val="none" w:sz="0" w:space="0" w:color="auto"/>
        <w:bottom w:val="none" w:sz="0" w:space="0" w:color="auto"/>
        <w:right w:val="none" w:sz="0" w:space="0" w:color="auto"/>
      </w:divBdr>
    </w:div>
    <w:div w:id="501045313">
      <w:bodyDiv w:val="1"/>
      <w:marLeft w:val="0"/>
      <w:marRight w:val="0"/>
      <w:marTop w:val="0"/>
      <w:marBottom w:val="0"/>
      <w:divBdr>
        <w:top w:val="none" w:sz="0" w:space="0" w:color="auto"/>
        <w:left w:val="none" w:sz="0" w:space="0" w:color="auto"/>
        <w:bottom w:val="none" w:sz="0" w:space="0" w:color="auto"/>
        <w:right w:val="none" w:sz="0" w:space="0" w:color="auto"/>
      </w:divBdr>
    </w:div>
    <w:div w:id="507330243">
      <w:bodyDiv w:val="1"/>
      <w:marLeft w:val="0"/>
      <w:marRight w:val="0"/>
      <w:marTop w:val="0"/>
      <w:marBottom w:val="0"/>
      <w:divBdr>
        <w:top w:val="none" w:sz="0" w:space="0" w:color="auto"/>
        <w:left w:val="none" w:sz="0" w:space="0" w:color="auto"/>
        <w:bottom w:val="none" w:sz="0" w:space="0" w:color="auto"/>
        <w:right w:val="none" w:sz="0" w:space="0" w:color="auto"/>
      </w:divBdr>
    </w:div>
    <w:div w:id="527331206">
      <w:bodyDiv w:val="1"/>
      <w:marLeft w:val="0"/>
      <w:marRight w:val="0"/>
      <w:marTop w:val="0"/>
      <w:marBottom w:val="0"/>
      <w:divBdr>
        <w:top w:val="none" w:sz="0" w:space="0" w:color="auto"/>
        <w:left w:val="none" w:sz="0" w:space="0" w:color="auto"/>
        <w:bottom w:val="none" w:sz="0" w:space="0" w:color="auto"/>
        <w:right w:val="none" w:sz="0" w:space="0" w:color="auto"/>
      </w:divBdr>
    </w:div>
    <w:div w:id="550770608">
      <w:bodyDiv w:val="1"/>
      <w:marLeft w:val="0"/>
      <w:marRight w:val="0"/>
      <w:marTop w:val="0"/>
      <w:marBottom w:val="0"/>
      <w:divBdr>
        <w:top w:val="none" w:sz="0" w:space="0" w:color="auto"/>
        <w:left w:val="none" w:sz="0" w:space="0" w:color="auto"/>
        <w:bottom w:val="none" w:sz="0" w:space="0" w:color="auto"/>
        <w:right w:val="none" w:sz="0" w:space="0" w:color="auto"/>
      </w:divBdr>
    </w:div>
    <w:div w:id="641934577">
      <w:bodyDiv w:val="1"/>
      <w:marLeft w:val="0"/>
      <w:marRight w:val="0"/>
      <w:marTop w:val="0"/>
      <w:marBottom w:val="0"/>
      <w:divBdr>
        <w:top w:val="none" w:sz="0" w:space="0" w:color="auto"/>
        <w:left w:val="none" w:sz="0" w:space="0" w:color="auto"/>
        <w:bottom w:val="none" w:sz="0" w:space="0" w:color="auto"/>
        <w:right w:val="none" w:sz="0" w:space="0" w:color="auto"/>
      </w:divBdr>
    </w:div>
    <w:div w:id="790396156">
      <w:bodyDiv w:val="1"/>
      <w:marLeft w:val="0"/>
      <w:marRight w:val="0"/>
      <w:marTop w:val="0"/>
      <w:marBottom w:val="0"/>
      <w:divBdr>
        <w:top w:val="none" w:sz="0" w:space="0" w:color="auto"/>
        <w:left w:val="none" w:sz="0" w:space="0" w:color="auto"/>
        <w:bottom w:val="none" w:sz="0" w:space="0" w:color="auto"/>
        <w:right w:val="none" w:sz="0" w:space="0" w:color="auto"/>
      </w:divBdr>
    </w:div>
    <w:div w:id="819272876">
      <w:bodyDiv w:val="1"/>
      <w:marLeft w:val="0"/>
      <w:marRight w:val="0"/>
      <w:marTop w:val="0"/>
      <w:marBottom w:val="0"/>
      <w:divBdr>
        <w:top w:val="none" w:sz="0" w:space="0" w:color="auto"/>
        <w:left w:val="none" w:sz="0" w:space="0" w:color="auto"/>
        <w:bottom w:val="none" w:sz="0" w:space="0" w:color="auto"/>
        <w:right w:val="none" w:sz="0" w:space="0" w:color="auto"/>
      </w:divBdr>
    </w:div>
    <w:div w:id="914587366">
      <w:bodyDiv w:val="1"/>
      <w:marLeft w:val="0"/>
      <w:marRight w:val="0"/>
      <w:marTop w:val="0"/>
      <w:marBottom w:val="0"/>
      <w:divBdr>
        <w:top w:val="none" w:sz="0" w:space="0" w:color="auto"/>
        <w:left w:val="none" w:sz="0" w:space="0" w:color="auto"/>
        <w:bottom w:val="none" w:sz="0" w:space="0" w:color="auto"/>
        <w:right w:val="none" w:sz="0" w:space="0" w:color="auto"/>
      </w:divBdr>
      <w:divsChild>
        <w:div w:id="1547647285">
          <w:marLeft w:val="0"/>
          <w:marRight w:val="0"/>
          <w:marTop w:val="0"/>
          <w:marBottom w:val="0"/>
          <w:divBdr>
            <w:top w:val="none" w:sz="0" w:space="0" w:color="auto"/>
            <w:left w:val="none" w:sz="0" w:space="0" w:color="auto"/>
            <w:bottom w:val="none" w:sz="0" w:space="0" w:color="auto"/>
            <w:right w:val="single" w:sz="6" w:space="0" w:color="EDEBE9"/>
          </w:divBdr>
          <w:divsChild>
            <w:div w:id="321547772">
              <w:marLeft w:val="0"/>
              <w:marRight w:val="0"/>
              <w:marTop w:val="0"/>
              <w:marBottom w:val="0"/>
              <w:divBdr>
                <w:top w:val="none" w:sz="0" w:space="0" w:color="auto"/>
                <w:left w:val="none" w:sz="0" w:space="0" w:color="auto"/>
                <w:bottom w:val="none" w:sz="0" w:space="0" w:color="auto"/>
                <w:right w:val="none" w:sz="0" w:space="0" w:color="auto"/>
              </w:divBdr>
            </w:div>
            <w:div w:id="2077899320">
              <w:marLeft w:val="0"/>
              <w:marRight w:val="0"/>
              <w:marTop w:val="0"/>
              <w:marBottom w:val="0"/>
              <w:divBdr>
                <w:top w:val="none" w:sz="0" w:space="0" w:color="auto"/>
                <w:left w:val="none" w:sz="0" w:space="0" w:color="auto"/>
                <w:bottom w:val="none" w:sz="0" w:space="0" w:color="auto"/>
                <w:right w:val="none" w:sz="0" w:space="0" w:color="auto"/>
              </w:divBdr>
            </w:div>
            <w:div w:id="1755854883">
              <w:marLeft w:val="0"/>
              <w:marRight w:val="0"/>
              <w:marTop w:val="0"/>
              <w:marBottom w:val="0"/>
              <w:divBdr>
                <w:top w:val="none" w:sz="0" w:space="0" w:color="auto"/>
                <w:left w:val="none" w:sz="0" w:space="0" w:color="auto"/>
                <w:bottom w:val="none" w:sz="0" w:space="0" w:color="auto"/>
                <w:right w:val="none" w:sz="0" w:space="0" w:color="auto"/>
              </w:divBdr>
            </w:div>
            <w:div w:id="1683626133">
              <w:marLeft w:val="0"/>
              <w:marRight w:val="0"/>
              <w:marTop w:val="0"/>
              <w:marBottom w:val="0"/>
              <w:divBdr>
                <w:top w:val="none" w:sz="0" w:space="0" w:color="auto"/>
                <w:left w:val="none" w:sz="0" w:space="0" w:color="auto"/>
                <w:bottom w:val="none" w:sz="0" w:space="0" w:color="auto"/>
                <w:right w:val="none" w:sz="0" w:space="0" w:color="auto"/>
              </w:divBdr>
            </w:div>
            <w:div w:id="1704936145">
              <w:marLeft w:val="0"/>
              <w:marRight w:val="0"/>
              <w:marTop w:val="0"/>
              <w:marBottom w:val="0"/>
              <w:divBdr>
                <w:top w:val="none" w:sz="0" w:space="0" w:color="auto"/>
                <w:left w:val="none" w:sz="0" w:space="0" w:color="auto"/>
                <w:bottom w:val="none" w:sz="0" w:space="0" w:color="auto"/>
                <w:right w:val="none" w:sz="0" w:space="0" w:color="auto"/>
              </w:divBdr>
            </w:div>
          </w:divsChild>
        </w:div>
        <w:div w:id="1612280087">
          <w:marLeft w:val="0"/>
          <w:marRight w:val="0"/>
          <w:marTop w:val="0"/>
          <w:marBottom w:val="0"/>
          <w:divBdr>
            <w:top w:val="none" w:sz="0" w:space="0" w:color="auto"/>
            <w:left w:val="none" w:sz="0" w:space="0" w:color="auto"/>
            <w:bottom w:val="none" w:sz="0" w:space="0" w:color="auto"/>
            <w:right w:val="none" w:sz="0" w:space="0" w:color="auto"/>
          </w:divBdr>
          <w:divsChild>
            <w:div w:id="1769035841">
              <w:marLeft w:val="0"/>
              <w:marRight w:val="0"/>
              <w:marTop w:val="0"/>
              <w:marBottom w:val="0"/>
              <w:divBdr>
                <w:top w:val="none" w:sz="0" w:space="0" w:color="auto"/>
                <w:left w:val="none" w:sz="0" w:space="0" w:color="auto"/>
                <w:bottom w:val="none" w:sz="0" w:space="0" w:color="auto"/>
                <w:right w:val="none" w:sz="0" w:space="0" w:color="auto"/>
              </w:divBdr>
              <w:divsChild>
                <w:div w:id="2053772349">
                  <w:marLeft w:val="0"/>
                  <w:marRight w:val="0"/>
                  <w:marTop w:val="0"/>
                  <w:marBottom w:val="0"/>
                  <w:divBdr>
                    <w:top w:val="none" w:sz="0" w:space="0" w:color="auto"/>
                    <w:left w:val="none" w:sz="0" w:space="0" w:color="auto"/>
                    <w:bottom w:val="none" w:sz="0" w:space="0" w:color="auto"/>
                    <w:right w:val="none" w:sz="0" w:space="0" w:color="auto"/>
                  </w:divBdr>
                  <w:divsChild>
                    <w:div w:id="555356582">
                      <w:marLeft w:val="0"/>
                      <w:marRight w:val="0"/>
                      <w:marTop w:val="0"/>
                      <w:marBottom w:val="0"/>
                      <w:divBdr>
                        <w:top w:val="none" w:sz="0" w:space="0" w:color="auto"/>
                        <w:left w:val="none" w:sz="0" w:space="0" w:color="auto"/>
                        <w:bottom w:val="single" w:sz="6" w:space="0" w:color="EDEBE9"/>
                        <w:right w:val="none" w:sz="0" w:space="0" w:color="auto"/>
                      </w:divBdr>
                      <w:divsChild>
                        <w:div w:id="561212057">
                          <w:marLeft w:val="0"/>
                          <w:marRight w:val="0"/>
                          <w:marTop w:val="0"/>
                          <w:marBottom w:val="0"/>
                          <w:divBdr>
                            <w:top w:val="none" w:sz="0" w:space="0" w:color="auto"/>
                            <w:left w:val="none" w:sz="0" w:space="0" w:color="auto"/>
                            <w:bottom w:val="none" w:sz="0" w:space="0" w:color="auto"/>
                            <w:right w:val="none" w:sz="0" w:space="0" w:color="auto"/>
                          </w:divBdr>
                          <w:divsChild>
                            <w:div w:id="509104064">
                              <w:marLeft w:val="0"/>
                              <w:marRight w:val="0"/>
                              <w:marTop w:val="0"/>
                              <w:marBottom w:val="0"/>
                              <w:divBdr>
                                <w:top w:val="none" w:sz="0" w:space="0" w:color="auto"/>
                                <w:left w:val="none" w:sz="0" w:space="0" w:color="auto"/>
                                <w:bottom w:val="none" w:sz="0" w:space="0" w:color="auto"/>
                                <w:right w:val="none" w:sz="0" w:space="0" w:color="auto"/>
                              </w:divBdr>
                              <w:divsChild>
                                <w:div w:id="623081081">
                                  <w:marLeft w:val="0"/>
                                  <w:marRight w:val="0"/>
                                  <w:marTop w:val="0"/>
                                  <w:marBottom w:val="0"/>
                                  <w:divBdr>
                                    <w:top w:val="none" w:sz="0" w:space="0" w:color="auto"/>
                                    <w:left w:val="none" w:sz="0" w:space="0" w:color="auto"/>
                                    <w:bottom w:val="none" w:sz="0" w:space="0" w:color="auto"/>
                                    <w:right w:val="none" w:sz="0" w:space="0" w:color="auto"/>
                                  </w:divBdr>
                                  <w:divsChild>
                                    <w:div w:id="1393849570">
                                      <w:marLeft w:val="0"/>
                                      <w:marRight w:val="0"/>
                                      <w:marTop w:val="0"/>
                                      <w:marBottom w:val="0"/>
                                      <w:divBdr>
                                        <w:top w:val="none" w:sz="0" w:space="0" w:color="auto"/>
                                        <w:left w:val="none" w:sz="0" w:space="0" w:color="auto"/>
                                        <w:bottom w:val="none" w:sz="0" w:space="0" w:color="auto"/>
                                        <w:right w:val="none" w:sz="0" w:space="0" w:color="auto"/>
                                      </w:divBdr>
                                      <w:divsChild>
                                        <w:div w:id="725297520">
                                          <w:marLeft w:val="0"/>
                                          <w:marRight w:val="0"/>
                                          <w:marTop w:val="0"/>
                                          <w:marBottom w:val="0"/>
                                          <w:divBdr>
                                            <w:top w:val="none" w:sz="0" w:space="0" w:color="auto"/>
                                            <w:left w:val="none" w:sz="0" w:space="0" w:color="auto"/>
                                            <w:bottom w:val="none" w:sz="0" w:space="0" w:color="auto"/>
                                            <w:right w:val="none" w:sz="0" w:space="0" w:color="auto"/>
                                          </w:divBdr>
                                          <w:divsChild>
                                            <w:div w:id="458381733">
                                              <w:marLeft w:val="0"/>
                                              <w:marRight w:val="0"/>
                                              <w:marTop w:val="0"/>
                                              <w:marBottom w:val="0"/>
                                              <w:divBdr>
                                                <w:top w:val="none" w:sz="0" w:space="0" w:color="auto"/>
                                                <w:left w:val="none" w:sz="0" w:space="0" w:color="auto"/>
                                                <w:bottom w:val="none" w:sz="0" w:space="0" w:color="auto"/>
                                                <w:right w:val="none" w:sz="0" w:space="0" w:color="auto"/>
                                              </w:divBdr>
                                              <w:divsChild>
                                                <w:div w:id="1005789769">
                                                  <w:marLeft w:val="0"/>
                                                  <w:marRight w:val="300"/>
                                                  <w:marTop w:val="0"/>
                                                  <w:marBottom w:val="0"/>
                                                  <w:divBdr>
                                                    <w:top w:val="none" w:sz="0" w:space="0" w:color="auto"/>
                                                    <w:left w:val="none" w:sz="0" w:space="0" w:color="auto"/>
                                                    <w:bottom w:val="none" w:sz="0" w:space="0" w:color="auto"/>
                                                    <w:right w:val="none" w:sz="0" w:space="0" w:color="auto"/>
                                                  </w:divBdr>
                                                </w:div>
                                                <w:div w:id="940528330">
                                                  <w:marLeft w:val="0"/>
                                                  <w:marRight w:val="0"/>
                                                  <w:marTop w:val="0"/>
                                                  <w:marBottom w:val="0"/>
                                                  <w:divBdr>
                                                    <w:top w:val="none" w:sz="0" w:space="0" w:color="auto"/>
                                                    <w:left w:val="none" w:sz="0" w:space="0" w:color="auto"/>
                                                    <w:bottom w:val="none" w:sz="0" w:space="0" w:color="auto"/>
                                                    <w:right w:val="none" w:sz="0" w:space="0" w:color="auto"/>
                                                  </w:divBdr>
                                                  <w:divsChild>
                                                    <w:div w:id="780031267">
                                                      <w:marLeft w:val="0"/>
                                                      <w:marRight w:val="0"/>
                                                      <w:marTop w:val="0"/>
                                                      <w:marBottom w:val="0"/>
                                                      <w:divBdr>
                                                        <w:top w:val="none" w:sz="0" w:space="0" w:color="auto"/>
                                                        <w:left w:val="none" w:sz="0" w:space="0" w:color="auto"/>
                                                        <w:bottom w:val="none" w:sz="0" w:space="0" w:color="auto"/>
                                                        <w:right w:val="none" w:sz="0" w:space="0" w:color="auto"/>
                                                      </w:divBdr>
                                                      <w:divsChild>
                                                        <w:div w:id="13886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7695">
                                                  <w:marLeft w:val="0"/>
                                                  <w:marRight w:val="0"/>
                                                  <w:marTop w:val="0"/>
                                                  <w:marBottom w:val="0"/>
                                                  <w:divBdr>
                                                    <w:top w:val="none" w:sz="0" w:space="0" w:color="auto"/>
                                                    <w:left w:val="none" w:sz="0" w:space="0" w:color="auto"/>
                                                    <w:bottom w:val="none" w:sz="0" w:space="0" w:color="auto"/>
                                                    <w:right w:val="none" w:sz="0" w:space="0" w:color="auto"/>
                                                  </w:divBdr>
                                                  <w:divsChild>
                                                    <w:div w:id="1792477234">
                                                      <w:marLeft w:val="0"/>
                                                      <w:marRight w:val="0"/>
                                                      <w:marTop w:val="0"/>
                                                      <w:marBottom w:val="0"/>
                                                      <w:divBdr>
                                                        <w:top w:val="none" w:sz="0" w:space="0" w:color="auto"/>
                                                        <w:left w:val="none" w:sz="0" w:space="0" w:color="auto"/>
                                                        <w:bottom w:val="none" w:sz="0" w:space="0" w:color="auto"/>
                                                        <w:right w:val="none" w:sz="0" w:space="0" w:color="auto"/>
                                                      </w:divBdr>
                                                      <w:divsChild>
                                                        <w:div w:id="984505346">
                                                          <w:marLeft w:val="0"/>
                                                          <w:marRight w:val="0"/>
                                                          <w:marTop w:val="0"/>
                                                          <w:marBottom w:val="0"/>
                                                          <w:divBdr>
                                                            <w:top w:val="none" w:sz="0" w:space="0" w:color="auto"/>
                                                            <w:left w:val="none" w:sz="0" w:space="0" w:color="auto"/>
                                                            <w:bottom w:val="none" w:sz="0" w:space="0" w:color="auto"/>
                                                            <w:right w:val="none" w:sz="0" w:space="0" w:color="auto"/>
                                                          </w:divBdr>
                                                          <w:divsChild>
                                                            <w:div w:id="273247942">
                                                              <w:marLeft w:val="0"/>
                                                              <w:marRight w:val="0"/>
                                                              <w:marTop w:val="0"/>
                                                              <w:marBottom w:val="0"/>
                                                              <w:divBdr>
                                                                <w:top w:val="none" w:sz="0" w:space="0" w:color="auto"/>
                                                                <w:left w:val="none" w:sz="0" w:space="0" w:color="auto"/>
                                                                <w:bottom w:val="none" w:sz="0" w:space="0" w:color="auto"/>
                                                                <w:right w:val="none" w:sz="0" w:space="0" w:color="auto"/>
                                                              </w:divBdr>
                                                              <w:divsChild>
                                                                <w:div w:id="149904621">
                                                                  <w:marLeft w:val="0"/>
                                                                  <w:marRight w:val="0"/>
                                                                  <w:marTop w:val="0"/>
                                                                  <w:marBottom w:val="0"/>
                                                                  <w:divBdr>
                                                                    <w:top w:val="none" w:sz="0" w:space="0" w:color="auto"/>
                                                                    <w:left w:val="none" w:sz="0" w:space="0" w:color="auto"/>
                                                                    <w:bottom w:val="none" w:sz="0" w:space="0" w:color="auto"/>
                                                                    <w:right w:val="none" w:sz="0" w:space="0" w:color="auto"/>
                                                                  </w:divBdr>
                                                                  <w:divsChild>
                                                                    <w:div w:id="808329407">
                                                                      <w:marLeft w:val="0"/>
                                                                      <w:marRight w:val="330"/>
                                                                      <w:marTop w:val="0"/>
                                                                      <w:marBottom w:val="0"/>
                                                                      <w:divBdr>
                                                                        <w:top w:val="none" w:sz="0" w:space="0" w:color="auto"/>
                                                                        <w:left w:val="none" w:sz="0" w:space="0" w:color="auto"/>
                                                                        <w:bottom w:val="none" w:sz="0" w:space="0" w:color="auto"/>
                                                                        <w:right w:val="none" w:sz="0" w:space="0" w:color="auto"/>
                                                                      </w:divBdr>
                                                                    </w:div>
                                                                    <w:div w:id="15783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077234">
                                                  <w:marLeft w:val="0"/>
                                                  <w:marRight w:val="0"/>
                                                  <w:marTop w:val="0"/>
                                                  <w:marBottom w:val="0"/>
                                                  <w:divBdr>
                                                    <w:top w:val="none" w:sz="0" w:space="0" w:color="auto"/>
                                                    <w:left w:val="none" w:sz="0" w:space="0" w:color="auto"/>
                                                    <w:bottom w:val="none" w:sz="0" w:space="0" w:color="auto"/>
                                                    <w:right w:val="none" w:sz="0" w:space="0" w:color="auto"/>
                                                  </w:divBdr>
                                                  <w:divsChild>
                                                    <w:div w:id="71007950">
                                                      <w:marLeft w:val="0"/>
                                                      <w:marRight w:val="0"/>
                                                      <w:marTop w:val="0"/>
                                                      <w:marBottom w:val="0"/>
                                                      <w:divBdr>
                                                        <w:top w:val="none" w:sz="0" w:space="0" w:color="auto"/>
                                                        <w:left w:val="none" w:sz="0" w:space="0" w:color="auto"/>
                                                        <w:bottom w:val="none" w:sz="0" w:space="0" w:color="auto"/>
                                                        <w:right w:val="none" w:sz="0" w:space="0" w:color="auto"/>
                                                      </w:divBdr>
                                                      <w:divsChild>
                                                        <w:div w:id="10453280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153617">
                      <w:marLeft w:val="0"/>
                      <w:marRight w:val="0"/>
                      <w:marTop w:val="0"/>
                      <w:marBottom w:val="0"/>
                      <w:divBdr>
                        <w:top w:val="none" w:sz="0" w:space="0" w:color="auto"/>
                        <w:left w:val="none" w:sz="0" w:space="0" w:color="auto"/>
                        <w:bottom w:val="none" w:sz="0" w:space="0" w:color="auto"/>
                        <w:right w:val="none" w:sz="0" w:space="0" w:color="auto"/>
                      </w:divBdr>
                      <w:divsChild>
                        <w:div w:id="259945809">
                          <w:marLeft w:val="0"/>
                          <w:marRight w:val="0"/>
                          <w:marTop w:val="0"/>
                          <w:marBottom w:val="0"/>
                          <w:divBdr>
                            <w:top w:val="none" w:sz="0" w:space="0" w:color="auto"/>
                            <w:left w:val="none" w:sz="0" w:space="0" w:color="auto"/>
                            <w:bottom w:val="none" w:sz="0" w:space="0" w:color="auto"/>
                            <w:right w:val="none" w:sz="0" w:space="0" w:color="auto"/>
                          </w:divBdr>
                          <w:divsChild>
                            <w:div w:id="1702780710">
                              <w:marLeft w:val="0"/>
                              <w:marRight w:val="0"/>
                              <w:marTop w:val="0"/>
                              <w:marBottom w:val="0"/>
                              <w:divBdr>
                                <w:top w:val="none" w:sz="0" w:space="0" w:color="auto"/>
                                <w:left w:val="none" w:sz="0" w:space="0" w:color="auto"/>
                                <w:bottom w:val="single" w:sz="6" w:space="0" w:color="EDEBE9"/>
                                <w:right w:val="none" w:sz="0" w:space="0" w:color="auto"/>
                              </w:divBdr>
                              <w:divsChild>
                                <w:div w:id="1542279773">
                                  <w:marLeft w:val="0"/>
                                  <w:marRight w:val="0"/>
                                  <w:marTop w:val="0"/>
                                  <w:marBottom w:val="0"/>
                                  <w:divBdr>
                                    <w:top w:val="none" w:sz="0" w:space="0" w:color="auto"/>
                                    <w:left w:val="none" w:sz="0" w:space="0" w:color="auto"/>
                                    <w:bottom w:val="none" w:sz="0" w:space="0" w:color="auto"/>
                                    <w:right w:val="none" w:sz="0" w:space="0" w:color="auto"/>
                                  </w:divBdr>
                                  <w:divsChild>
                                    <w:div w:id="2056462354">
                                      <w:marLeft w:val="0"/>
                                      <w:marRight w:val="0"/>
                                      <w:marTop w:val="0"/>
                                      <w:marBottom w:val="0"/>
                                      <w:divBdr>
                                        <w:top w:val="none" w:sz="0" w:space="0" w:color="auto"/>
                                        <w:left w:val="none" w:sz="0" w:space="0" w:color="auto"/>
                                        <w:bottom w:val="none" w:sz="0" w:space="0" w:color="auto"/>
                                        <w:right w:val="none" w:sz="0" w:space="0" w:color="auto"/>
                                      </w:divBdr>
                                      <w:divsChild>
                                        <w:div w:id="1185709375">
                                          <w:marLeft w:val="0"/>
                                          <w:marRight w:val="0"/>
                                          <w:marTop w:val="0"/>
                                          <w:marBottom w:val="0"/>
                                          <w:divBdr>
                                            <w:top w:val="none" w:sz="0" w:space="0" w:color="auto"/>
                                            <w:left w:val="none" w:sz="0" w:space="0" w:color="auto"/>
                                            <w:bottom w:val="none" w:sz="0" w:space="0" w:color="auto"/>
                                            <w:right w:val="none" w:sz="0" w:space="0" w:color="auto"/>
                                          </w:divBdr>
                                          <w:divsChild>
                                            <w:div w:id="1960136348">
                                              <w:marLeft w:val="0"/>
                                              <w:marRight w:val="0"/>
                                              <w:marTop w:val="0"/>
                                              <w:marBottom w:val="0"/>
                                              <w:divBdr>
                                                <w:top w:val="none" w:sz="0" w:space="0" w:color="auto"/>
                                                <w:left w:val="none" w:sz="0" w:space="0" w:color="auto"/>
                                                <w:bottom w:val="none" w:sz="0" w:space="0" w:color="auto"/>
                                                <w:right w:val="none" w:sz="0" w:space="0" w:color="auto"/>
                                              </w:divBdr>
                                              <w:divsChild>
                                                <w:div w:id="497841640">
                                                  <w:marLeft w:val="0"/>
                                                  <w:marRight w:val="0"/>
                                                  <w:marTop w:val="0"/>
                                                  <w:marBottom w:val="0"/>
                                                  <w:divBdr>
                                                    <w:top w:val="none" w:sz="0" w:space="0" w:color="auto"/>
                                                    <w:left w:val="none" w:sz="0" w:space="0" w:color="auto"/>
                                                    <w:bottom w:val="none" w:sz="0" w:space="0" w:color="auto"/>
                                                    <w:right w:val="none" w:sz="0" w:space="0" w:color="auto"/>
                                                  </w:divBdr>
                                                  <w:divsChild>
                                                    <w:div w:id="1803771277">
                                                      <w:marLeft w:val="0"/>
                                                      <w:marRight w:val="0"/>
                                                      <w:marTop w:val="0"/>
                                                      <w:marBottom w:val="0"/>
                                                      <w:divBdr>
                                                        <w:top w:val="none" w:sz="0" w:space="0" w:color="auto"/>
                                                        <w:left w:val="none" w:sz="0" w:space="0" w:color="auto"/>
                                                        <w:bottom w:val="none" w:sz="0" w:space="0" w:color="auto"/>
                                                        <w:right w:val="none" w:sz="0" w:space="0" w:color="auto"/>
                                                      </w:divBdr>
                                                      <w:divsChild>
                                                        <w:div w:id="1644500980">
                                                          <w:marLeft w:val="0"/>
                                                          <w:marRight w:val="0"/>
                                                          <w:marTop w:val="0"/>
                                                          <w:marBottom w:val="0"/>
                                                          <w:divBdr>
                                                            <w:top w:val="none" w:sz="0" w:space="0" w:color="auto"/>
                                                            <w:left w:val="none" w:sz="0" w:space="0" w:color="auto"/>
                                                            <w:bottom w:val="none" w:sz="0" w:space="0" w:color="auto"/>
                                                            <w:right w:val="none" w:sz="0" w:space="0" w:color="auto"/>
                                                          </w:divBdr>
                                                          <w:divsChild>
                                                            <w:div w:id="134026770">
                                                              <w:marLeft w:val="0"/>
                                                              <w:marRight w:val="0"/>
                                                              <w:marTop w:val="0"/>
                                                              <w:marBottom w:val="0"/>
                                                              <w:divBdr>
                                                                <w:top w:val="none" w:sz="0" w:space="0" w:color="auto"/>
                                                                <w:left w:val="none" w:sz="0" w:space="0" w:color="auto"/>
                                                                <w:bottom w:val="none" w:sz="0" w:space="0" w:color="auto"/>
                                                                <w:right w:val="none" w:sz="0" w:space="0" w:color="auto"/>
                                                              </w:divBdr>
                                                            </w:div>
                                                            <w:div w:id="1306859316">
                                                              <w:marLeft w:val="0"/>
                                                              <w:marRight w:val="0"/>
                                                              <w:marTop w:val="0"/>
                                                              <w:marBottom w:val="0"/>
                                                              <w:divBdr>
                                                                <w:top w:val="none" w:sz="0" w:space="0" w:color="auto"/>
                                                                <w:left w:val="none" w:sz="0" w:space="0" w:color="auto"/>
                                                                <w:bottom w:val="none" w:sz="0" w:space="0" w:color="auto"/>
                                                                <w:right w:val="none" w:sz="0" w:space="0" w:color="auto"/>
                                                              </w:divBdr>
                                                            </w:div>
                                                            <w:div w:id="1026952591">
                                                              <w:marLeft w:val="0"/>
                                                              <w:marRight w:val="0"/>
                                                              <w:marTop w:val="0"/>
                                                              <w:marBottom w:val="0"/>
                                                              <w:divBdr>
                                                                <w:top w:val="none" w:sz="0" w:space="0" w:color="auto"/>
                                                                <w:left w:val="none" w:sz="0" w:space="0" w:color="auto"/>
                                                                <w:bottom w:val="none" w:sz="0" w:space="0" w:color="auto"/>
                                                                <w:right w:val="none" w:sz="0" w:space="0" w:color="auto"/>
                                                              </w:divBdr>
                                                            </w:div>
                                                            <w:div w:id="668874216">
                                                              <w:marLeft w:val="0"/>
                                                              <w:marRight w:val="0"/>
                                                              <w:marTop w:val="0"/>
                                                              <w:marBottom w:val="0"/>
                                                              <w:divBdr>
                                                                <w:top w:val="none" w:sz="0" w:space="0" w:color="auto"/>
                                                                <w:left w:val="none" w:sz="0" w:space="0" w:color="auto"/>
                                                                <w:bottom w:val="none" w:sz="0" w:space="0" w:color="auto"/>
                                                                <w:right w:val="none" w:sz="0" w:space="0" w:color="auto"/>
                                                              </w:divBdr>
                                                            </w:div>
                                                            <w:div w:id="511919996">
                                                              <w:marLeft w:val="0"/>
                                                              <w:marRight w:val="0"/>
                                                              <w:marTop w:val="0"/>
                                                              <w:marBottom w:val="0"/>
                                                              <w:divBdr>
                                                                <w:top w:val="none" w:sz="0" w:space="0" w:color="auto"/>
                                                                <w:left w:val="none" w:sz="0" w:space="0" w:color="auto"/>
                                                                <w:bottom w:val="none" w:sz="0" w:space="0" w:color="auto"/>
                                                                <w:right w:val="none" w:sz="0" w:space="0" w:color="auto"/>
                                                              </w:divBdr>
                                                            </w:div>
                                                            <w:div w:id="171338622">
                                                              <w:marLeft w:val="0"/>
                                                              <w:marRight w:val="0"/>
                                                              <w:marTop w:val="0"/>
                                                              <w:marBottom w:val="0"/>
                                                              <w:divBdr>
                                                                <w:top w:val="none" w:sz="0" w:space="0" w:color="auto"/>
                                                                <w:left w:val="none" w:sz="0" w:space="0" w:color="auto"/>
                                                                <w:bottom w:val="none" w:sz="0" w:space="0" w:color="auto"/>
                                                                <w:right w:val="none" w:sz="0" w:space="0" w:color="auto"/>
                                                              </w:divBdr>
                                                            </w:div>
                                                            <w:div w:id="1917013312">
                                                              <w:marLeft w:val="0"/>
                                                              <w:marRight w:val="0"/>
                                                              <w:marTop w:val="0"/>
                                                              <w:marBottom w:val="0"/>
                                                              <w:divBdr>
                                                                <w:top w:val="none" w:sz="0" w:space="0" w:color="auto"/>
                                                                <w:left w:val="none" w:sz="0" w:space="0" w:color="auto"/>
                                                                <w:bottom w:val="none" w:sz="0" w:space="0" w:color="auto"/>
                                                                <w:right w:val="none" w:sz="0" w:space="0" w:color="auto"/>
                                                              </w:divBdr>
                                                            </w:div>
                                                            <w:div w:id="944114200">
                                                              <w:marLeft w:val="0"/>
                                                              <w:marRight w:val="0"/>
                                                              <w:marTop w:val="0"/>
                                                              <w:marBottom w:val="0"/>
                                                              <w:divBdr>
                                                                <w:top w:val="none" w:sz="0" w:space="0" w:color="auto"/>
                                                                <w:left w:val="none" w:sz="0" w:space="0" w:color="auto"/>
                                                                <w:bottom w:val="none" w:sz="0" w:space="0" w:color="auto"/>
                                                                <w:right w:val="none" w:sz="0" w:space="0" w:color="auto"/>
                                                              </w:divBdr>
                                                            </w:div>
                                                            <w:div w:id="1072194486">
                                                              <w:marLeft w:val="0"/>
                                                              <w:marRight w:val="0"/>
                                                              <w:marTop w:val="0"/>
                                                              <w:marBottom w:val="0"/>
                                                              <w:divBdr>
                                                                <w:top w:val="none" w:sz="0" w:space="0" w:color="auto"/>
                                                                <w:left w:val="none" w:sz="0" w:space="0" w:color="auto"/>
                                                                <w:bottom w:val="none" w:sz="0" w:space="0" w:color="auto"/>
                                                                <w:right w:val="none" w:sz="0" w:space="0" w:color="auto"/>
                                                              </w:divBdr>
                                                            </w:div>
                                                          </w:divsChild>
                                                        </w:div>
                                                        <w:div w:id="466169872">
                                                          <w:marLeft w:val="0"/>
                                                          <w:marRight w:val="0"/>
                                                          <w:marTop w:val="0"/>
                                                          <w:marBottom w:val="0"/>
                                                          <w:divBdr>
                                                            <w:top w:val="none" w:sz="0" w:space="0" w:color="auto"/>
                                                            <w:left w:val="none" w:sz="0" w:space="0" w:color="auto"/>
                                                            <w:bottom w:val="none" w:sz="0" w:space="0" w:color="auto"/>
                                                            <w:right w:val="none" w:sz="0" w:space="0" w:color="auto"/>
                                                          </w:divBdr>
                                                          <w:divsChild>
                                                            <w:div w:id="1985622648">
                                                              <w:marLeft w:val="0"/>
                                                              <w:marRight w:val="0"/>
                                                              <w:marTop w:val="0"/>
                                                              <w:marBottom w:val="0"/>
                                                              <w:divBdr>
                                                                <w:top w:val="none" w:sz="0" w:space="0" w:color="auto"/>
                                                                <w:left w:val="none" w:sz="0" w:space="0" w:color="auto"/>
                                                                <w:bottom w:val="none" w:sz="0" w:space="0" w:color="auto"/>
                                                                <w:right w:val="none" w:sz="0" w:space="0" w:color="auto"/>
                                                              </w:divBdr>
                                                            </w:div>
                                                            <w:div w:id="1064793979">
                                                              <w:marLeft w:val="0"/>
                                                              <w:marRight w:val="0"/>
                                                              <w:marTop w:val="0"/>
                                                              <w:marBottom w:val="0"/>
                                                              <w:divBdr>
                                                                <w:top w:val="none" w:sz="0" w:space="0" w:color="auto"/>
                                                                <w:left w:val="none" w:sz="0" w:space="0" w:color="auto"/>
                                                                <w:bottom w:val="none" w:sz="0" w:space="0" w:color="auto"/>
                                                                <w:right w:val="none" w:sz="0" w:space="0" w:color="auto"/>
                                                              </w:divBdr>
                                                            </w:div>
                                                            <w:div w:id="1304235618">
                                                              <w:marLeft w:val="0"/>
                                                              <w:marRight w:val="0"/>
                                                              <w:marTop w:val="0"/>
                                                              <w:marBottom w:val="0"/>
                                                              <w:divBdr>
                                                                <w:top w:val="none" w:sz="0" w:space="0" w:color="auto"/>
                                                                <w:left w:val="none" w:sz="0" w:space="0" w:color="auto"/>
                                                                <w:bottom w:val="none" w:sz="0" w:space="0" w:color="auto"/>
                                                                <w:right w:val="none" w:sz="0" w:space="0" w:color="auto"/>
                                                              </w:divBdr>
                                                            </w:div>
                                                            <w:div w:id="10803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589682">
                              <w:marLeft w:val="0"/>
                              <w:marRight w:val="0"/>
                              <w:marTop w:val="0"/>
                              <w:marBottom w:val="0"/>
                              <w:divBdr>
                                <w:top w:val="none" w:sz="0" w:space="0" w:color="auto"/>
                                <w:left w:val="none" w:sz="0" w:space="0" w:color="auto"/>
                                <w:bottom w:val="none" w:sz="0" w:space="0" w:color="auto"/>
                                <w:right w:val="none" w:sz="0" w:space="0" w:color="auto"/>
                              </w:divBdr>
                              <w:divsChild>
                                <w:div w:id="465051625">
                                  <w:marLeft w:val="0"/>
                                  <w:marRight w:val="0"/>
                                  <w:marTop w:val="0"/>
                                  <w:marBottom w:val="0"/>
                                  <w:divBdr>
                                    <w:top w:val="none" w:sz="0" w:space="0" w:color="auto"/>
                                    <w:left w:val="none" w:sz="0" w:space="0" w:color="auto"/>
                                    <w:bottom w:val="none" w:sz="0" w:space="0" w:color="auto"/>
                                    <w:right w:val="none" w:sz="0" w:space="0" w:color="auto"/>
                                  </w:divBdr>
                                  <w:divsChild>
                                    <w:div w:id="1037509412">
                                      <w:marLeft w:val="0"/>
                                      <w:marRight w:val="0"/>
                                      <w:marTop w:val="0"/>
                                      <w:marBottom w:val="0"/>
                                      <w:divBdr>
                                        <w:top w:val="none" w:sz="0" w:space="0" w:color="auto"/>
                                        <w:left w:val="none" w:sz="0" w:space="0" w:color="auto"/>
                                        <w:bottom w:val="none" w:sz="0" w:space="0" w:color="auto"/>
                                        <w:right w:val="none" w:sz="0" w:space="0" w:color="auto"/>
                                      </w:divBdr>
                                      <w:divsChild>
                                        <w:div w:id="330062375">
                                          <w:marLeft w:val="0"/>
                                          <w:marRight w:val="0"/>
                                          <w:marTop w:val="0"/>
                                          <w:marBottom w:val="0"/>
                                          <w:divBdr>
                                            <w:top w:val="none" w:sz="0" w:space="0" w:color="auto"/>
                                            <w:left w:val="none" w:sz="0" w:space="0" w:color="auto"/>
                                            <w:bottom w:val="none" w:sz="0" w:space="0" w:color="auto"/>
                                            <w:right w:val="none" w:sz="0" w:space="0" w:color="auto"/>
                                          </w:divBdr>
                                          <w:divsChild>
                                            <w:div w:id="1476603337">
                                              <w:marLeft w:val="0"/>
                                              <w:marRight w:val="0"/>
                                              <w:marTop w:val="0"/>
                                              <w:marBottom w:val="0"/>
                                              <w:divBdr>
                                                <w:top w:val="none" w:sz="0" w:space="0" w:color="auto"/>
                                                <w:left w:val="none" w:sz="0" w:space="0" w:color="auto"/>
                                                <w:bottom w:val="none" w:sz="0" w:space="0" w:color="auto"/>
                                                <w:right w:val="none" w:sz="0" w:space="0" w:color="auto"/>
                                              </w:divBdr>
                                              <w:divsChild>
                                                <w:div w:id="1470131830">
                                                  <w:marLeft w:val="0"/>
                                                  <w:marRight w:val="0"/>
                                                  <w:marTop w:val="0"/>
                                                  <w:marBottom w:val="0"/>
                                                  <w:divBdr>
                                                    <w:top w:val="none" w:sz="0" w:space="0" w:color="auto"/>
                                                    <w:left w:val="none" w:sz="0" w:space="0" w:color="auto"/>
                                                    <w:bottom w:val="none" w:sz="0" w:space="0" w:color="auto"/>
                                                    <w:right w:val="none" w:sz="0" w:space="0" w:color="auto"/>
                                                  </w:divBdr>
                                                  <w:divsChild>
                                                    <w:div w:id="636646807">
                                                      <w:marLeft w:val="0"/>
                                                      <w:marRight w:val="0"/>
                                                      <w:marTop w:val="0"/>
                                                      <w:marBottom w:val="0"/>
                                                      <w:divBdr>
                                                        <w:top w:val="none" w:sz="0" w:space="0" w:color="auto"/>
                                                        <w:left w:val="none" w:sz="0" w:space="0" w:color="auto"/>
                                                        <w:bottom w:val="none" w:sz="0" w:space="0" w:color="auto"/>
                                                        <w:right w:val="none" w:sz="0" w:space="0" w:color="auto"/>
                                                      </w:divBdr>
                                                      <w:divsChild>
                                                        <w:div w:id="28145750">
                                                          <w:marLeft w:val="0"/>
                                                          <w:marRight w:val="0"/>
                                                          <w:marTop w:val="0"/>
                                                          <w:marBottom w:val="0"/>
                                                          <w:divBdr>
                                                            <w:top w:val="none" w:sz="0" w:space="0" w:color="auto"/>
                                                            <w:left w:val="none" w:sz="0" w:space="0" w:color="auto"/>
                                                            <w:bottom w:val="none" w:sz="0" w:space="0" w:color="auto"/>
                                                            <w:right w:val="none" w:sz="0" w:space="0" w:color="auto"/>
                                                          </w:divBdr>
                                                          <w:divsChild>
                                                            <w:div w:id="1833719200">
                                                              <w:marLeft w:val="0"/>
                                                              <w:marRight w:val="0"/>
                                                              <w:marTop w:val="0"/>
                                                              <w:marBottom w:val="0"/>
                                                              <w:divBdr>
                                                                <w:top w:val="none" w:sz="0" w:space="0" w:color="auto"/>
                                                                <w:left w:val="none" w:sz="0" w:space="0" w:color="auto"/>
                                                                <w:bottom w:val="none" w:sz="0" w:space="0" w:color="auto"/>
                                                                <w:right w:val="none" w:sz="0" w:space="0" w:color="auto"/>
                                                              </w:divBdr>
                                                              <w:divsChild>
                                                                <w:div w:id="1900628276">
                                                                  <w:marLeft w:val="0"/>
                                                                  <w:marRight w:val="0"/>
                                                                  <w:marTop w:val="0"/>
                                                                  <w:marBottom w:val="0"/>
                                                                  <w:divBdr>
                                                                    <w:top w:val="none" w:sz="0" w:space="0" w:color="auto"/>
                                                                    <w:left w:val="none" w:sz="0" w:space="0" w:color="auto"/>
                                                                    <w:bottom w:val="none" w:sz="0" w:space="0" w:color="auto"/>
                                                                    <w:right w:val="none" w:sz="0" w:space="0" w:color="auto"/>
                                                                  </w:divBdr>
                                                                  <w:divsChild>
                                                                    <w:div w:id="1544440937">
                                                                      <w:marLeft w:val="0"/>
                                                                      <w:marRight w:val="0"/>
                                                                      <w:marTop w:val="0"/>
                                                                      <w:marBottom w:val="0"/>
                                                                      <w:divBdr>
                                                                        <w:top w:val="none" w:sz="0" w:space="0" w:color="auto"/>
                                                                        <w:left w:val="none" w:sz="0" w:space="0" w:color="auto"/>
                                                                        <w:bottom w:val="none" w:sz="0" w:space="0" w:color="auto"/>
                                                                        <w:right w:val="none" w:sz="0" w:space="0" w:color="auto"/>
                                                                      </w:divBdr>
                                                                      <w:divsChild>
                                                                        <w:div w:id="1662268952">
                                                                          <w:marLeft w:val="0"/>
                                                                          <w:marRight w:val="0"/>
                                                                          <w:marTop w:val="0"/>
                                                                          <w:marBottom w:val="0"/>
                                                                          <w:divBdr>
                                                                            <w:top w:val="none" w:sz="0" w:space="0" w:color="auto"/>
                                                                            <w:left w:val="none" w:sz="0" w:space="0" w:color="auto"/>
                                                                            <w:bottom w:val="none" w:sz="0" w:space="0" w:color="auto"/>
                                                                            <w:right w:val="none" w:sz="0" w:space="0" w:color="auto"/>
                                                                          </w:divBdr>
                                                                          <w:divsChild>
                                                                            <w:div w:id="1516920704">
                                                                              <w:marLeft w:val="0"/>
                                                                              <w:marRight w:val="0"/>
                                                                              <w:marTop w:val="105"/>
                                                                              <w:marBottom w:val="15"/>
                                                                              <w:divBdr>
                                                                                <w:top w:val="none" w:sz="0" w:space="0" w:color="auto"/>
                                                                                <w:left w:val="none" w:sz="0" w:space="0" w:color="auto"/>
                                                                                <w:bottom w:val="none" w:sz="0" w:space="0" w:color="auto"/>
                                                                                <w:right w:val="none" w:sz="0" w:space="0" w:color="auto"/>
                                                                              </w:divBdr>
                                                                              <w:divsChild>
                                                                                <w:div w:id="701590341">
                                                                                  <w:marLeft w:val="0"/>
                                                                                  <w:marRight w:val="0"/>
                                                                                  <w:marTop w:val="0"/>
                                                                                  <w:marBottom w:val="0"/>
                                                                                  <w:divBdr>
                                                                                    <w:top w:val="none" w:sz="0" w:space="0" w:color="auto"/>
                                                                                    <w:left w:val="none" w:sz="0" w:space="0" w:color="auto"/>
                                                                                    <w:bottom w:val="none" w:sz="0" w:space="0" w:color="auto"/>
                                                                                    <w:right w:val="none" w:sz="0" w:space="0" w:color="auto"/>
                                                                                  </w:divBdr>
                                                                                  <w:divsChild>
                                                                                    <w:div w:id="501774790">
                                                                                      <w:marLeft w:val="0"/>
                                                                                      <w:marRight w:val="0"/>
                                                                                      <w:marTop w:val="0"/>
                                                                                      <w:marBottom w:val="0"/>
                                                                                      <w:divBdr>
                                                                                        <w:top w:val="none" w:sz="0" w:space="0" w:color="auto"/>
                                                                                        <w:left w:val="none" w:sz="0" w:space="0" w:color="auto"/>
                                                                                        <w:bottom w:val="none" w:sz="0" w:space="0" w:color="auto"/>
                                                                                        <w:right w:val="none" w:sz="0" w:space="0" w:color="auto"/>
                                                                                      </w:divBdr>
                                                                                      <w:divsChild>
                                                                                        <w:div w:id="1895117898">
                                                                                          <w:marLeft w:val="0"/>
                                                                                          <w:marRight w:val="0"/>
                                                                                          <w:marTop w:val="0"/>
                                                                                          <w:marBottom w:val="0"/>
                                                                                          <w:divBdr>
                                                                                            <w:top w:val="none" w:sz="0" w:space="0" w:color="auto"/>
                                                                                            <w:left w:val="none" w:sz="0" w:space="0" w:color="auto"/>
                                                                                            <w:bottom w:val="none" w:sz="0" w:space="0" w:color="auto"/>
                                                                                            <w:right w:val="none" w:sz="0" w:space="0" w:color="auto"/>
                                                                                          </w:divBdr>
                                                                                          <w:divsChild>
                                                                                            <w:div w:id="11415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81105">
                                                                                      <w:marLeft w:val="0"/>
                                                                                      <w:marRight w:val="0"/>
                                                                                      <w:marTop w:val="0"/>
                                                                                      <w:marBottom w:val="0"/>
                                                                                      <w:divBdr>
                                                                                        <w:top w:val="none" w:sz="0" w:space="0" w:color="auto"/>
                                                                                        <w:left w:val="none" w:sz="0" w:space="0" w:color="auto"/>
                                                                                        <w:bottom w:val="none" w:sz="0" w:space="0" w:color="auto"/>
                                                                                        <w:right w:val="none" w:sz="0" w:space="0" w:color="auto"/>
                                                                                      </w:divBdr>
                                                                                      <w:divsChild>
                                                                                        <w:div w:id="1094279347">
                                                                                          <w:marLeft w:val="0"/>
                                                                                          <w:marRight w:val="0"/>
                                                                                          <w:marTop w:val="0"/>
                                                                                          <w:marBottom w:val="0"/>
                                                                                          <w:divBdr>
                                                                                            <w:top w:val="none" w:sz="0" w:space="0" w:color="auto"/>
                                                                                            <w:left w:val="none" w:sz="0" w:space="0" w:color="auto"/>
                                                                                            <w:bottom w:val="none" w:sz="0" w:space="0" w:color="auto"/>
                                                                                            <w:right w:val="none" w:sz="0" w:space="0" w:color="auto"/>
                                                                                          </w:divBdr>
                                                                                          <w:divsChild>
                                                                                            <w:div w:id="10524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5362">
                                                                                      <w:marLeft w:val="0"/>
                                                                                      <w:marRight w:val="0"/>
                                                                                      <w:marTop w:val="0"/>
                                                                                      <w:marBottom w:val="0"/>
                                                                                      <w:divBdr>
                                                                                        <w:top w:val="none" w:sz="0" w:space="0" w:color="auto"/>
                                                                                        <w:left w:val="none" w:sz="0" w:space="0" w:color="auto"/>
                                                                                        <w:bottom w:val="none" w:sz="0" w:space="0" w:color="auto"/>
                                                                                        <w:right w:val="none" w:sz="0" w:space="0" w:color="auto"/>
                                                                                      </w:divBdr>
                                                                                      <w:divsChild>
                                                                                        <w:div w:id="751702012">
                                                                                          <w:marLeft w:val="0"/>
                                                                                          <w:marRight w:val="0"/>
                                                                                          <w:marTop w:val="0"/>
                                                                                          <w:marBottom w:val="0"/>
                                                                                          <w:divBdr>
                                                                                            <w:top w:val="none" w:sz="0" w:space="0" w:color="auto"/>
                                                                                            <w:left w:val="none" w:sz="0" w:space="0" w:color="auto"/>
                                                                                            <w:bottom w:val="none" w:sz="0" w:space="0" w:color="auto"/>
                                                                                            <w:right w:val="none" w:sz="0" w:space="0" w:color="auto"/>
                                                                                          </w:divBdr>
                                                                                          <w:divsChild>
                                                                                            <w:div w:id="16953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7384">
                                                                                      <w:marLeft w:val="0"/>
                                                                                      <w:marRight w:val="0"/>
                                                                                      <w:marTop w:val="0"/>
                                                                                      <w:marBottom w:val="0"/>
                                                                                      <w:divBdr>
                                                                                        <w:top w:val="none" w:sz="0" w:space="0" w:color="auto"/>
                                                                                        <w:left w:val="none" w:sz="0" w:space="0" w:color="auto"/>
                                                                                        <w:bottom w:val="none" w:sz="0" w:space="0" w:color="auto"/>
                                                                                        <w:right w:val="none" w:sz="0" w:space="0" w:color="auto"/>
                                                                                      </w:divBdr>
                                                                                      <w:divsChild>
                                                                                        <w:div w:id="1746299792">
                                                                                          <w:marLeft w:val="0"/>
                                                                                          <w:marRight w:val="0"/>
                                                                                          <w:marTop w:val="0"/>
                                                                                          <w:marBottom w:val="0"/>
                                                                                          <w:divBdr>
                                                                                            <w:top w:val="none" w:sz="0" w:space="0" w:color="auto"/>
                                                                                            <w:left w:val="none" w:sz="0" w:space="0" w:color="auto"/>
                                                                                            <w:bottom w:val="none" w:sz="0" w:space="0" w:color="auto"/>
                                                                                            <w:right w:val="none" w:sz="0" w:space="0" w:color="auto"/>
                                                                                          </w:divBdr>
                                                                                          <w:divsChild>
                                                                                            <w:div w:id="7807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889">
                                                                                      <w:marLeft w:val="0"/>
                                                                                      <w:marRight w:val="0"/>
                                                                                      <w:marTop w:val="0"/>
                                                                                      <w:marBottom w:val="0"/>
                                                                                      <w:divBdr>
                                                                                        <w:top w:val="none" w:sz="0" w:space="0" w:color="auto"/>
                                                                                        <w:left w:val="none" w:sz="0" w:space="0" w:color="auto"/>
                                                                                        <w:bottom w:val="none" w:sz="0" w:space="0" w:color="auto"/>
                                                                                        <w:right w:val="none" w:sz="0" w:space="0" w:color="auto"/>
                                                                                      </w:divBdr>
                                                                                      <w:divsChild>
                                                                                        <w:div w:id="2075541980">
                                                                                          <w:marLeft w:val="0"/>
                                                                                          <w:marRight w:val="0"/>
                                                                                          <w:marTop w:val="0"/>
                                                                                          <w:marBottom w:val="0"/>
                                                                                          <w:divBdr>
                                                                                            <w:top w:val="none" w:sz="0" w:space="0" w:color="auto"/>
                                                                                            <w:left w:val="none" w:sz="0" w:space="0" w:color="auto"/>
                                                                                            <w:bottom w:val="none" w:sz="0" w:space="0" w:color="auto"/>
                                                                                            <w:right w:val="none" w:sz="0" w:space="0" w:color="auto"/>
                                                                                          </w:divBdr>
                                                                                          <w:divsChild>
                                                                                            <w:div w:id="19617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7213">
                                                                                      <w:marLeft w:val="0"/>
                                                                                      <w:marRight w:val="0"/>
                                                                                      <w:marTop w:val="0"/>
                                                                                      <w:marBottom w:val="0"/>
                                                                                      <w:divBdr>
                                                                                        <w:top w:val="none" w:sz="0" w:space="0" w:color="auto"/>
                                                                                        <w:left w:val="none" w:sz="0" w:space="0" w:color="auto"/>
                                                                                        <w:bottom w:val="none" w:sz="0" w:space="0" w:color="auto"/>
                                                                                        <w:right w:val="none" w:sz="0" w:space="0" w:color="auto"/>
                                                                                      </w:divBdr>
                                                                                      <w:divsChild>
                                                                                        <w:div w:id="380060609">
                                                                                          <w:marLeft w:val="0"/>
                                                                                          <w:marRight w:val="0"/>
                                                                                          <w:marTop w:val="0"/>
                                                                                          <w:marBottom w:val="0"/>
                                                                                          <w:divBdr>
                                                                                            <w:top w:val="none" w:sz="0" w:space="0" w:color="auto"/>
                                                                                            <w:left w:val="none" w:sz="0" w:space="0" w:color="auto"/>
                                                                                            <w:bottom w:val="none" w:sz="0" w:space="0" w:color="auto"/>
                                                                                            <w:right w:val="none" w:sz="0" w:space="0" w:color="auto"/>
                                                                                          </w:divBdr>
                                                                                          <w:divsChild>
                                                                                            <w:div w:id="9533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52006">
                                                                                      <w:marLeft w:val="0"/>
                                                                                      <w:marRight w:val="0"/>
                                                                                      <w:marTop w:val="0"/>
                                                                                      <w:marBottom w:val="0"/>
                                                                                      <w:divBdr>
                                                                                        <w:top w:val="none" w:sz="0" w:space="0" w:color="auto"/>
                                                                                        <w:left w:val="none" w:sz="0" w:space="0" w:color="auto"/>
                                                                                        <w:bottom w:val="none" w:sz="0" w:space="0" w:color="auto"/>
                                                                                        <w:right w:val="none" w:sz="0" w:space="0" w:color="auto"/>
                                                                                      </w:divBdr>
                                                                                    </w:div>
                                                                                    <w:div w:id="19436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330690">
      <w:bodyDiv w:val="1"/>
      <w:marLeft w:val="0"/>
      <w:marRight w:val="0"/>
      <w:marTop w:val="0"/>
      <w:marBottom w:val="0"/>
      <w:divBdr>
        <w:top w:val="none" w:sz="0" w:space="0" w:color="auto"/>
        <w:left w:val="none" w:sz="0" w:space="0" w:color="auto"/>
        <w:bottom w:val="none" w:sz="0" w:space="0" w:color="auto"/>
        <w:right w:val="none" w:sz="0" w:space="0" w:color="auto"/>
      </w:divBdr>
    </w:div>
    <w:div w:id="1011184345">
      <w:bodyDiv w:val="1"/>
      <w:marLeft w:val="0"/>
      <w:marRight w:val="0"/>
      <w:marTop w:val="0"/>
      <w:marBottom w:val="0"/>
      <w:divBdr>
        <w:top w:val="none" w:sz="0" w:space="0" w:color="auto"/>
        <w:left w:val="none" w:sz="0" w:space="0" w:color="auto"/>
        <w:bottom w:val="none" w:sz="0" w:space="0" w:color="auto"/>
        <w:right w:val="none" w:sz="0" w:space="0" w:color="auto"/>
      </w:divBdr>
    </w:div>
    <w:div w:id="1151023761">
      <w:bodyDiv w:val="1"/>
      <w:marLeft w:val="0"/>
      <w:marRight w:val="0"/>
      <w:marTop w:val="0"/>
      <w:marBottom w:val="0"/>
      <w:divBdr>
        <w:top w:val="none" w:sz="0" w:space="0" w:color="auto"/>
        <w:left w:val="none" w:sz="0" w:space="0" w:color="auto"/>
        <w:bottom w:val="none" w:sz="0" w:space="0" w:color="auto"/>
        <w:right w:val="none" w:sz="0" w:space="0" w:color="auto"/>
      </w:divBdr>
    </w:div>
    <w:div w:id="1329557784">
      <w:bodyDiv w:val="1"/>
      <w:marLeft w:val="0"/>
      <w:marRight w:val="0"/>
      <w:marTop w:val="0"/>
      <w:marBottom w:val="0"/>
      <w:divBdr>
        <w:top w:val="none" w:sz="0" w:space="0" w:color="auto"/>
        <w:left w:val="none" w:sz="0" w:space="0" w:color="auto"/>
        <w:bottom w:val="none" w:sz="0" w:space="0" w:color="auto"/>
        <w:right w:val="none" w:sz="0" w:space="0" w:color="auto"/>
      </w:divBdr>
    </w:div>
    <w:div w:id="1396977087">
      <w:bodyDiv w:val="1"/>
      <w:marLeft w:val="0"/>
      <w:marRight w:val="0"/>
      <w:marTop w:val="0"/>
      <w:marBottom w:val="0"/>
      <w:divBdr>
        <w:top w:val="none" w:sz="0" w:space="0" w:color="auto"/>
        <w:left w:val="none" w:sz="0" w:space="0" w:color="auto"/>
        <w:bottom w:val="none" w:sz="0" w:space="0" w:color="auto"/>
        <w:right w:val="none" w:sz="0" w:space="0" w:color="auto"/>
      </w:divBdr>
    </w:div>
    <w:div w:id="1405102223">
      <w:bodyDiv w:val="1"/>
      <w:marLeft w:val="0"/>
      <w:marRight w:val="0"/>
      <w:marTop w:val="0"/>
      <w:marBottom w:val="0"/>
      <w:divBdr>
        <w:top w:val="none" w:sz="0" w:space="0" w:color="auto"/>
        <w:left w:val="none" w:sz="0" w:space="0" w:color="auto"/>
        <w:bottom w:val="none" w:sz="0" w:space="0" w:color="auto"/>
        <w:right w:val="none" w:sz="0" w:space="0" w:color="auto"/>
      </w:divBdr>
    </w:div>
    <w:div w:id="1666396185">
      <w:bodyDiv w:val="1"/>
      <w:marLeft w:val="0"/>
      <w:marRight w:val="0"/>
      <w:marTop w:val="0"/>
      <w:marBottom w:val="0"/>
      <w:divBdr>
        <w:top w:val="none" w:sz="0" w:space="0" w:color="auto"/>
        <w:left w:val="none" w:sz="0" w:space="0" w:color="auto"/>
        <w:bottom w:val="none" w:sz="0" w:space="0" w:color="auto"/>
        <w:right w:val="none" w:sz="0" w:space="0" w:color="auto"/>
      </w:divBdr>
    </w:div>
    <w:div w:id="1742025482">
      <w:bodyDiv w:val="1"/>
      <w:marLeft w:val="0"/>
      <w:marRight w:val="0"/>
      <w:marTop w:val="0"/>
      <w:marBottom w:val="0"/>
      <w:divBdr>
        <w:top w:val="none" w:sz="0" w:space="0" w:color="auto"/>
        <w:left w:val="none" w:sz="0" w:space="0" w:color="auto"/>
        <w:bottom w:val="none" w:sz="0" w:space="0" w:color="auto"/>
        <w:right w:val="none" w:sz="0" w:space="0" w:color="auto"/>
      </w:divBdr>
    </w:div>
    <w:div w:id="1792281071">
      <w:bodyDiv w:val="1"/>
      <w:marLeft w:val="0"/>
      <w:marRight w:val="0"/>
      <w:marTop w:val="0"/>
      <w:marBottom w:val="0"/>
      <w:divBdr>
        <w:top w:val="none" w:sz="0" w:space="0" w:color="auto"/>
        <w:left w:val="none" w:sz="0" w:space="0" w:color="auto"/>
        <w:bottom w:val="none" w:sz="0" w:space="0" w:color="auto"/>
        <w:right w:val="none" w:sz="0" w:space="0" w:color="auto"/>
      </w:divBdr>
    </w:div>
    <w:div w:id="1847356051">
      <w:bodyDiv w:val="1"/>
      <w:marLeft w:val="0"/>
      <w:marRight w:val="0"/>
      <w:marTop w:val="0"/>
      <w:marBottom w:val="0"/>
      <w:divBdr>
        <w:top w:val="none" w:sz="0" w:space="0" w:color="auto"/>
        <w:left w:val="none" w:sz="0" w:space="0" w:color="auto"/>
        <w:bottom w:val="none" w:sz="0" w:space="0" w:color="auto"/>
        <w:right w:val="none" w:sz="0" w:space="0" w:color="auto"/>
      </w:divBdr>
    </w:div>
    <w:div w:id="2040425693">
      <w:bodyDiv w:val="1"/>
      <w:marLeft w:val="0"/>
      <w:marRight w:val="0"/>
      <w:marTop w:val="0"/>
      <w:marBottom w:val="0"/>
      <w:divBdr>
        <w:top w:val="none" w:sz="0" w:space="0" w:color="auto"/>
        <w:left w:val="none" w:sz="0" w:space="0" w:color="auto"/>
        <w:bottom w:val="none" w:sz="0" w:space="0" w:color="auto"/>
        <w:right w:val="none" w:sz="0" w:space="0" w:color="auto"/>
      </w:divBdr>
    </w:div>
    <w:div w:id="21390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indonesia2045.go.i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publications/development/australias-international-development-policy"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doi.org/10.3390/land7010034" TargetMode="External"/><Relationship Id="rId1" Type="http://schemas.openxmlformats.org/officeDocument/2006/relationships/hyperlink" Target="https://openknowledge.worldbank.org/entities/publication/3d3402fd-6763-5532-b2fc-dfd980c45f5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FAT">
      <a:dk1>
        <a:sysClr val="windowText" lastClr="000000"/>
      </a:dk1>
      <a:lt1>
        <a:sysClr val="window" lastClr="FFFFFF"/>
      </a:lt1>
      <a:dk2>
        <a:srgbClr val="313E48"/>
      </a:dk2>
      <a:lt2>
        <a:srgbClr val="CFD3D3"/>
      </a:lt2>
      <a:accent1>
        <a:srgbClr val="3A586E"/>
      </a:accent1>
      <a:accent2>
        <a:srgbClr val="00837C"/>
      </a:accent2>
      <a:accent3>
        <a:srgbClr val="47763B"/>
      </a:accent3>
      <a:accent4>
        <a:srgbClr val="EBAB21"/>
      </a:accent4>
      <a:accent5>
        <a:srgbClr val="AA5739"/>
      </a:accent5>
      <a:accent6>
        <a:srgbClr val="065157"/>
      </a:accent6>
      <a:hlink>
        <a:srgbClr val="014429"/>
      </a:hlink>
      <a:folHlink>
        <a:srgbClr val="3F0D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DBD94-796E-E94B-A2E0-06081462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12824</Words>
  <Characters>83029</Characters>
  <Application>Microsoft Office Word</Application>
  <DocSecurity>4</DocSecurity>
  <Lines>2594</Lines>
  <Paragraphs>1063</Paragraphs>
  <ScaleCrop>false</ScaleCrop>
  <HeadingPairs>
    <vt:vector size="2" baseType="variant">
      <vt:variant>
        <vt:lpstr>Title</vt:lpstr>
      </vt:variant>
      <vt:variant>
        <vt:i4>1</vt:i4>
      </vt:variant>
    </vt:vector>
  </HeadingPairs>
  <TitlesOfParts>
    <vt:vector size="1" baseType="lpstr">
      <vt:lpstr>Australia – Indonesia Development Partnership Plan 2024-2028</vt:lpstr>
    </vt:vector>
  </TitlesOfParts>
  <Manager/>
  <Company/>
  <LinksUpToDate>false</LinksUpToDate>
  <CharactersWithSpaces>94811</CharactersWithSpaces>
  <SharedDoc>false</SharedDoc>
  <HLinks>
    <vt:vector size="42" baseType="variant">
      <vt:variant>
        <vt:i4>196634</vt:i4>
      </vt:variant>
      <vt:variant>
        <vt:i4>18</vt:i4>
      </vt:variant>
      <vt:variant>
        <vt:i4>0</vt:i4>
      </vt:variant>
      <vt:variant>
        <vt:i4>5</vt:i4>
      </vt:variant>
      <vt:variant>
        <vt:lpwstr>https://sdgs.un.org/goals</vt:lpwstr>
      </vt:variant>
      <vt:variant>
        <vt:lpwstr/>
      </vt:variant>
      <vt:variant>
        <vt:i4>6225936</vt:i4>
      </vt:variant>
      <vt:variant>
        <vt:i4>15</vt:i4>
      </vt:variant>
      <vt:variant>
        <vt:i4>0</vt:i4>
      </vt:variant>
      <vt:variant>
        <vt:i4>5</vt:i4>
      </vt:variant>
      <vt:variant>
        <vt:lpwstr>https://icnprod01.sharepoint.com/:w:/s/CHCH-PRD-DevelopmentPerformanceQuality/EYz8-2GONBFPsADQ1RNcQZcBRfvTWykVHGAxhCM-lsybDA?e=NmgJ6V</vt:lpwstr>
      </vt:variant>
      <vt:variant>
        <vt:lpwstr/>
      </vt:variant>
      <vt:variant>
        <vt:i4>393239</vt:i4>
      </vt:variant>
      <vt:variant>
        <vt:i4>12</vt:i4>
      </vt:variant>
      <vt:variant>
        <vt:i4>0</vt:i4>
      </vt:variant>
      <vt:variant>
        <vt:i4>5</vt:i4>
      </vt:variant>
      <vt:variant>
        <vt:lpwstr>https://icnprod01.sharepoint.com/:w:/s/CHCH-PRD-DevelopmentPerformanceQuality/EWG9dQv5BFdPodObrN4WFx4BRtdAZ0WVBXKP133nYbnlxg?e=aHMW7R</vt:lpwstr>
      </vt:variant>
      <vt:variant>
        <vt:lpwstr/>
      </vt:variant>
      <vt:variant>
        <vt:i4>5308425</vt:i4>
      </vt:variant>
      <vt:variant>
        <vt:i4>9</vt:i4>
      </vt:variant>
      <vt:variant>
        <vt:i4>0</vt:i4>
      </vt:variant>
      <vt:variant>
        <vt:i4>5</vt:i4>
      </vt:variant>
      <vt:variant>
        <vt:lpwstr>https://icnprod01.sharepoint.com/:w:/s/CHCH-PRD-DevelopmentPerformanceQuality/ESuNYiUibORGtM2628-fqQwBBZKuFb8Ucs5T2GsT9a1fjg?e=hFgKZa</vt:lpwstr>
      </vt:variant>
      <vt:variant>
        <vt:lpwstr/>
      </vt:variant>
      <vt:variant>
        <vt:i4>196634</vt:i4>
      </vt:variant>
      <vt:variant>
        <vt:i4>6</vt:i4>
      </vt:variant>
      <vt:variant>
        <vt:i4>0</vt:i4>
      </vt:variant>
      <vt:variant>
        <vt:i4>5</vt:i4>
      </vt:variant>
      <vt:variant>
        <vt:lpwstr>https://sdgs.un.org/goals</vt:lpwstr>
      </vt:variant>
      <vt:variant>
        <vt:lpwstr/>
      </vt:variant>
      <vt:variant>
        <vt:i4>4784182</vt:i4>
      </vt:variant>
      <vt:variant>
        <vt:i4>3</vt:i4>
      </vt:variant>
      <vt:variant>
        <vt:i4>0</vt:i4>
      </vt:variant>
      <vt:variant>
        <vt:i4>5</vt:i4>
      </vt:variant>
      <vt:variant>
        <vt:lpwstr>https://icnprod01.sharepoint.com/:w:/s/CHCH-PRD-DevelopmentPerformanceQuality/EdjxWHNYU5BNsjfyEXH8gEMBcUB3XT_3-Fvait3PWJitvg?e=QtnkDJ</vt:lpwstr>
      </vt:variant>
      <vt:variant>
        <vt:lpwstr/>
      </vt:variant>
      <vt:variant>
        <vt:i4>4456529</vt:i4>
      </vt:variant>
      <vt:variant>
        <vt:i4>0</vt:i4>
      </vt:variant>
      <vt:variant>
        <vt:i4>0</vt:i4>
      </vt:variant>
      <vt:variant>
        <vt:i4>5</vt:i4>
      </vt:variant>
      <vt:variant>
        <vt:lpwstr>https://www.dfat.gov.au/publications/development/australias-international-development-policy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 Indonesia Development Partnership Plan 2024-2028</dc:title>
  <dc:subject/>
  <dc:creator/>
  <cp:keywords>[SEC=OFFICIAL]</cp:keywords>
  <dc:description/>
  <cp:lastModifiedBy/>
  <cp:revision>1</cp:revision>
  <dcterms:created xsi:type="dcterms:W3CDTF">2024-09-17T23:53:00Z</dcterms:created>
  <dcterms:modified xsi:type="dcterms:W3CDTF">2024-09-17T23:53:00Z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v=2022.1;a=SHA256;h=EC4DF95890918C5F25F442034ECD8416014825B3042180B02991C21F73C0E444</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2024-06-21T08:55:13Z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ProtectiveMarkingValue_Footer">
    <vt:lpwstr>OFFICIAL</vt:lpwstr>
  </property>
  <property fmtid="{D5CDD505-2E9C-101B-9397-08002B2CF9AE}" pid="14" name="PM_Originating_FileId">
    <vt:lpwstr>57C4CDB39F66493F916F061CA946A661</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Display">
    <vt:lpwstr>OFFICIAL</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D9F6E5C82DFAF7AB6E3D596D48DD43C72EDFDAB4</vt:lpwstr>
  </property>
  <property fmtid="{D5CDD505-2E9C-101B-9397-08002B2CF9AE}" pid="24" name="PM_OriginatorUserAccountName_SHA256">
    <vt:lpwstr>3E9DB5AB808CA91EB3E8EC398CDB7F67B110581D6BB28BC88565729DCE387350</vt:lpwstr>
  </property>
  <property fmtid="{D5CDD505-2E9C-101B-9397-08002B2CF9AE}" pid="25" name="PM_Hash_Salt_Prev">
    <vt:lpwstr>02020A41D70117CE0730115FF51B5CB1</vt:lpwstr>
  </property>
  <property fmtid="{D5CDD505-2E9C-101B-9397-08002B2CF9AE}" pid="26" name="PM_Hash_Salt">
    <vt:lpwstr>32C9A795D8315C5404FC5AA486866A22</vt:lpwstr>
  </property>
  <property fmtid="{D5CDD505-2E9C-101B-9397-08002B2CF9AE}" pid="27" name="PM_Hash_SHA1">
    <vt:lpwstr>918E2155D1595C3AECF4AAFF7A8DF652F9811FB0</vt:lpwstr>
  </property>
  <property fmtid="{D5CDD505-2E9C-101B-9397-08002B2CF9AE}" pid="28" name="PM_Caveats_Count">
    <vt:lpwstr>0</vt:lpwstr>
  </property>
</Properties>
</file>